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3081020</wp:posOffset>
            </wp:positionH>
            <wp:positionV relativeFrom="paragraph">
              <wp:posOffset>57785</wp:posOffset>
            </wp:positionV>
            <wp:extent cx="1005840" cy="251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5840" cy="25146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CONDUENT INCORPORATED</w:t>
      </w:r>
    </w:p>
    <w:p>
      <w:pPr>
        <w:spacing w:after="0" w:line="45" w:lineRule="exact"/>
        <w:rPr>
          <w:sz w:val="24"/>
          <w:szCs w:val="24"/>
          <w:color w:val="auto"/>
        </w:rPr>
      </w:pPr>
    </w:p>
    <w:p>
      <w:pPr>
        <w:jc w:val="center"/>
        <w:ind w:right="60"/>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80"/>
          </w:cols>
          <w:pgMar w:left="300" w:top="747" w:right="319" w:bottom="1440" w:gutter="0" w:footer="0" w:header="0"/>
        </w:sectPr>
      </w:pPr>
    </w:p>
    <w:p>
      <w:pPr>
        <w:spacing w:after="0" w:line="30" w:lineRule="exact"/>
        <w:rPr>
          <w:sz w:val="24"/>
          <w:szCs w:val="24"/>
          <w:color w:val="auto"/>
        </w:rPr>
      </w:pPr>
    </w:p>
    <w:p>
      <w:pPr>
        <w:ind w:left="1280"/>
        <w:spacing w:after="0"/>
        <w:rPr>
          <w:sz w:val="20"/>
          <w:szCs w:val="20"/>
          <w:color w:val="auto"/>
        </w:rPr>
      </w:pPr>
      <w:r>
        <w:rPr>
          <w:rFonts w:ascii="Arial" w:cs="Arial" w:eastAsia="Arial" w:hAnsi="Arial"/>
          <w:sz w:val="11"/>
          <w:szCs w:val="11"/>
          <w:b w:val="1"/>
          <w:bCs w:val="1"/>
          <w:color w:val="auto"/>
        </w:rPr>
        <w:t>New York</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520"/>
        <w:spacing w:after="0"/>
        <w:rPr>
          <w:sz w:val="20"/>
          <w:szCs w:val="20"/>
          <w:color w:val="auto"/>
        </w:rPr>
      </w:pPr>
      <w:r>
        <w:rPr>
          <w:rFonts w:ascii="Arial" w:cs="Arial" w:eastAsia="Arial" w:hAnsi="Arial"/>
          <w:sz w:val="12"/>
          <w:szCs w:val="12"/>
          <w:b w:val="1"/>
          <w:bCs w:val="1"/>
          <w:color w:val="auto"/>
        </w:rPr>
        <w:t>001-37817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81-2983623</w:t>
      </w:r>
    </w:p>
    <w:p>
      <w:pPr>
        <w:spacing w:after="0" w:line="17" w:lineRule="exact"/>
        <w:rPr>
          <w:sz w:val="24"/>
          <w:szCs w:val="24"/>
          <w:color w:val="auto"/>
        </w:rPr>
      </w:pPr>
    </w:p>
    <w:p>
      <w:pPr>
        <w:sectPr>
          <w:pgSz w:w="11900" w:h="16838" w:orient="portrait"/>
          <w:cols w:equalWidth="0" w:num="3">
            <w:col w:w="4400" w:space="720"/>
            <w:col w:w="3100" w:space="720"/>
            <w:col w:w="2340"/>
          </w:cols>
          <w:pgMar w:left="300" w:top="747" w:right="319" w:bottom="1440" w:gutter="0" w:footer="0" w:header="0"/>
          <w:type w:val="continuous"/>
        </w:sectPr>
      </w:pPr>
    </w:p>
    <w:p>
      <w:pPr>
        <w:spacing w:after="0" w:line="21" w:lineRule="exact"/>
        <w:rPr>
          <w:sz w:val="24"/>
          <w:szCs w:val="24"/>
          <w:color w:val="auto"/>
        </w:rPr>
      </w:pPr>
    </w:p>
    <w:p>
      <w:pPr>
        <w:ind w:left="940"/>
        <w:spacing w:after="0"/>
        <w:rPr>
          <w:sz w:val="20"/>
          <w:szCs w:val="20"/>
          <w:color w:val="auto"/>
        </w:rPr>
      </w:pPr>
      <w:r>
        <w:rPr>
          <w:rFonts w:ascii="Arial" w:cs="Arial" w:eastAsia="Arial" w:hAnsi="Arial"/>
          <w:sz w:val="8"/>
          <w:szCs w:val="8"/>
          <w:color w:val="auto"/>
        </w:rPr>
        <w:t>(State or other jurisdiction of</w:t>
      </w:r>
    </w:p>
    <w:p>
      <w:pPr>
        <w:spacing w:after="0" w:line="2" w:lineRule="exact"/>
        <w:rPr>
          <w:sz w:val="24"/>
          <w:szCs w:val="24"/>
          <w:color w:val="auto"/>
        </w:rPr>
      </w:pPr>
    </w:p>
    <w:p>
      <w:pPr>
        <w:ind w:left="920"/>
        <w:spacing w:after="0"/>
        <w:rPr>
          <w:sz w:val="20"/>
          <w:szCs w:val="20"/>
          <w:color w:val="auto"/>
        </w:rPr>
      </w:pPr>
      <w:r>
        <w:rPr>
          <w:rFonts w:ascii="Arial" w:cs="Arial" w:eastAsia="Arial" w:hAnsi="Arial"/>
          <w:sz w:val="8"/>
          <w:szCs w:val="8"/>
          <w:color w:val="auto"/>
        </w:rPr>
        <w:t>incorporation or organization)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8"/>
          <w:szCs w:val="8"/>
          <w:color w:val="auto"/>
        </w:rPr>
        <w:t>(Commission</w:t>
      </w:r>
    </w:p>
    <w:p>
      <w:pPr>
        <w:spacing w:after="0" w:line="2" w:lineRule="exact"/>
        <w:rPr>
          <w:sz w:val="24"/>
          <w:szCs w:val="24"/>
          <w:color w:val="auto"/>
        </w:rPr>
      </w:pPr>
    </w:p>
    <w:p>
      <w:pPr>
        <w:spacing w:after="0"/>
        <w:rPr>
          <w:sz w:val="20"/>
          <w:szCs w:val="20"/>
          <w:color w:val="auto"/>
        </w:rPr>
      </w:pPr>
      <w:r>
        <w:rPr>
          <w:rFonts w:ascii="Arial" w:cs="Arial" w:eastAsia="Arial" w:hAnsi="Arial"/>
          <w:sz w:val="8"/>
          <w:szCs w:val="8"/>
          <w:color w:val="auto"/>
        </w:rPr>
        <w:t>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0"/>
          <w:szCs w:val="10"/>
          <w:color w:val="auto"/>
        </w:rPr>
        <w:t>(IRS Employer</w:t>
      </w:r>
    </w:p>
    <w:p>
      <w:pPr>
        <w:jc w:val="center"/>
        <w:ind w:right="1660"/>
        <w:spacing w:after="0"/>
        <w:rPr>
          <w:sz w:val="20"/>
          <w:szCs w:val="20"/>
          <w:color w:val="auto"/>
        </w:rPr>
      </w:pPr>
      <w:r>
        <w:rPr>
          <w:rFonts w:ascii="Arial" w:cs="Arial" w:eastAsia="Arial" w:hAnsi="Arial"/>
          <w:sz w:val="8"/>
          <w:szCs w:val="8"/>
          <w:color w:val="auto"/>
        </w:rPr>
        <w:t>Identification No.)</w:t>
      </w:r>
    </w:p>
    <w:p>
      <w:pPr>
        <w:spacing w:after="0" w:line="99" w:lineRule="exact"/>
        <w:rPr>
          <w:sz w:val="24"/>
          <w:szCs w:val="24"/>
          <w:color w:val="auto"/>
        </w:rPr>
      </w:pPr>
    </w:p>
    <w:p>
      <w:pPr>
        <w:sectPr>
          <w:pgSz w:w="11900" w:h="16838" w:orient="portrait"/>
          <w:cols w:equalWidth="0" w:num="3">
            <w:col w:w="4400" w:space="720"/>
            <w:col w:w="3040" w:space="720"/>
            <w:col w:w="2400"/>
          </w:cols>
          <w:pgMar w:left="300" w:top="747" w:right="319" w:bottom="1440" w:gutter="0" w:footer="0" w:header="0"/>
          <w:type w:val="continuous"/>
        </w:sectPr>
      </w:pPr>
    </w:p>
    <w:p>
      <w:pPr>
        <w:jc w:val="center"/>
        <w:spacing w:after="0"/>
        <w:tabs>
          <w:tab w:leader="none" w:pos="420" w:val="left"/>
        </w:tabs>
        <w:rPr>
          <w:sz w:val="20"/>
          <w:szCs w:val="20"/>
          <w:color w:val="auto"/>
        </w:rPr>
      </w:pPr>
      <w:r>
        <w:rPr>
          <w:rFonts w:ascii="Arial" w:cs="Arial" w:eastAsia="Arial" w:hAnsi="Arial"/>
          <w:sz w:val="12"/>
          <w:szCs w:val="12"/>
          <w:b w:val="1"/>
          <w:bCs w:val="1"/>
          <w:color w:val="auto"/>
        </w:rPr>
        <w:t>100 Campus Drive,</w:t>
      </w:r>
      <w:r>
        <w:rPr>
          <w:sz w:val="20"/>
          <w:szCs w:val="20"/>
          <w:color w:val="auto"/>
        </w:rPr>
        <w:tab/>
      </w:r>
      <w:r>
        <w:rPr>
          <w:rFonts w:ascii="Arial" w:cs="Arial" w:eastAsia="Arial" w:hAnsi="Arial"/>
          <w:sz w:val="11"/>
          <w:szCs w:val="11"/>
          <w:b w:val="1"/>
          <w:bCs w:val="1"/>
          <w:color w:val="auto"/>
        </w:rPr>
        <w:t>Suite 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Florham Park, New Jersey</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07932</w:t>
      </w:r>
    </w:p>
    <w:p>
      <w:pPr>
        <w:spacing w:after="0" w:line="15" w:lineRule="exact"/>
        <w:rPr>
          <w:sz w:val="24"/>
          <w:szCs w:val="24"/>
          <w:color w:val="auto"/>
        </w:rPr>
      </w:pPr>
    </w:p>
    <w:p>
      <w:pPr>
        <w:ind w:left="3620"/>
        <w:spacing w:after="0"/>
        <w:rPr>
          <w:sz w:val="20"/>
          <w:szCs w:val="20"/>
          <w:color w:val="auto"/>
        </w:rPr>
      </w:pPr>
      <w:r>
        <w:rPr>
          <w:rFonts w:ascii="Arial" w:cs="Arial" w:eastAsia="Arial" w:hAnsi="Arial"/>
          <w:sz w:val="10"/>
          <w:szCs w:val="10"/>
          <w:color w:val="auto"/>
        </w:rPr>
        <w:t>(Address of principal executive offices) (Zip Code)</w:t>
      </w:r>
    </w:p>
    <w:p>
      <w:pPr>
        <w:sectPr>
          <w:pgSz w:w="11900" w:h="16838" w:orient="portrait"/>
          <w:cols w:equalWidth="0" w:num="1">
            <w:col w:w="11280"/>
          </w:cols>
          <w:pgMar w:left="300" w:top="747" w:right="319" w:bottom="1440" w:gutter="0" w:footer="0" w:header="0"/>
          <w:type w:val="continuous"/>
        </w:sect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663-2638</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26"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280"/>
          </w:cols>
          <w:pgMar w:left="300" w:top="747" w:right="319" w:bottom="1440" w:gutter="0" w:footer="0" w:header="0"/>
          <w:type w:val="continuous"/>
        </w:sectPr>
      </w:pPr>
    </w:p>
    <w:p>
      <w:pPr>
        <w:spacing w:after="0" w:line="30" w:lineRule="exact"/>
        <w:rPr>
          <w:sz w:val="24"/>
          <w:szCs w:val="24"/>
          <w:color w:val="auto"/>
        </w:rPr>
      </w:pPr>
    </w:p>
    <w:p>
      <w:pPr>
        <w:ind w:left="1460"/>
        <w:spacing w:after="0"/>
        <w:rPr>
          <w:sz w:val="20"/>
          <w:szCs w:val="20"/>
          <w:color w:val="auto"/>
        </w:rPr>
      </w:pPr>
      <w:r>
        <w:rPr>
          <w:rFonts w:ascii="Arial" w:cs="Arial" w:eastAsia="Arial" w:hAnsi="Arial"/>
          <w:sz w:val="8"/>
          <w:szCs w:val="8"/>
          <w:color w:val="auto"/>
        </w:rPr>
        <w:t>Title of each class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8"/>
          <w:szCs w:val="8"/>
          <w:color w:val="auto"/>
        </w:rPr>
        <w:t>Trading Symbol(s)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8"/>
          <w:szCs w:val="8"/>
          <w:color w:val="auto"/>
        </w:rPr>
        <w:t>Name of each exchange on which registered</w:t>
      </w:r>
    </w:p>
    <w:p>
      <w:pPr>
        <w:spacing w:after="0" w:line="35" w:lineRule="exact"/>
        <w:rPr>
          <w:sz w:val="24"/>
          <w:szCs w:val="24"/>
          <w:color w:val="auto"/>
        </w:rPr>
      </w:pPr>
    </w:p>
    <w:p>
      <w:pPr>
        <w:sectPr>
          <w:pgSz w:w="11900" w:h="16838" w:orient="portrait"/>
          <w:cols w:equalWidth="0" w:num="3">
            <w:col w:w="3640" w:space="720"/>
            <w:col w:w="2520" w:space="720"/>
            <w:col w:w="3680"/>
          </w:cols>
          <w:pgMar w:left="300" w:top="747" w:right="319" w:bottom="1440" w:gutter="0" w:footer="0" w:header="0"/>
          <w:type w:val="continuous"/>
        </w:sectPr>
      </w:pPr>
    </w:p>
    <w:p>
      <w:pPr>
        <w:ind w:left="940"/>
        <w:spacing w:after="0"/>
        <w:rPr>
          <w:sz w:val="20"/>
          <w:szCs w:val="20"/>
          <w:color w:val="auto"/>
        </w:rPr>
      </w:pPr>
      <w:r>
        <w:rPr>
          <w:rFonts w:ascii="Arial" w:cs="Arial" w:eastAsia="Arial" w:hAnsi="Arial"/>
          <w:sz w:val="11"/>
          <w:szCs w:val="11"/>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NASDAQ Global Select Market</w:t>
      </w:r>
    </w:p>
    <w:p>
      <w:pPr>
        <w:spacing w:after="0" w:line="211" w:lineRule="exact"/>
        <w:rPr>
          <w:sz w:val="24"/>
          <w:szCs w:val="24"/>
          <w:color w:val="auto"/>
        </w:rPr>
      </w:pPr>
    </w:p>
    <w:p>
      <w:pPr>
        <w:sectPr>
          <w:pgSz w:w="11900" w:h="16838" w:orient="portrait"/>
          <w:cols w:equalWidth="0" w:num="3">
            <w:col w:w="3860" w:space="720"/>
            <w:col w:w="2380" w:space="720"/>
            <w:col w:w="3600"/>
          </w:cols>
          <w:pgMar w:left="300" w:top="747" w:right="319" w:bottom="1440" w:gutter="0" w:footer="0" w:header="0"/>
          <w:type w:val="continuous"/>
        </w:sectPr>
      </w:pPr>
    </w:p>
    <w:p>
      <w:pPr>
        <w:spacing w:after="0" w:line="31" w:lineRule="exact"/>
        <w:rPr>
          <w:sz w:val="24"/>
          <w:szCs w:val="24"/>
          <w:color w:val="auto"/>
        </w:rPr>
      </w:pPr>
    </w:p>
    <w:p>
      <w:pPr>
        <w:ind w:right="360"/>
        <w:spacing w:after="0" w:line="156" w:lineRule="exact"/>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(CFR 230.405) or Rule 12b-2 of the Securities Exchange Act of 1934 (CFR 240.12b-2).</w:t>
      </w:r>
      <w:r>
        <w:rPr>
          <w:rFonts w:ascii="MS PGothic" w:cs="MS PGothic" w:eastAsia="MS PGothic" w:hAnsi="MS PGothic"/>
          <w:sz w:val="10"/>
          <w:szCs w:val="10"/>
          <w:color w:val="auto"/>
        </w:rPr>
        <w:t>☐</w:t>
      </w:r>
      <w:r>
        <w:rPr>
          <w:rFonts w:ascii="Arial" w:cs="Arial" w:eastAsia="Arial" w:hAnsi="Arial"/>
          <w:sz w:val="12"/>
          <w:szCs w:val="12"/>
          <w:color w:val="auto"/>
        </w:rPr>
        <w:t xml:space="preserve"> Emerging growth company</w:t>
      </w:r>
    </w:p>
    <w:p>
      <w:pPr>
        <w:spacing w:after="0" w:line="138"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78"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On May 11, 2026, Conduent Incorporated (the "Company") released its first quarter 2026 financial results and is furnishing to the Securities and Exchange Commission (the "Commission") a copy of the financial results press release as Exhibit 99.1 to this Current Report on Form 8-K (this "Report") under Item 2.02 of Form 8-K.</w:t>
      </w:r>
    </w:p>
    <w:p>
      <w:pPr>
        <w:spacing w:after="0" w:line="103"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The information contained in Item 2.02 of this Report and in Exhibit 99.1 shall not be deemed “filed” with the Commission for purposes of Section 18 of the Exchange Act of 1934, as amended, or otherwise subject to the liability of that section.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0" w:lineRule="exact"/>
        <w:rPr>
          <w:sz w:val="20"/>
          <w:szCs w:val="20"/>
          <w:color w:val="auto"/>
        </w:rPr>
      </w:pPr>
    </w:p>
    <w:p>
      <w:pPr>
        <w:ind w:right="400"/>
        <w:spacing w:after="0" w:line="286" w:lineRule="auto"/>
        <w:rPr>
          <w:sz w:val="20"/>
          <w:szCs w:val="20"/>
          <w:color w:val="auto"/>
        </w:rPr>
      </w:pPr>
      <w:r>
        <w:rPr>
          <w:rFonts w:ascii="Arial" w:cs="Arial" w:eastAsia="Arial" w:hAnsi="Arial"/>
          <w:sz w:val="12"/>
          <w:szCs w:val="12"/>
          <w:color w:val="auto"/>
        </w:rPr>
        <w:t>On May 11, 2026, the Company conducted a financial results call regarding its 2026 first quarter results and is furnishing to the Commission a copy of the presentation used during the financial results call as Exhibit 99.2 to this Report under Item 7.01 of Form 8-K.</w:t>
      </w:r>
    </w:p>
    <w:p>
      <w:pPr>
        <w:spacing w:after="0" w:line="67"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The information contained in Item 7.01 of this Report and in Exhibit 99.2 to this Report shall not be deemed “filed” with the Commission for purposes of Section 18 of the Exchange Act of 1934, as amended, or otherwise subject to the liability of that section.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gridSpan w:val="4"/>
          </w:tcPr>
          <w:p>
            <w:pPr>
              <w:spacing w:after="0"/>
              <w:rPr>
                <w:sz w:val="20"/>
                <w:szCs w:val="20"/>
                <w:color w:val="auto"/>
              </w:rPr>
            </w:pPr>
            <w:r>
              <w:rPr>
                <w:rFonts w:ascii="Arial" w:cs="Arial" w:eastAsia="Arial" w:hAnsi="Arial"/>
                <w:sz w:val="12"/>
                <w:szCs w:val="12"/>
                <w:color w:val="auto"/>
              </w:rPr>
              <w:t>(d) Exhibits.</w:t>
            </w:r>
          </w:p>
        </w:tc>
        <w:tc>
          <w:tcPr>
            <w:tcW w:w="9200" w:type="dxa"/>
            <w:vAlign w:val="bottom"/>
          </w:tcPr>
          <w:p>
            <w:pPr>
              <w:spacing w:after="0"/>
              <w:rPr>
                <w:sz w:val="13"/>
                <w:szCs w:val="13"/>
                <w:color w:val="auto"/>
              </w:rPr>
            </w:pPr>
          </w:p>
        </w:tc>
      </w:tr>
      <w:tr>
        <w:trPr>
          <w:trHeight w:val="169"/>
        </w:trPr>
        <w:tc>
          <w:tcPr>
            <w:tcW w:w="2100" w:type="dxa"/>
            <w:vAlign w:val="bottom"/>
            <w:gridSpan w:val="4"/>
          </w:tcPr>
          <w:p>
            <w:pPr>
              <w:ind w:left="600"/>
              <w:spacing w:after="0"/>
              <w:rPr>
                <w:sz w:val="20"/>
                <w:szCs w:val="20"/>
                <w:color w:val="auto"/>
              </w:rPr>
            </w:pPr>
            <w:r>
              <w:rPr>
                <w:rFonts w:ascii="Arial" w:cs="Arial" w:eastAsia="Arial" w:hAnsi="Arial"/>
                <w:sz w:val="12"/>
                <w:szCs w:val="12"/>
                <w:b w:val="1"/>
                <w:bCs w:val="1"/>
                <w:color w:val="auto"/>
              </w:rPr>
              <w:t>Exhibit No.</w:t>
            </w:r>
          </w:p>
        </w:tc>
        <w:tc>
          <w:tcPr>
            <w:tcW w:w="9200" w:type="dxa"/>
            <w:vAlign w:val="bottom"/>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15"/>
        </w:trPr>
        <w:tc>
          <w:tcPr>
            <w:tcW w:w="1040" w:type="dxa"/>
            <w:vAlign w:val="bottom"/>
            <w:tcBorders>
              <w:top w:val="single" w:sz="8" w:color="auto"/>
            </w:tcBorders>
            <w:gridSpan w:val="2"/>
          </w:tcPr>
          <w:p>
            <w:pPr>
              <w:jc w:val="center"/>
              <w:ind w:left="740"/>
              <w:spacing w:after="0" w:line="115" w:lineRule="exact"/>
              <w:rPr>
                <w:sz w:val="20"/>
                <w:szCs w:val="20"/>
                <w:color w:val="auto"/>
              </w:rPr>
            </w:pPr>
            <w:r>
              <w:rPr>
                <w:rFonts w:ascii="Arial" w:cs="Arial" w:eastAsia="Arial" w:hAnsi="Arial"/>
                <w:sz w:val="12"/>
                <w:szCs w:val="12"/>
                <w:color w:val="0000FF"/>
              </w:rPr>
              <w:t>99.</w:t>
            </w:r>
            <w:r>
              <w:rPr>
                <w:rFonts w:ascii="Arial" w:cs="Arial" w:eastAsia="Arial" w:hAnsi="Arial"/>
                <w:sz w:val="12"/>
                <w:szCs w:val="12"/>
                <w:u w:val="single" w:color="auto"/>
                <w:color w:val="0000FF"/>
              </w:rPr>
              <w:t>1</w:t>
            </w: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2"/>
                <w:szCs w:val="12"/>
                <w:color w:val="auto"/>
              </w:rPr>
              <w:t>Registrant’s first quarter 2026 financial results press release dated May 11, 2026</w:t>
            </w: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133"/>
        </w:trPr>
        <w:tc>
          <w:tcPr>
            <w:tcW w:w="1040" w:type="dxa"/>
            <w:vAlign w:val="bottom"/>
            <w:gridSpan w:val="2"/>
          </w:tcPr>
          <w:p>
            <w:pPr>
              <w:jc w:val="center"/>
              <w:ind w:left="740"/>
              <w:spacing w:after="0" w:line="133" w:lineRule="exact"/>
              <w:rPr>
                <w:sz w:val="20"/>
                <w:szCs w:val="20"/>
                <w:color w:val="auto"/>
              </w:rPr>
            </w:pPr>
            <w:r>
              <w:rPr>
                <w:rFonts w:ascii="Arial" w:cs="Arial" w:eastAsia="Arial" w:hAnsi="Arial"/>
                <w:sz w:val="12"/>
                <w:szCs w:val="12"/>
                <w:color w:val="0000FF"/>
              </w:rPr>
              <w:t>99.</w:t>
            </w:r>
            <w:r>
              <w:rPr>
                <w:rFonts w:ascii="Arial" w:cs="Arial" w:eastAsia="Arial" w:hAnsi="Arial"/>
                <w:sz w:val="12"/>
                <w:szCs w:val="12"/>
                <w:u w:val="single" w:color="auto"/>
                <w:color w:val="0000FF"/>
              </w:rPr>
              <w:t>2</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0" w:type="dxa"/>
            <w:vAlign w:val="bottom"/>
          </w:tcPr>
          <w:p>
            <w:pPr>
              <w:ind w:left="20"/>
              <w:spacing w:after="0" w:line="133" w:lineRule="exact"/>
              <w:rPr>
                <w:sz w:val="20"/>
                <w:szCs w:val="20"/>
                <w:color w:val="auto"/>
              </w:rPr>
            </w:pPr>
            <w:r>
              <w:rPr>
                <w:rFonts w:ascii="Arial" w:cs="Arial" w:eastAsia="Arial" w:hAnsi="Arial"/>
                <w:sz w:val="12"/>
                <w:szCs w:val="12"/>
                <w:color w:val="auto"/>
              </w:rPr>
              <w:t>Registrant’s investor presentation dated May 11, 2026</w:t>
            </w:r>
          </w:p>
        </w:tc>
      </w:tr>
      <w:tr>
        <w:trPr>
          <w:trHeight w:val="162"/>
        </w:trPr>
        <w:tc>
          <w:tcPr>
            <w:tcW w:w="800" w:type="dxa"/>
            <w:vAlign w:val="bottom"/>
          </w:tcPr>
          <w:p>
            <w:pPr>
              <w:spacing w:after="0"/>
              <w:rPr>
                <w:sz w:val="14"/>
                <w:szCs w:val="14"/>
                <w:color w:val="auto"/>
              </w:rPr>
            </w:pPr>
          </w:p>
        </w:tc>
        <w:tc>
          <w:tcPr>
            <w:tcW w:w="24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auto"/>
                <w:w w:val="99"/>
              </w:rPr>
              <w:t>104</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0" w:type="dxa"/>
            <w:vAlign w:val="bottom"/>
          </w:tcPr>
          <w:p>
            <w:pPr>
              <w:ind w:left="2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1132"/>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Forward-Looking Statements</w:t>
      </w:r>
    </w:p>
    <w:p>
      <w:pPr>
        <w:spacing w:after="0" w:line="114" w:lineRule="exact"/>
        <w:rPr>
          <w:sz w:val="20"/>
          <w:szCs w:val="20"/>
          <w:color w:val="auto"/>
        </w:rPr>
      </w:pPr>
    </w:p>
    <w:p>
      <w:pPr>
        <w:ind w:right="80"/>
        <w:spacing w:after="0" w:line="285" w:lineRule="auto"/>
        <w:rPr>
          <w:sz w:val="20"/>
          <w:szCs w:val="20"/>
          <w:color w:val="auto"/>
        </w:rPr>
      </w:pPr>
      <w:r>
        <w:rPr>
          <w:rFonts w:ascii="Arial" w:cs="Arial" w:eastAsia="Arial" w:hAnsi="Arial"/>
          <w:sz w:val="11"/>
          <w:szCs w:val="11"/>
          <w:color w:val="auto"/>
        </w:rPr>
        <w:t>This Report and any exhibits to this Report may contain "forward-looking statements" as defined in the Private Securities Litigation Reform Act of 1995, as amended (the "Litigation Reform Act"). The words “anticipate,” “believe,” “estimate,” “expect,” "plan," “intend,” “will,” “aim,” “should,” “could,” “forecast,” “target,” “may,” "continue to," "endeavor," "if,” “growing,” “projected,” “potential,” “likely,” "see," "ahead," "further," "going forward," "on the horizon," "as we progress," "going to," "path from here forward," "think," "path to deliver," "from here," “on track”, “remain”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Should one or more of these risks or uncertainties materialize, or should underlying assumptions prove incorrect, actual results may vary materially from those expressed or implied in this Report, any exhibits to this Report and other public statements we make.</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Important factors and uncertainties that could cause our actual results to differ materially from those in our forward-looking statements include, but are not limited to: government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 transactions, including but not limited to the Company’s ability to realize the benefits anticipated from such transactions, and unexpected costs or liabilities in connection with such transactions;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or other payments from our subsidiaries; and other factors that are set forth in the “Risk Factors” section, the “Legal Proceedings” section, the “Management's Discussion and Analysis of Financial Condition and Results of Operations” section and other sections in our Annual Reports on Form 10-K, as well as in our Quarterly Reports on Form 10-Q and Current Reports on Form 8-K filed with or furnished to the Commission. Any forward-looking statements made by us in this Report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765810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SIGNATURES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registrant has duly authorized this report to be signed on its behalf by the undersigned hereunto duly authorized.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Date: May 11, 2026</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2"/>
          <w:szCs w:val="12"/>
          <w:color w:val="auto"/>
        </w:rPr>
        <w:t>CONDUENT INCORPORATED</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GEORGE ABATE</w:t>
            </w:r>
          </w:p>
        </w:tc>
      </w:tr>
      <w:tr>
        <w:trPr>
          <w:trHeight w:val="138"/>
        </w:trPr>
        <w:tc>
          <w:tcPr>
            <w:tcW w:w="500" w:type="dxa"/>
            <w:vAlign w:val="bottom"/>
          </w:tcPr>
          <w:p>
            <w:pPr>
              <w:spacing w:after="0"/>
              <w:rPr>
                <w:sz w:val="12"/>
                <w:szCs w:val="12"/>
                <w:color w:val="auto"/>
              </w:rPr>
            </w:pPr>
          </w:p>
        </w:tc>
        <w:tc>
          <w:tcPr>
            <w:tcW w:w="4880" w:type="dxa"/>
            <w:vAlign w:val="bottom"/>
          </w:tcPr>
          <w:p>
            <w:pPr>
              <w:ind w:left="20"/>
              <w:spacing w:after="0"/>
              <w:rPr>
                <w:sz w:val="20"/>
                <w:szCs w:val="20"/>
                <w:color w:val="auto"/>
              </w:rPr>
            </w:pPr>
            <w:r>
              <w:rPr>
                <w:rFonts w:ascii="Arial" w:cs="Arial" w:eastAsia="Arial" w:hAnsi="Arial"/>
                <w:sz w:val="12"/>
                <w:szCs w:val="12"/>
                <w:color w:val="auto"/>
              </w:rPr>
              <w:t>George Abate</w:t>
            </w:r>
          </w:p>
        </w:tc>
      </w:tr>
      <w:tr>
        <w:trPr>
          <w:trHeight w:val="159"/>
        </w:trPr>
        <w:tc>
          <w:tcPr>
            <w:tcW w:w="500" w:type="dxa"/>
            <w:vAlign w:val="bottom"/>
          </w:tcPr>
          <w:p>
            <w:pPr>
              <w:spacing w:after="0"/>
              <w:rPr>
                <w:sz w:val="13"/>
                <w:szCs w:val="13"/>
                <w:color w:val="auto"/>
              </w:rPr>
            </w:pPr>
          </w:p>
        </w:tc>
        <w:tc>
          <w:tcPr>
            <w:tcW w:w="4880" w:type="dxa"/>
            <w:vAlign w:val="bottom"/>
          </w:tcPr>
          <w:p>
            <w:pPr>
              <w:ind w:left="20"/>
              <w:spacing w:after="0"/>
              <w:rPr>
                <w:sz w:val="20"/>
                <w:szCs w:val="20"/>
                <w:color w:val="auto"/>
              </w:rPr>
            </w:pPr>
            <w:r>
              <w:rPr>
                <w:rFonts w:ascii="Arial" w:cs="Arial" w:eastAsia="Arial" w:hAnsi="Arial"/>
                <w:sz w:val="12"/>
                <w:szCs w:val="12"/>
                <w:color w:val="auto"/>
              </w:rPr>
              <w:t>Vice President and Chief Accounting Officer</w:t>
            </w:r>
          </w:p>
        </w:tc>
      </w:tr>
    </w:tbl>
    <w:p>
      <w:pPr>
        <w:sectPr>
          <w:pgSz w:w="11900" w:h="16838" w:orient="portrait"/>
          <w:cols w:equalWidth="0" w:num="1">
            <w:col w:w="10159"/>
          </w:cols>
          <w:pgMar w:left="300" w:top="91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6418580</wp:posOffset>
            </wp:positionH>
            <wp:positionV relativeFrom="paragraph">
              <wp:posOffset>245745</wp:posOffset>
            </wp:positionV>
            <wp:extent cx="75438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News from Conduent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Conduent Reports Significantly Improved First Quarter 2026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Key Q1 2026 Highlights</w:t>
      </w:r>
    </w:p>
    <w:p>
      <w:pPr>
        <w:spacing w:after="0" w:line="76"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242424"/>
        </w:rPr>
      </w:pPr>
      <w:r>
        <w:rPr>
          <w:rFonts w:ascii="Arial" w:cs="Arial" w:eastAsia="Arial" w:hAnsi="Arial"/>
          <w:sz w:val="13"/>
          <w:szCs w:val="13"/>
          <w:color w:val="auto"/>
        </w:rPr>
        <w:t>Revenue: $723M, down 3.7%. Growth in Government and Transportation segments</w:t>
      </w:r>
    </w:p>
    <w:p>
      <w:pPr>
        <w:spacing w:after="0" w:line="84" w:lineRule="exact"/>
        <w:rPr>
          <w:rFonts w:ascii="Arial" w:cs="Arial" w:eastAsia="Arial" w:hAnsi="Arial"/>
          <w:sz w:val="13"/>
          <w:szCs w:val="13"/>
          <w:color w:val="242424"/>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Pre-tax Income (Loss): $(27)M, improved by $29M year-over-year</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 EBITDA</w:t>
      </w:r>
      <w:r>
        <w:rPr>
          <w:rFonts w:ascii="Arial" w:cs="Arial" w:eastAsia="Arial" w:hAnsi="Arial"/>
          <w:sz w:val="17"/>
          <w:szCs w:val="17"/>
          <w:color w:val="auto"/>
          <w:vertAlign w:val="superscript"/>
        </w:rPr>
        <w:t>(1)</w:t>
      </w:r>
      <w:r>
        <w:rPr>
          <w:rFonts w:ascii="Arial" w:cs="Arial" w:eastAsia="Arial" w:hAnsi="Arial"/>
          <w:sz w:val="13"/>
          <w:szCs w:val="13"/>
          <w:color w:val="auto"/>
        </w:rPr>
        <w:t>: $49M, improved by $12M year-over-year</w:t>
      </w:r>
    </w:p>
    <w:p>
      <w:pPr>
        <w:spacing w:after="0" w:line="38"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 EBITDA Margin</w:t>
      </w:r>
      <w:r>
        <w:rPr>
          <w:rFonts w:ascii="Arial" w:cs="Arial" w:eastAsia="Arial" w:hAnsi="Arial"/>
          <w:sz w:val="17"/>
          <w:szCs w:val="17"/>
          <w:color w:val="auto"/>
          <w:vertAlign w:val="superscript"/>
        </w:rPr>
        <w:t>(1)</w:t>
      </w:r>
      <w:r>
        <w:rPr>
          <w:rFonts w:ascii="Arial" w:cs="Arial" w:eastAsia="Arial" w:hAnsi="Arial"/>
          <w:sz w:val="13"/>
          <w:szCs w:val="13"/>
          <w:color w:val="auto"/>
        </w:rPr>
        <w:t>: 6.8%, improved by 190 bps year-over-year</w:t>
      </w:r>
    </w:p>
    <w:p>
      <w:pPr>
        <w:spacing w:after="0" w:line="33"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Cash flow from operating activities: $(8)M, improved by $50M year-over-year</w:t>
      </w:r>
    </w:p>
    <w:p>
      <w:pPr>
        <w:spacing w:after="0" w:line="80"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New Business Signings ACV</w:t>
      </w:r>
      <w:r>
        <w:rPr>
          <w:rFonts w:ascii="Arial" w:cs="Arial" w:eastAsia="Arial" w:hAnsi="Arial"/>
          <w:sz w:val="17"/>
          <w:szCs w:val="17"/>
          <w:color w:val="auto"/>
          <w:vertAlign w:val="superscript"/>
        </w:rPr>
        <w:t>(2)</w:t>
      </w:r>
      <w:r>
        <w:rPr>
          <w:rFonts w:ascii="Arial" w:cs="Arial" w:eastAsia="Arial" w:hAnsi="Arial"/>
          <w:sz w:val="13"/>
          <w:szCs w:val="13"/>
          <w:color w:val="auto"/>
        </w:rPr>
        <w:t>: $114M, improved by $5M year-over-year</w:t>
      </w:r>
    </w:p>
    <w:p>
      <w:pPr>
        <w:spacing w:after="0" w:line="192" w:lineRule="exact"/>
        <w:rPr>
          <w:sz w:val="20"/>
          <w:szCs w:val="20"/>
          <w:color w:val="auto"/>
        </w:rPr>
      </w:pPr>
    </w:p>
    <w:p>
      <w:pPr>
        <w:ind w:right="180"/>
        <w:spacing w:after="0" w:line="414" w:lineRule="auto"/>
        <w:rPr>
          <w:sz w:val="20"/>
          <w:szCs w:val="20"/>
          <w:color w:val="auto"/>
        </w:rPr>
      </w:pPr>
      <w:r>
        <w:rPr>
          <w:rFonts w:ascii="Arial" w:cs="Arial" w:eastAsia="Arial" w:hAnsi="Arial"/>
          <w:sz w:val="13"/>
          <w:szCs w:val="13"/>
          <w:color w:val="auto"/>
        </w:rPr>
        <w:t>FLORHAM PARK, NJ, May 11, 2026 - Conduent Incorporated (Nasdaq: CNDT), a global technology driven business process solutions and services company, today announced its first quarter 2026 financial results.</w:t>
      </w:r>
    </w:p>
    <w:p>
      <w:pPr>
        <w:spacing w:after="0" w:line="15" w:lineRule="exact"/>
        <w:rPr>
          <w:sz w:val="20"/>
          <w:szCs w:val="20"/>
          <w:color w:val="auto"/>
        </w:rPr>
      </w:pPr>
    </w:p>
    <w:p>
      <w:pPr>
        <w:ind w:right="20"/>
        <w:spacing w:after="0" w:line="217" w:lineRule="exact"/>
        <w:rPr>
          <w:sz w:val="20"/>
          <w:szCs w:val="20"/>
          <w:color w:val="auto"/>
        </w:rPr>
      </w:pPr>
      <w:r>
        <w:rPr>
          <w:rFonts w:ascii="Arial" w:cs="Arial" w:eastAsia="Arial" w:hAnsi="Arial"/>
          <w:sz w:val="13"/>
          <w:szCs w:val="13"/>
          <w:color w:val="auto"/>
        </w:rPr>
        <w:t>Harsha V. Agadi, Chief Executive Officer, stated, "Q1 2026 marked the start of a rapid and sustainable transformation at Conduent. In the quarter we started to develop a comprehensive cost reduction and technology optimization strategy. In addition, we enhanced our go-to-market approach, all while driving an improvement in our operating model, achieving EBITDA margins of 6.8% for the quarter, and generated a significant year</w:t>
      </w:r>
      <w:r>
        <w:rPr>
          <w:rFonts w:ascii="MS PGothic" w:cs="MS PGothic" w:eastAsia="MS PGothic" w:hAnsi="MS PGothic"/>
          <w:sz w:val="13"/>
          <w:szCs w:val="13"/>
          <w:color w:val="auto"/>
        </w:rPr>
        <w:t>‑</w:t>
      </w:r>
      <w:r>
        <w:rPr>
          <w:rFonts w:ascii="Arial" w:cs="Arial" w:eastAsia="Arial" w:hAnsi="Arial"/>
          <w:sz w:val="13"/>
          <w:szCs w:val="13"/>
          <w:color w:val="auto"/>
        </w:rPr>
        <w:t>over</w:t>
      </w:r>
      <w:r>
        <w:rPr>
          <w:rFonts w:ascii="MS PGothic" w:cs="MS PGothic" w:eastAsia="MS PGothic" w:hAnsi="MS PGothic"/>
          <w:sz w:val="13"/>
          <w:szCs w:val="13"/>
          <w:color w:val="auto"/>
        </w:rPr>
        <w:t>‑</w:t>
      </w:r>
      <w:r>
        <w:rPr>
          <w:rFonts w:ascii="Arial" w:cs="Arial" w:eastAsia="Arial" w:hAnsi="Arial"/>
          <w:sz w:val="13"/>
          <w:szCs w:val="13"/>
          <w:color w:val="auto"/>
        </w:rPr>
        <w:t>year improvement in adjusted free cash flow. Looking ahead to 2027, we see a clear path to positive adjusted free cash flow and continued improvement in adjusted EBITDA.”</w:t>
      </w:r>
    </w:p>
    <w:p>
      <w:pPr>
        <w:spacing w:after="0" w:line="103" w:lineRule="exact"/>
        <w:rPr>
          <w:sz w:val="20"/>
          <w:szCs w:val="20"/>
          <w:color w:val="auto"/>
        </w:rPr>
      </w:pPr>
    </w:p>
    <w:p>
      <w:pPr>
        <w:ind w:right="140"/>
        <w:spacing w:after="0" w:line="215" w:lineRule="exact"/>
        <w:rPr>
          <w:sz w:val="20"/>
          <w:szCs w:val="20"/>
          <w:color w:val="auto"/>
        </w:rPr>
      </w:pPr>
      <w:r>
        <w:rPr>
          <w:rFonts w:ascii="Arial" w:cs="Arial" w:eastAsia="Arial" w:hAnsi="Arial"/>
          <w:sz w:val="13"/>
          <w:szCs w:val="13"/>
          <w:color w:val="auto"/>
        </w:rPr>
        <w:t>“We also took decisive steps to strengthen execution. In April, I streamlined leadership of our Commercial organization to sharpen accountability and accelerate decision</w:t>
      </w:r>
      <w:r>
        <w:rPr>
          <w:rFonts w:ascii="MS PGothic" w:cs="MS PGothic" w:eastAsia="MS PGothic" w:hAnsi="MS PGothic"/>
          <w:sz w:val="13"/>
          <w:szCs w:val="13"/>
          <w:color w:val="auto"/>
        </w:rPr>
        <w:t>‑</w:t>
      </w:r>
      <w:r>
        <w:rPr>
          <w:rFonts w:ascii="Arial" w:cs="Arial" w:eastAsia="Arial" w:hAnsi="Arial"/>
          <w:sz w:val="13"/>
          <w:szCs w:val="13"/>
          <w:color w:val="auto"/>
        </w:rPr>
        <w:t>making, aligning client relationships and sales execution under a simplified reporting structure that reports directly to me.”</w:t>
      </w:r>
    </w:p>
    <w:p>
      <w:pPr>
        <w:spacing w:after="0" w:line="133" w:lineRule="exact"/>
        <w:rPr>
          <w:sz w:val="20"/>
          <w:szCs w:val="20"/>
          <w:color w:val="auto"/>
        </w:rPr>
      </w:pPr>
    </w:p>
    <w:p>
      <w:pPr>
        <w:ind w:right="280"/>
        <w:spacing w:after="0" w:line="399" w:lineRule="auto"/>
        <w:rPr>
          <w:sz w:val="20"/>
          <w:szCs w:val="20"/>
          <w:color w:val="auto"/>
        </w:rPr>
      </w:pPr>
      <w:r>
        <w:rPr>
          <w:rFonts w:ascii="Arial" w:cs="Arial" w:eastAsia="Arial" w:hAnsi="Arial"/>
          <w:sz w:val="13"/>
          <w:szCs w:val="13"/>
          <w:color w:val="auto"/>
        </w:rPr>
        <w:t>“Portfolio optimization remains a critical pillar of our turnaround. I am extremely confident we will be able to reduce complexity, improve operating performance and continue to strengthen our balance sheet as we use proceeds to reduce debt. ”</w:t>
      </w:r>
    </w:p>
    <w:p>
      <w:pPr>
        <w:spacing w:after="0" w:line="34" w:lineRule="exact"/>
        <w:rPr>
          <w:sz w:val="20"/>
          <w:szCs w:val="20"/>
          <w:color w:val="auto"/>
        </w:rPr>
      </w:pPr>
    </w:p>
    <w:p>
      <w:pPr>
        <w:spacing w:after="0" w:line="399" w:lineRule="auto"/>
        <w:rPr>
          <w:sz w:val="20"/>
          <w:szCs w:val="20"/>
          <w:color w:val="auto"/>
        </w:rPr>
      </w:pPr>
      <w:r>
        <w:rPr>
          <w:rFonts w:ascii="Arial" w:cs="Arial" w:eastAsia="Arial" w:hAnsi="Arial"/>
          <w:sz w:val="13"/>
          <w:szCs w:val="13"/>
          <w:color w:val="auto"/>
        </w:rPr>
        <w:t>Agadi continued, “Our priorities are clear: accelerating execution, enforcing financial discipline, reducing our cost structure, optimizing the portfolio, converting pipeline into growth, and simplifying the organization. In Q1, we made meaningful, sustainable progress across each of these priorities, and we are building momentum as we move forward."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28" w:right="299" w:bottom="1440" w:gutter="0" w:footer="0" w:header="0"/>
        </w:sectPr>
      </w:pPr>
    </w:p>
    <w:bookmarkStart w:id="5" w:name="page6"/>
    <w:bookmarkEnd w:id="5"/>
    <w:p>
      <w:pPr>
        <w:ind w:left="10580"/>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Key Financial Q1 2026 Results</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7500" w:type="dxa"/>
            <w:vAlign w:val="bottom"/>
            <w:tcBorders>
              <w:top w:val="single" w:sz="8" w:color="auto"/>
              <w:left w:val="single" w:sz="8" w:color="auto"/>
              <w:right w:val="single" w:sz="8" w:color="B2B2B2"/>
            </w:tcBorders>
            <w:vMerge w:val="restart"/>
            <w:shd w:val="clear" w:color="auto" w:fill="002855"/>
          </w:tcPr>
          <w:p>
            <w:pPr>
              <w:ind w:left="2380"/>
              <w:spacing w:after="0"/>
              <w:rPr>
                <w:sz w:val="20"/>
                <w:szCs w:val="20"/>
                <w:color w:val="auto"/>
              </w:rPr>
            </w:pPr>
            <w:r>
              <w:rPr>
                <w:rFonts w:ascii="Arial" w:cs="Arial" w:eastAsia="Arial" w:hAnsi="Arial"/>
                <w:sz w:val="12"/>
                <w:szCs w:val="12"/>
                <w:b w:val="1"/>
                <w:bCs w:val="1"/>
                <w:color w:val="FFFFFF"/>
              </w:rPr>
              <w:t>($ in millions, except margin and per share data)</w:t>
            </w:r>
          </w:p>
        </w:tc>
        <w:tc>
          <w:tcPr>
            <w:tcW w:w="1380" w:type="dxa"/>
            <w:vAlign w:val="bottom"/>
            <w:tcBorders>
              <w:top w:val="single" w:sz="8" w:color="auto"/>
              <w:right w:val="single" w:sz="8" w:color="B2B2B2"/>
            </w:tcBorders>
            <w:vMerge w:val="restart"/>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Q1 2026</w:t>
            </w:r>
          </w:p>
        </w:tc>
        <w:tc>
          <w:tcPr>
            <w:tcW w:w="1320" w:type="dxa"/>
            <w:vAlign w:val="bottom"/>
            <w:tcBorders>
              <w:top w:val="single" w:sz="8" w:color="auto"/>
            </w:tcBorders>
            <w:vMerge w:val="restart"/>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Q1 2025</w:t>
            </w:r>
          </w:p>
        </w:tc>
        <w:tc>
          <w:tcPr>
            <w:tcW w:w="1120" w:type="dxa"/>
            <w:vAlign w:val="bottom"/>
            <w:tcBorders>
              <w:top w:val="single" w:sz="8" w:color="auto"/>
              <w:right w:val="single" w:sz="8" w:color="auto"/>
            </w:tcBorders>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Current Quarter</w:t>
            </w:r>
          </w:p>
        </w:tc>
        <w:tc>
          <w:tcPr>
            <w:tcW w:w="0" w:type="dxa"/>
            <w:vAlign w:val="bottom"/>
          </w:tcPr>
          <w:p>
            <w:pPr>
              <w:spacing w:after="0"/>
              <w:rPr>
                <w:sz w:val="1"/>
                <w:szCs w:val="1"/>
                <w:color w:val="auto"/>
              </w:rPr>
            </w:pPr>
          </w:p>
        </w:tc>
      </w:tr>
      <w:tr>
        <w:trPr>
          <w:trHeight w:val="93"/>
        </w:trPr>
        <w:tc>
          <w:tcPr>
            <w:tcW w:w="7500" w:type="dxa"/>
            <w:vAlign w:val="bottom"/>
            <w:tcBorders>
              <w:left w:val="single" w:sz="8" w:color="auto"/>
              <w:right w:val="single" w:sz="8" w:color="B2B2B2"/>
            </w:tcBorders>
            <w:vMerge w:val="continue"/>
            <w:shd w:val="clear" w:color="auto" w:fill="002855"/>
          </w:tcPr>
          <w:p>
            <w:pPr>
              <w:spacing w:after="0"/>
              <w:rPr>
                <w:sz w:val="8"/>
                <w:szCs w:val="8"/>
                <w:color w:val="auto"/>
              </w:rPr>
            </w:pPr>
          </w:p>
        </w:tc>
        <w:tc>
          <w:tcPr>
            <w:tcW w:w="1380" w:type="dxa"/>
            <w:vAlign w:val="bottom"/>
            <w:tcBorders>
              <w:right w:val="single" w:sz="8" w:color="B2B2B2"/>
            </w:tcBorders>
            <w:vMerge w:val="continue"/>
            <w:shd w:val="clear" w:color="auto" w:fill="002855"/>
          </w:tcPr>
          <w:p>
            <w:pPr>
              <w:spacing w:after="0"/>
              <w:rPr>
                <w:sz w:val="8"/>
                <w:szCs w:val="8"/>
                <w:color w:val="auto"/>
              </w:rPr>
            </w:pPr>
          </w:p>
        </w:tc>
        <w:tc>
          <w:tcPr>
            <w:tcW w:w="1320" w:type="dxa"/>
            <w:vAlign w:val="bottom"/>
            <w:vMerge w:val="continue"/>
            <w:shd w:val="clear" w:color="auto" w:fill="002855"/>
          </w:tcPr>
          <w:p>
            <w:pPr>
              <w:spacing w:after="0"/>
              <w:rPr>
                <w:sz w:val="8"/>
                <w:szCs w:val="8"/>
                <w:color w:val="auto"/>
              </w:rPr>
            </w:pPr>
          </w:p>
        </w:tc>
        <w:tc>
          <w:tcPr>
            <w:tcW w:w="1120" w:type="dxa"/>
            <w:vAlign w:val="bottom"/>
            <w:tcBorders>
              <w:right w:val="single" w:sz="8" w:color="auto"/>
            </w:tcBorders>
            <w:vMerge w:val="restart"/>
            <w:shd w:val="clear" w:color="auto" w:fill="002855"/>
          </w:tcPr>
          <w:p>
            <w:pPr>
              <w:jc w:val="center"/>
              <w:spacing w:after="0"/>
              <w:rPr>
                <w:sz w:val="20"/>
                <w:szCs w:val="20"/>
                <w:color w:val="auto"/>
              </w:rPr>
            </w:pPr>
            <w:r>
              <w:rPr>
                <w:rFonts w:ascii="Arial" w:cs="Arial" w:eastAsia="Arial" w:hAnsi="Arial"/>
                <w:sz w:val="12"/>
                <w:szCs w:val="12"/>
                <w:b w:val="1"/>
                <w:bCs w:val="1"/>
                <w:color w:val="FFFFFF"/>
                <w:w w:val="99"/>
              </w:rPr>
              <w:t>Y/Y B/(W)</w:t>
            </w:r>
          </w:p>
        </w:tc>
        <w:tc>
          <w:tcPr>
            <w:tcW w:w="0" w:type="dxa"/>
            <w:vAlign w:val="bottom"/>
          </w:tcPr>
          <w:p>
            <w:pPr>
              <w:spacing w:after="0"/>
              <w:rPr>
                <w:sz w:val="1"/>
                <w:szCs w:val="1"/>
                <w:color w:val="auto"/>
              </w:rPr>
            </w:pPr>
          </w:p>
        </w:tc>
      </w:tr>
      <w:tr>
        <w:trPr>
          <w:trHeight w:val="91"/>
        </w:trPr>
        <w:tc>
          <w:tcPr>
            <w:tcW w:w="7500" w:type="dxa"/>
            <w:vAlign w:val="bottom"/>
            <w:tcBorders>
              <w:left w:val="single" w:sz="8" w:color="auto"/>
              <w:right w:val="single" w:sz="8" w:color="B2B2B2"/>
            </w:tcBorders>
            <w:shd w:val="clear" w:color="auto" w:fill="002855"/>
          </w:tcPr>
          <w:p>
            <w:pPr>
              <w:spacing w:after="0"/>
              <w:rPr>
                <w:sz w:val="7"/>
                <w:szCs w:val="7"/>
                <w:color w:val="auto"/>
              </w:rPr>
            </w:pPr>
          </w:p>
        </w:tc>
        <w:tc>
          <w:tcPr>
            <w:tcW w:w="1380" w:type="dxa"/>
            <w:vAlign w:val="bottom"/>
            <w:tcBorders>
              <w:right w:val="single" w:sz="8" w:color="B2B2B2"/>
            </w:tcBorders>
            <w:shd w:val="clear" w:color="auto" w:fill="002855"/>
          </w:tcPr>
          <w:p>
            <w:pPr>
              <w:spacing w:after="0"/>
              <w:rPr>
                <w:sz w:val="7"/>
                <w:szCs w:val="7"/>
                <w:color w:val="auto"/>
              </w:rPr>
            </w:pPr>
          </w:p>
        </w:tc>
        <w:tc>
          <w:tcPr>
            <w:tcW w:w="1320" w:type="dxa"/>
            <w:vAlign w:val="bottom"/>
            <w:shd w:val="clear" w:color="auto" w:fill="002855"/>
          </w:tcPr>
          <w:p>
            <w:pPr>
              <w:spacing w:after="0"/>
              <w:rPr>
                <w:sz w:val="7"/>
                <w:szCs w:val="7"/>
                <w:color w:val="auto"/>
              </w:rPr>
            </w:pPr>
          </w:p>
        </w:tc>
        <w:tc>
          <w:tcPr>
            <w:tcW w:w="1120" w:type="dxa"/>
            <w:vAlign w:val="bottom"/>
            <w:tcBorders>
              <w:right w:val="single" w:sz="8" w:color="auto"/>
            </w:tcBorders>
            <w:vMerge w:val="continue"/>
            <w:shd w:val="clear" w:color="auto" w:fill="002855"/>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Revenue</w:t>
            </w:r>
          </w:p>
        </w:tc>
        <w:tc>
          <w:tcPr>
            <w:tcW w:w="1380" w:type="dxa"/>
            <w:vAlign w:val="bottom"/>
          </w:tcPr>
          <w:p>
            <w:pPr>
              <w:jc w:val="center"/>
              <w:spacing w:after="0"/>
              <w:rPr>
                <w:sz w:val="20"/>
                <w:szCs w:val="20"/>
                <w:color w:val="auto"/>
              </w:rPr>
            </w:pPr>
            <w:r>
              <w:rPr>
                <w:rFonts w:ascii="Arial" w:cs="Arial" w:eastAsia="Arial" w:hAnsi="Arial"/>
                <w:sz w:val="12"/>
                <w:szCs w:val="12"/>
                <w:color w:val="auto"/>
                <w:w w:val="97"/>
              </w:rPr>
              <w:t>$723</w:t>
            </w:r>
          </w:p>
        </w:tc>
        <w:tc>
          <w:tcPr>
            <w:tcW w:w="1320" w:type="dxa"/>
            <w:vAlign w:val="bottom"/>
            <w:vMerge w:val="restart"/>
          </w:tcPr>
          <w:p>
            <w:pPr>
              <w:jc w:val="center"/>
              <w:spacing w:after="0"/>
              <w:rPr>
                <w:sz w:val="20"/>
                <w:szCs w:val="20"/>
                <w:color w:val="auto"/>
              </w:rPr>
            </w:pPr>
            <w:r>
              <w:rPr>
                <w:rFonts w:ascii="Arial" w:cs="Arial" w:eastAsia="Arial" w:hAnsi="Arial"/>
                <w:sz w:val="12"/>
                <w:szCs w:val="12"/>
                <w:color w:val="auto"/>
                <w:w w:val="97"/>
              </w:rPr>
              <w:t>$751</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w w:val="96"/>
              </w:rPr>
              <w:t>(3.7)%</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vMerge w:val="continue"/>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GAAP Net Income (Loss)</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$(33)</w:t>
            </w:r>
          </w:p>
        </w:tc>
        <w:tc>
          <w:tcPr>
            <w:tcW w:w="1320" w:type="dxa"/>
            <w:vAlign w:val="bottom"/>
          </w:tcPr>
          <w:p>
            <w:pPr>
              <w:jc w:val="center"/>
              <w:spacing w:after="0"/>
              <w:rPr>
                <w:sz w:val="20"/>
                <w:szCs w:val="20"/>
                <w:color w:val="auto"/>
              </w:rPr>
            </w:pPr>
            <w:r>
              <w:rPr>
                <w:rFonts w:ascii="Arial" w:cs="Arial" w:eastAsia="Arial" w:hAnsi="Arial"/>
                <w:sz w:val="12"/>
                <w:szCs w:val="12"/>
                <w:color w:val="auto"/>
                <w:w w:val="99"/>
              </w:rPr>
              <w:t>$(51)</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w w:val="99"/>
              </w:rPr>
              <w:t>35.3%</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7500" w:type="dxa"/>
            <w:vAlign w:val="bottom"/>
            <w:tcBorders>
              <w:left w:val="single" w:sz="8" w:color="auto"/>
              <w:bottom w:val="single" w:sz="8" w:color="B6B6B6"/>
            </w:tcBorders>
          </w:tcPr>
          <w:p>
            <w:pPr>
              <w:ind w:left="40"/>
              <w:spacing w:after="0"/>
              <w:rPr>
                <w:sz w:val="20"/>
                <w:szCs w:val="20"/>
                <w:color w:val="auto"/>
              </w:rPr>
            </w:pPr>
            <w:r>
              <w:rPr>
                <w:rFonts w:ascii="Arial" w:cs="Arial" w:eastAsia="Arial" w:hAnsi="Arial"/>
                <w:sz w:val="12"/>
                <w:szCs w:val="12"/>
                <w:color w:val="auto"/>
              </w:rPr>
              <w:t>Adjusted EBITDA</w:t>
            </w:r>
            <w:r>
              <w:rPr>
                <w:rFonts w:ascii="Arial" w:cs="Arial" w:eastAsia="Arial" w:hAnsi="Arial"/>
                <w:sz w:val="15"/>
                <w:szCs w:val="15"/>
                <w:color w:val="auto"/>
                <w:vertAlign w:val="superscript"/>
              </w:rPr>
              <w:t>(1)</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$49</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$37</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32.4%</w:t>
            </w:r>
          </w:p>
        </w:tc>
        <w:tc>
          <w:tcPr>
            <w:tcW w:w="0" w:type="dxa"/>
            <w:vAlign w:val="bottom"/>
          </w:tcPr>
          <w:p>
            <w:pPr>
              <w:spacing w:after="0"/>
              <w:rPr>
                <w:sz w:val="1"/>
                <w:szCs w:val="1"/>
                <w:color w:val="auto"/>
              </w:rPr>
            </w:pPr>
          </w:p>
        </w:tc>
      </w:tr>
      <w:tr>
        <w:trPr>
          <w:trHeight w:val="142"/>
        </w:trPr>
        <w:tc>
          <w:tcPr>
            <w:tcW w:w="7500" w:type="dxa"/>
            <w:vAlign w:val="bottom"/>
            <w:tcBorders>
              <w:left w:val="single" w:sz="8" w:color="auto"/>
              <w:bottom w:val="single" w:sz="8" w:color="B6B6B6"/>
            </w:tcBorders>
          </w:tcPr>
          <w:p>
            <w:pPr>
              <w:ind w:left="40"/>
              <w:spacing w:after="0" w:line="142" w:lineRule="exact"/>
              <w:rPr>
                <w:sz w:val="20"/>
                <w:szCs w:val="20"/>
                <w:color w:val="auto"/>
              </w:rPr>
            </w:pPr>
            <w:r>
              <w:rPr>
                <w:rFonts w:ascii="Arial" w:cs="Arial" w:eastAsia="Arial" w:hAnsi="Arial"/>
                <w:sz w:val="12"/>
                <w:szCs w:val="12"/>
                <w:color w:val="auto"/>
              </w:rPr>
              <w:t>Adjusted EBITDA Margin</w:t>
            </w:r>
            <w:r>
              <w:rPr>
                <w:rFonts w:ascii="Arial" w:cs="Arial" w:eastAsia="Arial" w:hAnsi="Arial"/>
                <w:sz w:val="15"/>
                <w:szCs w:val="15"/>
                <w:color w:val="auto"/>
                <w:vertAlign w:val="superscript"/>
              </w:rPr>
              <w:t>(1)</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rPr>
              <w:t>6.8%</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4"/>
              </w:rPr>
              <w:t>4.9%</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8"/>
              </w:rPr>
              <w:t>190 bps</w:t>
            </w:r>
          </w:p>
        </w:tc>
        <w:tc>
          <w:tcPr>
            <w:tcW w:w="0" w:type="dxa"/>
            <w:vAlign w:val="bottom"/>
          </w:tcPr>
          <w:p>
            <w:pPr>
              <w:spacing w:after="0"/>
              <w:rPr>
                <w:sz w:val="1"/>
                <w:szCs w:val="1"/>
                <w:color w:val="auto"/>
              </w:rPr>
            </w:pPr>
          </w:p>
        </w:tc>
      </w:tr>
      <w:tr>
        <w:trPr>
          <w:trHeight w:val="189"/>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GAAP Income (Loss) Before Income Tax</w:t>
            </w:r>
          </w:p>
        </w:tc>
        <w:tc>
          <w:tcPr>
            <w:tcW w:w="1380" w:type="dxa"/>
            <w:vAlign w:val="bottom"/>
          </w:tcPr>
          <w:p>
            <w:pPr>
              <w:jc w:val="center"/>
              <w:spacing w:after="0"/>
              <w:rPr>
                <w:sz w:val="20"/>
                <w:szCs w:val="20"/>
                <w:color w:val="auto"/>
              </w:rPr>
            </w:pPr>
            <w:r>
              <w:rPr>
                <w:rFonts w:ascii="Arial" w:cs="Arial" w:eastAsia="Arial" w:hAnsi="Arial"/>
                <w:sz w:val="12"/>
                <w:szCs w:val="12"/>
                <w:color w:val="auto"/>
                <w:w w:val="99"/>
              </w:rPr>
              <w:t>$(27)</w:t>
            </w:r>
          </w:p>
        </w:tc>
        <w:tc>
          <w:tcPr>
            <w:tcW w:w="1320" w:type="dxa"/>
            <w:vAlign w:val="bottom"/>
          </w:tcPr>
          <w:p>
            <w:pPr>
              <w:jc w:val="center"/>
              <w:spacing w:after="0"/>
              <w:rPr>
                <w:sz w:val="20"/>
                <w:szCs w:val="20"/>
                <w:color w:val="auto"/>
              </w:rPr>
            </w:pPr>
            <w:r>
              <w:rPr>
                <w:rFonts w:ascii="Arial" w:cs="Arial" w:eastAsia="Arial" w:hAnsi="Arial"/>
                <w:sz w:val="12"/>
                <w:szCs w:val="12"/>
                <w:color w:val="auto"/>
                <w:w w:val="99"/>
              </w:rPr>
              <w:t>$(56)</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w w:val="99"/>
              </w:rPr>
              <w:t>51.8%</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7500" w:type="dxa"/>
            <w:vAlign w:val="bottom"/>
            <w:tcBorders>
              <w:left w:val="single" w:sz="8" w:color="auto"/>
              <w:bottom w:val="single" w:sz="8" w:color="B6B6B6"/>
            </w:tcBorders>
          </w:tcPr>
          <w:p>
            <w:pPr>
              <w:ind w:left="40"/>
              <w:spacing w:after="0"/>
              <w:rPr>
                <w:sz w:val="20"/>
                <w:szCs w:val="20"/>
                <w:color w:val="auto"/>
              </w:rPr>
            </w:pPr>
            <w:r>
              <w:rPr>
                <w:rFonts w:ascii="Arial" w:cs="Arial" w:eastAsia="Arial" w:hAnsi="Arial"/>
                <w:sz w:val="12"/>
                <w:szCs w:val="12"/>
                <w:color w:val="auto"/>
              </w:rPr>
              <w:t>GAAP Diluted EPS</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$(0.23)</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$(0.33)</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$0.10</w:t>
            </w:r>
          </w:p>
        </w:tc>
        <w:tc>
          <w:tcPr>
            <w:tcW w:w="0" w:type="dxa"/>
            <w:vAlign w:val="bottom"/>
          </w:tcPr>
          <w:p>
            <w:pPr>
              <w:spacing w:after="0"/>
              <w:rPr>
                <w:sz w:val="1"/>
                <w:szCs w:val="1"/>
                <w:color w:val="auto"/>
              </w:rPr>
            </w:pPr>
          </w:p>
        </w:tc>
      </w:tr>
      <w:tr>
        <w:trPr>
          <w:trHeight w:val="142"/>
        </w:trPr>
        <w:tc>
          <w:tcPr>
            <w:tcW w:w="7500" w:type="dxa"/>
            <w:vAlign w:val="bottom"/>
            <w:tcBorders>
              <w:left w:val="single" w:sz="8" w:color="auto"/>
              <w:bottom w:val="single" w:sz="8" w:color="B6B6B6"/>
            </w:tcBorders>
          </w:tcPr>
          <w:p>
            <w:pPr>
              <w:ind w:left="40"/>
              <w:spacing w:after="0" w:line="142" w:lineRule="exact"/>
              <w:rPr>
                <w:sz w:val="20"/>
                <w:szCs w:val="20"/>
                <w:color w:val="auto"/>
              </w:rPr>
            </w:pPr>
            <w:r>
              <w:rPr>
                <w:rFonts w:ascii="Arial" w:cs="Arial" w:eastAsia="Arial" w:hAnsi="Arial"/>
                <w:sz w:val="12"/>
                <w:szCs w:val="12"/>
                <w:color w:val="auto"/>
              </w:rPr>
              <w:t>Adjusted Diluted EPS</w:t>
            </w:r>
            <w:r>
              <w:rPr>
                <w:rFonts w:ascii="Arial" w:cs="Arial" w:eastAsia="Arial" w:hAnsi="Arial"/>
                <w:sz w:val="15"/>
                <w:szCs w:val="15"/>
                <w:color w:val="auto"/>
                <w:vertAlign w:val="superscript"/>
              </w:rPr>
              <w:t>(1)</w:t>
            </w:r>
          </w:p>
        </w:tc>
        <w:tc>
          <w:tcPr>
            <w:tcW w:w="138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$(0.07)</w:t>
            </w:r>
          </w:p>
        </w:tc>
        <w:tc>
          <w:tcPr>
            <w:tcW w:w="1320" w:type="dxa"/>
            <w:vAlign w:val="bottom"/>
            <w:tcBorders>
              <w:bottom w:val="single" w:sz="8" w:color="B6B6B6"/>
            </w:tcBorders>
          </w:tcPr>
          <w:p>
            <w:pPr>
              <w:jc w:val="center"/>
              <w:spacing w:after="0"/>
              <w:rPr>
                <w:sz w:val="20"/>
                <w:szCs w:val="20"/>
                <w:color w:val="auto"/>
              </w:rPr>
            </w:pPr>
            <w:r>
              <w:rPr>
                <w:rFonts w:ascii="Arial" w:cs="Arial" w:eastAsia="Arial" w:hAnsi="Arial"/>
                <w:sz w:val="12"/>
                <w:szCs w:val="12"/>
                <w:color w:val="auto"/>
                <w:w w:val="99"/>
              </w:rPr>
              <w:t>$(0.13)</w:t>
            </w:r>
          </w:p>
        </w:tc>
        <w:tc>
          <w:tcPr>
            <w:tcW w:w="1120" w:type="dxa"/>
            <w:vAlign w:val="bottom"/>
            <w:tcBorders>
              <w:bottom w:val="single" w:sz="8" w:color="B6B6B6"/>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$0.06</w:t>
            </w:r>
          </w:p>
        </w:tc>
        <w:tc>
          <w:tcPr>
            <w:tcW w:w="0" w:type="dxa"/>
            <w:vAlign w:val="bottom"/>
          </w:tcPr>
          <w:p>
            <w:pPr>
              <w:spacing w:after="0"/>
              <w:rPr>
                <w:sz w:val="1"/>
                <w:szCs w:val="1"/>
                <w:color w:val="auto"/>
              </w:rPr>
            </w:pPr>
          </w:p>
        </w:tc>
      </w:tr>
      <w:tr>
        <w:trPr>
          <w:trHeight w:val="189"/>
        </w:trPr>
        <w:tc>
          <w:tcPr>
            <w:tcW w:w="750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Cash Flow from Operating Activities</w:t>
            </w:r>
          </w:p>
        </w:tc>
        <w:tc>
          <w:tcPr>
            <w:tcW w:w="1380" w:type="dxa"/>
            <w:vAlign w:val="bottom"/>
          </w:tcPr>
          <w:p>
            <w:pPr>
              <w:jc w:val="center"/>
              <w:spacing w:after="0"/>
              <w:rPr>
                <w:sz w:val="20"/>
                <w:szCs w:val="20"/>
                <w:color w:val="auto"/>
              </w:rPr>
            </w:pPr>
            <w:r>
              <w:rPr>
                <w:rFonts w:ascii="Arial" w:cs="Arial" w:eastAsia="Arial" w:hAnsi="Arial"/>
                <w:sz w:val="12"/>
                <w:szCs w:val="12"/>
                <w:color w:val="auto"/>
              </w:rPr>
              <w:t>$(8)</w:t>
            </w:r>
          </w:p>
        </w:tc>
        <w:tc>
          <w:tcPr>
            <w:tcW w:w="1320" w:type="dxa"/>
            <w:vAlign w:val="bottom"/>
          </w:tcPr>
          <w:p>
            <w:pPr>
              <w:jc w:val="center"/>
              <w:spacing w:after="0"/>
              <w:rPr>
                <w:sz w:val="20"/>
                <w:szCs w:val="20"/>
                <w:color w:val="auto"/>
              </w:rPr>
            </w:pPr>
            <w:r>
              <w:rPr>
                <w:rFonts w:ascii="Arial" w:cs="Arial" w:eastAsia="Arial" w:hAnsi="Arial"/>
                <w:sz w:val="12"/>
                <w:szCs w:val="12"/>
                <w:color w:val="auto"/>
                <w:w w:val="99"/>
              </w:rPr>
              <w:t>$(58)</w:t>
            </w:r>
          </w:p>
        </w:tc>
        <w:tc>
          <w:tcPr>
            <w:tcW w:w="112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2"/>
                <w:szCs w:val="12"/>
                <w:color w:val="auto"/>
                <w:w w:val="99"/>
              </w:rPr>
              <w:t>86.2%</w:t>
            </w:r>
          </w:p>
        </w:tc>
        <w:tc>
          <w:tcPr>
            <w:tcW w:w="0" w:type="dxa"/>
            <w:vAlign w:val="bottom"/>
          </w:tcPr>
          <w:p>
            <w:pPr>
              <w:spacing w:after="0"/>
              <w:rPr>
                <w:sz w:val="1"/>
                <w:szCs w:val="1"/>
                <w:color w:val="auto"/>
              </w:rPr>
            </w:pPr>
          </w:p>
        </w:tc>
      </w:tr>
      <w:tr>
        <w:trPr>
          <w:trHeight w:val="43"/>
        </w:trPr>
        <w:tc>
          <w:tcPr>
            <w:tcW w:w="7500" w:type="dxa"/>
            <w:vAlign w:val="bottom"/>
            <w:tcBorders>
              <w:left w:val="single" w:sz="8" w:color="auto"/>
              <w:bottom w:val="single" w:sz="8" w:color="B6B6B6"/>
            </w:tcBorders>
            <w:vMerge w:val="continue"/>
          </w:tcPr>
          <w:p>
            <w:pPr>
              <w:spacing w:after="0"/>
              <w:rPr>
                <w:sz w:val="3"/>
                <w:szCs w:val="3"/>
                <w:color w:val="auto"/>
              </w:rPr>
            </w:pPr>
          </w:p>
        </w:tc>
        <w:tc>
          <w:tcPr>
            <w:tcW w:w="1380" w:type="dxa"/>
            <w:vAlign w:val="bottom"/>
            <w:tcBorders>
              <w:bottom w:val="single" w:sz="8" w:color="B6B6B6"/>
            </w:tcBorders>
          </w:tcPr>
          <w:p>
            <w:pPr>
              <w:spacing w:after="0"/>
              <w:rPr>
                <w:sz w:val="3"/>
                <w:szCs w:val="3"/>
                <w:color w:val="auto"/>
              </w:rPr>
            </w:pPr>
          </w:p>
        </w:tc>
        <w:tc>
          <w:tcPr>
            <w:tcW w:w="1320" w:type="dxa"/>
            <w:vAlign w:val="bottom"/>
            <w:tcBorders>
              <w:bottom w:val="single" w:sz="8" w:color="B6B6B6"/>
            </w:tcBorders>
          </w:tcPr>
          <w:p>
            <w:pPr>
              <w:spacing w:after="0"/>
              <w:rPr>
                <w:sz w:val="3"/>
                <w:szCs w:val="3"/>
                <w:color w:val="auto"/>
              </w:rPr>
            </w:pPr>
          </w:p>
        </w:tc>
        <w:tc>
          <w:tcPr>
            <w:tcW w:w="1120" w:type="dxa"/>
            <w:vAlign w:val="bottom"/>
            <w:tcBorders>
              <w:bottom w:val="single" w:sz="8" w:color="B6B6B6"/>
              <w:right w:val="single" w:sz="8" w:color="auto"/>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7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Adjusted Free Cash Flow</w:t>
            </w:r>
            <w:r>
              <w:rPr>
                <w:rFonts w:ascii="Arial" w:cs="Arial" w:eastAsia="Arial" w:hAnsi="Arial"/>
                <w:sz w:val="15"/>
                <w:szCs w:val="15"/>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$(15)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$(74)</w:t>
            </w:r>
          </w:p>
        </w:tc>
        <w:tc>
          <w:tcPr>
            <w:tcW w:w="1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79.7%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Performance Commentary</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At the end of the first quarter of 2026, Conduent maintained a cash balance of $228 million along with $190 million of unused capacity under its credit facility.</w:t>
      </w:r>
    </w:p>
    <w:p>
      <w:pPr>
        <w:spacing w:after="0" w:line="157" w:lineRule="exact"/>
        <w:rPr>
          <w:sz w:val="20"/>
          <w:szCs w:val="20"/>
          <w:color w:val="auto"/>
        </w:rPr>
      </w:pPr>
    </w:p>
    <w:p>
      <w:pPr>
        <w:jc w:val="both"/>
        <w:ind w:left="20" w:right="120"/>
        <w:spacing w:after="0" w:line="399" w:lineRule="auto"/>
        <w:rPr>
          <w:sz w:val="20"/>
          <w:szCs w:val="20"/>
          <w:color w:val="auto"/>
        </w:rPr>
      </w:pPr>
      <w:r>
        <w:rPr>
          <w:rFonts w:ascii="Arial" w:cs="Arial" w:eastAsia="Arial" w:hAnsi="Arial"/>
          <w:sz w:val="13"/>
          <w:szCs w:val="13"/>
          <w:color w:val="auto"/>
        </w:rPr>
        <w:t>Q1 2026 pre-tax income (loss) was $(27) million versus $(56) million in the prior year period. This improvement was primarily caused by the absence of the discrete event-related costs from the prior year.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Q1 2026 Adjusted EBITDA of $49 million and Adjusted EBITDA margin of 6.8% increased, respectively, versus the prior year.</w:t>
      </w:r>
    </w:p>
    <w:p>
      <w:pPr>
        <w:spacing w:after="0" w:line="44" w:lineRule="exact"/>
        <w:rPr>
          <w:sz w:val="20"/>
          <w:szCs w:val="20"/>
          <w:color w:val="auto"/>
        </w:rPr>
      </w:pPr>
    </w:p>
    <w:p>
      <w:pPr>
        <w:ind w:left="20" w:right="260"/>
        <w:spacing w:after="0" w:line="219" w:lineRule="exact"/>
        <w:rPr>
          <w:sz w:val="20"/>
          <w:szCs w:val="20"/>
          <w:color w:val="auto"/>
        </w:rPr>
      </w:pPr>
      <w:r>
        <w:rPr>
          <w:rFonts w:ascii="Arial" w:cs="Arial" w:eastAsia="Arial" w:hAnsi="Arial"/>
          <w:sz w:val="13"/>
          <w:szCs w:val="13"/>
          <w:color w:val="auto"/>
        </w:rPr>
        <w:t>Revenue benefited from continued strength in Government and Transportation, with Government up approximately $10 million and Transportation up approximately $3 million year</w:t>
      </w:r>
      <w:r>
        <w:rPr>
          <w:rFonts w:ascii="MS PGothic" w:cs="MS PGothic" w:eastAsia="MS PGothic" w:hAnsi="MS PGothic"/>
          <w:sz w:val="13"/>
          <w:szCs w:val="13"/>
          <w:color w:val="auto"/>
        </w:rPr>
        <w:t>‑</w:t>
      </w:r>
      <w:r>
        <w:rPr>
          <w:rFonts w:ascii="Arial" w:cs="Arial" w:eastAsia="Arial" w:hAnsi="Arial"/>
          <w:sz w:val="13"/>
          <w:szCs w:val="13"/>
          <w:color w:val="auto"/>
        </w:rPr>
        <w:t>over</w:t>
      </w:r>
      <w:r>
        <w:rPr>
          <w:rFonts w:ascii="MS PGothic" w:cs="MS PGothic" w:eastAsia="MS PGothic" w:hAnsi="MS PGothic"/>
          <w:sz w:val="13"/>
          <w:szCs w:val="13"/>
          <w:color w:val="auto"/>
        </w:rPr>
        <w:t>‑</w:t>
      </w:r>
      <w:r>
        <w:rPr>
          <w:rFonts w:ascii="Arial" w:cs="Arial" w:eastAsia="Arial" w:hAnsi="Arial"/>
          <w:sz w:val="13"/>
          <w:szCs w:val="13"/>
          <w:color w:val="auto"/>
        </w:rPr>
        <w:t>year, reflecting solid demand and execution across both segments.</w:t>
      </w:r>
    </w:p>
    <w:p>
      <w:pPr>
        <w:spacing w:after="0" w:line="22" w:lineRule="exact"/>
        <w:rPr>
          <w:sz w:val="20"/>
          <w:szCs w:val="20"/>
          <w:color w:val="auto"/>
        </w:rPr>
      </w:pPr>
    </w:p>
    <w:p>
      <w:pPr>
        <w:ind w:left="20"/>
        <w:spacing w:after="0" w:line="150" w:lineRule="exact"/>
        <w:rPr>
          <w:sz w:val="20"/>
          <w:szCs w:val="20"/>
          <w:color w:val="auto"/>
        </w:rPr>
      </w:pPr>
      <w:r>
        <w:rPr>
          <w:rFonts w:ascii="Arial" w:cs="Arial" w:eastAsia="Arial" w:hAnsi="Arial"/>
          <w:sz w:val="13"/>
          <w:szCs w:val="13"/>
          <w:b w:val="1"/>
          <w:bCs w:val="1"/>
          <w:color w:val="auto"/>
        </w:rPr>
        <w:t>Cash flow from operating activities increased by $50 million year</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over</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year, reflecting a clear improvement from the prior year period.</w:t>
      </w:r>
    </w:p>
    <w:p>
      <w:pPr>
        <w:spacing w:after="0" w:line="116" w:lineRule="exact"/>
        <w:rPr>
          <w:sz w:val="20"/>
          <w:szCs w:val="20"/>
          <w:color w:val="auto"/>
        </w:rPr>
      </w:pPr>
    </w:p>
    <w:p>
      <w:pPr>
        <w:ind w:left="20" w:right="280"/>
        <w:spacing w:after="0" w:line="399" w:lineRule="auto"/>
        <w:rPr>
          <w:sz w:val="20"/>
          <w:szCs w:val="20"/>
          <w:color w:val="auto"/>
        </w:rPr>
      </w:pPr>
      <w:r>
        <w:rPr>
          <w:rFonts w:ascii="Arial" w:cs="Arial" w:eastAsia="Arial" w:hAnsi="Arial"/>
          <w:sz w:val="13"/>
          <w:szCs w:val="13"/>
          <w:color w:val="auto"/>
        </w:rPr>
        <w:t>Sales momentum continued to strengthen, with New Business ACV of $114 million for the quarter and the qualified pipeline expanding to approximately $3.5 billion, up from $3.2 billion in the prior year period, reinforcing improved growth visibility.</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Key Achievements and Industry Accolades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Business Execution &amp; Contract Wins</w:t>
      </w:r>
    </w:p>
    <w:p>
      <w:pPr>
        <w:spacing w:after="0" w:line="139" w:lineRule="exact"/>
        <w:rPr>
          <w:sz w:val="20"/>
          <w:szCs w:val="20"/>
          <w:color w:val="auto"/>
        </w:rPr>
      </w:pPr>
    </w:p>
    <w:p>
      <w:pPr>
        <w:ind w:left="440" w:right="520" w:hanging="212"/>
        <w:spacing w:after="0" w:line="327" w:lineRule="auto"/>
        <w:tabs>
          <w:tab w:leader="none" w:pos="432" w:val="left"/>
        </w:tabs>
        <w:numPr>
          <w:ilvl w:val="0"/>
          <w:numId w:val="3"/>
        </w:numPr>
        <w:rPr>
          <w:rFonts w:ascii="Arial" w:cs="Arial" w:eastAsia="Arial" w:hAnsi="Arial"/>
          <w:sz w:val="13"/>
          <w:szCs w:val="13"/>
          <w:color w:val="242424"/>
        </w:rPr>
      </w:pPr>
      <w:r>
        <w:rPr>
          <w:rFonts w:ascii="Arial" w:cs="Arial" w:eastAsia="Arial" w:hAnsi="Arial"/>
          <w:sz w:val="13"/>
          <w:szCs w:val="13"/>
          <w:color w:val="242424"/>
        </w:rPr>
        <w:t>Medicaid Enterprise Systems and Fiscal Agent Services renewal for up to 14 years, expanding a multi-decade partnership to modernize claims processing, finance, and customer operations</w:t>
      </w:r>
    </w:p>
    <w:p>
      <w:pPr>
        <w:spacing w:after="0" w:line="33" w:lineRule="exact"/>
        <w:rPr>
          <w:rFonts w:ascii="Arial" w:cs="Arial" w:eastAsia="Arial" w:hAnsi="Arial"/>
          <w:sz w:val="13"/>
          <w:szCs w:val="13"/>
          <w:color w:val="242424"/>
        </w:rPr>
      </w:pPr>
    </w:p>
    <w:p>
      <w:pPr>
        <w:ind w:left="440" w:hanging="212"/>
        <w:spacing w:after="0"/>
        <w:tabs>
          <w:tab w:leader="none" w:pos="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5-year Centralized Collections Processing Unit renewal for a state child support program, extending a 25+ year relationship and digital payment capabilities</w:t>
      </w:r>
    </w:p>
    <w:p>
      <w:pPr>
        <w:spacing w:after="0" w:line="102" w:lineRule="exact"/>
        <w:rPr>
          <w:rFonts w:ascii="Arial" w:cs="Arial" w:eastAsia="Arial" w:hAnsi="Arial"/>
          <w:sz w:val="13"/>
          <w:szCs w:val="13"/>
          <w:color w:val="auto"/>
        </w:rPr>
      </w:pPr>
    </w:p>
    <w:p>
      <w:pPr>
        <w:ind w:left="440" w:hanging="212"/>
        <w:spacing w:after="0"/>
        <w:tabs>
          <w:tab w:leader="none" w:pos="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Expanded relationships with 20–25+ year healthcare clients, including new geographies and additional lines of business across customer experience, payment integrity, and analytics</w:t>
      </w:r>
    </w:p>
    <w:p>
      <w:pPr>
        <w:spacing w:after="0" w:line="392" w:lineRule="exact"/>
        <w:rPr>
          <w:sz w:val="20"/>
          <w:szCs w:val="20"/>
          <w:color w:val="auto"/>
        </w:rPr>
      </w:pPr>
    </w:p>
    <w:p>
      <w:pPr>
        <w:ind w:left="1124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20"/>
          </w:cols>
          <w:pgMar w:left="280" w:top="128"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Arial" w:cs="Arial" w:eastAsia="Arial" w:hAnsi="Arial"/>
          <w:sz w:val="13"/>
          <w:szCs w:val="13"/>
          <w:color w:val="auto"/>
        </w:rPr>
        <w:t>Industry Recognition &amp; Market Positioning</w:t>
      </w:r>
    </w:p>
    <w:p>
      <w:pPr>
        <w:spacing w:after="0" w:line="139" w:lineRule="exact"/>
        <w:rPr>
          <w:sz w:val="20"/>
          <w:szCs w:val="20"/>
          <w:color w:val="auto"/>
        </w:rPr>
      </w:pPr>
    </w:p>
    <w:p>
      <w:pPr>
        <w:ind w:left="428" w:hanging="212"/>
        <w:spacing w:after="0"/>
        <w:tabs>
          <w:tab w:leader="none" w:pos="428" w:val="left"/>
        </w:tabs>
        <w:numPr>
          <w:ilvl w:val="0"/>
          <w:numId w:val="4"/>
        </w:numPr>
        <w:rPr>
          <w:rFonts w:ascii="Arial" w:cs="Arial" w:eastAsia="Arial" w:hAnsi="Arial"/>
          <w:sz w:val="13"/>
          <w:szCs w:val="13"/>
          <w:color w:val="auto"/>
        </w:rPr>
      </w:pPr>
      <w:r>
        <w:rPr>
          <w:rFonts w:ascii="Arial" w:cs="Arial" w:eastAsia="Arial" w:hAnsi="Arial"/>
          <w:sz w:val="13"/>
          <w:szCs w:val="13"/>
          <w:color w:val="auto"/>
        </w:rPr>
        <w:t>Named a Leader in the 2026 Healthcare Payer Agility &amp; Innovation NEAT Evaluation by NelsonHall, reflecting ability to deliver near-term value while supporting payer transformation</w:t>
      </w:r>
    </w:p>
    <w:p>
      <w:pPr>
        <w:spacing w:after="0" w:line="102" w:lineRule="exact"/>
        <w:rPr>
          <w:rFonts w:ascii="Arial" w:cs="Arial" w:eastAsia="Arial" w:hAnsi="Arial"/>
          <w:sz w:val="13"/>
          <w:szCs w:val="13"/>
          <w:color w:val="auto"/>
        </w:rPr>
      </w:pPr>
    </w:p>
    <w:p>
      <w:pPr>
        <w:ind w:left="428" w:hanging="212"/>
        <w:spacing w:after="0"/>
        <w:tabs>
          <w:tab w:leader="none" w:pos="428" w:val="left"/>
        </w:tabs>
        <w:numPr>
          <w:ilvl w:val="0"/>
          <w:numId w:val="4"/>
        </w:numPr>
        <w:rPr>
          <w:rFonts w:ascii="Arial" w:cs="Arial" w:eastAsia="Arial" w:hAnsi="Arial"/>
          <w:sz w:val="13"/>
          <w:szCs w:val="13"/>
          <w:color w:val="auto"/>
        </w:rPr>
      </w:pPr>
      <w:r>
        <w:rPr>
          <w:rFonts w:ascii="Arial" w:cs="Arial" w:eastAsia="Arial" w:hAnsi="Arial"/>
          <w:sz w:val="13"/>
          <w:szCs w:val="13"/>
          <w:color w:val="auto"/>
        </w:rPr>
        <w:t>Named a Leader in the 2026 Healthcare Payer Intelligent Operations PEAK Matrix® Assessment by Everest Group, highlighting AI, automation, and platform-led capabilities</w:t>
      </w:r>
    </w:p>
    <w:p>
      <w:pPr>
        <w:spacing w:after="0" w:line="111" w:lineRule="exact"/>
        <w:rPr>
          <w:rFonts w:ascii="Arial" w:cs="Arial" w:eastAsia="Arial" w:hAnsi="Arial"/>
          <w:sz w:val="13"/>
          <w:szCs w:val="13"/>
          <w:color w:val="auto"/>
        </w:rPr>
      </w:pPr>
    </w:p>
    <w:p>
      <w:pPr>
        <w:ind w:left="428" w:right="460" w:hanging="212"/>
        <w:spacing w:after="0" w:line="327"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Named to the 2026 GovTech 100 list by Government Technology magazine and GovTech.com for the fifth consecutive year, recognizing leadership in improving digital government services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3"/>
          <w:szCs w:val="13"/>
          <w:color w:val="auto"/>
        </w:rPr>
        <w:t>Thought Leadership &amp; Ecosystem Partnerships</w:t>
      </w:r>
    </w:p>
    <w:p>
      <w:pPr>
        <w:spacing w:after="0" w:line="130" w:lineRule="exact"/>
        <w:rPr>
          <w:sz w:val="20"/>
          <w:szCs w:val="20"/>
          <w:color w:val="auto"/>
        </w:rPr>
      </w:pPr>
    </w:p>
    <w:p>
      <w:pPr>
        <w:ind w:left="428" w:right="40" w:hanging="212"/>
        <w:spacing w:after="0" w:line="341" w:lineRule="auto"/>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Co-authored "Humanizing Human Resources: The 2026 State of Experience in the New World of Work" with Mercer, showing that employees who feel valued and recognized drive higher satisfaction, engagement, and retention</w:t>
      </w:r>
    </w:p>
    <w:p>
      <w:pPr>
        <w:spacing w:after="0" w:line="16" w:lineRule="exact"/>
        <w:rPr>
          <w:rFonts w:ascii="Arial" w:cs="Arial" w:eastAsia="Arial" w:hAnsi="Arial"/>
          <w:sz w:val="13"/>
          <w:szCs w:val="13"/>
          <w:color w:val="auto"/>
        </w:rPr>
      </w:pPr>
    </w:p>
    <w:p>
      <w:pPr>
        <w:ind w:left="428" w:right="200" w:hanging="212"/>
        <w:spacing w:after="0" w:line="341" w:lineRule="auto"/>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Published findings from Conduent’s 2026 "Blueprint for Smarter Health" survey, highlighting employer challenges in balancing rising benefits costs with employee expectations, and the role of AI in addressing both concerns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3"/>
          <w:szCs w:val="13"/>
          <w:color w:val="auto"/>
        </w:rPr>
        <w:t>Operational Excellence &amp; Delivery</w:t>
      </w:r>
    </w:p>
    <w:p>
      <w:pPr>
        <w:spacing w:after="0" w:line="139" w:lineRule="exact"/>
        <w:rPr>
          <w:sz w:val="20"/>
          <w:szCs w:val="20"/>
          <w:color w:val="auto"/>
        </w:rPr>
      </w:pPr>
    </w:p>
    <w:p>
      <w:pPr>
        <w:ind w:left="428" w:right="460" w:hanging="212"/>
        <w:spacing w:after="0" w:line="327" w:lineRule="auto"/>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Customer Experience team in the Philippines received the Trailblazer Award from a leading telecommunications provider, recognizing proactive, data-driven customer engagement through social listening and outreach</w:t>
      </w:r>
    </w:p>
    <w:p>
      <w:pPr>
        <w:spacing w:after="0" w:line="268"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FY 2026 and 2027 Outlook</w:t>
      </w:r>
      <w:r>
        <w:rPr>
          <w:rFonts w:ascii="Arial" w:cs="Arial" w:eastAsia="Arial" w:hAnsi="Arial"/>
          <w:sz w:val="6"/>
          <w:szCs w:val="6"/>
          <w:color w:val="auto"/>
        </w:rPr>
        <w:t>(3)</w:t>
      </w:r>
    </w:p>
    <w:p>
      <w:pPr>
        <w:spacing w:after="0" w:line="30" w:lineRule="exact"/>
        <w:rPr>
          <w:sz w:val="20"/>
          <w:szCs w:val="20"/>
          <w:color w:val="auto"/>
        </w:rPr>
      </w:pPr>
    </w:p>
    <w:tbl>
      <w:tblPr>
        <w:tblLayout w:type="fixed"/>
        <w:tblInd w:w="18" w:type="dxa"/>
        <w:tblCellMar>
          <w:top w:w="0" w:type="dxa"/>
          <w:left w:w="0" w:type="dxa"/>
          <w:bottom w:w="0" w:type="dxa"/>
          <w:right w:w="0" w:type="dxa"/>
        </w:tblCellMar>
      </w:tblPr>
      <w:tr>
        <w:trPr>
          <w:trHeight w:val="112"/>
        </w:trPr>
        <w:tc>
          <w:tcPr>
            <w:tcW w:w="5000" w:type="dxa"/>
            <w:vAlign w:val="bottom"/>
            <w:tcBorders>
              <w:top w:val="single" w:sz="8" w:color="auto"/>
              <w:left w:val="single" w:sz="8" w:color="auto"/>
              <w:right w:val="single" w:sz="8" w:color="6D6D6D"/>
            </w:tcBorders>
            <w:shd w:val="clear" w:color="auto" w:fill="002855"/>
          </w:tcPr>
          <w:p>
            <w:pPr>
              <w:spacing w:after="0"/>
              <w:rPr>
                <w:sz w:val="9"/>
                <w:szCs w:val="9"/>
                <w:color w:val="auto"/>
              </w:rPr>
            </w:pPr>
          </w:p>
        </w:tc>
        <w:tc>
          <w:tcPr>
            <w:tcW w:w="2400" w:type="dxa"/>
            <w:vAlign w:val="bottom"/>
            <w:tcBorders>
              <w:top w:val="single" w:sz="8" w:color="auto"/>
              <w:right w:val="single" w:sz="8" w:color="B2B2B2"/>
            </w:tcBorders>
            <w:gridSpan w:val="2"/>
            <w:shd w:val="clear" w:color="auto" w:fill="002855"/>
          </w:tcPr>
          <w:p>
            <w:pPr>
              <w:jc w:val="center"/>
              <w:spacing w:after="0" w:line="113" w:lineRule="exact"/>
              <w:rPr>
                <w:sz w:val="20"/>
                <w:szCs w:val="20"/>
                <w:color w:val="auto"/>
              </w:rPr>
            </w:pPr>
            <w:r>
              <w:rPr>
                <w:rFonts w:ascii="Arial" w:cs="Arial" w:eastAsia="Arial" w:hAnsi="Arial"/>
                <w:sz w:val="11"/>
                <w:szCs w:val="11"/>
                <w:b w:val="1"/>
                <w:bCs w:val="1"/>
                <w:color w:val="FFFFFF"/>
              </w:rPr>
              <w:t>FY 2026</w:t>
            </w:r>
          </w:p>
        </w:tc>
        <w:tc>
          <w:tcPr>
            <w:tcW w:w="2400" w:type="dxa"/>
            <w:vAlign w:val="bottom"/>
            <w:tcBorders>
              <w:top w:val="single" w:sz="8" w:color="auto"/>
              <w:right w:val="single" w:sz="8" w:color="auto"/>
            </w:tcBorders>
            <w:shd w:val="clear" w:color="auto" w:fill="002855"/>
          </w:tcPr>
          <w:p>
            <w:pPr>
              <w:jc w:val="center"/>
              <w:spacing w:after="0" w:line="113" w:lineRule="exact"/>
              <w:rPr>
                <w:sz w:val="20"/>
                <w:szCs w:val="20"/>
                <w:color w:val="auto"/>
              </w:rPr>
            </w:pPr>
            <w:r>
              <w:rPr>
                <w:rFonts w:ascii="Arial" w:cs="Arial" w:eastAsia="Arial" w:hAnsi="Arial"/>
                <w:sz w:val="11"/>
                <w:szCs w:val="11"/>
                <w:b w:val="1"/>
                <w:bCs w:val="1"/>
                <w:color w:val="FFFFFF"/>
              </w:rPr>
              <w:t>FY 2027</w:t>
            </w:r>
          </w:p>
        </w:tc>
      </w:tr>
      <w:tr>
        <w:trPr>
          <w:trHeight w:val="144"/>
        </w:trPr>
        <w:tc>
          <w:tcPr>
            <w:tcW w:w="5000" w:type="dxa"/>
            <w:vAlign w:val="bottom"/>
            <w:tcBorders>
              <w:left w:val="single" w:sz="8" w:color="auto"/>
              <w:right w:val="single" w:sz="8" w:color="6D6D6D"/>
            </w:tcBorders>
            <w:shd w:val="clear" w:color="auto" w:fill="002855"/>
          </w:tcPr>
          <w:p>
            <w:pPr>
              <w:spacing w:after="0"/>
              <w:rPr>
                <w:sz w:val="12"/>
                <w:szCs w:val="12"/>
                <w:color w:val="auto"/>
              </w:rPr>
            </w:pPr>
          </w:p>
        </w:tc>
        <w:tc>
          <w:tcPr>
            <w:tcW w:w="2400" w:type="dxa"/>
            <w:vAlign w:val="bottom"/>
            <w:tcBorders>
              <w:right w:val="single" w:sz="8" w:color="B2B2B2"/>
            </w:tcBorders>
            <w:gridSpan w:val="2"/>
            <w:shd w:val="clear" w:color="auto" w:fill="002855"/>
          </w:tcPr>
          <w:p>
            <w:pPr>
              <w:jc w:val="center"/>
              <w:spacing w:after="0" w:line="144" w:lineRule="exact"/>
              <w:rPr>
                <w:sz w:val="20"/>
                <w:szCs w:val="20"/>
                <w:color w:val="auto"/>
              </w:rPr>
            </w:pPr>
            <w:r>
              <w:rPr>
                <w:rFonts w:ascii="Arial" w:cs="Arial" w:eastAsia="Arial" w:hAnsi="Arial"/>
                <w:sz w:val="11"/>
                <w:szCs w:val="11"/>
                <w:b w:val="1"/>
                <w:bCs w:val="1"/>
                <w:color w:val="FFFFFF"/>
                <w:w w:val="94"/>
              </w:rPr>
              <w:t>Outlook</w:t>
            </w:r>
            <w:r>
              <w:rPr>
                <w:rFonts w:ascii="Arial" w:cs="Arial" w:eastAsia="Arial" w:hAnsi="Arial"/>
                <w:sz w:val="14"/>
                <w:szCs w:val="14"/>
                <w:b w:val="1"/>
                <w:bCs w:val="1"/>
                <w:color w:val="FFFFFF"/>
                <w:w w:val="94"/>
                <w:vertAlign w:val="superscript"/>
              </w:rPr>
              <w:t>(3)</w:t>
            </w:r>
          </w:p>
        </w:tc>
        <w:tc>
          <w:tcPr>
            <w:tcW w:w="2400" w:type="dxa"/>
            <w:vAlign w:val="bottom"/>
            <w:tcBorders>
              <w:right w:val="single" w:sz="8" w:color="auto"/>
            </w:tcBorders>
            <w:shd w:val="clear" w:color="auto" w:fill="002855"/>
          </w:tcPr>
          <w:p>
            <w:pPr>
              <w:jc w:val="center"/>
              <w:spacing w:after="0" w:line="144" w:lineRule="exact"/>
              <w:rPr>
                <w:sz w:val="20"/>
                <w:szCs w:val="20"/>
                <w:color w:val="auto"/>
              </w:rPr>
            </w:pPr>
            <w:r>
              <w:rPr>
                <w:rFonts w:ascii="Arial" w:cs="Arial" w:eastAsia="Arial" w:hAnsi="Arial"/>
                <w:sz w:val="11"/>
                <w:szCs w:val="11"/>
                <w:b w:val="1"/>
                <w:bCs w:val="1"/>
                <w:color w:val="FFFFFF"/>
                <w:w w:val="94"/>
              </w:rPr>
              <w:t>Outlook</w:t>
            </w:r>
            <w:r>
              <w:rPr>
                <w:rFonts w:ascii="Arial" w:cs="Arial" w:eastAsia="Arial" w:hAnsi="Arial"/>
                <w:sz w:val="14"/>
                <w:szCs w:val="14"/>
                <w:b w:val="1"/>
                <w:bCs w:val="1"/>
                <w:color w:val="FFFFFF"/>
                <w:w w:val="94"/>
                <w:vertAlign w:val="superscript"/>
              </w:rPr>
              <w:t>(3)</w:t>
            </w:r>
          </w:p>
        </w:tc>
      </w:tr>
      <w:tr>
        <w:trPr>
          <w:trHeight w:val="72"/>
        </w:trPr>
        <w:tc>
          <w:tcPr>
            <w:tcW w:w="5000" w:type="dxa"/>
            <w:vAlign w:val="bottom"/>
            <w:tcBorders>
              <w:left w:val="single" w:sz="8" w:color="auto"/>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929292"/>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r>
      <w:tr>
        <w:trPr>
          <w:trHeight w:val="164"/>
        </w:trPr>
        <w:tc>
          <w:tcPr>
            <w:tcW w:w="5000" w:type="dxa"/>
            <w:vAlign w:val="bottom"/>
            <w:tcBorders>
              <w:left w:val="single" w:sz="8" w:color="auto"/>
              <w:bottom w:val="single" w:sz="8" w:color="auto"/>
              <w:right w:val="single" w:sz="8" w:color="6D6D6D"/>
            </w:tcBorders>
            <w:shd w:val="clear" w:color="auto" w:fill="DADDDC"/>
          </w:tcPr>
          <w:p>
            <w:pPr>
              <w:ind w:left="20"/>
              <w:spacing w:after="0"/>
              <w:rPr>
                <w:sz w:val="20"/>
                <w:szCs w:val="20"/>
                <w:color w:val="auto"/>
              </w:rPr>
            </w:pPr>
            <w:r>
              <w:rPr>
                <w:rFonts w:ascii="Arial" w:cs="Arial" w:eastAsia="Arial" w:hAnsi="Arial"/>
                <w:sz w:val="12"/>
                <w:szCs w:val="12"/>
                <w:b w:val="1"/>
                <w:bCs w:val="1"/>
                <w:color w:val="002855"/>
              </w:rPr>
              <w:t>Revenue</w:t>
            </w:r>
          </w:p>
        </w:tc>
        <w:tc>
          <w:tcPr>
            <w:tcW w:w="1160" w:type="dxa"/>
            <w:vAlign w:val="bottom"/>
            <w:tcBorders>
              <w:bottom w:val="single" w:sz="8" w:color="auto"/>
            </w:tcBorders>
            <w:shd w:val="clear" w:color="auto" w:fill="DADDDC"/>
          </w:tcPr>
          <w:p>
            <w:pPr>
              <w:jc w:val="right"/>
              <w:spacing w:after="0"/>
              <w:rPr>
                <w:sz w:val="20"/>
                <w:szCs w:val="20"/>
                <w:color w:val="auto"/>
              </w:rPr>
            </w:pPr>
            <w:r>
              <w:rPr>
                <w:rFonts w:ascii="Arial" w:cs="Arial" w:eastAsia="Arial" w:hAnsi="Arial"/>
                <w:sz w:val="11"/>
                <w:szCs w:val="11"/>
                <w:color w:val="494949"/>
              </w:rPr>
              <w:t>$2,800M</w:t>
            </w:r>
          </w:p>
        </w:tc>
        <w:tc>
          <w:tcPr>
            <w:tcW w:w="1240" w:type="dxa"/>
            <w:vAlign w:val="bottom"/>
            <w:tcBorders>
              <w:bottom w:val="single" w:sz="8" w:color="auto"/>
              <w:right w:val="single" w:sz="8" w:color="929292"/>
            </w:tcBorders>
            <w:shd w:val="clear" w:color="auto" w:fill="DADDDC"/>
          </w:tcPr>
          <w:p>
            <w:pPr>
              <w:ind w:left="20"/>
              <w:spacing w:after="0"/>
              <w:rPr>
                <w:sz w:val="20"/>
                <w:szCs w:val="20"/>
                <w:color w:val="auto"/>
              </w:rPr>
            </w:pPr>
            <w:r>
              <w:rPr>
                <w:rFonts w:ascii="Arial" w:cs="Arial" w:eastAsia="Arial" w:hAnsi="Arial"/>
                <w:sz w:val="11"/>
                <w:szCs w:val="11"/>
                <w:color w:val="494949"/>
              </w:rPr>
              <w:t>- $2,900M</w:t>
            </w:r>
          </w:p>
        </w:tc>
        <w:tc>
          <w:tcPr>
            <w:tcW w:w="2400" w:type="dxa"/>
            <w:vAlign w:val="bottom"/>
            <w:tcBorders>
              <w:bottom w:val="single" w:sz="8" w:color="auto"/>
              <w:right w:val="single" w:sz="8" w:color="auto"/>
            </w:tcBorders>
            <w:shd w:val="clear" w:color="auto" w:fill="DADDDC"/>
          </w:tcPr>
          <w:p>
            <w:pPr>
              <w:jc w:val="center"/>
              <w:spacing w:after="0"/>
              <w:rPr>
                <w:sz w:val="20"/>
                <w:szCs w:val="20"/>
                <w:color w:val="auto"/>
              </w:rPr>
            </w:pPr>
            <w:r>
              <w:rPr>
                <w:rFonts w:ascii="Arial" w:cs="Arial" w:eastAsia="Arial" w:hAnsi="Arial"/>
                <w:sz w:val="11"/>
                <w:szCs w:val="11"/>
                <w:color w:val="494949"/>
                <w:w w:val="98"/>
              </w:rPr>
              <w:t>Flat to positive</w:t>
            </w:r>
          </w:p>
        </w:tc>
      </w:tr>
      <w:tr>
        <w:trPr>
          <w:trHeight w:val="57"/>
        </w:trPr>
        <w:tc>
          <w:tcPr>
            <w:tcW w:w="50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929292"/>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169"/>
        </w:trPr>
        <w:tc>
          <w:tcPr>
            <w:tcW w:w="5000" w:type="dxa"/>
            <w:vAlign w:val="bottom"/>
            <w:tcBorders>
              <w:left w:val="single" w:sz="8" w:color="auto"/>
              <w:bottom w:val="single" w:sz="8" w:color="auto"/>
              <w:right w:val="single" w:sz="8" w:color="6D6D6D"/>
            </w:tcBorders>
            <w:shd w:val="clear" w:color="auto" w:fill="DADDDC"/>
          </w:tcPr>
          <w:p>
            <w:pPr>
              <w:ind w:left="20"/>
              <w:spacing w:after="0" w:line="169" w:lineRule="exact"/>
              <w:rPr>
                <w:sz w:val="20"/>
                <w:szCs w:val="20"/>
                <w:color w:val="auto"/>
              </w:rPr>
            </w:pPr>
            <w:r>
              <w:rPr>
                <w:rFonts w:ascii="Arial" w:cs="Arial" w:eastAsia="Arial" w:hAnsi="Arial"/>
                <w:sz w:val="12"/>
                <w:szCs w:val="12"/>
                <w:b w:val="1"/>
                <w:bCs w:val="1"/>
                <w:color w:val="002855"/>
              </w:rPr>
              <w:t>Adj. EBITDA</w:t>
            </w:r>
            <w:r>
              <w:rPr>
                <w:rFonts w:ascii="Arial" w:cs="Arial" w:eastAsia="Arial" w:hAnsi="Arial"/>
                <w:sz w:val="15"/>
                <w:szCs w:val="15"/>
                <w:b w:val="1"/>
                <w:bCs w:val="1"/>
                <w:color w:val="002855"/>
                <w:vertAlign w:val="superscript"/>
              </w:rPr>
              <w:t>(1)</w:t>
            </w:r>
          </w:p>
        </w:tc>
        <w:tc>
          <w:tcPr>
            <w:tcW w:w="1160" w:type="dxa"/>
            <w:vAlign w:val="bottom"/>
            <w:tcBorders>
              <w:bottom w:val="single" w:sz="8" w:color="auto"/>
            </w:tcBorders>
            <w:shd w:val="clear" w:color="auto" w:fill="DADDDC"/>
          </w:tcPr>
          <w:p>
            <w:pPr>
              <w:jc w:val="right"/>
              <w:spacing w:after="0"/>
              <w:rPr>
                <w:sz w:val="20"/>
                <w:szCs w:val="20"/>
                <w:color w:val="auto"/>
              </w:rPr>
            </w:pPr>
            <w:r>
              <w:rPr>
                <w:rFonts w:ascii="Arial" w:cs="Arial" w:eastAsia="Arial" w:hAnsi="Arial"/>
                <w:sz w:val="11"/>
                <w:szCs w:val="11"/>
                <w:color w:val="494949"/>
              </w:rPr>
              <w:t>$160M</w:t>
            </w:r>
          </w:p>
        </w:tc>
        <w:tc>
          <w:tcPr>
            <w:tcW w:w="1240" w:type="dxa"/>
            <w:vAlign w:val="bottom"/>
            <w:tcBorders>
              <w:bottom w:val="single" w:sz="8" w:color="auto"/>
              <w:right w:val="single" w:sz="8" w:color="B2B2B2"/>
            </w:tcBorders>
            <w:shd w:val="clear" w:color="auto" w:fill="DADDDC"/>
          </w:tcPr>
          <w:p>
            <w:pPr>
              <w:ind w:left="20"/>
              <w:spacing w:after="0"/>
              <w:rPr>
                <w:sz w:val="20"/>
                <w:szCs w:val="20"/>
                <w:color w:val="auto"/>
              </w:rPr>
            </w:pPr>
            <w:r>
              <w:rPr>
                <w:rFonts w:ascii="Arial" w:cs="Arial" w:eastAsia="Arial" w:hAnsi="Arial"/>
                <w:sz w:val="11"/>
                <w:szCs w:val="11"/>
                <w:color w:val="494949"/>
              </w:rPr>
              <w:t>- $190M</w:t>
            </w:r>
          </w:p>
        </w:tc>
        <w:tc>
          <w:tcPr>
            <w:tcW w:w="2400" w:type="dxa"/>
            <w:vAlign w:val="bottom"/>
            <w:tcBorders>
              <w:bottom w:val="single" w:sz="8" w:color="auto"/>
              <w:right w:val="single" w:sz="8" w:color="auto"/>
            </w:tcBorders>
            <w:shd w:val="clear" w:color="auto" w:fill="DADDDC"/>
          </w:tcPr>
          <w:p>
            <w:pPr>
              <w:jc w:val="center"/>
              <w:spacing w:after="0"/>
              <w:rPr>
                <w:sz w:val="20"/>
                <w:szCs w:val="20"/>
                <w:color w:val="auto"/>
              </w:rPr>
            </w:pPr>
            <w:r>
              <w:rPr>
                <w:rFonts w:ascii="Arial" w:cs="Arial" w:eastAsia="Arial" w:hAnsi="Arial"/>
                <w:sz w:val="11"/>
                <w:szCs w:val="11"/>
                <w:color w:val="494949"/>
                <w:w w:val="98"/>
              </w:rPr>
              <w:t>$190M - $220M</w:t>
            </w:r>
          </w:p>
        </w:tc>
      </w:tr>
    </w:tbl>
    <w:p>
      <w:pPr>
        <w:spacing w:after="0" w:line="225" w:lineRule="exact"/>
        <w:rPr>
          <w:sz w:val="20"/>
          <w:szCs w:val="20"/>
          <w:color w:val="auto"/>
        </w:rPr>
      </w:pPr>
    </w:p>
    <w:p>
      <w:pPr>
        <w:ind w:left="108" w:hanging="108"/>
        <w:spacing w:after="0"/>
        <w:tabs>
          <w:tab w:leader="none" w:pos="108" w:val="left"/>
        </w:tabs>
        <w:numPr>
          <w:ilvl w:val="0"/>
          <w:numId w:val="7"/>
        </w:numPr>
        <w:rPr>
          <w:rFonts w:ascii="Arial" w:cs="Arial" w:eastAsia="Arial" w:hAnsi="Arial"/>
          <w:sz w:val="12"/>
          <w:szCs w:val="12"/>
          <w:color w:val="auto"/>
          <w:vertAlign w:val="superscript"/>
        </w:rPr>
      </w:pPr>
      <w:r>
        <w:rPr>
          <w:rFonts w:ascii="Arial" w:cs="Arial" w:eastAsia="Arial" w:hAnsi="Arial"/>
          <w:sz w:val="10"/>
          <w:szCs w:val="10"/>
          <w:color w:val="auto"/>
        </w:rPr>
        <w:t>Refer to Appendix for definition and complete non-GAAP reconciliations of Adjusted EBITDA, Adjusted EBITDA Margin, Adjusted Diluted EPS and Adjusted Free Cash Flow.</w:t>
      </w:r>
    </w:p>
    <w:p>
      <w:pPr>
        <w:spacing w:after="0" w:line="38" w:lineRule="exact"/>
        <w:rPr>
          <w:rFonts w:ascii="Arial" w:cs="Arial" w:eastAsia="Arial" w:hAnsi="Arial"/>
          <w:sz w:val="12"/>
          <w:szCs w:val="12"/>
          <w:color w:val="auto"/>
          <w:vertAlign w:val="superscript"/>
        </w:rPr>
      </w:pPr>
    </w:p>
    <w:p>
      <w:pPr>
        <w:ind w:left="108" w:hanging="108"/>
        <w:spacing w:after="0" w:line="230" w:lineRule="auto"/>
        <w:tabs>
          <w:tab w:leader="none" w:pos="108" w:val="left"/>
        </w:tabs>
        <w:numPr>
          <w:ilvl w:val="0"/>
          <w:numId w:val="7"/>
        </w:numPr>
        <w:rPr>
          <w:rFonts w:ascii="Arial" w:cs="Arial" w:eastAsia="Arial" w:hAnsi="Arial"/>
          <w:sz w:val="12"/>
          <w:szCs w:val="12"/>
          <w:color w:val="auto"/>
          <w:vertAlign w:val="superscript"/>
        </w:rPr>
      </w:pPr>
      <w:r>
        <w:rPr>
          <w:rFonts w:ascii="Arial" w:cs="Arial" w:eastAsia="Arial" w:hAnsi="Arial"/>
          <w:sz w:val="10"/>
          <w:szCs w:val="10"/>
          <w:color w:val="auto"/>
        </w:rPr>
        <w:t>Refer to Appendix for definition</w:t>
      </w:r>
    </w:p>
    <w:p>
      <w:pPr>
        <w:spacing w:after="0" w:line="73" w:lineRule="exact"/>
        <w:rPr>
          <w:rFonts w:ascii="Arial" w:cs="Arial" w:eastAsia="Arial" w:hAnsi="Arial"/>
          <w:sz w:val="12"/>
          <w:szCs w:val="12"/>
          <w:color w:val="auto"/>
          <w:vertAlign w:val="superscript"/>
        </w:rPr>
      </w:pPr>
    </w:p>
    <w:p>
      <w:pPr>
        <w:ind w:left="88" w:hanging="88"/>
        <w:spacing w:after="0"/>
        <w:tabs>
          <w:tab w:leader="none" w:pos="88" w:val="left"/>
        </w:tabs>
        <w:numPr>
          <w:ilvl w:val="0"/>
          <w:numId w:val="7"/>
        </w:numPr>
        <w:rPr>
          <w:rFonts w:ascii="Arial" w:cs="Arial" w:eastAsia="Arial" w:hAnsi="Arial"/>
          <w:sz w:val="10"/>
          <w:szCs w:val="10"/>
          <w:color w:val="auto"/>
          <w:vertAlign w:val="superscript"/>
        </w:rPr>
      </w:pPr>
      <w:r>
        <w:rPr>
          <w:rFonts w:ascii="Arial" w:cs="Arial" w:eastAsia="Arial" w:hAnsi="Arial"/>
          <w:sz w:val="8"/>
          <w:szCs w:val="8"/>
          <w:color w:val="auto"/>
        </w:rPr>
        <w:t>Refer to Appendix for additional information regarding non-GAAP outlook.</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28"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Management will present the results during a conference call and webcast on May 11, 2026 at 5:00 p.m. ET.</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The call will be available by live audio webcast along with the news release and online presentation slides at https://investor.conduent.com/.</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The conference call will also be available by calling 877-407-4019 toll-free. If requested, the conference ID for this call is 13760102.</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The international dial-in is 1-201-689-8337. The international conference ID is also 13760102.</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A recording of the conference call will be available by calling 1-877-660-6853 three hours after the conference call concludes. The replay ID is 13760102.</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The telephone recording will be available until May 25, 2026</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Conduent</w:t>
      </w:r>
    </w:p>
    <w:p>
      <w:pPr>
        <w:spacing w:after="0" w:line="76" w:lineRule="exact"/>
        <w:rPr>
          <w:sz w:val="20"/>
          <w:szCs w:val="20"/>
          <w:color w:val="auto"/>
        </w:rPr>
      </w:pPr>
    </w:p>
    <w:p>
      <w:pPr>
        <w:ind w:right="60"/>
        <w:spacing w:after="0" w:line="377" w:lineRule="auto"/>
        <w:rPr>
          <w:sz w:val="20"/>
          <w:szCs w:val="20"/>
          <w:color w:val="auto"/>
        </w:rPr>
      </w:pPr>
      <w:r>
        <w:rPr>
          <w:rFonts w:ascii="Arial" w:cs="Arial" w:eastAsia="Arial" w:hAnsi="Arial"/>
          <w:sz w:val="13"/>
          <w:szCs w:val="13"/>
          <w:color w:val="auto"/>
        </w:rPr>
        <w:t>Conduent delivers digital business solutions and services spanning the commercial, government and transportation spectrum – creating valuable outcomes for its clients and the millions of people who count on them. The Company leverages cloud computing, artificial intelligence, machine learning, automation and advanced analytics to deliver mission-critical solutions. Through a dedicated global team of approximately 48,000 associates, process expertise and advanced technologies, Conduent’s solutions and services digitally transform its clients’ operations to enhance customer experiences, improve performance, increase efficiencies and reduce costs. Conduent adds momentum to its clients’ missions in many ways including disbursing approximately $80 billion in government payments annually, enabling approximately 2.0 billion customer service interactions annually, empowering millions of employees through HR services every year and processing over 14 million tolling transactions every day. Learn more at www.conduent.com.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28"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85" w:lineRule="exact"/>
        <w:rPr>
          <w:sz w:val="20"/>
          <w:szCs w:val="20"/>
          <w:color w:val="auto"/>
        </w:rPr>
      </w:pPr>
    </w:p>
    <w:p>
      <w:pPr>
        <w:ind w:right="40"/>
        <w:spacing w:after="0" w:line="372" w:lineRule="auto"/>
        <w:rPr>
          <w:sz w:val="20"/>
          <w:szCs w:val="20"/>
          <w:color w:val="auto"/>
        </w:rPr>
      </w:pPr>
      <w:r>
        <w:rPr>
          <w:rFonts w:ascii="Arial" w:cs="Arial" w:eastAsia="Arial" w:hAnsi="Arial"/>
          <w:sz w:val="13"/>
          <w:szCs w:val="13"/>
          <w:color w:val="auto"/>
        </w:rPr>
        <w:t>We have reported our financial results in accordance with accounting principles generally accepted in the U.S. (U.S. GAAP). In addition, we have discussed our financial results using non-GAAP measures. 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our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 Refer to the "Non-GAAP Financial Measures" and "Non-GAAP Reconciliations" sections attached to this release for a discussion of these non-GAAP measures and their reconciliation to the reported U.S. GAAP measures.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28"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52" w:lineRule="exact"/>
        <w:rPr>
          <w:sz w:val="20"/>
          <w:szCs w:val="20"/>
          <w:color w:val="auto"/>
        </w:rPr>
      </w:pPr>
    </w:p>
    <w:p>
      <w:pPr>
        <w:ind w:right="20"/>
        <w:spacing w:after="0" w:line="385" w:lineRule="auto"/>
        <w:rPr>
          <w:sz w:val="20"/>
          <w:szCs w:val="20"/>
          <w:color w:val="auto"/>
        </w:rPr>
      </w:pPr>
      <w:r>
        <w:rPr>
          <w:rFonts w:ascii="Arial" w:cs="Arial" w:eastAsia="Arial" w:hAnsi="Arial"/>
          <w:sz w:val="12"/>
          <w:szCs w:val="12"/>
          <w:color w:val="auto"/>
        </w:rPr>
        <w:t>This press release, any exhibits or attachments to this release, and other public statements we make may contain "forward-looking statements" as defined in the Private Securities Litigation Reform Act of 1995. The words “anticipate,” “believe,” “estimate,” “expect,” "expectations," "in front of us," "plan," “intend,” “will,” “aim,” “should,” “could,” “forecast,” “target,” “may,” "continue to," "looking to continue," “endeavor,” "if,” “growing,” “projected,” “potential,” “likely,” "see," "ahead," "further," "going forward," "on the horizon," "as we progress," "going to," "path from here forward," "think," "path to deliver," "from here," "on track," "remain" and similar expressions (including the negative and plural forms of such words and phrases), as they relate to us, are intended to identify forward-looking statements, but the absence of these words does not mean that a statement is not forward-looking. All statements other than statements of historical fact included in this press release or any attachment to this press release are forward-looking statements, including, but not limited to, statements regarding our financial results, condition and outlook; changes in our operating results; general and market and economic conditions; and our projected financial performance, including all statements made under the section captioned “FY 2026 and Mid-Term Outlook” within this release.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contained in this press release, any exhibits to this press release and other public statements we make.</w:t>
      </w:r>
    </w:p>
    <w:p>
      <w:pPr>
        <w:spacing w:after="0" w:line="141" w:lineRule="exact"/>
        <w:rPr>
          <w:sz w:val="20"/>
          <w:szCs w:val="20"/>
          <w:color w:val="auto"/>
        </w:rPr>
      </w:pPr>
    </w:p>
    <w:p>
      <w:pPr>
        <w:ind w:right="40"/>
        <w:spacing w:after="0" w:line="353" w:lineRule="auto"/>
        <w:rPr>
          <w:sz w:val="20"/>
          <w:szCs w:val="20"/>
          <w:color w:val="auto"/>
        </w:rPr>
      </w:pPr>
      <w:r>
        <w:rPr>
          <w:rFonts w:ascii="Arial" w:cs="Arial" w:eastAsia="Arial" w:hAnsi="Arial"/>
          <w:sz w:val="13"/>
          <w:szCs w:val="13"/>
          <w:color w:val="auto"/>
        </w:rPr>
        <w:t>Important factors and uncertainties that could cause our actual results to differ materially from those in our forward-looking statements include, but are not limited to: government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28"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ind w:right="40"/>
        <w:spacing w:after="0" w:line="353" w:lineRule="auto"/>
        <w:rPr>
          <w:sz w:val="20"/>
          <w:szCs w:val="20"/>
          <w:color w:val="auto"/>
        </w:rPr>
      </w:pPr>
      <w:r>
        <w:rPr>
          <w:rFonts w:ascii="Arial" w:cs="Arial" w:eastAsia="Arial" w:hAnsi="Arial"/>
          <w:sz w:val="13"/>
          <w:szCs w:val="13"/>
          <w:color w:val="auto"/>
        </w:rPr>
        <w:t>cybersecurity threats to our data systems, information systems and network infrastructure and other service interruptions, including relating to the previously disclosed cyber event that took place in January 2025 (the “January 2025 Cyber Event”), including Conduent’s investigation of such incident and mitigation and remediation efforts, the nature and extent of such incident, the potential disruption to our business or operations, the potential impact on Conduent’s reputation, and Conduent’s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 transactions, including but not limited to the Company’s ability to realize the benefits anticipated from such transactions, and unexpected costs or liabilities in connection with such transactions,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or other payments from our subsidiaries; and other factors that are set forth in the “Risk Factors” section, the “Legal Proceedings” section, the “Management's Discussion and Analysis of Financial Condition and Results of Operations” section and other sections in our 2025 Annual Report on Form 10-K, as well as in our Quarterly Reports on Form 10-Q and Current Reports on Form 8-K filed with or furnished to the Securities and Exchange Commission. Any forward-looking statements made by us in this release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28" w:right="299" w:bottom="1440" w:gutter="0" w:footer="0" w:header="0"/>
        </w:sectPr>
      </w:pPr>
    </w:p>
    <w:bookmarkStart w:id="11" w:name="page12"/>
    <w:bookmarkEnd w:id="11"/>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 # #</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Sean Collins, Conduent, +1-310-497-9205, </w:t>
      </w:r>
      <w:r>
        <w:rPr>
          <w:rFonts w:ascii="Arial" w:cs="Arial" w:eastAsia="Arial" w:hAnsi="Arial"/>
          <w:sz w:val="13"/>
          <w:szCs w:val="13"/>
          <w:u w:val="single" w:color="auto"/>
          <w:color w:val="auto"/>
        </w:rPr>
        <w:t>sean.collins2@conduent.com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ir</w:t>
      </w:r>
      <w:r>
        <w:rPr>
          <w:rFonts w:ascii="Arial" w:cs="Arial" w:eastAsia="Arial" w:hAnsi="Arial"/>
          <w:sz w:val="13"/>
          <w:szCs w:val="13"/>
          <w:u w:val="single" w:color="auto"/>
          <w:color w:val="auto"/>
        </w:rPr>
        <w:t>@conduent.com</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Conduent Incorporated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100 Campus Drive, Suite 200</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Florham Park, NJ 07932</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www.conduent.com</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8"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4"/>
        </w:trPr>
        <w:tc>
          <w:tcPr>
            <w:tcW w:w="1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r>
      <w:tr>
        <w:trPr>
          <w:trHeight w:val="600"/>
        </w:trPr>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740" w:type="dxa"/>
            <w:vAlign w:val="bottom"/>
            <w:gridSpan w:val="2"/>
          </w:tcPr>
          <w:p>
            <w:pPr>
              <w:jc w:val="right"/>
              <w:ind w:right="2740"/>
              <w:spacing w:after="0"/>
              <w:rPr>
                <w:sz w:val="20"/>
                <w:szCs w:val="20"/>
                <w:color w:val="auto"/>
              </w:rPr>
            </w:pPr>
            <w:r>
              <w:rPr>
                <w:rFonts w:ascii="Arial" w:cs="Arial" w:eastAsia="Arial" w:hAnsi="Arial"/>
                <w:sz w:val="12"/>
                <w:szCs w:val="12"/>
                <w:b w:val="1"/>
                <w:bCs w:val="1"/>
                <w:color w:val="auto"/>
              </w:rPr>
              <w:t>CONDUENT INCORPORATED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5"/>
        </w:trPr>
        <w:tc>
          <w:tcPr>
            <w:tcW w:w="1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740" w:type="dxa"/>
            <w:vAlign w:val="bottom"/>
            <w:gridSpan w:val="2"/>
          </w:tcPr>
          <w:p>
            <w:pPr>
              <w:jc w:val="right"/>
              <w:ind w:right="1080"/>
              <w:spacing w:after="0"/>
              <w:rPr>
                <w:sz w:val="20"/>
                <w:szCs w:val="20"/>
                <w:color w:val="auto"/>
              </w:rPr>
            </w:pPr>
            <w:r>
              <w:rPr>
                <w:rFonts w:ascii="Arial" w:cs="Arial" w:eastAsia="Arial" w:hAnsi="Arial"/>
                <w:sz w:val="12"/>
                <w:szCs w:val="12"/>
                <w:b w:val="1"/>
                <w:bCs w:val="1"/>
                <w:color w:val="auto"/>
              </w:rPr>
              <w:t>CONDENSED CONSOLIDATED STATEMENTS OF INCOME (LOSS) (UNAUDITED)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13"/>
        </w:trPr>
        <w:tc>
          <w:tcPr>
            <w:tcW w:w="12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80" w:type="dxa"/>
            <w:vAlign w:val="bottom"/>
            <w:gridSpan w:val="4"/>
          </w:tcPr>
          <w:p>
            <w:pPr>
              <w:jc w:val="right"/>
              <w:ind w:right="691"/>
              <w:spacing w:after="0" w:line="114" w:lineRule="exact"/>
              <w:rPr>
                <w:sz w:val="20"/>
                <w:szCs w:val="20"/>
                <w:color w:val="auto"/>
              </w:rPr>
            </w:pPr>
            <w:r>
              <w:rPr>
                <w:rFonts w:ascii="Arial" w:cs="Arial" w:eastAsia="Arial" w:hAnsi="Arial"/>
                <w:sz w:val="10"/>
                <w:szCs w:val="10"/>
                <w:color w:val="auto"/>
              </w:rPr>
              <w:t>Three Months Ended</w:t>
            </w:r>
          </w:p>
        </w:tc>
      </w:tr>
      <w:tr>
        <w:trPr>
          <w:trHeight w:val="122"/>
        </w:trPr>
        <w:tc>
          <w:tcPr>
            <w:tcW w:w="12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color w:val="auto"/>
              </w:rPr>
              <w:t>March 31,</w:t>
            </w:r>
          </w:p>
        </w:tc>
        <w:tc>
          <w:tcPr>
            <w:tcW w:w="860" w:type="dxa"/>
            <w:vAlign w:val="bottom"/>
            <w:tcBorders>
              <w:bottom w:val="single" w:sz="8" w:color="auto"/>
            </w:tcBorders>
          </w:tcPr>
          <w:p>
            <w:pPr>
              <w:spacing w:after="0"/>
              <w:rPr>
                <w:sz w:val="10"/>
                <w:szCs w:val="10"/>
                <w:color w:val="auto"/>
              </w:rPr>
            </w:pPr>
          </w:p>
        </w:tc>
      </w:tr>
      <w:tr>
        <w:trPr>
          <w:trHeight w:val="97"/>
        </w:trPr>
        <w:tc>
          <w:tcPr>
            <w:tcW w:w="3480" w:type="dxa"/>
            <w:vAlign w:val="bottom"/>
            <w:gridSpan w:val="2"/>
          </w:tcPr>
          <w:p>
            <w:pPr>
              <w:spacing w:after="0"/>
              <w:rPr>
                <w:sz w:val="20"/>
                <w:szCs w:val="20"/>
                <w:color w:val="auto"/>
              </w:rPr>
            </w:pPr>
            <w:r>
              <w:rPr>
                <w:rFonts w:ascii="Arial" w:cs="Arial" w:eastAsia="Arial" w:hAnsi="Arial"/>
                <w:sz w:val="8"/>
                <w:szCs w:val="8"/>
                <w:color w:val="auto"/>
              </w:rPr>
              <w:t>(in millions, except per share data)</w:t>
            </w:r>
          </w:p>
        </w:tc>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right"/>
              <w:ind w:right="412"/>
              <w:spacing w:after="0" w:line="97" w:lineRule="exact"/>
              <w:rPr>
                <w:sz w:val="20"/>
                <w:szCs w:val="20"/>
                <w:color w:val="auto"/>
              </w:rPr>
            </w:pPr>
            <w:r>
              <w:rPr>
                <w:rFonts w:ascii="Arial" w:cs="Arial" w:eastAsia="Arial" w:hAnsi="Arial"/>
                <w:sz w:val="10"/>
                <w:szCs w:val="10"/>
                <w:color w:val="auto"/>
              </w:rPr>
              <w:t>2026</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right"/>
              <w:ind w:right="411"/>
              <w:spacing w:after="0" w:line="97" w:lineRule="exact"/>
              <w:rPr>
                <w:sz w:val="20"/>
                <w:szCs w:val="20"/>
                <w:color w:val="auto"/>
              </w:rPr>
            </w:pPr>
            <w:r>
              <w:rPr>
                <w:rFonts w:ascii="Arial" w:cs="Arial" w:eastAsia="Arial" w:hAnsi="Arial"/>
                <w:sz w:val="10"/>
                <w:szCs w:val="10"/>
                <w:color w:val="auto"/>
              </w:rPr>
              <w:t>2025</w:t>
            </w:r>
          </w:p>
        </w:tc>
      </w:tr>
      <w:tr>
        <w:trPr>
          <w:trHeight w:val="20"/>
        </w:trPr>
        <w:tc>
          <w:tcPr>
            <w:tcW w:w="128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1"/>
        </w:trPr>
        <w:tc>
          <w:tcPr>
            <w:tcW w:w="3480" w:type="dxa"/>
            <w:vAlign w:val="bottom"/>
            <w:gridSpan w:val="2"/>
            <w:shd w:val="clear" w:color="auto" w:fill="CCEEFF"/>
          </w:tcPr>
          <w:p>
            <w:pPr>
              <w:spacing w:after="0" w:line="111" w:lineRule="exact"/>
              <w:rPr>
                <w:sz w:val="20"/>
                <w:szCs w:val="20"/>
                <w:color w:val="auto"/>
              </w:rPr>
            </w:pPr>
            <w:r>
              <w:rPr>
                <w:rFonts w:ascii="Arial" w:cs="Arial" w:eastAsia="Arial" w:hAnsi="Arial"/>
                <w:sz w:val="10"/>
                <w:szCs w:val="10"/>
                <w:b w:val="1"/>
                <w:bCs w:val="1"/>
                <w:color w:val="auto"/>
              </w:rPr>
              <w:t>Revenue</w:t>
            </w:r>
          </w:p>
        </w:tc>
        <w:tc>
          <w:tcPr>
            <w:tcW w:w="5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723</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ind w:right="152"/>
              <w:spacing w:after="0" w:line="111" w:lineRule="exact"/>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751</w:t>
            </w:r>
          </w:p>
        </w:tc>
      </w:tr>
      <w:tr>
        <w:trPr>
          <w:trHeight w:val="144"/>
        </w:trPr>
        <w:tc>
          <w:tcPr>
            <w:tcW w:w="1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5"/>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Operating Costs and Expenses</w:t>
            </w: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2"/>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Cost of services (excluding depreciation and amortization)</w:t>
            </w:r>
          </w:p>
        </w:tc>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587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618</w:t>
            </w:r>
          </w:p>
        </w:tc>
      </w:tr>
      <w:tr>
        <w:trPr>
          <w:trHeight w:val="138"/>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98"/>
              </w:rPr>
              <w:t>Selling, general and administrative (excluding depreciation and amortization)</w:t>
            </w: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r>
      <w:tr>
        <w:trPr>
          <w:trHeight w:val="132"/>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Research and development (excluding depreciation and amortization)</w:t>
            </w:r>
          </w:p>
        </w:tc>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38"/>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Depreciation and amortization</w:t>
            </w: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w:t>
            </w:r>
          </w:p>
        </w:tc>
      </w:tr>
      <w:tr>
        <w:trPr>
          <w:trHeight w:val="132"/>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Restructuring and related costs</w:t>
            </w:r>
          </w:p>
        </w:tc>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38"/>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Interest expense</w:t>
            </w: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r>
      <w:tr>
        <w:trPr>
          <w:trHeight w:val="132"/>
        </w:trPr>
        <w:tc>
          <w:tcPr>
            <w:tcW w:w="3480" w:type="dxa"/>
            <w:vAlign w:val="bottom"/>
            <w:gridSpan w:val="2"/>
          </w:tcPr>
          <w:p>
            <w:pPr>
              <w:ind w:left="140"/>
              <w:spacing w:after="0"/>
              <w:rPr>
                <w:sz w:val="20"/>
                <w:szCs w:val="20"/>
                <w:color w:val="auto"/>
              </w:rPr>
            </w:pPr>
            <w:r>
              <w:rPr>
                <w:rFonts w:ascii="Arial" w:cs="Arial" w:eastAsia="Arial" w:hAnsi="Arial"/>
                <w:sz w:val="10"/>
                <w:szCs w:val="10"/>
                <w:color w:val="auto"/>
              </w:rPr>
              <w:t>(Gain) loss on divestitures and transaction costs, net</w:t>
            </w:r>
          </w:p>
        </w:tc>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w:t>
            </w:r>
          </w:p>
        </w:tc>
      </w:tr>
      <w:tr>
        <w:trPr>
          <w:trHeight w:val="138"/>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Litigation settlements (recoveries), net</w:t>
            </w: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32"/>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0"/>
                <w:szCs w:val="10"/>
                <w:color w:val="auto"/>
              </w:rPr>
              <w:t>Other (income) expenses, net</w:t>
            </w:r>
          </w:p>
        </w:tc>
        <w:tc>
          <w:tcPr>
            <w:tcW w:w="54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r>
        <w:trPr>
          <w:trHeight w:val="12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Total Operating Costs and Expenses</w:t>
            </w:r>
          </w:p>
        </w:tc>
        <w:tc>
          <w:tcPr>
            <w:tcW w:w="54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w:t>
            </w:r>
          </w:p>
        </w:tc>
      </w:tr>
      <w:tr>
        <w:trPr>
          <w:trHeight w:val="123"/>
        </w:trPr>
        <w:tc>
          <w:tcPr>
            <w:tcW w:w="3480" w:type="dxa"/>
            <w:vAlign w:val="bottom"/>
            <w:gridSpan w:val="2"/>
          </w:tcPr>
          <w:p>
            <w:pPr>
              <w:spacing w:after="0"/>
              <w:rPr>
                <w:sz w:val="20"/>
                <w:szCs w:val="20"/>
                <w:color w:val="auto"/>
              </w:rPr>
            </w:pPr>
            <w:r>
              <w:rPr>
                <w:rFonts w:ascii="Arial" w:cs="Arial" w:eastAsia="Arial" w:hAnsi="Arial"/>
                <w:sz w:val="10"/>
                <w:szCs w:val="10"/>
                <w:b w:val="1"/>
                <w:bCs w:val="1"/>
                <w:color w:val="auto"/>
              </w:rPr>
              <w:t>Income (Loss) Before Income Taxes</w:t>
            </w:r>
          </w:p>
        </w:tc>
        <w:tc>
          <w:tcPr>
            <w:tcW w:w="5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(56)</w:t>
            </w:r>
          </w:p>
        </w:tc>
      </w:tr>
      <w:tr>
        <w:trPr>
          <w:trHeight w:val="133"/>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Income tax expense (benefit)</w:t>
            </w:r>
          </w:p>
        </w:tc>
        <w:tc>
          <w:tcPr>
            <w:tcW w:w="54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r>
      <w:tr>
        <w:trPr>
          <w:trHeight w:val="143"/>
        </w:trPr>
        <w:tc>
          <w:tcPr>
            <w:tcW w:w="3480" w:type="dxa"/>
            <w:vAlign w:val="bottom"/>
            <w:gridSpan w:val="2"/>
          </w:tcPr>
          <w:p>
            <w:pPr>
              <w:spacing w:after="0"/>
              <w:rPr>
                <w:sz w:val="20"/>
                <w:szCs w:val="20"/>
                <w:color w:val="auto"/>
              </w:rPr>
            </w:pPr>
            <w:r>
              <w:rPr>
                <w:rFonts w:ascii="Arial" w:cs="Arial" w:eastAsia="Arial" w:hAnsi="Arial"/>
                <w:sz w:val="10"/>
                <w:szCs w:val="10"/>
                <w:b w:val="1"/>
                <w:bCs w:val="1"/>
                <w:color w:val="auto"/>
              </w:rPr>
              <w:t>Net Income (Loss)</w:t>
            </w:r>
          </w:p>
        </w:tc>
        <w:tc>
          <w:tcPr>
            <w:tcW w:w="5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(51)</w:t>
            </w:r>
          </w:p>
        </w:tc>
      </w:tr>
      <w:tr>
        <w:trPr>
          <w:trHeight w:val="90"/>
        </w:trPr>
        <w:tc>
          <w:tcPr>
            <w:tcW w:w="1280" w:type="dxa"/>
            <w:vAlign w:val="bottom"/>
            <w:tcBorders>
              <w:top w:val="single" w:sz="8" w:color="CCEEFF"/>
            </w:tcBorders>
            <w:shd w:val="clear" w:color="auto" w:fill="CCEEFF"/>
          </w:tcPr>
          <w:p>
            <w:pPr>
              <w:spacing w:after="0"/>
              <w:rPr>
                <w:sz w:val="7"/>
                <w:szCs w:val="7"/>
                <w:color w:val="auto"/>
              </w:rPr>
            </w:pPr>
          </w:p>
        </w:tc>
        <w:tc>
          <w:tcPr>
            <w:tcW w:w="2200" w:type="dxa"/>
            <w:vAlign w:val="bottom"/>
            <w:tcBorders>
              <w:top w:val="single" w:sz="8" w:color="CCEEFF"/>
            </w:tcBorders>
            <w:shd w:val="clear" w:color="auto" w:fill="CCEEFF"/>
          </w:tcPr>
          <w:p>
            <w:pPr>
              <w:spacing w:after="0"/>
              <w:rPr>
                <w:sz w:val="7"/>
                <w:szCs w:val="7"/>
                <w:color w:val="auto"/>
              </w:rPr>
            </w:pPr>
          </w:p>
        </w:tc>
        <w:tc>
          <w:tcPr>
            <w:tcW w:w="54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r>
      <w:tr>
        <w:trPr>
          <w:trHeight w:val="134"/>
        </w:trPr>
        <w:tc>
          <w:tcPr>
            <w:tcW w:w="3480" w:type="dxa"/>
            <w:vAlign w:val="bottom"/>
            <w:gridSpan w:val="2"/>
          </w:tcPr>
          <w:p>
            <w:pPr>
              <w:spacing w:after="0"/>
              <w:rPr>
                <w:sz w:val="20"/>
                <w:szCs w:val="20"/>
                <w:color w:val="auto"/>
              </w:rPr>
            </w:pPr>
            <w:r>
              <w:rPr>
                <w:rFonts w:ascii="Arial" w:cs="Arial" w:eastAsia="Arial" w:hAnsi="Arial"/>
                <w:sz w:val="10"/>
                <w:szCs w:val="10"/>
                <w:b w:val="1"/>
                <w:bCs w:val="1"/>
                <w:color w:val="auto"/>
              </w:rPr>
              <w:t>Net Income (Loss) per Share:</w:t>
            </w:r>
          </w:p>
        </w:tc>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6"/>
        </w:trPr>
        <w:tc>
          <w:tcPr>
            <w:tcW w:w="34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Basic</w:t>
            </w:r>
          </w:p>
        </w:tc>
        <w:tc>
          <w:tcPr>
            <w:tcW w:w="57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(0.33)</w:t>
            </w:r>
          </w:p>
        </w:tc>
      </w:tr>
      <w:tr>
        <w:trPr>
          <w:trHeight w:val="129"/>
        </w:trPr>
        <w:tc>
          <w:tcPr>
            <w:tcW w:w="3480" w:type="dxa"/>
            <w:vAlign w:val="bottom"/>
            <w:gridSpan w:val="2"/>
          </w:tcPr>
          <w:p>
            <w:pPr>
              <w:ind w:left="120"/>
              <w:spacing w:after="0"/>
              <w:rPr>
                <w:sz w:val="20"/>
                <w:szCs w:val="20"/>
                <w:color w:val="auto"/>
              </w:rPr>
            </w:pPr>
            <w:r>
              <w:rPr>
                <w:rFonts w:ascii="Arial" w:cs="Arial" w:eastAsia="Arial" w:hAnsi="Arial"/>
                <w:sz w:val="10"/>
                <w:szCs w:val="10"/>
                <w:color w:val="auto"/>
              </w:rPr>
              <w:t>Diluted</w:t>
            </w:r>
          </w:p>
        </w:tc>
        <w:tc>
          <w:tcPr>
            <w:tcW w:w="57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(0.23)</w:t>
            </w:r>
          </w:p>
        </w:tc>
        <w:tc>
          <w:tcPr>
            <w:tcW w:w="10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28"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r>
      <w:tr>
        <w:trPr>
          <w:trHeight w:val="600"/>
        </w:trPr>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580" w:type="dxa"/>
            <w:vAlign w:val="bottom"/>
            <w:gridSpan w:val="2"/>
          </w:tcPr>
          <w:p>
            <w:pPr>
              <w:jc w:val="right"/>
              <w:ind w:right="2552"/>
              <w:spacing w:after="0"/>
              <w:rPr>
                <w:sz w:val="20"/>
                <w:szCs w:val="20"/>
                <w:color w:val="auto"/>
              </w:rPr>
            </w:pPr>
            <w:r>
              <w:rPr>
                <w:rFonts w:ascii="Arial" w:cs="Arial" w:eastAsia="Arial" w:hAnsi="Arial"/>
                <w:sz w:val="12"/>
                <w:szCs w:val="12"/>
                <w:b w:val="1"/>
                <w:bCs w:val="1"/>
                <w:color w:val="auto"/>
              </w:rPr>
              <w:t>CONDUENT INCORPORATED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5"/>
        </w:trPr>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580" w:type="dxa"/>
            <w:vAlign w:val="bottom"/>
            <w:gridSpan w:val="2"/>
          </w:tcPr>
          <w:p>
            <w:pPr>
              <w:jc w:val="right"/>
              <w:ind w:right="352"/>
              <w:spacing w:after="0"/>
              <w:rPr>
                <w:sz w:val="20"/>
                <w:szCs w:val="20"/>
                <w:color w:val="auto"/>
              </w:rPr>
            </w:pPr>
            <w:r>
              <w:rPr>
                <w:rFonts w:ascii="Arial" w:cs="Arial" w:eastAsia="Arial" w:hAnsi="Arial"/>
                <w:sz w:val="12"/>
                <w:szCs w:val="12"/>
                <w:b w:val="1"/>
                <w:bCs w:val="1"/>
                <w:color w:val="auto"/>
              </w:rPr>
              <w:t>CONDENSED CONSOLIDATED STATEMENTS OF COMPREHENSIVE INCOME (LOSS) (UNAUDITED)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13"/>
        </w:trPr>
        <w:tc>
          <w:tcPr>
            <w:tcW w:w="4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gridSpan w:val="3"/>
          </w:tcPr>
          <w:p>
            <w:pPr>
              <w:jc w:val="right"/>
              <w:spacing w:after="0" w:line="114" w:lineRule="exact"/>
              <w:rPr>
                <w:sz w:val="20"/>
                <w:szCs w:val="20"/>
                <w:color w:val="auto"/>
              </w:rPr>
            </w:pPr>
            <w:r>
              <w:rPr>
                <w:rFonts w:ascii="Arial" w:cs="Arial" w:eastAsia="Arial" w:hAnsi="Arial"/>
                <w:sz w:val="10"/>
                <w:szCs w:val="10"/>
                <w:color w:val="auto"/>
              </w:rPr>
              <w:t>Three Months Ended</w:t>
            </w:r>
          </w:p>
        </w:tc>
        <w:tc>
          <w:tcPr>
            <w:tcW w:w="780" w:type="dxa"/>
            <w:vAlign w:val="bottom"/>
          </w:tcPr>
          <w:p>
            <w:pPr>
              <w:spacing w:after="0"/>
              <w:rPr>
                <w:sz w:val="9"/>
                <w:szCs w:val="9"/>
                <w:color w:val="auto"/>
              </w:rPr>
            </w:pPr>
          </w:p>
        </w:tc>
      </w:tr>
      <w:tr>
        <w:trPr>
          <w:trHeight w:val="122"/>
        </w:trPr>
        <w:tc>
          <w:tcPr>
            <w:tcW w:w="4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color w:val="auto"/>
              </w:rPr>
              <w:t>March 31,</w:t>
            </w:r>
          </w:p>
        </w:tc>
        <w:tc>
          <w:tcPr>
            <w:tcW w:w="780" w:type="dxa"/>
            <w:vAlign w:val="bottom"/>
            <w:tcBorders>
              <w:bottom w:val="single" w:sz="8" w:color="auto"/>
            </w:tcBorders>
          </w:tcPr>
          <w:p>
            <w:pPr>
              <w:spacing w:after="0"/>
              <w:rPr>
                <w:sz w:val="10"/>
                <w:szCs w:val="10"/>
                <w:color w:val="auto"/>
              </w:rPr>
            </w:pPr>
          </w:p>
        </w:tc>
      </w:tr>
      <w:tr>
        <w:trPr>
          <w:trHeight w:val="97"/>
        </w:trPr>
        <w:tc>
          <w:tcPr>
            <w:tcW w:w="2500" w:type="dxa"/>
            <w:vAlign w:val="bottom"/>
            <w:gridSpan w:val="2"/>
          </w:tcPr>
          <w:p>
            <w:pPr>
              <w:spacing w:after="0"/>
              <w:rPr>
                <w:sz w:val="20"/>
                <w:szCs w:val="20"/>
                <w:color w:val="auto"/>
              </w:rPr>
            </w:pPr>
            <w:r>
              <w:rPr>
                <w:rFonts w:ascii="Arial" w:cs="Arial" w:eastAsia="Arial" w:hAnsi="Arial"/>
                <w:sz w:val="8"/>
                <w:szCs w:val="8"/>
                <w:color w:val="auto"/>
              </w:rPr>
              <w:t>(in millions)</w:t>
            </w:r>
          </w:p>
        </w:tc>
        <w:tc>
          <w:tcPr>
            <w:tcW w:w="6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jc w:val="right"/>
              <w:ind w:right="452"/>
              <w:spacing w:after="0" w:line="97" w:lineRule="exact"/>
              <w:rPr>
                <w:sz w:val="20"/>
                <w:szCs w:val="20"/>
                <w:color w:val="auto"/>
              </w:rPr>
            </w:pPr>
            <w:r>
              <w:rPr>
                <w:rFonts w:ascii="Arial" w:cs="Arial" w:eastAsia="Arial" w:hAnsi="Arial"/>
                <w:sz w:val="10"/>
                <w:szCs w:val="10"/>
                <w:color w:val="auto"/>
              </w:rPr>
              <w:t>2026</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jc w:val="right"/>
              <w:ind w:right="450"/>
              <w:spacing w:after="0" w:line="97" w:lineRule="exact"/>
              <w:rPr>
                <w:sz w:val="20"/>
                <w:szCs w:val="20"/>
                <w:color w:val="auto"/>
              </w:rPr>
            </w:pPr>
            <w:r>
              <w:rPr>
                <w:rFonts w:ascii="Arial" w:cs="Arial" w:eastAsia="Arial" w:hAnsi="Arial"/>
                <w:sz w:val="10"/>
                <w:szCs w:val="10"/>
                <w:color w:val="auto"/>
              </w:rPr>
              <w:t>2025</w:t>
            </w: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1"/>
        </w:trPr>
        <w:tc>
          <w:tcPr>
            <w:tcW w:w="2500" w:type="dxa"/>
            <w:vAlign w:val="bottom"/>
            <w:gridSpan w:val="2"/>
            <w:shd w:val="clear" w:color="auto" w:fill="CCEEFF"/>
          </w:tcPr>
          <w:p>
            <w:pPr>
              <w:spacing w:after="0" w:line="111" w:lineRule="exact"/>
              <w:rPr>
                <w:sz w:val="20"/>
                <w:szCs w:val="20"/>
                <w:color w:val="auto"/>
              </w:rPr>
            </w:pPr>
            <w:r>
              <w:rPr>
                <w:rFonts w:ascii="Arial" w:cs="Arial" w:eastAsia="Arial" w:hAnsi="Arial"/>
                <w:sz w:val="10"/>
                <w:szCs w:val="10"/>
                <w:b w:val="1"/>
                <w:bCs w:val="1"/>
                <w:color w:val="auto"/>
              </w:rPr>
              <w:t>Net Income (Loss)</w:t>
            </w:r>
          </w:p>
        </w:tc>
        <w:tc>
          <w:tcPr>
            <w:tcW w:w="6580" w:type="dxa"/>
            <w:vAlign w:val="bottom"/>
            <w:gridSpan w:val="2"/>
            <w:shd w:val="clear" w:color="auto" w:fill="CCEEFF"/>
          </w:tcPr>
          <w:p>
            <w:pPr>
              <w:jc w:val="right"/>
              <w:ind w:right="172"/>
              <w:spacing w:after="0" w:line="111" w:lineRule="exact"/>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312"/>
              <w:spacing w:after="0" w:line="111" w:lineRule="exact"/>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(51)</w:t>
            </w: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0"/>
                <w:szCs w:val="10"/>
                <w:b w:val="1"/>
                <w:bCs w:val="1"/>
                <w:color w:val="auto"/>
              </w:rPr>
              <w:t>Other Comprehensive Income (Loss), Net</w:t>
            </w:r>
            <w:r>
              <w:rPr>
                <w:rFonts w:ascii="Arial" w:cs="Arial" w:eastAsia="Arial" w:hAnsi="Arial"/>
                <w:sz w:val="12"/>
                <w:szCs w:val="12"/>
                <w:b w:val="1"/>
                <w:bCs w:val="1"/>
                <w:color w:val="auto"/>
                <w:vertAlign w:val="superscript"/>
              </w:rPr>
              <w:t>(1)</w:t>
            </w:r>
          </w:p>
        </w:tc>
        <w:tc>
          <w:tcPr>
            <w:tcW w:w="6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5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Currency translation adjustments, net</w:t>
            </w:r>
          </w:p>
        </w:tc>
        <w:tc>
          <w:tcPr>
            <w:tcW w:w="6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r>
      <w:tr>
        <w:trPr>
          <w:trHeight w:val="132"/>
        </w:trPr>
        <w:tc>
          <w:tcPr>
            <w:tcW w:w="2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0"/>
                <w:szCs w:val="10"/>
                <w:color w:val="auto"/>
              </w:rPr>
              <w:t>Unrecognized gains (losses), net</w:t>
            </w:r>
          </w:p>
        </w:tc>
        <w:tc>
          <w:tcPr>
            <w:tcW w:w="63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r>
      <w:tr>
        <w:trPr>
          <w:trHeight w:val="126"/>
        </w:trPr>
        <w:tc>
          <w:tcPr>
            <w:tcW w:w="25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Other Comprehensive Income (Loss), Net</w:t>
            </w:r>
          </w:p>
        </w:tc>
        <w:tc>
          <w:tcPr>
            <w:tcW w:w="63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w:t>
            </w:r>
          </w:p>
        </w:tc>
      </w:tr>
      <w:tr>
        <w:trPr>
          <w:trHeight w:val="89"/>
        </w:trPr>
        <w:tc>
          <w:tcPr>
            <w:tcW w:w="4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51"/>
        </w:trPr>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Comprehensive Income (Loss), Net</w:t>
            </w:r>
          </w:p>
        </w:tc>
        <w:tc>
          <w:tcPr>
            <w:tcW w:w="63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w:t>
            </w:r>
          </w:p>
        </w:tc>
      </w:tr>
    </w:tbl>
    <w:p>
      <w:pPr>
        <w:spacing w:after="0" w:line="256"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i w:val="1"/>
          <w:iCs w:val="1"/>
          <w:color w:val="auto"/>
        </w:rPr>
        <w:t>(1)</w:t>
      </w:r>
      <w:r>
        <w:rPr>
          <w:sz w:val="20"/>
          <w:szCs w:val="20"/>
          <w:color w:val="auto"/>
        </w:rPr>
        <w:tab/>
      </w:r>
      <w:r>
        <w:rPr>
          <w:rFonts w:ascii="Arial" w:cs="Arial" w:eastAsia="Arial" w:hAnsi="Arial"/>
          <w:sz w:val="8"/>
          <w:szCs w:val="8"/>
          <w:i w:val="1"/>
          <w:iCs w:val="1"/>
          <w:color w:val="auto"/>
        </w:rPr>
        <w:t>All amounts are net of tax. Tax effects were immaterial.</w:t>
      </w:r>
    </w:p>
    <w:p>
      <w:pPr>
        <w:spacing w:after="0" w:line="354" w:lineRule="exact"/>
        <w:rPr>
          <w:sz w:val="20"/>
          <w:szCs w:val="20"/>
          <w:color w:val="auto"/>
        </w:rPr>
      </w:pPr>
    </w:p>
    <w:p>
      <w:pPr>
        <w:ind w:left="1116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8"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4"/>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r>
      <w:tr>
        <w:trPr>
          <w:trHeight w:val="600"/>
        </w:trPr>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560" w:type="dxa"/>
            <w:vAlign w:val="bottom"/>
            <w:gridSpan w:val="2"/>
          </w:tcPr>
          <w:p>
            <w:pPr>
              <w:jc w:val="right"/>
              <w:ind w:right="1560"/>
              <w:spacing w:after="0"/>
              <w:rPr>
                <w:sz w:val="20"/>
                <w:szCs w:val="20"/>
                <w:color w:val="auto"/>
              </w:rPr>
            </w:pPr>
            <w:r>
              <w:rPr>
                <w:rFonts w:ascii="Arial" w:cs="Arial" w:eastAsia="Arial" w:hAnsi="Arial"/>
                <w:sz w:val="12"/>
                <w:szCs w:val="12"/>
                <w:b w:val="1"/>
                <w:bCs w:val="1"/>
                <w:color w:val="auto"/>
              </w:rPr>
              <w:t>CONDUENT INCORPORATED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5"/>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5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CONDENSED CONSOLIDATED BALANCE SHEETS (UNAUDITED)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18"/>
        </w:trPr>
        <w:tc>
          <w:tcPr>
            <w:tcW w:w="3480" w:type="dxa"/>
            <w:vAlign w:val="bottom"/>
            <w:gridSpan w:val="2"/>
          </w:tcPr>
          <w:p>
            <w:pPr>
              <w:spacing w:after="0"/>
              <w:rPr>
                <w:sz w:val="20"/>
                <w:szCs w:val="20"/>
                <w:color w:val="auto"/>
              </w:rPr>
            </w:pPr>
            <w:r>
              <w:rPr>
                <w:rFonts w:ascii="Arial" w:cs="Arial" w:eastAsia="Arial" w:hAnsi="Arial"/>
                <w:sz w:val="8"/>
                <w:szCs w:val="8"/>
                <w:color w:val="auto"/>
              </w:rPr>
              <w:t>(in millions, except share data in thousands)</w:t>
            </w:r>
          </w:p>
        </w:tc>
        <w:tc>
          <w:tcPr>
            <w:tcW w:w="4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2"/>
          </w:tcPr>
          <w:p>
            <w:pPr>
              <w:ind w:left="240"/>
              <w:spacing w:after="0"/>
              <w:rPr>
                <w:sz w:val="20"/>
                <w:szCs w:val="20"/>
                <w:color w:val="auto"/>
              </w:rPr>
            </w:pPr>
            <w:r>
              <w:rPr>
                <w:rFonts w:ascii="Arial" w:cs="Arial" w:eastAsia="Arial" w:hAnsi="Arial"/>
                <w:sz w:val="10"/>
                <w:szCs w:val="10"/>
                <w:color w:val="auto"/>
              </w:rPr>
              <w:t>March 31, 2026</w:t>
            </w:r>
          </w:p>
        </w:tc>
        <w:tc>
          <w:tcPr>
            <w:tcW w:w="260" w:type="dxa"/>
            <w:vAlign w:val="bottom"/>
          </w:tcPr>
          <w:p>
            <w:pPr>
              <w:spacing w:after="0"/>
              <w:rPr>
                <w:sz w:val="10"/>
                <w:szCs w:val="10"/>
                <w:color w:val="auto"/>
              </w:rPr>
            </w:pPr>
          </w:p>
        </w:tc>
        <w:tc>
          <w:tcPr>
            <w:tcW w:w="1480" w:type="dxa"/>
            <w:vAlign w:val="bottom"/>
          </w:tcPr>
          <w:p>
            <w:pPr>
              <w:jc w:val="right"/>
              <w:ind w:right="411"/>
              <w:spacing w:after="0"/>
              <w:rPr>
                <w:sz w:val="20"/>
                <w:szCs w:val="20"/>
                <w:color w:val="auto"/>
              </w:rPr>
            </w:pPr>
            <w:r>
              <w:rPr>
                <w:rFonts w:ascii="Arial" w:cs="Arial" w:eastAsia="Arial" w:hAnsi="Arial"/>
                <w:sz w:val="10"/>
                <w:szCs w:val="10"/>
                <w:color w:val="auto"/>
              </w:rPr>
              <w:t>December 31, 2025</w:t>
            </w:r>
          </w:p>
        </w:tc>
      </w:tr>
      <w:tr>
        <w:trPr>
          <w:trHeight w:val="20"/>
        </w:trPr>
        <w:tc>
          <w:tcPr>
            <w:tcW w:w="164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02"/>
        </w:trPr>
        <w:tc>
          <w:tcPr>
            <w:tcW w:w="348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Assets</w:t>
            </w:r>
          </w:p>
        </w:tc>
        <w:tc>
          <w:tcPr>
            <w:tcW w:w="42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Cash and cash equivalents</w:t>
            </w:r>
          </w:p>
        </w:tc>
        <w:tc>
          <w:tcPr>
            <w:tcW w:w="4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20" w:type="dxa"/>
            <w:vAlign w:val="bottom"/>
          </w:tcPr>
          <w:p>
            <w:pPr>
              <w:jc w:val="right"/>
              <w:spacing w:after="0"/>
              <w:rPr>
                <w:sz w:val="20"/>
                <w:szCs w:val="20"/>
                <w:color w:val="auto"/>
              </w:rPr>
            </w:pPr>
            <w:r>
              <w:rPr>
                <w:rFonts w:ascii="Arial" w:cs="Arial" w:eastAsia="Arial" w:hAnsi="Arial"/>
                <w:sz w:val="10"/>
                <w:szCs w:val="10"/>
                <w:color w:val="auto"/>
              </w:rPr>
              <w:t>228</w:t>
            </w:r>
          </w:p>
        </w:tc>
        <w:tc>
          <w:tcPr>
            <w:tcW w:w="10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233</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Accounts receivable, net</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w:t>
            </w: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Contract assets</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119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123</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current assets</w:t>
            </w:r>
          </w:p>
        </w:tc>
        <w:tc>
          <w:tcPr>
            <w:tcW w:w="42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242</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213</w:t>
            </w:r>
          </w:p>
        </w:tc>
      </w:tr>
      <w:tr>
        <w:trPr>
          <w:trHeight w:val="121"/>
        </w:trPr>
        <w:tc>
          <w:tcPr>
            <w:tcW w:w="3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color w:val="auto"/>
              </w:rPr>
              <w:t>Total current assets</w:t>
            </w:r>
          </w:p>
        </w:tc>
        <w:tc>
          <w:tcPr>
            <w:tcW w:w="42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1,088</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1,069</w:t>
            </w:r>
          </w:p>
        </w:tc>
      </w:tr>
      <w:tr>
        <w:trPr>
          <w:trHeight w:val="127"/>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Land, buildings and equipment, net</w:t>
            </w:r>
          </w:p>
        </w:tc>
        <w:tc>
          <w:tcPr>
            <w:tcW w:w="4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w:t>
            </w: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Operating lease right-of-use assets</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141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136</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Deferred contract costs, net</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w:t>
            </w: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Goodwill</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614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617</w:t>
            </w:r>
          </w:p>
        </w:tc>
      </w:tr>
      <w:tr>
        <w:trPr>
          <w:trHeight w:val="135"/>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long-term assets</w:t>
            </w:r>
          </w:p>
        </w:tc>
        <w:tc>
          <w:tcPr>
            <w:tcW w:w="4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254</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266</w:t>
            </w:r>
          </w:p>
        </w:tc>
      </w:tr>
      <w:tr>
        <w:trPr>
          <w:trHeight w:val="143"/>
        </w:trPr>
        <w:tc>
          <w:tcPr>
            <w:tcW w:w="3480" w:type="dxa"/>
            <w:vAlign w:val="bottom"/>
            <w:gridSpan w:val="2"/>
          </w:tcPr>
          <w:p>
            <w:pPr>
              <w:ind w:left="220"/>
              <w:spacing w:after="0"/>
              <w:rPr>
                <w:sz w:val="20"/>
                <w:szCs w:val="20"/>
                <w:color w:val="auto"/>
              </w:rPr>
            </w:pPr>
            <w:r>
              <w:rPr>
                <w:rFonts w:ascii="Arial" w:cs="Arial" w:eastAsia="Arial" w:hAnsi="Arial"/>
                <w:sz w:val="10"/>
                <w:szCs w:val="10"/>
                <w:b w:val="1"/>
                <w:bCs w:val="1"/>
                <w:color w:val="auto"/>
              </w:rPr>
              <w:t>Total Assets</w:t>
            </w:r>
          </w:p>
        </w:tc>
        <w:tc>
          <w:tcPr>
            <w:tcW w:w="4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20" w:type="dxa"/>
            <w:vAlign w:val="bottom"/>
          </w:tcPr>
          <w:p>
            <w:pPr>
              <w:jc w:val="right"/>
              <w:spacing w:after="0"/>
              <w:rPr>
                <w:sz w:val="20"/>
                <w:szCs w:val="20"/>
                <w:color w:val="auto"/>
              </w:rPr>
            </w:pPr>
            <w:r>
              <w:rPr>
                <w:rFonts w:ascii="Arial" w:cs="Arial" w:eastAsia="Arial" w:hAnsi="Arial"/>
                <w:sz w:val="10"/>
                <w:szCs w:val="10"/>
                <w:color w:val="auto"/>
              </w:rPr>
              <w:t>2,393</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2,397</w:t>
            </w:r>
          </w:p>
        </w:tc>
      </w:tr>
      <w:tr>
        <w:trPr>
          <w:trHeight w:val="117"/>
        </w:trPr>
        <w:tc>
          <w:tcPr>
            <w:tcW w:w="3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Liabilities and Equity</w:t>
            </w:r>
          </w:p>
        </w:tc>
        <w:tc>
          <w:tcPr>
            <w:tcW w:w="42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Current portion of long-term debt</w:t>
            </w:r>
          </w:p>
        </w:tc>
        <w:tc>
          <w:tcPr>
            <w:tcW w:w="4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20" w:type="dxa"/>
            <w:vAlign w:val="bottom"/>
          </w:tcPr>
          <w:p>
            <w:pPr>
              <w:jc w:val="right"/>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22</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Accounts payable</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w:t>
            </w: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Accrued compensation and benefits costs</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173</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Contract liabilities</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w:t>
            </w:r>
          </w:p>
        </w:tc>
      </w:tr>
      <w:tr>
        <w:trPr>
          <w:trHeight w:val="132"/>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Other current liabilities</w:t>
            </w:r>
          </w:p>
        </w:tc>
        <w:tc>
          <w:tcPr>
            <w:tcW w:w="4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277</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270</w:t>
            </w:r>
          </w:p>
        </w:tc>
      </w:tr>
      <w:tr>
        <w:trPr>
          <w:trHeight w:val="127"/>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Total current liabilities</w:t>
            </w:r>
          </w:p>
        </w:tc>
        <w:tc>
          <w:tcPr>
            <w:tcW w:w="4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685</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681</w:t>
            </w:r>
          </w:p>
        </w:tc>
      </w:tr>
      <w:tr>
        <w:trPr>
          <w:trHeight w:val="121"/>
        </w:trPr>
        <w:tc>
          <w:tcPr>
            <w:tcW w:w="3480" w:type="dxa"/>
            <w:vAlign w:val="bottom"/>
            <w:gridSpan w:val="2"/>
          </w:tcPr>
          <w:p>
            <w:pPr>
              <w:spacing w:after="0"/>
              <w:rPr>
                <w:sz w:val="20"/>
                <w:szCs w:val="20"/>
                <w:color w:val="auto"/>
              </w:rPr>
            </w:pPr>
            <w:r>
              <w:rPr>
                <w:rFonts w:ascii="Arial" w:cs="Arial" w:eastAsia="Arial" w:hAnsi="Arial"/>
                <w:sz w:val="10"/>
                <w:szCs w:val="10"/>
                <w:color w:val="auto"/>
              </w:rPr>
              <w:t>Long-term debt</w:t>
            </w:r>
          </w:p>
        </w:tc>
        <w:tc>
          <w:tcPr>
            <w:tcW w:w="4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698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665</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Deferred taxes</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Operating lease liabilities</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108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102</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long-term liabilities</w:t>
            </w:r>
          </w:p>
        </w:tc>
        <w:tc>
          <w:tcPr>
            <w:tcW w:w="42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101</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w:t>
            </w:r>
          </w:p>
        </w:tc>
      </w:tr>
      <w:tr>
        <w:trPr>
          <w:trHeight w:val="123"/>
        </w:trPr>
        <w:tc>
          <w:tcPr>
            <w:tcW w:w="3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b w:val="1"/>
                <w:bCs w:val="1"/>
                <w:color w:val="auto"/>
              </w:rPr>
              <w:t>Total Liabilities</w:t>
            </w:r>
          </w:p>
        </w:tc>
        <w:tc>
          <w:tcPr>
            <w:tcW w:w="42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1,610</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1,570</w:t>
            </w:r>
          </w:p>
        </w:tc>
      </w:tr>
      <w:tr>
        <w:trPr>
          <w:trHeight w:val="125"/>
        </w:trPr>
        <w:tc>
          <w:tcPr>
            <w:tcW w:w="164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Series A convertible preferred stock</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142</w:t>
            </w:r>
          </w:p>
        </w:tc>
      </w:tr>
      <w:tr>
        <w:trPr>
          <w:trHeight w:val="147"/>
        </w:trPr>
        <w:tc>
          <w:tcPr>
            <w:tcW w:w="16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Common stock</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Treasury stock, at cost</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w:t>
            </w: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Additional paid-in capital</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3,968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3,968</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Retained earnings (deficit)</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(2,613)</w:t>
            </w:r>
          </w:p>
        </w:tc>
      </w:tr>
      <w:tr>
        <w:trPr>
          <w:trHeight w:val="132"/>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Accumulated other comprehensive loss</w:t>
            </w:r>
          </w:p>
        </w:tc>
        <w:tc>
          <w:tcPr>
            <w:tcW w:w="4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(446)</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w:t>
            </w:r>
          </w:p>
        </w:tc>
      </w:tr>
      <w:tr>
        <w:trPr>
          <w:trHeight w:val="12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0"/>
                <w:szCs w:val="10"/>
                <w:b w:val="1"/>
                <w:bCs w:val="1"/>
                <w:color w:val="auto"/>
              </w:rPr>
              <w:t>Total Equity</w:t>
            </w:r>
          </w:p>
        </w:tc>
        <w:tc>
          <w:tcPr>
            <w:tcW w:w="426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641</w:t>
            </w: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685</w:t>
            </w:r>
          </w:p>
        </w:tc>
      </w:tr>
      <w:tr>
        <w:trPr>
          <w:trHeight w:val="141"/>
        </w:trPr>
        <w:tc>
          <w:tcPr>
            <w:tcW w:w="3480" w:type="dxa"/>
            <w:vAlign w:val="bottom"/>
            <w:gridSpan w:val="2"/>
          </w:tcPr>
          <w:p>
            <w:pPr>
              <w:ind w:left="220"/>
              <w:spacing w:after="0"/>
              <w:rPr>
                <w:sz w:val="20"/>
                <w:szCs w:val="20"/>
                <w:color w:val="auto"/>
              </w:rPr>
            </w:pPr>
            <w:r>
              <w:rPr>
                <w:rFonts w:ascii="Arial" w:cs="Arial" w:eastAsia="Arial" w:hAnsi="Arial"/>
                <w:sz w:val="10"/>
                <w:szCs w:val="10"/>
                <w:b w:val="1"/>
                <w:bCs w:val="1"/>
                <w:color w:val="auto"/>
              </w:rPr>
              <w:t>Total Liabilities and Equity</w:t>
            </w:r>
          </w:p>
        </w:tc>
        <w:tc>
          <w:tcPr>
            <w:tcW w:w="4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20" w:type="dxa"/>
            <w:vAlign w:val="bottom"/>
          </w:tcPr>
          <w:p>
            <w:pPr>
              <w:jc w:val="right"/>
              <w:spacing w:after="0"/>
              <w:rPr>
                <w:sz w:val="20"/>
                <w:szCs w:val="20"/>
                <w:color w:val="auto"/>
              </w:rPr>
            </w:pPr>
            <w:r>
              <w:rPr>
                <w:rFonts w:ascii="Arial" w:cs="Arial" w:eastAsia="Arial" w:hAnsi="Arial"/>
                <w:sz w:val="10"/>
                <w:szCs w:val="10"/>
                <w:color w:val="auto"/>
              </w:rPr>
              <w:t>2,393</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2,397</w:t>
            </w:r>
          </w:p>
        </w:tc>
      </w:tr>
      <w:tr>
        <w:trPr>
          <w:trHeight w:val="126"/>
        </w:trPr>
        <w:tc>
          <w:tcPr>
            <w:tcW w:w="164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CCEEFF"/>
            </w:tcBorders>
            <w:shd w:val="clear" w:color="auto" w:fill="CCEEFF"/>
          </w:tcPr>
          <w:p>
            <w:pPr>
              <w:spacing w:after="0"/>
              <w:rPr>
                <w:sz w:val="10"/>
                <w:szCs w:val="10"/>
                <w:color w:val="auto"/>
              </w:rPr>
            </w:pPr>
          </w:p>
        </w:tc>
        <w:tc>
          <w:tcPr>
            <w:tcW w:w="42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r>
      <w:tr>
        <w:trPr>
          <w:trHeight w:val="132"/>
        </w:trPr>
        <w:tc>
          <w:tcPr>
            <w:tcW w:w="3480" w:type="dxa"/>
            <w:vAlign w:val="bottom"/>
            <w:gridSpan w:val="2"/>
          </w:tcPr>
          <w:p>
            <w:pPr>
              <w:spacing w:after="0"/>
              <w:rPr>
                <w:sz w:val="20"/>
                <w:szCs w:val="20"/>
                <w:color w:val="auto"/>
              </w:rPr>
            </w:pPr>
            <w:r>
              <w:rPr>
                <w:rFonts w:ascii="Arial" w:cs="Arial" w:eastAsia="Arial" w:hAnsi="Arial"/>
                <w:sz w:val="10"/>
                <w:szCs w:val="10"/>
                <w:color w:val="auto"/>
              </w:rPr>
              <w:t>Shares of common stock issued and outstanding</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155,097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154,709</w:t>
            </w:r>
          </w:p>
        </w:tc>
      </w:tr>
      <w:tr>
        <w:trPr>
          <w:trHeight w:val="138"/>
        </w:trPr>
        <w:tc>
          <w:tcPr>
            <w:tcW w:w="34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Shares of series A convertible preferred stock issued and outstanding</w:t>
            </w:r>
          </w:p>
        </w:tc>
        <w:tc>
          <w:tcPr>
            <w:tcW w:w="4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w:t>
            </w:r>
          </w:p>
        </w:tc>
      </w:tr>
      <w:tr>
        <w:trPr>
          <w:trHeight w:val="129"/>
        </w:trPr>
        <w:tc>
          <w:tcPr>
            <w:tcW w:w="3480" w:type="dxa"/>
            <w:vAlign w:val="bottom"/>
            <w:gridSpan w:val="2"/>
          </w:tcPr>
          <w:p>
            <w:pPr>
              <w:spacing w:after="0"/>
              <w:rPr>
                <w:sz w:val="20"/>
                <w:szCs w:val="20"/>
                <w:color w:val="auto"/>
              </w:rPr>
            </w:pPr>
            <w:r>
              <w:rPr>
                <w:rFonts w:ascii="Arial" w:cs="Arial" w:eastAsia="Arial" w:hAnsi="Arial"/>
                <w:sz w:val="10"/>
                <w:szCs w:val="10"/>
                <w:color w:val="auto"/>
              </w:rPr>
              <w:t>Shares of common stock held in treasury</w:t>
            </w:r>
          </w:p>
        </w:tc>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70,097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70,097</w:t>
            </w:r>
          </w:p>
        </w:tc>
      </w:tr>
      <w:tr>
        <w:trPr>
          <w:trHeight w:val="746"/>
        </w:trPr>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w:t>
            </w:r>
          </w:p>
        </w:tc>
      </w:tr>
    </w:tbl>
    <w:p>
      <w:pPr>
        <w:sectPr>
          <w:pgSz w:w="11900" w:h="16838" w:orient="portrait"/>
          <w:cols w:equalWidth="0" w:num="1">
            <w:col w:w="11300"/>
          </w:cols>
          <w:pgMar w:left="300" w:top="128" w:right="299" w:bottom="1440" w:gutter="0" w:footer="0" w:header="0"/>
        </w:sectPr>
      </w:pPr>
    </w:p>
    <w:bookmarkStart w:id="15" w:name="page16"/>
    <w:bookmarkEnd w:id="15"/>
    <w:p>
      <w:pPr>
        <w:ind w:left="10560"/>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294"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CONDUENT INCORPORATED</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CONDENSED CONSOLIDATED STATEMENTS OF CASH FLOWS (UNAUDITED)</w:t>
      </w:r>
    </w:p>
    <w:p>
      <w:pPr>
        <w:spacing w:after="0" w:line="57" w:lineRule="exact"/>
        <w:rPr>
          <w:sz w:val="20"/>
          <w:szCs w:val="20"/>
          <w:color w:val="auto"/>
        </w:rPr>
      </w:pPr>
    </w:p>
    <w:p>
      <w:pPr>
        <w:ind w:left="9260"/>
        <w:spacing w:after="0"/>
        <w:rPr>
          <w:sz w:val="20"/>
          <w:szCs w:val="20"/>
          <w:color w:val="auto"/>
        </w:rPr>
      </w:pPr>
      <w:r>
        <w:rPr>
          <w:rFonts w:ascii="Arial" w:cs="Arial" w:eastAsia="Arial" w:hAnsi="Arial"/>
          <w:sz w:val="10"/>
          <w:szCs w:val="10"/>
          <w:color w:val="auto"/>
        </w:rPr>
        <w:t>Three Months Ended</w:t>
      </w:r>
    </w:p>
    <w:p>
      <w:pPr>
        <w:ind w:left="9500"/>
        <w:spacing w:after="0" w:line="237" w:lineRule="auto"/>
        <w:rPr>
          <w:sz w:val="20"/>
          <w:szCs w:val="20"/>
          <w:color w:val="auto"/>
        </w:rPr>
      </w:pPr>
      <w:r>
        <w:rPr>
          <w:rFonts w:ascii="Arial" w:cs="Arial" w:eastAsia="Arial" w:hAnsi="Arial"/>
          <w:sz w:val="10"/>
          <w:szCs w:val="10"/>
          <w:color w:val="auto"/>
        </w:rPr>
        <w:t>March 31,</w:t>
      </w:r>
    </w:p>
    <w:tbl>
      <w:tblPr>
        <w:tblLayout w:type="fixed"/>
        <w:tblInd w:w="20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8300" w:type="dxa"/>
            <w:vAlign w:val="bottom"/>
            <w:gridSpan w:val="2"/>
          </w:tcPr>
          <w:p>
            <w:pPr>
              <w:spacing w:after="0"/>
              <w:rPr>
                <w:sz w:val="20"/>
                <w:szCs w:val="20"/>
                <w:color w:val="auto"/>
              </w:rPr>
            </w:pPr>
            <w:r>
              <w:rPr>
                <w:rFonts w:ascii="Arial" w:cs="Arial" w:eastAsia="Arial" w:hAnsi="Arial"/>
                <w:sz w:val="8"/>
                <w:szCs w:val="8"/>
                <w:color w:val="auto"/>
              </w:rPr>
              <w:t>(in millions)</w:t>
            </w: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412"/>
              <w:spacing w:after="0" w:line="97" w:lineRule="exact"/>
              <w:rPr>
                <w:sz w:val="20"/>
                <w:szCs w:val="20"/>
                <w:color w:val="auto"/>
              </w:rPr>
            </w:pPr>
            <w:r>
              <w:rPr>
                <w:rFonts w:ascii="Arial" w:cs="Arial" w:eastAsia="Arial" w:hAnsi="Arial"/>
                <w:sz w:val="10"/>
                <w:szCs w:val="10"/>
                <w:color w:val="auto"/>
              </w:rPr>
              <w:t>2026</w:t>
            </w: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412"/>
              <w:spacing w:after="0" w:line="97" w:lineRule="exact"/>
              <w:rPr>
                <w:sz w:val="20"/>
                <w:szCs w:val="20"/>
                <w:color w:val="auto"/>
              </w:rPr>
            </w:pPr>
            <w:r>
              <w:rPr>
                <w:rFonts w:ascii="Arial" w:cs="Arial" w:eastAsia="Arial" w:hAnsi="Arial"/>
                <w:sz w:val="10"/>
                <w:szCs w:val="10"/>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830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Cash Flows from Operating Activities:</w:t>
            </w: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32"/>
        </w:trPr>
        <w:tc>
          <w:tcPr>
            <w:tcW w:w="20" w:type="dxa"/>
            <w:vAlign w:val="bottom"/>
          </w:tcPr>
          <w:p>
            <w:pPr>
              <w:spacing w:after="0"/>
              <w:rPr>
                <w:sz w:val="11"/>
                <w:szCs w:val="11"/>
                <w:color w:val="auto"/>
              </w:rPr>
            </w:pPr>
          </w:p>
        </w:tc>
        <w:tc>
          <w:tcPr>
            <w:tcW w:w="8300" w:type="dxa"/>
            <w:vAlign w:val="bottom"/>
            <w:gridSpan w:val="2"/>
          </w:tcPr>
          <w:p>
            <w:pPr>
              <w:spacing w:after="0"/>
              <w:rPr>
                <w:sz w:val="20"/>
                <w:szCs w:val="20"/>
                <w:color w:val="auto"/>
              </w:rPr>
            </w:pPr>
            <w:r>
              <w:rPr>
                <w:rFonts w:ascii="Arial" w:cs="Arial" w:eastAsia="Arial" w:hAnsi="Arial"/>
                <w:sz w:val="10"/>
                <w:szCs w:val="10"/>
                <w:color w:val="auto"/>
              </w:rPr>
              <w:t>Net income (loss)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(51)</w:t>
            </w:r>
          </w:p>
        </w:tc>
      </w:tr>
      <w:tr>
        <w:trPr>
          <w:trHeight w:val="138"/>
        </w:trPr>
        <w:tc>
          <w:tcPr>
            <w:tcW w:w="20" w:type="dxa"/>
            <w:vAlign w:val="bottom"/>
            <w:shd w:val="clear" w:color="auto" w:fill="CCEEFF"/>
          </w:tcPr>
          <w:p>
            <w:pPr>
              <w:spacing w:after="0"/>
              <w:rPr>
                <w:sz w:val="12"/>
                <w:szCs w:val="12"/>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Adjustments required to reconcile net income (loss) to cash flows from operating activities: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8300" w:type="dxa"/>
            <w:vAlign w:val="bottom"/>
            <w:gridSpan w:val="2"/>
          </w:tcPr>
          <w:p>
            <w:pPr>
              <w:ind w:left="220"/>
              <w:spacing w:after="0"/>
              <w:rPr>
                <w:sz w:val="20"/>
                <w:szCs w:val="20"/>
                <w:color w:val="auto"/>
              </w:rPr>
            </w:pPr>
            <w:r>
              <w:rPr>
                <w:rFonts w:ascii="Arial" w:cs="Arial" w:eastAsia="Arial" w:hAnsi="Arial"/>
                <w:sz w:val="10"/>
                <w:szCs w:val="10"/>
                <w:color w:val="auto"/>
              </w:rPr>
              <w:t>Depreciation and amortization</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48</w:t>
            </w:r>
          </w:p>
        </w:tc>
      </w:tr>
      <w:tr>
        <w:trPr>
          <w:trHeight w:val="138"/>
        </w:trPr>
        <w:tc>
          <w:tcPr>
            <w:tcW w:w="20" w:type="dxa"/>
            <w:vAlign w:val="bottom"/>
            <w:shd w:val="clear" w:color="auto" w:fill="CCEEFF"/>
          </w:tcPr>
          <w:p>
            <w:pPr>
              <w:spacing w:after="0"/>
              <w:rPr>
                <w:sz w:val="12"/>
                <w:szCs w:val="12"/>
                <w:color w:val="auto"/>
              </w:rPr>
            </w:pP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Contract inducement amortization</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20" w:type="dxa"/>
            <w:vAlign w:val="bottom"/>
          </w:tcPr>
          <w:p>
            <w:pPr>
              <w:spacing w:after="0"/>
              <w:rPr>
                <w:sz w:val="11"/>
                <w:szCs w:val="11"/>
                <w:color w:val="auto"/>
              </w:rPr>
            </w:pPr>
          </w:p>
        </w:tc>
        <w:tc>
          <w:tcPr>
            <w:tcW w:w="8300" w:type="dxa"/>
            <w:vAlign w:val="bottom"/>
            <w:gridSpan w:val="2"/>
          </w:tcPr>
          <w:p>
            <w:pPr>
              <w:ind w:left="220"/>
              <w:spacing w:after="0"/>
              <w:rPr>
                <w:sz w:val="20"/>
                <w:szCs w:val="20"/>
                <w:color w:val="auto"/>
              </w:rPr>
            </w:pPr>
            <w:r>
              <w:rPr>
                <w:rFonts w:ascii="Arial" w:cs="Arial" w:eastAsia="Arial" w:hAnsi="Arial"/>
                <w:sz w:val="10"/>
                <w:szCs w:val="10"/>
                <w:color w:val="auto"/>
              </w:rPr>
              <w:t>Deferred income taxes</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w:t>
            </w:r>
          </w:p>
        </w:tc>
      </w:tr>
      <w:tr>
        <w:trPr>
          <w:trHeight w:val="138"/>
        </w:trPr>
        <w:tc>
          <w:tcPr>
            <w:tcW w:w="20" w:type="dxa"/>
            <w:vAlign w:val="bottom"/>
            <w:shd w:val="clear" w:color="auto" w:fill="CCEEFF"/>
          </w:tcPr>
          <w:p>
            <w:pPr>
              <w:spacing w:after="0"/>
              <w:rPr>
                <w:sz w:val="12"/>
                <w:szCs w:val="12"/>
                <w:color w:val="auto"/>
              </w:rPr>
            </w:pP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Stock-based compensation</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r>
      <w:tr>
        <w:trPr>
          <w:trHeight w:val="132"/>
        </w:trPr>
        <w:tc>
          <w:tcPr>
            <w:tcW w:w="20" w:type="dxa"/>
            <w:vAlign w:val="bottom"/>
          </w:tcPr>
          <w:p>
            <w:pPr>
              <w:spacing w:after="0"/>
              <w:rPr>
                <w:sz w:val="11"/>
                <w:szCs w:val="11"/>
                <w:color w:val="auto"/>
              </w:rPr>
            </w:pPr>
          </w:p>
        </w:tc>
        <w:tc>
          <w:tcPr>
            <w:tcW w:w="8300" w:type="dxa"/>
            <w:vAlign w:val="bottom"/>
            <w:gridSpan w:val="2"/>
          </w:tcPr>
          <w:p>
            <w:pPr>
              <w:ind w:left="220"/>
              <w:spacing w:after="0"/>
              <w:rPr>
                <w:sz w:val="20"/>
                <w:szCs w:val="20"/>
                <w:color w:val="auto"/>
              </w:rPr>
            </w:pPr>
            <w:r>
              <w:rPr>
                <w:rFonts w:ascii="Arial" w:cs="Arial" w:eastAsia="Arial" w:hAnsi="Arial"/>
                <w:sz w:val="10"/>
                <w:szCs w:val="10"/>
                <w:color w:val="auto"/>
              </w:rPr>
              <w:t>Changes in operating assets and liabilities</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(48)</w:t>
            </w:r>
          </w:p>
        </w:tc>
      </w:tr>
      <w:tr>
        <w:trPr>
          <w:trHeight w:val="138"/>
        </w:trPr>
        <w:tc>
          <w:tcPr>
            <w:tcW w:w="20" w:type="dxa"/>
            <w:vAlign w:val="bottom"/>
            <w:shd w:val="clear" w:color="auto" w:fill="CCEEFF"/>
          </w:tcPr>
          <w:p>
            <w:pPr>
              <w:spacing w:after="0"/>
              <w:rPr>
                <w:sz w:val="12"/>
                <w:szCs w:val="12"/>
                <w:color w:val="auto"/>
              </w:rPr>
            </w:pP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Net change in income tax assets and liabilities</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21"/>
        </w:trPr>
        <w:tc>
          <w:tcPr>
            <w:tcW w:w="2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cash provided by (used in) operating activities</w:t>
            </w: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w:t>
            </w:r>
          </w:p>
        </w:tc>
      </w:tr>
      <w:tr>
        <w:trPr>
          <w:trHeight w:val="118"/>
        </w:trPr>
        <w:tc>
          <w:tcPr>
            <w:tcW w:w="20" w:type="dxa"/>
            <w:vAlign w:val="bottom"/>
            <w:shd w:val="clear" w:color="auto" w:fill="CCEEFF"/>
          </w:tcPr>
          <w:p>
            <w:pPr>
              <w:spacing w:after="0"/>
              <w:rPr>
                <w:sz w:val="10"/>
                <w:szCs w:val="10"/>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8300" w:type="dxa"/>
            <w:vAlign w:val="bottom"/>
            <w:gridSpan w:val="2"/>
          </w:tcPr>
          <w:p>
            <w:pPr>
              <w:ind w:left="220"/>
              <w:spacing w:after="0"/>
              <w:rPr>
                <w:sz w:val="20"/>
                <w:szCs w:val="20"/>
                <w:color w:val="auto"/>
              </w:rPr>
            </w:pPr>
            <w:r>
              <w:rPr>
                <w:rFonts w:ascii="Arial" w:cs="Arial" w:eastAsia="Arial" w:hAnsi="Arial"/>
                <w:sz w:val="10"/>
                <w:szCs w:val="10"/>
                <w:color w:val="auto"/>
              </w:rPr>
              <w:t>Cost of additions to land, buildings and equipment</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(14)</w:t>
            </w:r>
          </w:p>
        </w:tc>
      </w:tr>
      <w:tr>
        <w:trPr>
          <w:trHeight w:val="138"/>
        </w:trPr>
        <w:tc>
          <w:tcPr>
            <w:tcW w:w="20" w:type="dxa"/>
            <w:vAlign w:val="bottom"/>
            <w:shd w:val="clear" w:color="auto" w:fill="CCEEFF"/>
          </w:tcPr>
          <w:p>
            <w:pPr>
              <w:spacing w:after="0"/>
              <w:rPr>
                <w:sz w:val="12"/>
                <w:szCs w:val="12"/>
                <w:color w:val="auto"/>
              </w:rPr>
            </w:pP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Cost of additions to internal use software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r>
      <w:tr>
        <w:trPr>
          <w:trHeight w:val="132"/>
        </w:trPr>
        <w:tc>
          <w:tcPr>
            <w:tcW w:w="20" w:type="dxa"/>
            <w:vAlign w:val="bottom"/>
          </w:tcPr>
          <w:p>
            <w:pPr>
              <w:spacing w:after="0"/>
              <w:rPr>
                <w:sz w:val="11"/>
                <w:szCs w:val="11"/>
                <w:color w:val="auto"/>
              </w:rPr>
            </w:pPr>
          </w:p>
        </w:tc>
        <w:tc>
          <w:tcPr>
            <w:tcW w:w="8300" w:type="dxa"/>
            <w:vAlign w:val="bottom"/>
            <w:gridSpan w:val="2"/>
          </w:tcPr>
          <w:p>
            <w:pPr>
              <w:ind w:left="220"/>
              <w:spacing w:after="0"/>
              <w:rPr>
                <w:sz w:val="20"/>
                <w:szCs w:val="20"/>
                <w:color w:val="auto"/>
              </w:rPr>
            </w:pPr>
            <w:r>
              <w:rPr>
                <w:rFonts w:ascii="Arial" w:cs="Arial" w:eastAsia="Arial" w:hAnsi="Arial"/>
                <w:sz w:val="10"/>
                <w:szCs w:val="10"/>
                <w:color w:val="auto"/>
              </w:rPr>
              <w:t>Proceeds from divestitures</w:t>
            </w:r>
          </w:p>
        </w:tc>
        <w:tc>
          <w:tcPr>
            <w:tcW w:w="26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27"/>
        </w:trPr>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w:t>
            </w:r>
          </w:p>
        </w:tc>
      </w:tr>
      <w:tr>
        <w:trPr>
          <w:trHeight w:val="114"/>
        </w:trPr>
        <w:tc>
          <w:tcPr>
            <w:tcW w:w="20" w:type="dxa"/>
            <w:vAlign w:val="bottom"/>
          </w:tcPr>
          <w:p>
            <w:pPr>
              <w:spacing w:after="0"/>
              <w:rPr>
                <w:sz w:val="9"/>
                <w:szCs w:val="9"/>
                <w:color w:val="auto"/>
              </w:rPr>
            </w:pPr>
          </w:p>
        </w:tc>
        <w:tc>
          <w:tcPr>
            <w:tcW w:w="83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Cash Flows from Financing Activities: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36"/>
        </w:trPr>
        <w:tc>
          <w:tcPr>
            <w:tcW w:w="20" w:type="dxa"/>
            <w:vAlign w:val="bottom"/>
            <w:shd w:val="clear" w:color="auto" w:fill="CCEEFF"/>
          </w:tcPr>
          <w:p>
            <w:pPr>
              <w:spacing w:after="0"/>
              <w:rPr>
                <w:sz w:val="11"/>
                <w:szCs w:val="11"/>
                <w:color w:val="auto"/>
              </w:rPr>
            </w:pP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Proceeds from revolving credit facility</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r>
      <w:tr>
        <w:trPr>
          <w:trHeight w:val="132"/>
        </w:trPr>
        <w:tc>
          <w:tcPr>
            <w:tcW w:w="20" w:type="dxa"/>
            <w:vAlign w:val="bottom"/>
          </w:tcPr>
          <w:p>
            <w:pPr>
              <w:spacing w:after="0"/>
              <w:rPr>
                <w:sz w:val="11"/>
                <w:szCs w:val="11"/>
                <w:color w:val="auto"/>
              </w:rPr>
            </w:pPr>
          </w:p>
        </w:tc>
        <w:tc>
          <w:tcPr>
            <w:tcW w:w="8300" w:type="dxa"/>
            <w:vAlign w:val="bottom"/>
            <w:gridSpan w:val="2"/>
          </w:tcPr>
          <w:p>
            <w:pPr>
              <w:ind w:left="220"/>
              <w:spacing w:after="0"/>
              <w:rPr>
                <w:sz w:val="20"/>
                <w:szCs w:val="20"/>
                <w:color w:val="auto"/>
              </w:rPr>
            </w:pPr>
            <w:r>
              <w:rPr>
                <w:rFonts w:ascii="Arial" w:cs="Arial" w:eastAsia="Arial" w:hAnsi="Arial"/>
                <w:sz w:val="10"/>
                <w:szCs w:val="10"/>
                <w:color w:val="auto"/>
              </w:rPr>
              <w:t>Payments of revolving credit facility</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w:t>
            </w:r>
          </w:p>
        </w:tc>
      </w:tr>
      <w:tr>
        <w:trPr>
          <w:trHeight w:val="138"/>
        </w:trPr>
        <w:tc>
          <w:tcPr>
            <w:tcW w:w="20" w:type="dxa"/>
            <w:vAlign w:val="bottom"/>
            <w:shd w:val="clear" w:color="auto" w:fill="CCEEFF"/>
          </w:tcPr>
          <w:p>
            <w:pPr>
              <w:spacing w:after="0"/>
              <w:rPr>
                <w:sz w:val="12"/>
                <w:szCs w:val="12"/>
                <w:color w:val="auto"/>
              </w:rPr>
            </w:pP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Payments of debt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r>
      <w:tr>
        <w:trPr>
          <w:trHeight w:val="132"/>
        </w:trPr>
        <w:tc>
          <w:tcPr>
            <w:tcW w:w="20" w:type="dxa"/>
            <w:vAlign w:val="bottom"/>
          </w:tcPr>
          <w:p>
            <w:pPr>
              <w:spacing w:after="0"/>
              <w:rPr>
                <w:sz w:val="11"/>
                <w:szCs w:val="11"/>
                <w:color w:val="auto"/>
              </w:rPr>
            </w:pPr>
          </w:p>
        </w:tc>
        <w:tc>
          <w:tcPr>
            <w:tcW w:w="8300" w:type="dxa"/>
            <w:vAlign w:val="bottom"/>
            <w:gridSpan w:val="2"/>
          </w:tcPr>
          <w:p>
            <w:pPr>
              <w:ind w:left="220"/>
              <w:spacing w:after="0"/>
              <w:rPr>
                <w:sz w:val="20"/>
                <w:szCs w:val="20"/>
                <w:color w:val="auto"/>
              </w:rPr>
            </w:pPr>
            <w:r>
              <w:rPr>
                <w:rFonts w:ascii="Arial" w:cs="Arial" w:eastAsia="Arial" w:hAnsi="Arial"/>
                <w:sz w:val="10"/>
                <w:szCs w:val="10"/>
                <w:color w:val="auto"/>
              </w:rPr>
              <w:t>Dividends paid on preferred stock</w:t>
            </w:r>
          </w:p>
        </w:tc>
        <w:tc>
          <w:tcPr>
            <w:tcW w:w="26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27"/>
        </w:trPr>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w:t>
            </w:r>
          </w:p>
        </w:tc>
      </w:tr>
      <w:tr>
        <w:trPr>
          <w:trHeight w:val="121"/>
        </w:trPr>
        <w:tc>
          <w:tcPr>
            <w:tcW w:w="20" w:type="dxa"/>
            <w:vAlign w:val="bottom"/>
          </w:tcPr>
          <w:p>
            <w:pPr>
              <w:spacing w:after="0"/>
              <w:rPr>
                <w:sz w:val="10"/>
                <w:szCs w:val="10"/>
                <w:color w:val="auto"/>
              </w:rPr>
            </w:pPr>
          </w:p>
        </w:tc>
        <w:tc>
          <w:tcPr>
            <w:tcW w:w="8300" w:type="dxa"/>
            <w:vAlign w:val="bottom"/>
            <w:gridSpan w:val="2"/>
          </w:tcPr>
          <w:p>
            <w:pPr>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26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38"/>
        </w:trPr>
        <w:tc>
          <w:tcPr>
            <w:tcW w:w="20" w:type="dxa"/>
            <w:vAlign w:val="bottom"/>
            <w:shd w:val="clear" w:color="auto" w:fill="CCEEFF"/>
          </w:tcPr>
          <w:p>
            <w:pPr>
              <w:spacing w:after="0"/>
              <w:rPr>
                <w:sz w:val="12"/>
                <w:szCs w:val="12"/>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Increase (decrease) in cash, cash equivalents and restricted cash</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w:t>
            </w:r>
          </w:p>
        </w:tc>
      </w:tr>
      <w:tr>
        <w:trPr>
          <w:trHeight w:val="132"/>
        </w:trPr>
        <w:tc>
          <w:tcPr>
            <w:tcW w:w="20" w:type="dxa"/>
            <w:vAlign w:val="bottom"/>
            <w:tcBorders>
              <w:bottom w:val="single" w:sz="8" w:color="CCEEFF"/>
            </w:tcBorders>
          </w:tcPr>
          <w:p>
            <w:pPr>
              <w:spacing w:after="0"/>
              <w:rPr>
                <w:sz w:val="11"/>
                <w:szCs w:val="11"/>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Cash, Cash Equivalents and Restricted Cash at Beginning of Period</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377</w:t>
            </w:r>
          </w:p>
        </w:tc>
      </w:tr>
      <w:tr>
        <w:trPr>
          <w:trHeight w:val="143"/>
        </w:trPr>
        <w:tc>
          <w:tcPr>
            <w:tcW w:w="20" w:type="dxa"/>
            <w:vAlign w:val="bottom"/>
            <w:tcBorders>
              <w:bottom w:val="single" w:sz="8" w:color="CCEEFF"/>
            </w:tcBorders>
            <w:shd w:val="clear" w:color="auto" w:fill="CCEEFF"/>
          </w:tcPr>
          <w:p>
            <w:pPr>
              <w:spacing w:after="0"/>
              <w:rPr>
                <w:sz w:val="12"/>
                <w:szCs w:val="12"/>
                <w:color w:val="auto"/>
              </w:rPr>
            </w:pPr>
          </w:p>
        </w:tc>
        <w:tc>
          <w:tcPr>
            <w:tcW w:w="8300" w:type="dxa"/>
            <w:vAlign w:val="bottom"/>
            <w:tcBorders>
              <w:bottom w:val="single" w:sz="8" w:color="CCEEFF"/>
            </w:tcBorders>
            <w:gridSpan w:val="2"/>
            <w:shd w:val="clear" w:color="auto" w:fill="CCEEFF"/>
          </w:tcPr>
          <w:p>
            <w:pPr>
              <w:spacing w:after="0" w:line="127" w:lineRule="exact"/>
              <w:rPr>
                <w:sz w:val="20"/>
                <w:szCs w:val="20"/>
                <w:color w:val="auto"/>
              </w:rPr>
            </w:pPr>
            <w:r>
              <w:rPr>
                <w:rFonts w:ascii="Arial" w:cs="Arial" w:eastAsia="Arial" w:hAnsi="Arial"/>
                <w:sz w:val="10"/>
                <w:szCs w:val="10"/>
                <w:b w:val="1"/>
                <w:bCs w:val="1"/>
                <w:color w:val="auto"/>
              </w:rPr>
              <w:t>Cash, Cash Equivalents and Restricted Cash at End of period</w:t>
            </w:r>
            <w:r>
              <w:rPr>
                <w:rFonts w:ascii="Arial" w:cs="Arial" w:eastAsia="Arial" w:hAnsi="Arial"/>
                <w:sz w:val="12"/>
                <w:szCs w:val="12"/>
                <w:b w:val="1"/>
                <w:bCs w:val="1"/>
                <w:color w:val="auto"/>
                <w:vertAlign w:val="superscript"/>
              </w:rPr>
              <w:t>(1)</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251</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293</w:t>
            </w:r>
          </w:p>
        </w:tc>
      </w:tr>
    </w:tbl>
    <w:p>
      <w:pPr>
        <w:spacing w:after="0" w:line="51" w:lineRule="exact"/>
        <w:rPr>
          <w:sz w:val="20"/>
          <w:szCs w:val="20"/>
          <w:color w:val="auto"/>
        </w:rPr>
      </w:pPr>
    </w:p>
    <w:p>
      <w:pPr>
        <w:ind w:left="20"/>
        <w:spacing w:after="0"/>
        <w:rPr>
          <w:sz w:val="20"/>
          <w:szCs w:val="20"/>
          <w:color w:val="auto"/>
        </w:rPr>
      </w:pPr>
      <w:r>
        <w:rPr>
          <w:rFonts w:ascii="Arial" w:cs="Arial" w:eastAsia="Arial" w:hAnsi="Arial"/>
          <w:sz w:val="8"/>
          <w:szCs w:val="8"/>
          <w:color w:val="auto"/>
        </w:rPr>
        <w:t>___________</w:t>
      </w:r>
    </w:p>
    <w:p>
      <w:pPr>
        <w:spacing w:after="0" w:line="50"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i w:val="1"/>
          <w:iCs w:val="1"/>
          <w:color w:val="auto"/>
        </w:rPr>
        <w:t>(1)</w:t>
      </w:r>
      <w:r>
        <w:rPr>
          <w:sz w:val="20"/>
          <w:szCs w:val="20"/>
          <w:color w:val="auto"/>
        </w:rPr>
        <w:tab/>
      </w:r>
      <w:r>
        <w:rPr>
          <w:rFonts w:ascii="Arial" w:cs="Arial" w:eastAsia="Arial" w:hAnsi="Arial"/>
          <w:sz w:val="8"/>
          <w:szCs w:val="8"/>
          <w:i w:val="1"/>
          <w:iCs w:val="1"/>
          <w:color w:val="auto"/>
        </w:rPr>
        <w:t>Includes $23 million and $16 million restricted cash as of March 31, 2026 and 2025, respectively, that were included in Other current assets on the respective Consolidated Balance Sheets.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Definitions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New Business Annual Contract Value (ACV): </w:t>
      </w:r>
      <w:r>
        <w:rPr>
          <w:rFonts w:ascii="Arial" w:cs="Arial" w:eastAsia="Arial" w:hAnsi="Arial"/>
          <w:sz w:val="12"/>
          <w:szCs w:val="12"/>
          <w:color w:val="auto"/>
        </w:rPr>
        <w:t>(New Business TCV / contract term) multiplied by 12.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New Business Total Contract Value (TCV): </w:t>
      </w:r>
      <w:r>
        <w:rPr>
          <w:rFonts w:ascii="Arial" w:cs="Arial" w:eastAsia="Arial" w:hAnsi="Arial"/>
          <w:sz w:val="12"/>
          <w:szCs w:val="12"/>
          <w:color w:val="auto"/>
        </w:rPr>
        <w:t>Estimated total future revenues from contracts signed during the period related to new logo, new service line or expansion with existing customers.</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28" w:right="299" w:bottom="1440" w:gutter="0" w:footer="0" w:header="0"/>
        </w:sectPr>
      </w:pPr>
    </w:p>
    <w:bookmarkStart w:id="16" w:name="page17"/>
    <w:bookmarkEnd w:id="16"/>
    <w:p>
      <w:pPr>
        <w:ind w:left="10568"/>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3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TTM: </w:t>
      </w:r>
      <w:r>
        <w:rPr>
          <w:rFonts w:ascii="Arial" w:cs="Arial" w:eastAsia="Arial" w:hAnsi="Arial"/>
          <w:sz w:val="12"/>
          <w:szCs w:val="12"/>
          <w:color w:val="auto"/>
        </w:rPr>
        <w:t>Trailing twelve months.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PBT: </w:t>
      </w:r>
      <w:r>
        <w:rPr>
          <w:rFonts w:ascii="Arial" w:cs="Arial" w:eastAsia="Arial" w:hAnsi="Arial"/>
          <w:sz w:val="12"/>
          <w:szCs w:val="12"/>
          <w:color w:val="auto"/>
        </w:rPr>
        <w:t>Profit before tax.</w:t>
      </w:r>
    </w:p>
    <w:p>
      <w:pPr>
        <w:spacing w:after="0" w:line="33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reported our financial results in accordance with accounting principles generally accepted in the U.S. (U.S. GAAP). In addition, we have discussed our financial results using non-GAAP measures.</w:t>
      </w:r>
    </w:p>
    <w:p>
      <w:pPr>
        <w:spacing w:after="0" w:line="168" w:lineRule="exact"/>
        <w:rPr>
          <w:sz w:val="20"/>
          <w:szCs w:val="20"/>
          <w:color w:val="auto"/>
        </w:rPr>
      </w:pPr>
    </w:p>
    <w:p>
      <w:pPr>
        <w:ind w:left="8" w:right="20"/>
        <w:spacing w:after="0" w:line="255" w:lineRule="auto"/>
        <w:rPr>
          <w:sz w:val="20"/>
          <w:szCs w:val="20"/>
          <w:color w:val="auto"/>
        </w:rPr>
      </w:pPr>
      <w:r>
        <w:rPr>
          <w:rFonts w:ascii="Arial" w:cs="Arial" w:eastAsia="Arial" w:hAnsi="Arial"/>
          <w:sz w:val="12"/>
          <w:szCs w:val="12"/>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23" w:lineRule="exact"/>
        <w:rPr>
          <w:sz w:val="20"/>
          <w:szCs w:val="20"/>
          <w:color w:val="auto"/>
        </w:rPr>
      </w:pPr>
    </w:p>
    <w:p>
      <w:pPr>
        <w:ind w:left="8" w:right="60"/>
        <w:spacing w:after="0" w:line="286" w:lineRule="auto"/>
        <w:rPr>
          <w:sz w:val="20"/>
          <w:szCs w:val="20"/>
          <w:color w:val="auto"/>
        </w:rPr>
      </w:pPr>
      <w:r>
        <w:rPr>
          <w:rFonts w:ascii="Arial" w:cs="Arial" w:eastAsia="Arial" w:hAnsi="Arial"/>
          <w:sz w:val="12"/>
          <w:szCs w:val="12"/>
          <w:color w:val="auto"/>
        </w:rPr>
        <w:t>Management cautions that amounts presented in accordance with Conduent's definition of non-GAAP financial measures may not be comparable to similar measures disclosed by other companies because not all companies calculate non-GAAP measures in the same manner.</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color w:val="auto"/>
        </w:rPr>
        <w:t>A reconciliation of the following non-GAAP financial measures to the most directly comparable financial measures calculated and presented in accordance with U.S. GAAP are provided below.</w:t>
      </w:r>
    </w:p>
    <w:p>
      <w:pPr>
        <w:spacing w:after="0" w:line="114" w:lineRule="exact"/>
        <w:rPr>
          <w:sz w:val="20"/>
          <w:szCs w:val="20"/>
          <w:color w:val="auto"/>
        </w:rPr>
      </w:pPr>
    </w:p>
    <w:p>
      <w:pPr>
        <w:ind w:left="8" w:right="60"/>
        <w:spacing w:after="0" w:line="262" w:lineRule="auto"/>
        <w:rPr>
          <w:sz w:val="20"/>
          <w:szCs w:val="20"/>
          <w:color w:val="auto"/>
        </w:rPr>
      </w:pPr>
      <w:r>
        <w:rPr>
          <w:rFonts w:ascii="Arial" w:cs="Arial" w:eastAsia="Arial" w:hAnsi="Arial"/>
          <w:sz w:val="12"/>
          <w:szCs w:val="12"/>
          <w:color w:val="auto"/>
        </w:rPr>
        <w:t>These reconciliations also include the income tax effects for our non-GAAP performance measures in total, to the extent applicable. The income tax effects are calculated under the same accounting principles as applied to our reported pre-tax performance measures under Accounting Standards Codification 740, which employs an annual effective tax rate method. The noted income tax effect for our non-GAAP performance measures is effectively the difference in income taxes for reported and adjusted pre-tax income calculated under the annual effective tax rate method. The tax effect of the non-GAAP adjustments was calculated based upon evaluation of the statutory tax treatment and the applicable statutory tax rate in the jurisdictions in which such charges were incurred.</w:t>
      </w:r>
    </w:p>
    <w:p>
      <w:pPr>
        <w:spacing w:after="0" w:line="243" w:lineRule="exact"/>
        <w:rPr>
          <w:sz w:val="20"/>
          <w:szCs w:val="20"/>
          <w:color w:val="auto"/>
        </w:rPr>
      </w:pPr>
    </w:p>
    <w:p>
      <w:pPr>
        <w:ind w:left="8" w:right="140"/>
        <w:spacing w:after="0" w:line="296" w:lineRule="auto"/>
        <w:rPr>
          <w:sz w:val="20"/>
          <w:szCs w:val="20"/>
          <w:color w:val="auto"/>
        </w:rPr>
      </w:pPr>
      <w:r>
        <w:rPr>
          <w:rFonts w:ascii="Arial" w:cs="Arial" w:eastAsia="Arial" w:hAnsi="Arial"/>
          <w:sz w:val="12"/>
          <w:szCs w:val="12"/>
          <w:b w:val="1"/>
          <w:bCs w:val="1"/>
          <w:color w:val="auto"/>
        </w:rPr>
        <w:t>Adjusted Revenue, Adjusted Profit Before Tax, Adjusted Net Income (Loss), Adjusted Diluted Earnings per Share, Adjusted Weighted Average Common Shares Outstanding, and Adjusted Effective Tax Rate</w:t>
      </w:r>
    </w:p>
    <w:p>
      <w:pPr>
        <w:spacing w:after="0" w:line="110" w:lineRule="exact"/>
        <w:rPr>
          <w:sz w:val="20"/>
          <w:szCs w:val="20"/>
          <w:color w:val="auto"/>
        </w:rPr>
      </w:pPr>
    </w:p>
    <w:p>
      <w:pPr>
        <w:ind w:left="8" w:right="300"/>
        <w:spacing w:after="0" w:line="286" w:lineRule="auto"/>
        <w:rPr>
          <w:sz w:val="20"/>
          <w:szCs w:val="20"/>
          <w:color w:val="auto"/>
        </w:rPr>
      </w:pPr>
      <w:r>
        <w:rPr>
          <w:rFonts w:ascii="Arial" w:cs="Arial" w:eastAsia="Arial" w:hAnsi="Arial"/>
          <w:sz w:val="12"/>
          <w:szCs w:val="12"/>
          <w:color w:val="auto"/>
        </w:rPr>
        <w:t>We make adjustments to Revenue, Net Income (Loss) before Income Taxes for the following items, as applicable, to the particular financial measure, for the purpose of calculating Adjusted Revenue, Adjusted Profit Before Tax, Adjusted Net Income (Loss), Adjusted Diluted Earnings per Share, Adjusted Weighted Average Common Shares Outstanding, and Adjusted Effective Tax Rate:</w:t>
      </w:r>
    </w:p>
    <w:p>
      <w:pPr>
        <w:spacing w:after="0" w:line="121"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Amortization of acquired intangible assets. This is driven by acquisition activity, which can vary in size, nature and timing as compared to other companies within our industry and from period to period.</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Restructuring and related costs. This includes restructuring and asset impairment charges as well as costs associated with our strategic transformation program.</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Goodwill impairment. This represents goodwill impairment charges arising from annual or interim goodwill testing.</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(Gain) loss on divestitures and transaction costs, net. Represents (gain) loss on divested businesses and transaction costs.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Litigation settlements (recoveries), net represents settlements or recoveries for various matters subject to litigation.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8"/>
          </w:cols>
          <w:pgMar w:left="292" w:top="128" w:right="299" w:bottom="1440" w:gutter="0" w:footer="0" w:header="0"/>
        </w:sectPr>
      </w:pPr>
    </w:p>
    <w:bookmarkStart w:id="17" w:name="page18"/>
    <w:bookmarkEnd w:id="17"/>
    <w:p>
      <w:pPr>
        <w:ind w:left="10568"/>
        <w:spacing w:after="0"/>
        <w:rPr>
          <w:sz w:val="20"/>
          <w:szCs w:val="20"/>
          <w:color w:val="auto"/>
        </w:rPr>
      </w:pPr>
      <w:r>
        <w:rPr>
          <w:rFonts w:ascii="Arial" w:cs="Arial" w:eastAsia="Arial" w:hAnsi="Arial"/>
          <w:sz w:val="11"/>
          <w:szCs w:val="11"/>
          <w:b w:val="1"/>
          <w:bCs w:val="1"/>
          <w:color w:val="auto"/>
        </w:rPr>
        <w:t>EXHIBIT 99.1</w:t>
      </w:r>
    </w:p>
    <w:p>
      <w:pPr>
        <w:spacing w:after="0" w:line="386"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Loss on extinguishment of debt. This represents write-off related debt issuance costs related to prepayments of debt.</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Direct response costs - cyber event. This represents costs related to investigating, remediating and responding to the January 2025 Cyber Event.</w:t>
      </w:r>
    </w:p>
    <w:p>
      <w:pPr>
        <w:spacing w:after="0" w:line="6" w:lineRule="exact"/>
        <w:rPr>
          <w:rFonts w:ascii="Arial" w:cs="Arial" w:eastAsia="Arial" w:hAnsi="Arial"/>
          <w:sz w:val="12"/>
          <w:szCs w:val="12"/>
          <w:color w:val="auto"/>
        </w:rPr>
      </w:pPr>
    </w:p>
    <w:p>
      <w:pPr>
        <w:ind w:left="208" w:right="60" w:hanging="208"/>
        <w:spacing w:after="0" w:line="250" w:lineRule="auto"/>
        <w:tabs>
          <w:tab w:leader="none" w:pos="205" w:val="left"/>
        </w:tabs>
        <w:numPr>
          <w:ilvl w:val="0"/>
          <w:numId w:val="9"/>
        </w:numPr>
        <w:rPr>
          <w:rFonts w:ascii="Arial" w:cs="Arial" w:eastAsia="Arial" w:hAnsi="Arial"/>
          <w:sz w:val="12"/>
          <w:szCs w:val="12"/>
          <w:color w:val="auto"/>
        </w:rPr>
      </w:pPr>
      <w:r>
        <w:rPr>
          <w:rFonts w:ascii="Arial" w:cs="Arial" w:eastAsia="Arial" w:hAnsi="Arial"/>
          <w:sz w:val="12"/>
          <w:szCs w:val="12"/>
          <w:color w:val="auto"/>
        </w:rPr>
        <w:t>Other charges (credits). This includes Other (income) expenses, net on the Consolidated Statements of Income (loss) and other adjustments, including former CEO separation costs of approximately $4 million in Q1 2026.</w:t>
      </w: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Divestitures. Revenue and Adjusted EBITDA of divested businesses are excluded.</w:t>
      </w:r>
    </w:p>
    <w:p>
      <w:pPr>
        <w:spacing w:after="0" w:line="156" w:lineRule="exact"/>
        <w:rPr>
          <w:sz w:val="20"/>
          <w:szCs w:val="20"/>
          <w:color w:val="auto"/>
        </w:rPr>
      </w:pPr>
    </w:p>
    <w:p>
      <w:pPr>
        <w:ind w:left="8" w:right="60"/>
        <w:spacing w:after="0" w:line="268" w:lineRule="auto"/>
        <w:rPr>
          <w:sz w:val="20"/>
          <w:szCs w:val="20"/>
          <w:color w:val="auto"/>
        </w:rPr>
      </w:pPr>
      <w:r>
        <w:rPr>
          <w:rFonts w:ascii="Arial" w:cs="Arial" w:eastAsia="Arial" w:hAnsi="Arial"/>
          <w:sz w:val="12"/>
          <w:szCs w:val="12"/>
          <w:color w:val="auto"/>
        </w:rPr>
        <w:t>The Company provides adjusted net income and adjusted EPS financial measures to assist our investors in evaluating our ongoing operating performance for the current reporting period and, where provided, over different reporting periods, by adjusting for certain items which may be recurring or non-recurring and which in our view do not necessarily reflect ongoing performance. We also internally use these measures to assess our operating performance, both absolutely and in comparison to other companies, and in evaluating or making selected compensation decisions.</w:t>
      </w:r>
    </w:p>
    <w:p>
      <w:pPr>
        <w:spacing w:after="0" w:line="132"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Management believes that the adjusted effective tax rate, provided as supplemental information, facilitates a comparison by investors of our actual effective tax rate with an adjusted effective tax rate which reflects the impact of the items which are excluded in providing adjusted net income and certain other identified items, and may provide added insight into our underlying business results and how effective tax rates impact our ongoing business.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Revenue, Adjusted Operating Income and Adjusted Operating Margin</w:t>
      </w:r>
    </w:p>
    <w:p>
      <w:pPr>
        <w:spacing w:after="0" w:line="168" w:lineRule="exact"/>
        <w:rPr>
          <w:sz w:val="20"/>
          <w:szCs w:val="20"/>
          <w:color w:val="auto"/>
        </w:rPr>
      </w:pPr>
    </w:p>
    <w:p>
      <w:pPr>
        <w:ind w:left="8" w:right="280"/>
        <w:spacing w:after="0" w:line="286" w:lineRule="auto"/>
        <w:rPr>
          <w:sz w:val="20"/>
          <w:szCs w:val="20"/>
          <w:color w:val="auto"/>
        </w:rPr>
      </w:pPr>
      <w:r>
        <w:rPr>
          <w:rFonts w:ascii="Arial" w:cs="Arial" w:eastAsia="Arial" w:hAnsi="Arial"/>
          <w:sz w:val="12"/>
          <w:szCs w:val="12"/>
          <w:color w:val="auto"/>
        </w:rPr>
        <w:t>We make adjustments to Revenue, Costs and Expenses and Operating Margin for the following items, as applicable, for the purpose of calculating Adjusted Revenue, Adjusted Operating Income and Adjusted Operating Margin:</w:t>
      </w:r>
    </w:p>
    <w:p>
      <w:pPr>
        <w:spacing w:after="0" w:line="121"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Amortization of acquired intangible assets.</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Restructuring and related costs.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Interest expense. Interest expense includes interest on long-term debt and amortization of debt issuance costs.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Goodwill impairment.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(Gain) loss on divestitures and transaction costs,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Litigation settlements (recoveries),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Loss on extinguishment of debt.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Direct response costs - cyber event.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Other charges (credits).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Divestitures.</w:t>
      </w:r>
    </w:p>
    <w:p>
      <w:pPr>
        <w:spacing w:after="0" w:line="156" w:lineRule="exact"/>
        <w:rPr>
          <w:sz w:val="20"/>
          <w:szCs w:val="20"/>
          <w:color w:val="auto"/>
        </w:rPr>
      </w:pPr>
    </w:p>
    <w:p>
      <w:pPr>
        <w:ind w:left="8" w:right="160"/>
        <w:spacing w:after="0" w:line="268" w:lineRule="auto"/>
        <w:rPr>
          <w:sz w:val="20"/>
          <w:szCs w:val="20"/>
          <w:color w:val="auto"/>
        </w:rPr>
      </w:pPr>
      <w:r>
        <w:rPr>
          <w:rFonts w:ascii="Arial" w:cs="Arial" w:eastAsia="Arial" w:hAnsi="Arial"/>
          <w:sz w:val="12"/>
          <w:szCs w:val="12"/>
          <w:color w:val="auto"/>
        </w:rPr>
        <w:t>We provide our investors with adjusted revenue, adjusted operating income and adjusted operating margin information, as supplemental information, because we believe it offers added insight, by itself and for comparability between periods, by adjusting for certain non-cash items as well as certain other identified items which we do not believe are indicative of our ongoing business, and may also provide added insight on trends in our ongoing business.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EBITDA and EBITDA Margin</w:t>
      </w:r>
    </w:p>
    <w:p>
      <w:pPr>
        <w:spacing w:after="0" w:line="168" w:lineRule="exact"/>
        <w:rPr>
          <w:sz w:val="20"/>
          <w:szCs w:val="20"/>
          <w:color w:val="auto"/>
        </w:rPr>
      </w:pPr>
    </w:p>
    <w:p>
      <w:pPr>
        <w:ind w:left="8" w:right="120"/>
        <w:spacing w:after="0" w:line="268" w:lineRule="auto"/>
        <w:rPr>
          <w:sz w:val="20"/>
          <w:szCs w:val="20"/>
          <w:color w:val="auto"/>
        </w:rPr>
      </w:pPr>
      <w:r>
        <w:rPr>
          <w:rFonts w:ascii="Arial" w:cs="Arial" w:eastAsia="Arial" w:hAnsi="Arial"/>
          <w:sz w:val="12"/>
          <w:szCs w:val="12"/>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represents income (loss) before interest, income taxes, depreciation and amortization and contract inducement amortization adjusted for the following items. Adjusted EBITDA Margin is Adjusted EBITDA divided by revenue or adjusted revenue, as applicable.</w:t>
      </w:r>
    </w:p>
    <w:p>
      <w:pPr>
        <w:spacing w:after="0" w:line="132"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Restructuring and related costs.</w:t>
      </w:r>
    </w:p>
    <w:p>
      <w:pPr>
        <w:spacing w:after="0" w:line="18" w:lineRule="exact"/>
        <w:rPr>
          <w:rFonts w:ascii="Arial" w:cs="Arial" w:eastAsia="Arial" w:hAnsi="Arial"/>
          <w:sz w:val="12"/>
          <w:szCs w:val="12"/>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Goodwill impairment.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(Gain) loss on divestitures and transaction costs,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Litigation settlements (recoveries), net.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Loss on extinguishment of debt.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Direct response costs - cyber event.</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Other charges (credits).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8"/>
          </w:cols>
          <w:pgMar w:left="292" w:top="128" w:right="299" w:bottom="1440" w:gutter="0" w:footer="0" w:header="0"/>
        </w:sectPr>
      </w:pPr>
    </w:p>
    <w:bookmarkStart w:id="18" w:name="page19"/>
    <w:bookmarkEnd w:id="18"/>
    <w:p>
      <w:pPr>
        <w:ind w:left="10568"/>
        <w:spacing w:after="0"/>
        <w:rPr>
          <w:sz w:val="20"/>
          <w:szCs w:val="20"/>
          <w:color w:val="auto"/>
        </w:rPr>
      </w:pPr>
      <w:r>
        <w:rPr>
          <w:rFonts w:ascii="Arial" w:cs="Arial" w:eastAsia="Arial" w:hAnsi="Arial"/>
          <w:sz w:val="11"/>
          <w:szCs w:val="11"/>
          <w:b w:val="1"/>
          <w:bCs w:val="1"/>
          <w:color w:val="auto"/>
        </w:rPr>
        <w:t>EXHIBIT 99.1</w:t>
      </w:r>
    </w:p>
    <w:p>
      <w:pPr>
        <w:spacing w:after="0" w:line="386"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Divestitures.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Adjusted EBITDA is not intended to represent cash flows from operations, operating income (loss) or net income (loss) as defined by U.S. GAAP as indicators of operating performance.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Free Cash Flow</w:t>
      </w:r>
    </w:p>
    <w:p>
      <w:pPr>
        <w:spacing w:after="0" w:line="204"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Free Cash Flow is defined as cash flows from operating activities as reported on the consolidated statement of cash flows, less cost of additions to land, buildings and equipment, cost of additions to internal use software, and proceeds from sales of land, buildings and equipment, as applicable. We use the non-GAAP measure of Free Cash Flow as a criterion of liquidity. We use Free Cash Flow as a measure of liquidity to determine amounts we can reinvest in our core businesses, such as amounts available to make acquisitions and invest in land, buildings and equipment and internal use software, after required payments on debt. In order to provide a meaningful basis for comparison, we are providing information with respect to our Free Cash Flow reconciled to cash flow provided by operating activities, which we believe to be the most directly comparable measure under U.S. GAAP.</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Free Cash Flow</w:t>
      </w:r>
    </w:p>
    <w:p>
      <w:pPr>
        <w:spacing w:after="0" w:line="204"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Adjusted Free Cash Flow is defined as Free Cash Flow from above plus adjustments for litigation insurance recoveries, transaction costs, taxes paid on gains from divestitures and litigation recoveries, proceeds from failed sale-leaseback transactions and certain other identified adjustments, as applicable. We use Adjusted Free Cash Flow, in addition to Free Cash Flow, to provide supplemental information to our investors concerning our ability to generate cash from our ongoing operating activities; by excluding these items, we believe we provide useful additional information to our investors to help them further understand our ability to generate cash period-over-period as well as added information on comparability to our competitors. Such as with Free Cash Flow information, as so adjusted, it is specifically not intended to provide amounts available for discretionary spending. We have added certain adjustments to account for items which we do not believe reflect our core business or operating performance, and we computed all periods with such adjusted costs.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 at Constant Currency</w:t>
      </w:r>
    </w:p>
    <w:p>
      <w:pPr>
        <w:spacing w:after="0" w:line="168"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2"/>
          <w:szCs w:val="12"/>
          <w:color w:val="auto"/>
        </w:rPr>
        <w:t>To better understand trends in our business, we believe that it is helpful to adjust revenue to exclude the impact of changes in the translation of foreign currencies into U.S. Dollars. We refer to this adjusted revenue as “constant currency.” Currency impact is determined as the difference between actual growth rates and constant currency growth rates. This currency impact is calculated by translating the current period activity in local currency using the comparable prior-year period's currency translation rate.</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Non-GAAP Outlook</w:t>
      </w:r>
    </w:p>
    <w:p>
      <w:pPr>
        <w:spacing w:after="0" w:line="204"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In providing the Full Year 2026 and Mid-Term Outlook for Adjusted EBITDA and Adjusted EBITDA Margin, we exclude certain items which are otherwise included in determining the comparable U.S. GAAP financial measure. A description of the adjustments which historically have been applicable in determining Adjusted EBITDA and Adjusted EBITDA Margin is reflected in the table below. We are providing such outlook only on a non-GAAP basis because the Company is unable without unreasonable efforts to predict with reasonable certainty the totality or ultimate outcome or occurrence of these adjustments for the forward-looking period, which can be dependent on future events that may not be reliably predicted. Based on past reported results, where one or more of these items have been applicable, such excluded items could be material, individually or in the aggregate, to reported results. We have provided an outlook for Adjusted Revenue only on a non-GAAP basis using foreign currency translation rates as of fiscal year end due to the inability to, without unreasonable efforts, accurately predict foreign currency impact on revenues.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8"/>
          </w:cols>
          <w:pgMar w:left="292" w:top="128" w:right="299" w:bottom="1440" w:gutter="0" w:footer="0" w:header="0"/>
        </w:sectPr>
      </w:pPr>
    </w:p>
    <w:bookmarkStart w:id="19" w:name="page20"/>
    <w:bookmarkEnd w:id="19"/>
    <w:p>
      <w:pPr>
        <w:ind w:left="10560"/>
        <w:spacing w:after="0"/>
        <w:rPr>
          <w:sz w:val="20"/>
          <w:szCs w:val="20"/>
          <w:color w:val="auto"/>
        </w:rPr>
      </w:pPr>
      <w:r>
        <w:rPr>
          <w:rFonts w:ascii="Arial" w:cs="Arial" w:eastAsia="Arial" w:hAnsi="Arial"/>
          <w:sz w:val="11"/>
          <w:szCs w:val="11"/>
          <w:b w:val="1"/>
          <w:bCs w:val="1"/>
          <w:color w:val="auto"/>
        </w:rPr>
        <w:t>EXHIBIT 99.1</w:t>
      </w:r>
    </w:p>
    <w:p>
      <w:pPr>
        <w:spacing w:after="0" w:line="200" w:lineRule="exact"/>
        <w:rPr>
          <w:sz w:val="20"/>
          <w:szCs w:val="20"/>
          <w:color w:val="auto"/>
        </w:rPr>
      </w:pPr>
    </w:p>
    <w:p>
      <w:pPr>
        <w:spacing w:after="0" w:line="222"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b w:val="1"/>
          <w:bCs w:val="1"/>
          <w:color w:val="auto"/>
        </w:rPr>
        <w:t xml:space="preserve">Non-GAAP Reconciliations: </w:t>
      </w:r>
      <w:r>
        <w:rPr>
          <w:rFonts w:ascii="Arial" w:cs="Arial" w:eastAsia="Arial" w:hAnsi="Arial"/>
          <w:sz w:val="12"/>
          <w:szCs w:val="12"/>
          <w:color w:val="auto"/>
        </w:rPr>
        <w:t>Revenue at Constant Currency, Adjusted Net Income (Loss), Adjusted Effective Tax, Adjusted Operating Income (Loss) and Adjusted EBITDA were as follows (see footnotes on last</w:t>
      </w:r>
      <w:r>
        <w:rPr>
          <w:rFonts w:ascii="Arial" w:cs="Arial" w:eastAsia="Arial" w:hAnsi="Arial"/>
          <w:sz w:val="12"/>
          <w:szCs w:val="12"/>
          <w:b w:val="1"/>
          <w:bCs w:val="1"/>
          <w:color w:val="auto"/>
        </w:rPr>
        <w:t xml:space="preserve"> </w:t>
      </w:r>
      <w:r>
        <w:rPr>
          <w:rFonts w:ascii="Arial" w:cs="Arial" w:eastAsia="Arial" w:hAnsi="Arial"/>
          <w:sz w:val="12"/>
          <w:szCs w:val="12"/>
          <w:color w:val="auto"/>
        </w:rPr>
        <w:t>page of Non-GAAP reconciliations):</w:t>
      </w:r>
    </w:p>
    <w:p>
      <w:pPr>
        <w:ind w:left="9580"/>
        <w:spacing w:after="0" w:line="224" w:lineRule="auto"/>
        <w:rPr>
          <w:sz w:val="20"/>
          <w:szCs w:val="20"/>
          <w:color w:val="auto"/>
        </w:rPr>
      </w:pPr>
      <w:r>
        <w:rPr>
          <w:rFonts w:ascii="Arial" w:cs="Arial" w:eastAsia="Arial" w:hAnsi="Arial"/>
          <w:sz w:val="10"/>
          <w:szCs w:val="10"/>
          <w:color w:val="auto"/>
        </w:rPr>
        <w:t>Three Months Ended</w:t>
      </w:r>
    </w:p>
    <w:p>
      <w:pPr>
        <w:ind w:left="9840"/>
        <w:spacing w:after="0"/>
        <w:rPr>
          <w:sz w:val="20"/>
          <w:szCs w:val="20"/>
          <w:color w:val="auto"/>
        </w:rPr>
      </w:pPr>
      <w:r>
        <w:rPr>
          <w:rFonts w:ascii="Arial" w:cs="Arial" w:eastAsia="Arial" w:hAnsi="Arial"/>
          <w:sz w:val="10"/>
          <w:szCs w:val="10"/>
          <w:color w:val="auto"/>
        </w:rPr>
        <w:t>March 31,</w:t>
      </w:r>
    </w:p>
    <w:tbl>
      <w:tblPr>
        <w:tblLayout w:type="fixed"/>
        <w:tblInd w:w="0" w:type="dxa"/>
        <w:tblCellMar>
          <w:top w:w="0" w:type="dxa"/>
          <w:left w:w="0" w:type="dxa"/>
          <w:bottom w:w="0" w:type="dxa"/>
          <w:right w:w="0" w:type="dxa"/>
        </w:tblCellMar>
      </w:tblPr>
      <w:tr>
        <w:trPr>
          <w:trHeight w:val="96"/>
        </w:trPr>
        <w:tc>
          <w:tcPr>
            <w:tcW w:w="8800" w:type="dxa"/>
            <w:vAlign w:val="bottom"/>
            <w:gridSpan w:val="6"/>
          </w:tcPr>
          <w:p>
            <w:pPr>
              <w:spacing w:after="0"/>
              <w:rPr>
                <w:sz w:val="20"/>
                <w:szCs w:val="20"/>
                <w:color w:val="auto"/>
              </w:rPr>
            </w:pPr>
            <w:r>
              <w:rPr>
                <w:rFonts w:ascii="Arial" w:cs="Arial" w:eastAsia="Arial" w:hAnsi="Arial"/>
                <w:sz w:val="8"/>
                <w:szCs w:val="8"/>
                <w:color w:val="auto"/>
              </w:rPr>
              <w:t>(in millions)</w:t>
            </w:r>
          </w:p>
        </w:tc>
        <w:tc>
          <w:tcPr>
            <w:tcW w:w="2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452"/>
              <w:spacing w:after="0" w:line="96" w:lineRule="exact"/>
              <w:rPr>
                <w:sz w:val="20"/>
                <w:szCs w:val="20"/>
                <w:color w:val="auto"/>
              </w:rPr>
            </w:pPr>
            <w:r>
              <w:rPr>
                <w:rFonts w:ascii="Arial" w:cs="Arial" w:eastAsia="Arial" w:hAnsi="Arial"/>
                <w:sz w:val="10"/>
                <w:szCs w:val="10"/>
                <w:color w:val="auto"/>
              </w:rPr>
              <w:t>2026</w:t>
            </w: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452"/>
              <w:spacing w:after="0" w:line="96" w:lineRule="exact"/>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40" w:type="dxa"/>
            <w:vAlign w:val="bottom"/>
            <w:gridSpan w:val="3"/>
            <w:vMerge w:val="restart"/>
          </w:tcPr>
          <w:p>
            <w:pPr>
              <w:spacing w:after="0"/>
              <w:rPr>
                <w:sz w:val="20"/>
                <w:szCs w:val="20"/>
                <w:color w:val="auto"/>
              </w:rPr>
            </w:pPr>
            <w:r>
              <w:rPr>
                <w:rFonts w:ascii="Arial" w:cs="Arial" w:eastAsia="Arial" w:hAnsi="Arial"/>
                <w:sz w:val="10"/>
                <w:szCs w:val="10"/>
                <w:b w:val="1"/>
                <w:bCs w:val="1"/>
                <w:color w:val="auto"/>
                <w:w w:val="94"/>
              </w:rPr>
              <w:t>REVENUE AT CONSTANT CURRENCY</w:t>
            </w:r>
          </w:p>
        </w:tc>
        <w:tc>
          <w:tcPr>
            <w:tcW w:w="7060" w:type="dxa"/>
            <w:vAlign w:val="bottom"/>
            <w:gridSpan w:val="3"/>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740" w:type="dxa"/>
            <w:vAlign w:val="bottom"/>
            <w:tcBorders>
              <w:bottom w:val="single" w:sz="8" w:color="auto"/>
            </w:tcBorders>
            <w:gridSpan w:val="3"/>
            <w:vMerge w:val="continue"/>
          </w:tcPr>
          <w:p>
            <w:pPr>
              <w:spacing w:after="0"/>
              <w:rPr>
                <w:sz w:val="7"/>
                <w:szCs w:val="7"/>
                <w:color w:val="auto"/>
              </w:rPr>
            </w:pPr>
          </w:p>
        </w:tc>
        <w:tc>
          <w:tcPr>
            <w:tcW w:w="70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800" w:type="dxa"/>
            <w:vAlign w:val="bottom"/>
            <w:gridSpan w:val="6"/>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751</w:t>
            </w:r>
          </w:p>
        </w:tc>
        <w:tc>
          <w:tcPr>
            <w:tcW w:w="0" w:type="dxa"/>
            <w:vAlign w:val="bottom"/>
          </w:tcPr>
          <w:p>
            <w:pPr>
              <w:spacing w:after="0"/>
              <w:rPr>
                <w:sz w:val="1"/>
                <w:szCs w:val="1"/>
                <w:color w:val="auto"/>
              </w:rPr>
            </w:pPr>
          </w:p>
        </w:tc>
      </w:tr>
      <w:tr>
        <w:trPr>
          <w:trHeight w:val="132"/>
        </w:trPr>
        <w:tc>
          <w:tcPr>
            <w:tcW w:w="8800" w:type="dxa"/>
            <w:vAlign w:val="bottom"/>
            <w:tcBorders>
              <w:bottom w:val="single" w:sz="8" w:color="CCEEFF"/>
            </w:tcBorders>
            <w:gridSpan w:val="6"/>
          </w:tcPr>
          <w:p>
            <w:pPr>
              <w:ind w:left="140"/>
              <w:spacing w:after="0"/>
              <w:rPr>
                <w:sz w:val="20"/>
                <w:szCs w:val="20"/>
                <w:color w:val="auto"/>
              </w:rPr>
            </w:pPr>
            <w:r>
              <w:rPr>
                <w:rFonts w:ascii="Arial" w:cs="Arial" w:eastAsia="Arial" w:hAnsi="Arial"/>
                <w:sz w:val="10"/>
                <w:szCs w:val="10"/>
                <w:color w:val="auto"/>
              </w:rPr>
              <w:t>Foreign currency impact</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3"/>
        </w:trPr>
        <w:tc>
          <w:tcPr>
            <w:tcW w:w="88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0"/>
                <w:szCs w:val="10"/>
                <w:b w:val="1"/>
                <w:bCs w:val="1"/>
                <w:color w:val="auto"/>
              </w:rPr>
              <w:t>Revenue at Constant Currency</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712</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755</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0" w:type="dxa"/>
            <w:vAlign w:val="bottom"/>
            <w:gridSpan w:val="6"/>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ADJUSTED NET INCOME (LOSS) - from Net Income (loss)</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20" w:type="dxa"/>
            <w:vAlign w:val="bottom"/>
            <w:tcBorders>
              <w:top w:val="single" w:sz="8" w:color="auto"/>
            </w:tcBorders>
            <w:gridSpan w:val="4"/>
          </w:tcPr>
          <w:p>
            <w:pPr>
              <w:spacing w:after="0"/>
              <w:rPr>
                <w:sz w:val="20"/>
                <w:szCs w:val="20"/>
                <w:color w:val="auto"/>
              </w:rPr>
            </w:pPr>
            <w:r>
              <w:rPr>
                <w:rFonts w:ascii="Arial" w:cs="Arial" w:eastAsia="Arial" w:hAnsi="Arial"/>
                <w:sz w:val="10"/>
                <w:szCs w:val="10"/>
                <w:b w:val="1"/>
                <w:bCs w:val="1"/>
                <w:color w:val="auto"/>
              </w:rPr>
              <w:t>Net Income (Loss) From Continuing Operations</w:t>
            </w:r>
          </w:p>
        </w:tc>
        <w:tc>
          <w:tcPr>
            <w:tcW w:w="6180" w:type="dxa"/>
            <w:vAlign w:val="bottom"/>
            <w:tcBorders>
              <w:top w:val="single" w:sz="8" w:color="CCEEFF"/>
            </w:tcBorders>
            <w:gridSpan w:val="2"/>
          </w:tcPr>
          <w:p>
            <w:pPr>
              <w:spacing w:after="0"/>
              <w:rPr>
                <w:sz w:val="11"/>
                <w:szCs w:val="11"/>
                <w:color w:val="auto"/>
              </w:rPr>
            </w:pPr>
          </w:p>
        </w:tc>
        <w:tc>
          <w:tcPr>
            <w:tcW w:w="280" w:type="dxa"/>
            <w:vAlign w:val="bottom"/>
            <w:tcBorders>
              <w:top w:val="single" w:sz="8" w:color="CCEEFF"/>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(33)</w:t>
            </w:r>
          </w:p>
        </w:tc>
        <w:tc>
          <w:tcPr>
            <w:tcW w:w="8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16"/>
        </w:trPr>
        <w:tc>
          <w:tcPr>
            <w:tcW w:w="560" w:type="dxa"/>
            <w:vAlign w:val="bottom"/>
            <w:tcBorders>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0"/>
                <w:szCs w:val="10"/>
                <w:color w:val="auto"/>
                <w:w w:val="93"/>
              </w:rPr>
              <w:t>Adjustments:</w:t>
            </w:r>
          </w:p>
        </w:tc>
        <w:tc>
          <w:tcPr>
            <w:tcW w:w="8240" w:type="dxa"/>
            <w:vAlign w:val="bottom"/>
            <w:tcBorders>
              <w:bottom w:val="single" w:sz="8" w:color="CCEEFF"/>
            </w:tcBorders>
            <w:gridSpan w:val="4"/>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0" w:type="dxa"/>
            <w:vAlign w:val="bottom"/>
            <w:gridSpan w:val="6"/>
          </w:tcPr>
          <w:p>
            <w:pPr>
              <w:ind w:left="140"/>
              <w:spacing w:after="0" w:line="135" w:lineRule="exact"/>
              <w:rPr>
                <w:sz w:val="20"/>
                <w:szCs w:val="20"/>
                <w:color w:val="auto"/>
              </w:rPr>
            </w:pPr>
            <w:r>
              <w:rPr>
                <w:rFonts w:ascii="Arial" w:cs="Arial" w:eastAsia="Arial" w:hAnsi="Arial"/>
                <w:sz w:val="10"/>
                <w:szCs w:val="10"/>
                <w:color w:val="auto"/>
              </w:rPr>
              <w:t>Amortization of acquired intangible assets</w:t>
            </w:r>
            <w:r>
              <w:rPr>
                <w:rFonts w:ascii="Arial" w:cs="Arial" w:eastAsia="Arial" w:hAnsi="Arial"/>
                <w:sz w:val="12"/>
                <w:szCs w:val="12"/>
                <w:color w:val="auto"/>
                <w:vertAlign w:val="superscript"/>
              </w:rPr>
              <w:t>(2)</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8800" w:type="dxa"/>
            <w:vAlign w:val="bottom"/>
            <w:gridSpan w:val="6"/>
            <w:shd w:val="clear" w:color="auto" w:fill="CCEEFF"/>
          </w:tcPr>
          <w:p>
            <w:pPr>
              <w:ind w:left="140"/>
              <w:spacing w:after="0"/>
              <w:rPr>
                <w:sz w:val="20"/>
                <w:szCs w:val="20"/>
                <w:color w:val="auto"/>
              </w:rPr>
            </w:pPr>
            <w:r>
              <w:rPr>
                <w:rFonts w:ascii="Arial" w:cs="Arial" w:eastAsia="Arial" w:hAnsi="Arial"/>
                <w:sz w:val="10"/>
                <w:szCs w:val="10"/>
                <w:color w:val="auto"/>
              </w:rPr>
              <w:t>Restructuring and related costs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2"/>
        </w:trPr>
        <w:tc>
          <w:tcPr>
            <w:tcW w:w="8800" w:type="dxa"/>
            <w:vAlign w:val="bottom"/>
            <w:gridSpan w:val="6"/>
          </w:tcPr>
          <w:p>
            <w:pPr>
              <w:ind w:left="140"/>
              <w:spacing w:after="0"/>
              <w:rPr>
                <w:sz w:val="20"/>
                <w:szCs w:val="20"/>
                <w:color w:val="auto"/>
              </w:rPr>
            </w:pPr>
            <w:r>
              <w:rPr>
                <w:rFonts w:ascii="Arial" w:cs="Arial" w:eastAsia="Arial" w:hAnsi="Arial"/>
                <w:sz w:val="10"/>
                <w:szCs w:val="10"/>
                <w:color w:val="auto"/>
              </w:rPr>
              <w:t>(Gain) loss on divestitures and transaction costs, net</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38"/>
        </w:trPr>
        <w:tc>
          <w:tcPr>
            <w:tcW w:w="8800" w:type="dxa"/>
            <w:vAlign w:val="bottom"/>
            <w:gridSpan w:val="6"/>
            <w:shd w:val="clear" w:color="auto" w:fill="CCEEFF"/>
          </w:tcPr>
          <w:p>
            <w:pPr>
              <w:ind w:left="140"/>
              <w:spacing w:after="0"/>
              <w:rPr>
                <w:sz w:val="20"/>
                <w:szCs w:val="20"/>
                <w:color w:val="auto"/>
              </w:rPr>
            </w:pPr>
            <w:r>
              <w:rPr>
                <w:rFonts w:ascii="Arial" w:cs="Arial" w:eastAsia="Arial" w:hAnsi="Arial"/>
                <w:sz w:val="10"/>
                <w:szCs w:val="10"/>
                <w:color w:val="auto"/>
              </w:rPr>
              <w:t>Litigation settlements (recoveries), net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2"/>
        </w:trPr>
        <w:tc>
          <w:tcPr>
            <w:tcW w:w="8800" w:type="dxa"/>
            <w:vAlign w:val="bottom"/>
            <w:gridSpan w:val="6"/>
          </w:tcPr>
          <w:p>
            <w:pPr>
              <w:ind w:left="140"/>
              <w:spacing w:after="0"/>
              <w:rPr>
                <w:sz w:val="20"/>
                <w:szCs w:val="20"/>
                <w:color w:val="auto"/>
              </w:rPr>
            </w:pPr>
            <w:r>
              <w:rPr>
                <w:rFonts w:ascii="Arial" w:cs="Arial" w:eastAsia="Arial" w:hAnsi="Arial"/>
                <w:sz w:val="10"/>
                <w:szCs w:val="10"/>
                <w:color w:val="auto"/>
              </w:rPr>
              <w:t>Direct response costs - cyber event</w:t>
            </w:r>
          </w:p>
        </w:tc>
        <w:tc>
          <w:tcPr>
            <w:tcW w:w="28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38"/>
        </w:trPr>
        <w:tc>
          <w:tcPr>
            <w:tcW w:w="8800" w:type="dxa"/>
            <w:vAlign w:val="bottom"/>
            <w:gridSpan w:val="6"/>
            <w:shd w:val="clear" w:color="auto" w:fill="CCEEFF"/>
          </w:tcPr>
          <w:p>
            <w:pPr>
              <w:ind w:left="140"/>
              <w:spacing w:after="0"/>
              <w:rPr>
                <w:sz w:val="20"/>
                <w:szCs w:val="20"/>
                <w:color w:val="auto"/>
              </w:rPr>
            </w:pPr>
            <w:r>
              <w:rPr>
                <w:rFonts w:ascii="Arial" w:cs="Arial" w:eastAsia="Arial" w:hAnsi="Arial"/>
                <w:sz w:val="10"/>
                <w:szCs w:val="10"/>
                <w:color w:val="auto"/>
              </w:rPr>
              <w:t>Other charges (credits)</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3"/>
        </w:trPr>
        <w:tc>
          <w:tcPr>
            <w:tcW w:w="8800" w:type="dxa"/>
            <w:vAlign w:val="bottom"/>
            <w:gridSpan w:val="6"/>
          </w:tcPr>
          <w:p>
            <w:pPr>
              <w:spacing w:after="0"/>
              <w:rPr>
                <w:sz w:val="20"/>
                <w:szCs w:val="20"/>
                <w:color w:val="auto"/>
              </w:rPr>
            </w:pPr>
            <w:r>
              <w:rPr>
                <w:rFonts w:ascii="Arial" w:cs="Arial" w:eastAsia="Arial" w:hAnsi="Arial"/>
                <w:sz w:val="10"/>
                <w:szCs w:val="10"/>
                <w:b w:val="1"/>
                <w:bCs w:val="1"/>
                <w:color w:val="auto"/>
              </w:rPr>
              <w:t>Total Non-GAAP Adjustments</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36"/>
        </w:trPr>
        <w:tc>
          <w:tcPr>
            <w:tcW w:w="8800" w:type="dxa"/>
            <w:vAlign w:val="bottom"/>
            <w:gridSpan w:val="6"/>
            <w:shd w:val="clear" w:color="auto" w:fill="CCEEFF"/>
          </w:tcPr>
          <w:p>
            <w:pPr>
              <w:ind w:left="140"/>
              <w:spacing w:after="0" w:line="136" w:lineRule="exact"/>
              <w:rPr>
                <w:sz w:val="20"/>
                <w:szCs w:val="20"/>
                <w:color w:val="auto"/>
              </w:rPr>
            </w:pPr>
            <w:r>
              <w:rPr>
                <w:rFonts w:ascii="Arial" w:cs="Arial" w:eastAsia="Arial" w:hAnsi="Arial"/>
                <w:sz w:val="10"/>
                <w:szCs w:val="10"/>
                <w:color w:val="auto"/>
              </w:rPr>
              <w:t>Income tax adjustments</w:t>
            </w:r>
            <w:r>
              <w:rPr>
                <w:rFonts w:ascii="Arial" w:cs="Arial" w:eastAsia="Arial" w:hAnsi="Arial"/>
                <w:sz w:val="12"/>
                <w:szCs w:val="12"/>
                <w:color w:val="auto"/>
                <w:vertAlign w:val="superscript"/>
              </w:rPr>
              <w:t>(3)</w:t>
            </w: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8800" w:type="dxa"/>
            <w:vAlign w:val="bottom"/>
            <w:tcBorders>
              <w:bottom w:val="single" w:sz="8" w:color="CCEEFF"/>
            </w:tcBorders>
            <w:gridSpan w:val="6"/>
          </w:tcPr>
          <w:p>
            <w:pPr>
              <w:spacing w:after="0"/>
              <w:rPr>
                <w:sz w:val="20"/>
                <w:szCs w:val="20"/>
                <w:color w:val="auto"/>
              </w:rPr>
            </w:pPr>
            <w:r>
              <w:rPr>
                <w:rFonts w:ascii="Arial" w:cs="Arial" w:eastAsia="Arial" w:hAnsi="Arial"/>
                <w:sz w:val="10"/>
                <w:szCs w:val="10"/>
                <w:b w:val="1"/>
                <w:bCs w:val="1"/>
                <w:color w:val="auto"/>
              </w:rPr>
              <w:t>Adjusted Net Income (Loss)</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gridSpan w:val="5"/>
            <w:shd w:val="clear" w:color="auto" w:fill="CCEEFF"/>
          </w:tcPr>
          <w:p>
            <w:pPr>
              <w:spacing w:after="0" w:line="108" w:lineRule="exact"/>
              <w:rPr>
                <w:sz w:val="20"/>
                <w:szCs w:val="20"/>
                <w:color w:val="auto"/>
              </w:rPr>
            </w:pPr>
            <w:r>
              <w:rPr>
                <w:rFonts w:ascii="Arial" w:cs="Arial" w:eastAsia="Arial" w:hAnsi="Arial"/>
                <w:sz w:val="10"/>
                <w:szCs w:val="10"/>
                <w:b w:val="1"/>
                <w:bCs w:val="1"/>
                <w:color w:val="auto"/>
                <w:w w:val="95"/>
              </w:rPr>
              <w:t>ADJUSTED NET INCOME (Loss) – from Income (loss) before income tax</w:t>
            </w:r>
          </w:p>
        </w:tc>
        <w:tc>
          <w:tcPr>
            <w:tcW w:w="55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800" w:type="dxa"/>
            <w:vAlign w:val="bottom"/>
            <w:gridSpan w:val="6"/>
          </w:tcPr>
          <w:p>
            <w:pPr>
              <w:spacing w:after="0"/>
              <w:rPr>
                <w:sz w:val="20"/>
                <w:szCs w:val="20"/>
                <w:color w:val="auto"/>
              </w:rPr>
            </w:pPr>
            <w:r>
              <w:rPr>
                <w:rFonts w:ascii="Arial" w:cs="Arial" w:eastAsia="Arial" w:hAnsi="Arial"/>
                <w:sz w:val="10"/>
                <w:szCs w:val="10"/>
                <w:b w:val="1"/>
                <w:bCs w:val="1"/>
                <w:color w:val="auto"/>
              </w:rPr>
              <w:t>Income (Loss) Before Income Taxes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16"/>
        </w:trPr>
        <w:tc>
          <w:tcPr>
            <w:tcW w:w="560" w:type="dxa"/>
            <w:vAlign w:val="bottom"/>
            <w:tcBorders>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0"/>
                <w:szCs w:val="10"/>
                <w:color w:val="auto"/>
                <w:w w:val="93"/>
              </w:rPr>
              <w:t>Adjustments:</w:t>
            </w:r>
          </w:p>
        </w:tc>
        <w:tc>
          <w:tcPr>
            <w:tcW w:w="8240" w:type="dxa"/>
            <w:vAlign w:val="bottom"/>
            <w:tcBorders>
              <w:bottom w:val="single" w:sz="8" w:color="CCEEFF"/>
            </w:tcBorders>
            <w:gridSpan w:val="4"/>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800" w:type="dxa"/>
            <w:vAlign w:val="bottom"/>
            <w:tcBorders>
              <w:bottom w:val="single" w:sz="8" w:color="CCEEFF"/>
            </w:tcBorders>
            <w:gridSpan w:val="6"/>
          </w:tcPr>
          <w:p>
            <w:pPr>
              <w:ind w:left="140"/>
              <w:spacing w:after="0"/>
              <w:rPr>
                <w:sz w:val="20"/>
                <w:szCs w:val="20"/>
                <w:color w:val="auto"/>
              </w:rPr>
            </w:pPr>
            <w:r>
              <w:rPr>
                <w:rFonts w:ascii="Arial" w:cs="Arial" w:eastAsia="Arial" w:hAnsi="Arial"/>
                <w:sz w:val="10"/>
                <w:szCs w:val="10"/>
                <w:color w:val="auto"/>
              </w:rPr>
              <w:t>Total Non-GAAP Adjustments</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43"/>
        </w:trPr>
        <w:tc>
          <w:tcPr>
            <w:tcW w:w="88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0"/>
                <w:szCs w:val="10"/>
                <w:b w:val="1"/>
                <w:bCs w:val="1"/>
                <w:color w:val="auto"/>
              </w:rPr>
              <w:t>Adjusted PBT</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0" w:type="dxa"/>
            <w:vAlign w:val="bottom"/>
            <w:gridSpan w:val="6"/>
            <w:shd w:val="clear" w:color="auto" w:fill="CCEEFF"/>
          </w:tcPr>
          <w:p>
            <w:pPr>
              <w:spacing w:after="0"/>
              <w:rPr>
                <w:sz w:val="20"/>
                <w:szCs w:val="20"/>
                <w:color w:val="auto"/>
              </w:rPr>
            </w:pPr>
            <w:r>
              <w:rPr>
                <w:rFonts w:ascii="Arial" w:cs="Arial" w:eastAsia="Arial" w:hAnsi="Arial"/>
                <w:sz w:val="10"/>
                <w:szCs w:val="10"/>
                <w:b w:val="1"/>
                <w:bCs w:val="1"/>
                <w:color w:val="auto"/>
              </w:rPr>
              <w:t>Adjusted PBT Before Adjustment for Divestitures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0"/>
                <w:szCs w:val="10"/>
                <w:color w:val="auto"/>
                <w:w w:val="93"/>
              </w:rPr>
              <w:t>Adjustments:</w:t>
            </w:r>
          </w:p>
        </w:tc>
        <w:tc>
          <w:tcPr>
            <w:tcW w:w="8240" w:type="dxa"/>
            <w:vAlign w:val="bottom"/>
            <w:gridSpan w:val="4"/>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0" w:type="dxa"/>
            <w:vAlign w:val="bottom"/>
            <w:gridSpan w:val="6"/>
            <w:shd w:val="clear" w:color="auto" w:fill="CCEEFF"/>
          </w:tcPr>
          <w:p>
            <w:pPr>
              <w:ind w:left="140"/>
              <w:spacing w:after="0"/>
              <w:rPr>
                <w:sz w:val="20"/>
                <w:szCs w:val="20"/>
                <w:color w:val="auto"/>
              </w:rPr>
            </w:pPr>
            <w:r>
              <w:rPr>
                <w:rFonts w:ascii="Arial" w:cs="Arial" w:eastAsia="Arial" w:hAnsi="Arial"/>
                <w:sz w:val="10"/>
                <w:szCs w:val="10"/>
                <w:color w:val="auto"/>
              </w:rPr>
              <w:t>Income tax expense (benefit)</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5"/>
        </w:trPr>
        <w:tc>
          <w:tcPr>
            <w:tcW w:w="8800" w:type="dxa"/>
            <w:vAlign w:val="bottom"/>
            <w:tcBorders>
              <w:bottom w:val="single" w:sz="8" w:color="CCEEFF"/>
            </w:tcBorders>
            <w:gridSpan w:val="6"/>
          </w:tcPr>
          <w:p>
            <w:pPr>
              <w:ind w:left="140"/>
              <w:spacing w:after="0" w:line="135" w:lineRule="exact"/>
              <w:rPr>
                <w:sz w:val="20"/>
                <w:szCs w:val="20"/>
                <w:color w:val="auto"/>
              </w:rPr>
            </w:pPr>
            <w:r>
              <w:rPr>
                <w:rFonts w:ascii="Arial" w:cs="Arial" w:eastAsia="Arial" w:hAnsi="Arial"/>
                <w:sz w:val="10"/>
                <w:szCs w:val="10"/>
                <w:color w:val="auto"/>
              </w:rPr>
              <w:t>Income tax adjustments</w:t>
            </w:r>
            <w:r>
              <w:rPr>
                <w:rFonts w:ascii="Arial" w:cs="Arial" w:eastAsia="Arial" w:hAnsi="Arial"/>
                <w:sz w:val="12"/>
                <w:szCs w:val="12"/>
                <w:color w:val="auto"/>
                <w:vertAlign w:val="superscript"/>
              </w:rPr>
              <w:t>(3)</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8800" w:type="dxa"/>
            <w:vAlign w:val="bottom"/>
            <w:gridSpan w:val="6"/>
            <w:shd w:val="clear" w:color="auto" w:fill="CCEEFF"/>
          </w:tcPr>
          <w:p>
            <w:pPr>
              <w:spacing w:after="0"/>
              <w:rPr>
                <w:sz w:val="20"/>
                <w:szCs w:val="20"/>
                <w:color w:val="auto"/>
              </w:rPr>
            </w:pPr>
            <w:r>
              <w:rPr>
                <w:rFonts w:ascii="Arial" w:cs="Arial" w:eastAsia="Arial" w:hAnsi="Arial"/>
                <w:sz w:val="10"/>
                <w:szCs w:val="10"/>
                <w:b w:val="1"/>
                <w:bCs w:val="1"/>
                <w:color w:val="auto"/>
              </w:rPr>
              <w:t>Adjusted Income Tax Expense (Benefit)</w:t>
            </w: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25"/>
        </w:trPr>
        <w:tc>
          <w:tcPr>
            <w:tcW w:w="8800" w:type="dxa"/>
            <w:vAlign w:val="bottom"/>
            <w:gridSpan w:val="6"/>
          </w:tcPr>
          <w:p>
            <w:pPr>
              <w:spacing w:after="0"/>
              <w:rPr>
                <w:sz w:val="20"/>
                <w:szCs w:val="20"/>
                <w:color w:val="auto"/>
              </w:rPr>
            </w:pPr>
            <w:r>
              <w:rPr>
                <w:rFonts w:ascii="Arial" w:cs="Arial" w:eastAsia="Arial" w:hAnsi="Arial"/>
                <w:sz w:val="10"/>
                <w:szCs w:val="10"/>
                <w:b w:val="1"/>
                <w:bCs w:val="1"/>
                <w:color w:val="auto"/>
              </w:rPr>
              <w:t>Adjusted Net Income (Loss)</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0"/>
                <w:szCs w:val="10"/>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28"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c>
          <w:tcPr>
            <w:tcW w:w="0" w:type="dxa"/>
            <w:vAlign w:val="bottom"/>
          </w:tcPr>
          <w:p>
            <w:pPr>
              <w:spacing w:after="0"/>
              <w:rPr>
                <w:sz w:val="1"/>
                <w:szCs w:val="1"/>
                <w:color w:val="auto"/>
              </w:rPr>
            </w:pPr>
          </w:p>
        </w:tc>
      </w:tr>
      <w:tr>
        <w:trPr>
          <w:trHeight w:val="482"/>
        </w:trPr>
        <w:tc>
          <w:tcPr>
            <w:tcW w:w="88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CONTINUED</w:t>
            </w: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Three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800" w:type="dxa"/>
            <w:vAlign w:val="bottom"/>
            <w:gridSpan w:val="5"/>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color w:val="auto"/>
              </w:rPr>
              <w:t>March 31,</w:t>
            </w: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800" w:type="dxa"/>
            <w:vAlign w:val="bottom"/>
            <w:gridSpan w:val="5"/>
          </w:tcPr>
          <w:p>
            <w:pPr>
              <w:spacing w:after="0"/>
              <w:rPr>
                <w:sz w:val="20"/>
                <w:szCs w:val="20"/>
                <w:color w:val="auto"/>
              </w:rPr>
            </w:pPr>
            <w:r>
              <w:rPr>
                <w:rFonts w:ascii="Arial" w:cs="Arial" w:eastAsia="Arial" w:hAnsi="Arial"/>
                <w:sz w:val="8"/>
                <w:szCs w:val="8"/>
                <w:color w:val="auto"/>
              </w:rPr>
              <w:t>(in millions)</w:t>
            </w:r>
          </w:p>
        </w:tc>
        <w:tc>
          <w:tcPr>
            <w:tcW w:w="280" w:type="dxa"/>
            <w:vAlign w:val="bottom"/>
          </w:tcPr>
          <w:p>
            <w:pPr>
              <w:spacing w:after="0"/>
              <w:rPr>
                <w:sz w:val="8"/>
                <w:szCs w:val="8"/>
                <w:color w:val="auto"/>
              </w:rPr>
            </w:pPr>
          </w:p>
        </w:tc>
        <w:tc>
          <w:tcPr>
            <w:tcW w:w="920" w:type="dxa"/>
            <w:vAlign w:val="bottom"/>
          </w:tcPr>
          <w:p>
            <w:pPr>
              <w:jc w:val="right"/>
              <w:ind w:right="452"/>
              <w:spacing w:after="0" w:line="97" w:lineRule="exact"/>
              <w:rPr>
                <w:sz w:val="20"/>
                <w:szCs w:val="20"/>
                <w:color w:val="auto"/>
              </w:rPr>
            </w:pPr>
            <w:r>
              <w:rPr>
                <w:rFonts w:ascii="Arial" w:cs="Arial" w:eastAsia="Arial" w:hAnsi="Arial"/>
                <w:sz w:val="10"/>
                <w:szCs w:val="10"/>
                <w:color w:val="auto"/>
              </w:rPr>
              <w:t>2026</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jc w:val="right"/>
              <w:ind w:right="451"/>
              <w:spacing w:after="0" w:line="97" w:lineRule="exact"/>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80" w:type="dxa"/>
            <w:vAlign w:val="bottom"/>
            <w:gridSpan w:val="4"/>
            <w:vMerge w:val="restart"/>
          </w:tcPr>
          <w:p>
            <w:pPr>
              <w:spacing w:after="0"/>
              <w:rPr>
                <w:sz w:val="20"/>
                <w:szCs w:val="20"/>
                <w:color w:val="auto"/>
              </w:rPr>
            </w:pPr>
            <w:r>
              <w:rPr>
                <w:rFonts w:ascii="Arial" w:cs="Arial" w:eastAsia="Arial" w:hAnsi="Arial"/>
                <w:sz w:val="10"/>
                <w:szCs w:val="10"/>
                <w:b w:val="1"/>
                <w:bCs w:val="1"/>
                <w:color w:val="auto"/>
                <w:w w:val="95"/>
              </w:rPr>
              <w:t>ADJUSTED OPERATING INCOME (LOSS)</w:t>
            </w:r>
          </w:p>
        </w:tc>
        <w:tc>
          <w:tcPr>
            <w:tcW w:w="69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880" w:type="dxa"/>
            <w:vAlign w:val="bottom"/>
            <w:tcBorders>
              <w:bottom w:val="single" w:sz="8" w:color="auto"/>
            </w:tcBorders>
            <w:gridSpan w:val="4"/>
            <w:vMerge w:val="continue"/>
          </w:tcPr>
          <w:p>
            <w:pPr>
              <w:spacing w:after="0"/>
              <w:rPr>
                <w:sz w:val="7"/>
                <w:szCs w:val="7"/>
                <w:color w:val="auto"/>
              </w:rPr>
            </w:pPr>
          </w:p>
        </w:tc>
        <w:tc>
          <w:tcPr>
            <w:tcW w:w="69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800" w:type="dxa"/>
            <w:vAlign w:val="bottom"/>
            <w:gridSpan w:val="5"/>
            <w:shd w:val="clear" w:color="auto" w:fill="CCEEFF"/>
          </w:tcPr>
          <w:p>
            <w:pPr>
              <w:spacing w:after="0"/>
              <w:rPr>
                <w:sz w:val="20"/>
                <w:szCs w:val="20"/>
                <w:color w:val="auto"/>
              </w:rPr>
            </w:pPr>
            <w:r>
              <w:rPr>
                <w:rFonts w:ascii="Arial" w:cs="Arial" w:eastAsia="Arial" w:hAnsi="Arial"/>
                <w:sz w:val="10"/>
                <w:szCs w:val="10"/>
                <w:b w:val="1"/>
                <w:bCs w:val="1"/>
                <w:color w:val="auto"/>
              </w:rPr>
              <w:t>Income (Loss) Before Income Taxes</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0"/>
                <w:szCs w:val="10"/>
                <w:color w:val="auto"/>
                <w:w w:val="93"/>
              </w:rPr>
              <w:t>Adjustments:</w:t>
            </w:r>
          </w:p>
        </w:tc>
        <w:tc>
          <w:tcPr>
            <w:tcW w:w="8240" w:type="dxa"/>
            <w:vAlign w:val="bottom"/>
            <w:gridSpan w:val="3"/>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Total non-GAAP adjustments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32"/>
        </w:trPr>
        <w:tc>
          <w:tcPr>
            <w:tcW w:w="8800" w:type="dxa"/>
            <w:vAlign w:val="bottom"/>
            <w:tcBorders>
              <w:bottom w:val="single" w:sz="8" w:color="CCEEFF"/>
            </w:tcBorders>
            <w:gridSpan w:val="5"/>
          </w:tcPr>
          <w:p>
            <w:pPr>
              <w:ind w:left="140"/>
              <w:spacing w:after="0"/>
              <w:rPr>
                <w:sz w:val="20"/>
                <w:szCs w:val="20"/>
                <w:color w:val="auto"/>
              </w:rPr>
            </w:pPr>
            <w:r>
              <w:rPr>
                <w:rFonts w:ascii="Arial" w:cs="Arial" w:eastAsia="Arial" w:hAnsi="Arial"/>
                <w:sz w:val="10"/>
                <w:szCs w:val="10"/>
                <w:color w:val="auto"/>
              </w:rPr>
              <w:t>Interest expense</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43"/>
        </w:trPr>
        <w:tc>
          <w:tcPr>
            <w:tcW w:w="88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0"/>
                <w:szCs w:val="10"/>
                <w:b w:val="1"/>
                <w:bCs w:val="1"/>
                <w:color w:val="auto"/>
              </w:rPr>
              <w:t>Adjusted Operating Income (Loss)</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800" w:type="dxa"/>
            <w:vAlign w:val="bottom"/>
            <w:gridSpan w:val="5"/>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ADJUSTED EBITDA</w:t>
            </w: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8800" w:type="dxa"/>
            <w:vAlign w:val="bottom"/>
            <w:gridSpan w:val="5"/>
          </w:tcPr>
          <w:p>
            <w:pPr>
              <w:spacing w:after="0"/>
              <w:rPr>
                <w:sz w:val="20"/>
                <w:szCs w:val="20"/>
                <w:color w:val="auto"/>
              </w:rPr>
            </w:pPr>
            <w:r>
              <w:rPr>
                <w:rFonts w:ascii="Arial" w:cs="Arial" w:eastAsia="Arial" w:hAnsi="Arial"/>
                <w:sz w:val="10"/>
                <w:szCs w:val="10"/>
                <w:b w:val="1"/>
                <w:bCs w:val="1"/>
                <w:color w:val="auto"/>
              </w:rPr>
              <w:t>Net Income (Loss) From Continuing Operations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(33)</w:t>
            </w:r>
          </w:p>
        </w:tc>
        <w:tc>
          <w:tcPr>
            <w:tcW w:w="80" w:type="dxa"/>
            <w:vAlign w:val="bottom"/>
          </w:tcPr>
          <w:p>
            <w:pPr>
              <w:spacing w:after="0"/>
              <w:rPr>
                <w:sz w:val="11"/>
                <w:szCs w:val="11"/>
                <w:color w:val="auto"/>
              </w:rPr>
            </w:pPr>
          </w:p>
        </w:tc>
        <w:tc>
          <w:tcPr>
            <w:tcW w:w="4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36"/>
        </w:trPr>
        <w:tc>
          <w:tcPr>
            <w:tcW w:w="88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Income tax expense (benefit)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2"/>
        </w:trPr>
        <w:tc>
          <w:tcPr>
            <w:tcW w:w="8800" w:type="dxa"/>
            <w:vAlign w:val="bottom"/>
            <w:gridSpan w:val="5"/>
          </w:tcPr>
          <w:p>
            <w:pPr>
              <w:spacing w:after="0"/>
              <w:rPr>
                <w:sz w:val="20"/>
                <w:szCs w:val="20"/>
                <w:color w:val="auto"/>
              </w:rPr>
            </w:pPr>
            <w:r>
              <w:rPr>
                <w:rFonts w:ascii="Arial" w:cs="Arial" w:eastAsia="Arial" w:hAnsi="Arial"/>
                <w:sz w:val="10"/>
                <w:szCs w:val="10"/>
                <w:color w:val="auto"/>
              </w:rPr>
              <w:t>Depreciation and amortization</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47</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38"/>
        </w:trPr>
        <w:tc>
          <w:tcPr>
            <w:tcW w:w="88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Contract inducement amortization</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880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Interest expense</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27"/>
        </w:trPr>
        <w:tc>
          <w:tcPr>
            <w:tcW w:w="8800" w:type="dxa"/>
            <w:vAlign w:val="bottom"/>
            <w:gridSpan w:val="5"/>
            <w:shd w:val="clear" w:color="auto" w:fill="CCEEFF"/>
          </w:tcPr>
          <w:p>
            <w:pPr>
              <w:spacing w:after="0"/>
              <w:rPr>
                <w:sz w:val="20"/>
                <w:szCs w:val="20"/>
                <w:color w:val="auto"/>
              </w:rPr>
            </w:pPr>
            <w:r>
              <w:rPr>
                <w:rFonts w:ascii="Arial" w:cs="Arial" w:eastAsia="Arial" w:hAnsi="Arial"/>
                <w:sz w:val="10"/>
                <w:szCs w:val="10"/>
                <w:b w:val="1"/>
                <w:bCs w:val="1"/>
                <w:color w:val="auto"/>
              </w:rPr>
              <w:t>EBITDA</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gridSpan w:val="2"/>
          </w:tcPr>
          <w:p>
            <w:pPr>
              <w:spacing w:after="0" w:line="108" w:lineRule="exact"/>
              <w:rPr>
                <w:sz w:val="20"/>
                <w:szCs w:val="20"/>
                <w:color w:val="auto"/>
              </w:rPr>
            </w:pPr>
            <w:r>
              <w:rPr>
                <w:rFonts w:ascii="Arial" w:cs="Arial" w:eastAsia="Arial" w:hAnsi="Arial"/>
                <w:sz w:val="10"/>
                <w:szCs w:val="10"/>
                <w:color w:val="auto"/>
                <w:w w:val="93"/>
              </w:rPr>
              <w:t>Adjustments:</w:t>
            </w:r>
          </w:p>
        </w:tc>
        <w:tc>
          <w:tcPr>
            <w:tcW w:w="8240" w:type="dxa"/>
            <w:vAlign w:val="bottom"/>
            <w:gridSpan w:val="3"/>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Restructuring and related costs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2"/>
        </w:trPr>
        <w:tc>
          <w:tcPr>
            <w:tcW w:w="8800" w:type="dxa"/>
            <w:vAlign w:val="bottom"/>
            <w:gridSpan w:val="5"/>
          </w:tcPr>
          <w:p>
            <w:pPr>
              <w:ind w:left="140"/>
              <w:spacing w:after="0"/>
              <w:rPr>
                <w:sz w:val="20"/>
                <w:szCs w:val="20"/>
                <w:color w:val="auto"/>
              </w:rPr>
            </w:pPr>
            <w:r>
              <w:rPr>
                <w:rFonts w:ascii="Arial" w:cs="Arial" w:eastAsia="Arial" w:hAnsi="Arial"/>
                <w:sz w:val="10"/>
                <w:szCs w:val="10"/>
                <w:color w:val="auto"/>
              </w:rPr>
              <w:t>(Gain) loss on divestitures and transaction costs, net</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38"/>
        </w:trPr>
        <w:tc>
          <w:tcPr>
            <w:tcW w:w="880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Litigation settlements (recoveries), net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2"/>
        </w:trPr>
        <w:tc>
          <w:tcPr>
            <w:tcW w:w="8800" w:type="dxa"/>
            <w:vAlign w:val="bottom"/>
            <w:gridSpan w:val="5"/>
          </w:tcPr>
          <w:p>
            <w:pPr>
              <w:ind w:left="140"/>
              <w:spacing w:after="0"/>
              <w:rPr>
                <w:sz w:val="20"/>
                <w:szCs w:val="20"/>
                <w:color w:val="auto"/>
              </w:rPr>
            </w:pPr>
            <w:r>
              <w:rPr>
                <w:rFonts w:ascii="Arial" w:cs="Arial" w:eastAsia="Arial" w:hAnsi="Arial"/>
                <w:sz w:val="10"/>
                <w:szCs w:val="10"/>
                <w:color w:val="auto"/>
              </w:rPr>
              <w:t>Direct response costs - cyber event</w:t>
            </w:r>
          </w:p>
        </w:tc>
        <w:tc>
          <w:tcPr>
            <w:tcW w:w="28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35"/>
        </w:trPr>
        <w:tc>
          <w:tcPr>
            <w:tcW w:w="8800" w:type="dxa"/>
            <w:vAlign w:val="bottom"/>
            <w:gridSpan w:val="5"/>
            <w:shd w:val="clear" w:color="auto" w:fill="CCEEFF"/>
          </w:tcPr>
          <w:p>
            <w:pPr>
              <w:ind w:left="140"/>
              <w:spacing w:after="0"/>
              <w:rPr>
                <w:sz w:val="20"/>
                <w:szCs w:val="20"/>
                <w:color w:val="auto"/>
              </w:rPr>
            </w:pPr>
            <w:r>
              <w:rPr>
                <w:rFonts w:ascii="Arial" w:cs="Arial" w:eastAsia="Arial" w:hAnsi="Arial"/>
                <w:sz w:val="10"/>
                <w:szCs w:val="10"/>
                <w:color w:val="auto"/>
              </w:rPr>
              <w:t>Other charges (credits)</w:t>
            </w: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7"/>
        </w:trPr>
        <w:tc>
          <w:tcPr>
            <w:tcW w:w="8800" w:type="dxa"/>
            <w:vAlign w:val="bottom"/>
            <w:gridSpan w:val="5"/>
          </w:tcPr>
          <w:p>
            <w:pPr>
              <w:spacing w:after="0"/>
              <w:rPr>
                <w:sz w:val="20"/>
                <w:szCs w:val="20"/>
                <w:color w:val="auto"/>
              </w:rPr>
            </w:pPr>
            <w:r>
              <w:rPr>
                <w:rFonts w:ascii="Arial" w:cs="Arial" w:eastAsia="Arial" w:hAnsi="Arial"/>
                <w:sz w:val="10"/>
                <w:szCs w:val="10"/>
                <w:b w:val="1"/>
                <w:bCs w:val="1"/>
                <w:color w:val="auto"/>
              </w:rPr>
              <w:t>Adjusted EBITDA</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80" w:type="dxa"/>
            <w:vAlign w:val="bottom"/>
          </w:tcPr>
          <w:p>
            <w:pPr>
              <w:spacing w:after="0"/>
              <w:rPr>
                <w:sz w:val="11"/>
                <w:szCs w:val="11"/>
                <w:color w:val="auto"/>
              </w:rPr>
            </w:pPr>
          </w:p>
        </w:tc>
        <w:tc>
          <w:tcPr>
            <w:tcW w:w="4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28" w:right="299" w:bottom="1440" w:gutter="0" w:footer="0" w:header="0"/>
        </w:sectPr>
      </w:pPr>
    </w:p>
    <w:bookmarkStart w:id="21" w:name="page22"/>
    <w:bookmarkEnd w:id="21"/>
    <w:p>
      <w:pPr>
        <w:ind w:left="10560"/>
        <w:spacing w:after="0"/>
        <w:rPr>
          <w:sz w:val="20"/>
          <w:szCs w:val="20"/>
          <w:color w:val="auto"/>
        </w:rPr>
      </w:pPr>
      <w:r>
        <w:rPr>
          <w:rFonts w:ascii="Arial" w:cs="Arial" w:eastAsia="Arial" w:hAnsi="Arial"/>
          <w:sz w:val="11"/>
          <w:szCs w:val="11"/>
          <w:b w:val="1"/>
          <w:bCs w:val="1"/>
          <w:color w:val="auto"/>
        </w:rPr>
        <w:t>EXHIBIT 99.1</w:t>
      </w: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Non-GAAP Reconciliations: </w:t>
      </w:r>
      <w:r>
        <w:rPr>
          <w:rFonts w:ascii="Arial" w:cs="Arial" w:eastAsia="Arial" w:hAnsi="Arial"/>
          <w:sz w:val="12"/>
          <w:szCs w:val="12"/>
          <w:color w:val="auto"/>
        </w:rPr>
        <w:t>Adjusted Weighted Average Shares Outstanding, Adjusted Diluted EPS, Adjusted Effective Tax Rate, Adjusted Operating Margin and Adjusted EBITDA Margin were as follows:</w:t>
      </w:r>
    </w:p>
    <w:p>
      <w:pPr>
        <w:spacing w:after="0" w:line="33"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Three Months Ended</w:t>
      </w:r>
    </w:p>
    <w:p>
      <w:pPr>
        <w:ind w:left="9760"/>
        <w:spacing w:after="0" w:line="237" w:lineRule="auto"/>
        <w:rPr>
          <w:sz w:val="20"/>
          <w:szCs w:val="20"/>
          <w:color w:val="auto"/>
        </w:rPr>
      </w:pPr>
      <w:r>
        <w:rPr>
          <w:rFonts w:ascii="Arial" w:cs="Arial" w:eastAsia="Arial" w:hAnsi="Arial"/>
          <w:sz w:val="10"/>
          <w:szCs w:val="10"/>
          <w:color w:val="auto"/>
        </w:rPr>
        <w:t>March 31,</w:t>
      </w:r>
    </w:p>
    <w:tbl>
      <w:tblPr>
        <w:tblLayout w:type="fixed"/>
        <w:tblInd w:w="0" w:type="dxa"/>
        <w:tblCellMar>
          <w:top w:w="0" w:type="dxa"/>
          <w:left w:w="0" w:type="dxa"/>
          <w:bottom w:w="0" w:type="dxa"/>
          <w:right w:w="0" w:type="dxa"/>
        </w:tblCellMar>
      </w:tblPr>
      <w:tr>
        <w:trPr>
          <w:trHeight w:val="97"/>
        </w:trPr>
        <w:tc>
          <w:tcPr>
            <w:tcW w:w="3280" w:type="dxa"/>
            <w:vAlign w:val="bottom"/>
            <w:tcBorders>
              <w:bottom w:val="single" w:sz="8" w:color="auto"/>
            </w:tcBorders>
            <w:gridSpan w:val="6"/>
          </w:tcPr>
          <w:p>
            <w:pPr>
              <w:spacing w:after="0"/>
              <w:rPr>
                <w:sz w:val="20"/>
                <w:szCs w:val="20"/>
                <w:color w:val="auto"/>
              </w:rPr>
            </w:pPr>
            <w:r>
              <w:rPr>
                <w:rFonts w:ascii="Arial" w:cs="Arial" w:eastAsia="Arial" w:hAnsi="Arial"/>
                <w:sz w:val="8"/>
                <w:szCs w:val="8"/>
                <w:color w:val="auto"/>
              </w:rPr>
              <w:t>(Amounts are in whole dollars, shares are in thousands and margins and rates are in %)</w:t>
            </w:r>
          </w:p>
        </w:tc>
        <w:tc>
          <w:tcPr>
            <w:tcW w:w="53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right"/>
              <w:ind w:right="472"/>
              <w:spacing w:after="0" w:line="97" w:lineRule="exact"/>
              <w:rPr>
                <w:sz w:val="20"/>
                <w:szCs w:val="20"/>
                <w:color w:val="auto"/>
              </w:rPr>
            </w:pPr>
            <w:r>
              <w:rPr>
                <w:rFonts w:ascii="Arial" w:cs="Arial" w:eastAsia="Arial" w:hAnsi="Arial"/>
                <w:sz w:val="10"/>
                <w:szCs w:val="10"/>
                <w:color w:val="auto"/>
              </w:rPr>
              <w:t>2026</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right"/>
              <w:ind w:right="492"/>
              <w:spacing w:after="0" w:line="97" w:lineRule="exact"/>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20"/>
        </w:trPr>
        <w:tc>
          <w:tcPr>
            <w:tcW w:w="8640" w:type="dxa"/>
            <w:vAlign w:val="bottom"/>
            <w:gridSpan w:val="7"/>
            <w:vMerge w:val="restart"/>
          </w:tcPr>
          <w:p>
            <w:pPr>
              <w:spacing w:after="0" w:line="115" w:lineRule="exact"/>
              <w:rPr>
                <w:sz w:val="20"/>
                <w:szCs w:val="20"/>
                <w:color w:val="auto"/>
              </w:rPr>
            </w:pPr>
            <w:r>
              <w:rPr>
                <w:rFonts w:ascii="Arial" w:cs="Arial" w:eastAsia="Arial" w:hAnsi="Arial"/>
                <w:sz w:val="10"/>
                <w:szCs w:val="10"/>
                <w:b w:val="1"/>
                <w:bCs w:val="1"/>
                <w:color w:val="auto"/>
              </w:rPr>
              <w:t>ADJUSTED DILUTED EPS</w:t>
            </w:r>
            <w:r>
              <w:rPr>
                <w:rFonts w:ascii="Arial" w:cs="Arial" w:eastAsia="Arial" w:hAnsi="Arial"/>
                <w:sz w:val="12"/>
                <w:szCs w:val="12"/>
                <w:b w:val="1"/>
                <w:bCs w:val="1"/>
                <w:color w:val="auto"/>
                <w:vertAlign w:val="superscript"/>
              </w:rPr>
              <w:t>(4)</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640" w:type="dxa"/>
            <w:vAlign w:val="bottom"/>
            <w:gridSpan w:val="7"/>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640" w:type="dxa"/>
            <w:vAlign w:val="bottom"/>
            <w:gridSpan w:val="7"/>
            <w:shd w:val="clear" w:color="auto" w:fill="CCEEFF"/>
          </w:tcPr>
          <w:p>
            <w:pPr>
              <w:spacing w:after="0"/>
              <w:rPr>
                <w:sz w:val="20"/>
                <w:szCs w:val="20"/>
                <w:color w:val="auto"/>
              </w:rPr>
            </w:pPr>
            <w:r>
              <w:rPr>
                <w:rFonts w:ascii="Arial" w:cs="Arial" w:eastAsia="Arial" w:hAnsi="Arial"/>
                <w:sz w:val="10"/>
                <w:szCs w:val="10"/>
                <w:b w:val="1"/>
                <w:bCs w:val="1"/>
                <w:color w:val="auto"/>
              </w:rPr>
              <w:t>Weighted Average Common Shares Outstanding</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154,903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161,830</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color w:val="auto"/>
                <w:w w:val="93"/>
              </w:rPr>
              <w:t>Adjustments:</w:t>
            </w:r>
          </w:p>
        </w:tc>
        <w:tc>
          <w:tcPr>
            <w:tcW w:w="808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64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Restricted stock and performance units / shares</w:t>
            </w:r>
          </w:p>
        </w:tc>
        <w:tc>
          <w:tcPr>
            <w:tcW w:w="3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3"/>
        </w:trPr>
        <w:tc>
          <w:tcPr>
            <w:tcW w:w="8640" w:type="dxa"/>
            <w:vAlign w:val="bottom"/>
            <w:tcBorders>
              <w:bottom w:val="single" w:sz="8" w:color="CCEEFF"/>
            </w:tcBorders>
            <w:gridSpan w:val="7"/>
          </w:tcPr>
          <w:p>
            <w:pPr>
              <w:spacing w:after="0"/>
              <w:rPr>
                <w:sz w:val="20"/>
                <w:szCs w:val="20"/>
                <w:color w:val="auto"/>
              </w:rPr>
            </w:pPr>
            <w:r>
              <w:rPr>
                <w:rFonts w:ascii="Arial" w:cs="Arial" w:eastAsia="Arial" w:hAnsi="Arial"/>
                <w:sz w:val="10"/>
                <w:szCs w:val="10"/>
                <w:b w:val="1"/>
                <w:bCs w:val="1"/>
                <w:color w:val="auto"/>
              </w:rPr>
              <w:t>Adjusted Weighted Average Common Shares Outstanding</w:t>
            </w: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154,903</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161,830</w:t>
            </w:r>
          </w:p>
        </w:tc>
        <w:tc>
          <w:tcPr>
            <w:tcW w:w="0" w:type="dxa"/>
            <w:vAlign w:val="bottom"/>
          </w:tcPr>
          <w:p>
            <w:pPr>
              <w:spacing w:after="0"/>
              <w:rPr>
                <w:sz w:val="1"/>
                <w:szCs w:val="1"/>
                <w:color w:val="auto"/>
              </w:rPr>
            </w:pPr>
          </w:p>
        </w:tc>
      </w:tr>
      <w:tr>
        <w:trPr>
          <w:trHeight w:val="134"/>
        </w:trPr>
        <w:tc>
          <w:tcPr>
            <w:tcW w:w="8640" w:type="dxa"/>
            <w:vAlign w:val="bottom"/>
            <w:tcBorders>
              <w:top w:val="single" w:sz="8" w:color="CCEEFF"/>
            </w:tcBorders>
            <w:gridSpan w:val="7"/>
          </w:tcPr>
          <w:p>
            <w:pPr>
              <w:spacing w:after="0"/>
              <w:rPr>
                <w:sz w:val="20"/>
                <w:szCs w:val="20"/>
                <w:color w:val="auto"/>
              </w:rPr>
            </w:pPr>
            <w:r>
              <w:rPr>
                <w:rFonts w:ascii="Arial" w:cs="Arial" w:eastAsia="Arial" w:hAnsi="Arial"/>
                <w:sz w:val="10"/>
                <w:szCs w:val="10"/>
                <w:b w:val="1"/>
                <w:bCs w:val="1"/>
                <w:color w:val="auto"/>
              </w:rPr>
              <w:t>Diluted EPS from Continuing Operations</w:t>
            </w:r>
          </w:p>
        </w:tc>
        <w:tc>
          <w:tcPr>
            <w:tcW w:w="300" w:type="dxa"/>
            <w:vAlign w:val="bottom"/>
            <w:tcBorders>
              <w:top w:val="single" w:sz="8" w:color="CCEEFF"/>
            </w:tcBorders>
          </w:tcPr>
          <w:p>
            <w:pPr>
              <w:jc w:val="right"/>
              <w:ind w:right="172"/>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rPr>
              <w:t>(0.23)</w:t>
            </w:r>
          </w:p>
        </w:tc>
        <w:tc>
          <w:tcPr>
            <w:tcW w:w="10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rPr>
              <w:t>(0.33)</w:t>
            </w:r>
          </w:p>
        </w:tc>
        <w:tc>
          <w:tcPr>
            <w:tcW w:w="0" w:type="dxa"/>
            <w:vAlign w:val="bottom"/>
          </w:tcPr>
          <w:p>
            <w:pPr>
              <w:spacing w:after="0"/>
              <w:rPr>
                <w:sz w:val="1"/>
                <w:szCs w:val="1"/>
                <w:color w:val="auto"/>
              </w:rPr>
            </w:pPr>
          </w:p>
        </w:tc>
      </w:tr>
      <w:tr>
        <w:trPr>
          <w:trHeight w:val="116"/>
        </w:trPr>
        <w:tc>
          <w:tcPr>
            <w:tcW w:w="560" w:type="dxa"/>
            <w:vAlign w:val="bottom"/>
            <w:tcBorders>
              <w:bottom w:val="single" w:sz="8" w:color="auto"/>
            </w:tcBorders>
            <w:shd w:val="clear" w:color="auto" w:fill="CCEEFF"/>
          </w:tcPr>
          <w:p>
            <w:pPr>
              <w:spacing w:after="0" w:line="109" w:lineRule="exact"/>
              <w:rPr>
                <w:sz w:val="20"/>
                <w:szCs w:val="20"/>
                <w:color w:val="auto"/>
              </w:rPr>
            </w:pPr>
            <w:r>
              <w:rPr>
                <w:rFonts w:ascii="Arial" w:cs="Arial" w:eastAsia="Arial" w:hAnsi="Arial"/>
                <w:sz w:val="10"/>
                <w:szCs w:val="10"/>
                <w:color w:val="auto"/>
                <w:w w:val="93"/>
              </w:rPr>
              <w:t>Adjustments:</w:t>
            </w:r>
          </w:p>
        </w:tc>
        <w:tc>
          <w:tcPr>
            <w:tcW w:w="8080" w:type="dxa"/>
            <w:vAlign w:val="bottom"/>
            <w:tcBorders>
              <w:bottom w:val="single" w:sz="8" w:color="CCEEFF"/>
            </w:tcBorders>
            <w:gridSpan w:val="6"/>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640" w:type="dxa"/>
            <w:vAlign w:val="bottom"/>
            <w:gridSpan w:val="7"/>
          </w:tcPr>
          <w:p>
            <w:pPr>
              <w:ind w:left="140"/>
              <w:spacing w:after="0"/>
              <w:rPr>
                <w:sz w:val="20"/>
                <w:szCs w:val="20"/>
                <w:color w:val="auto"/>
              </w:rPr>
            </w:pPr>
            <w:r>
              <w:rPr>
                <w:rFonts w:ascii="Arial" w:cs="Arial" w:eastAsia="Arial" w:hAnsi="Arial"/>
                <w:sz w:val="10"/>
                <w:szCs w:val="10"/>
                <w:color w:val="auto"/>
              </w:rPr>
              <w:t>Total non-GAAP adjustments</w:t>
            </w: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0.11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0.20</w:t>
            </w:r>
          </w:p>
        </w:tc>
        <w:tc>
          <w:tcPr>
            <w:tcW w:w="0" w:type="dxa"/>
            <w:vAlign w:val="bottom"/>
          </w:tcPr>
          <w:p>
            <w:pPr>
              <w:spacing w:after="0"/>
              <w:rPr>
                <w:sz w:val="1"/>
                <w:szCs w:val="1"/>
                <w:color w:val="auto"/>
              </w:rPr>
            </w:pPr>
          </w:p>
        </w:tc>
      </w:tr>
      <w:tr>
        <w:trPr>
          <w:trHeight w:val="138"/>
        </w:trPr>
        <w:tc>
          <w:tcPr>
            <w:tcW w:w="864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Income tax adjustments</w:t>
            </w:r>
            <w:r>
              <w:rPr>
                <w:rFonts w:ascii="Arial" w:cs="Arial" w:eastAsia="Arial" w:hAnsi="Arial"/>
                <w:sz w:val="12"/>
                <w:szCs w:val="12"/>
                <w:color w:val="auto"/>
                <w:vertAlign w:val="superscript"/>
              </w:rPr>
              <w:t>(3)</w:t>
            </w: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0.05</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8640" w:type="dxa"/>
            <w:vAlign w:val="bottom"/>
            <w:tcBorders>
              <w:bottom w:val="single" w:sz="8" w:color="CCEEFF"/>
            </w:tcBorders>
            <w:gridSpan w:val="7"/>
          </w:tcPr>
          <w:p>
            <w:pPr>
              <w:spacing w:after="0"/>
              <w:rPr>
                <w:sz w:val="20"/>
                <w:szCs w:val="20"/>
                <w:color w:val="auto"/>
              </w:rPr>
            </w:pPr>
            <w:r>
              <w:rPr>
                <w:rFonts w:ascii="Arial" w:cs="Arial" w:eastAsia="Arial" w:hAnsi="Arial"/>
                <w:sz w:val="10"/>
                <w:szCs w:val="10"/>
                <w:b w:val="1"/>
                <w:bCs w:val="1"/>
                <w:color w:val="auto"/>
              </w:rPr>
              <w:t>Adjusted Diluted EPS</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(0.07)</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(0.13)</w:t>
            </w:r>
          </w:p>
        </w:tc>
        <w:tc>
          <w:tcPr>
            <w:tcW w:w="0" w:type="dxa"/>
            <w:vAlign w:val="bottom"/>
          </w:tcPr>
          <w:p>
            <w:pPr>
              <w:spacing w:after="0"/>
              <w:rPr>
                <w:sz w:val="1"/>
                <w:szCs w:val="1"/>
                <w:color w:val="auto"/>
              </w:rPr>
            </w:pPr>
          </w:p>
        </w:tc>
      </w:tr>
      <w:tr>
        <w:trPr>
          <w:trHeight w:val="162"/>
        </w:trPr>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640" w:type="dxa"/>
            <w:vAlign w:val="bottom"/>
            <w:gridSpan w:val="7"/>
          </w:tcPr>
          <w:p>
            <w:pPr>
              <w:spacing w:after="0" w:line="108" w:lineRule="exact"/>
              <w:rPr>
                <w:sz w:val="20"/>
                <w:szCs w:val="20"/>
                <w:color w:val="auto"/>
              </w:rPr>
            </w:pPr>
            <w:r>
              <w:rPr>
                <w:rFonts w:ascii="Arial" w:cs="Arial" w:eastAsia="Arial" w:hAnsi="Arial"/>
                <w:sz w:val="10"/>
                <w:szCs w:val="10"/>
                <w:b w:val="1"/>
                <w:bCs w:val="1"/>
                <w:color w:val="auto"/>
              </w:rPr>
              <w:t>ADJUSTED EFFECTIVE TAX RATE</w:t>
            </w: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0"/>
                <w:szCs w:val="10"/>
                <w:b w:val="1"/>
                <w:bCs w:val="1"/>
                <w:color w:val="auto"/>
              </w:rPr>
              <w:t>Effective tax rate</w:t>
            </w:r>
          </w:p>
        </w:tc>
        <w:tc>
          <w:tcPr>
            <w:tcW w:w="7080" w:type="dxa"/>
            <w:vAlign w:val="bottom"/>
            <w:gridSpan w:val="2"/>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9.0 %</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color w:val="auto"/>
                <w:w w:val="93"/>
              </w:rPr>
              <w:t>Adjustments:</w:t>
            </w:r>
          </w:p>
        </w:tc>
        <w:tc>
          <w:tcPr>
            <w:tcW w:w="808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64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Total non-GAAP adjustments</w:t>
            </w:r>
          </w:p>
        </w:tc>
        <w:tc>
          <w:tcPr>
            <w:tcW w:w="3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47.2 %</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14.9 %</w:t>
            </w:r>
          </w:p>
        </w:tc>
        <w:tc>
          <w:tcPr>
            <w:tcW w:w="0" w:type="dxa"/>
            <w:vAlign w:val="bottom"/>
          </w:tcPr>
          <w:p>
            <w:pPr>
              <w:spacing w:after="0"/>
              <w:rPr>
                <w:sz w:val="1"/>
                <w:szCs w:val="1"/>
                <w:color w:val="auto"/>
              </w:rPr>
            </w:pPr>
          </w:p>
        </w:tc>
      </w:tr>
      <w:tr>
        <w:trPr>
          <w:trHeight w:val="143"/>
        </w:trPr>
        <w:tc>
          <w:tcPr>
            <w:tcW w:w="8640" w:type="dxa"/>
            <w:vAlign w:val="bottom"/>
            <w:tcBorders>
              <w:bottom w:val="single" w:sz="8" w:color="CCEEFF"/>
            </w:tcBorders>
            <w:gridSpan w:val="7"/>
          </w:tcPr>
          <w:p>
            <w:pPr>
              <w:spacing w:after="0" w:line="127" w:lineRule="exact"/>
              <w:rPr>
                <w:sz w:val="20"/>
                <w:szCs w:val="20"/>
                <w:color w:val="auto"/>
              </w:rPr>
            </w:pPr>
            <w:r>
              <w:rPr>
                <w:rFonts w:ascii="Arial" w:cs="Arial" w:eastAsia="Arial" w:hAnsi="Arial"/>
                <w:sz w:val="10"/>
                <w:szCs w:val="10"/>
                <w:b w:val="1"/>
                <w:bCs w:val="1"/>
                <w:color w:val="auto"/>
              </w:rPr>
              <w:t>Adjusted Effective Tax Rate</w:t>
            </w:r>
            <w:r>
              <w:rPr>
                <w:rFonts w:ascii="Arial" w:cs="Arial" w:eastAsia="Arial" w:hAnsi="Arial"/>
                <w:sz w:val="12"/>
                <w:szCs w:val="12"/>
                <w:b w:val="1"/>
                <w:bCs w:val="1"/>
                <w:color w:val="auto"/>
                <w:vertAlign w:val="superscript"/>
              </w:rPr>
              <w:t>(3)</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25.7 %</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23.9 %</w:t>
            </w:r>
          </w:p>
        </w:tc>
        <w:tc>
          <w:tcPr>
            <w:tcW w:w="0" w:type="dxa"/>
            <w:vAlign w:val="bottom"/>
          </w:tcPr>
          <w:p>
            <w:pPr>
              <w:spacing w:after="0"/>
              <w:rPr>
                <w:sz w:val="1"/>
                <w:szCs w:val="1"/>
                <w:color w:val="auto"/>
              </w:rPr>
            </w:pPr>
          </w:p>
        </w:tc>
      </w:tr>
      <w:tr>
        <w:trPr>
          <w:trHeight w:val="162"/>
        </w:trPr>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640" w:type="dxa"/>
            <w:vAlign w:val="bottom"/>
            <w:gridSpan w:val="7"/>
          </w:tcPr>
          <w:p>
            <w:pPr>
              <w:spacing w:after="0" w:line="108" w:lineRule="exact"/>
              <w:rPr>
                <w:sz w:val="20"/>
                <w:szCs w:val="20"/>
                <w:color w:val="auto"/>
              </w:rPr>
            </w:pPr>
            <w:r>
              <w:rPr>
                <w:rFonts w:ascii="Arial" w:cs="Arial" w:eastAsia="Arial" w:hAnsi="Arial"/>
                <w:sz w:val="10"/>
                <w:szCs w:val="10"/>
                <w:b w:val="1"/>
                <w:bCs w:val="1"/>
                <w:color w:val="auto"/>
              </w:rPr>
              <w:t>ADJUSTED OPERATING MARGIN</w:t>
            </w: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640" w:type="dxa"/>
            <w:vAlign w:val="bottom"/>
            <w:gridSpan w:val="7"/>
            <w:shd w:val="clear" w:color="auto" w:fill="CCEEFF"/>
          </w:tcPr>
          <w:p>
            <w:pPr>
              <w:spacing w:after="0"/>
              <w:rPr>
                <w:sz w:val="20"/>
                <w:szCs w:val="20"/>
                <w:color w:val="auto"/>
              </w:rPr>
            </w:pPr>
            <w:r>
              <w:rPr>
                <w:rFonts w:ascii="Arial" w:cs="Arial" w:eastAsia="Arial" w:hAnsi="Arial"/>
                <w:sz w:val="10"/>
                <w:szCs w:val="10"/>
                <w:b w:val="1"/>
                <w:bCs w:val="1"/>
                <w:color w:val="auto"/>
              </w:rPr>
              <w:t>Income (Loss) Before Income Taxes Margin</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color w:val="auto"/>
                <w:w w:val="93"/>
              </w:rPr>
              <w:t>Adjustments:</w:t>
            </w:r>
          </w:p>
        </w:tc>
        <w:tc>
          <w:tcPr>
            <w:tcW w:w="808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64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Total non-GAAP adjustments</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2.3 %</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4.4 %</w:t>
            </w:r>
          </w:p>
        </w:tc>
        <w:tc>
          <w:tcPr>
            <w:tcW w:w="0" w:type="dxa"/>
            <w:vAlign w:val="bottom"/>
          </w:tcPr>
          <w:p>
            <w:pPr>
              <w:spacing w:after="0"/>
              <w:rPr>
                <w:sz w:val="1"/>
                <w:szCs w:val="1"/>
                <w:color w:val="auto"/>
              </w:rPr>
            </w:pPr>
          </w:p>
        </w:tc>
      </w:tr>
      <w:tr>
        <w:trPr>
          <w:trHeight w:val="132"/>
        </w:trPr>
        <w:tc>
          <w:tcPr>
            <w:tcW w:w="8640" w:type="dxa"/>
            <w:vAlign w:val="bottom"/>
            <w:tcBorders>
              <w:bottom w:val="single" w:sz="8" w:color="CCEEFF"/>
            </w:tcBorders>
            <w:gridSpan w:val="7"/>
          </w:tcPr>
          <w:p>
            <w:pPr>
              <w:ind w:left="140"/>
              <w:spacing w:after="0"/>
              <w:rPr>
                <w:sz w:val="20"/>
                <w:szCs w:val="20"/>
                <w:color w:val="auto"/>
              </w:rPr>
            </w:pPr>
            <w:r>
              <w:rPr>
                <w:rFonts w:ascii="Arial" w:cs="Arial" w:eastAsia="Arial" w:hAnsi="Arial"/>
                <w:sz w:val="10"/>
                <w:szCs w:val="10"/>
                <w:color w:val="auto"/>
              </w:rPr>
              <w:t>Interest expense</w:t>
            </w: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1.7 %</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47"/>
        </w:trPr>
        <w:tc>
          <w:tcPr>
            <w:tcW w:w="86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0"/>
                <w:szCs w:val="10"/>
                <w:b w:val="1"/>
                <w:bCs w:val="1"/>
                <w:color w:val="auto"/>
              </w:rPr>
              <w:t>Margin for Adjusted Operating Income</w:t>
            </w: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0.3 %</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92"/>
        </w:trPr>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4"/>
              </w:rPr>
              <w:t>ADJUSTED EBITDA MARGIN</w:t>
            </w:r>
          </w:p>
        </w:tc>
        <w:tc>
          <w:tcPr>
            <w:tcW w:w="732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40" w:type="dxa"/>
            <w:vAlign w:val="bottom"/>
            <w:gridSpan w:val="7"/>
            <w:shd w:val="clear" w:color="auto" w:fill="CCEEFF"/>
          </w:tcPr>
          <w:p>
            <w:pPr>
              <w:spacing w:after="0"/>
              <w:rPr>
                <w:sz w:val="20"/>
                <w:szCs w:val="20"/>
                <w:color w:val="auto"/>
              </w:rPr>
            </w:pPr>
            <w:r>
              <w:rPr>
                <w:rFonts w:ascii="Arial" w:cs="Arial" w:eastAsia="Arial" w:hAnsi="Arial"/>
                <w:sz w:val="10"/>
                <w:szCs w:val="10"/>
                <w:b w:val="1"/>
                <w:bCs w:val="1"/>
                <w:color w:val="auto"/>
              </w:rPr>
              <w:t>EBITDA Margin</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4.6 %</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0.5 %</w:t>
            </w:r>
          </w:p>
        </w:tc>
        <w:tc>
          <w:tcPr>
            <w:tcW w:w="0" w:type="dxa"/>
            <w:vAlign w:val="bottom"/>
          </w:tcPr>
          <w:p>
            <w:pPr>
              <w:spacing w:after="0"/>
              <w:rPr>
                <w:sz w:val="1"/>
                <w:szCs w:val="1"/>
                <w:color w:val="auto"/>
              </w:rPr>
            </w:pPr>
          </w:p>
        </w:tc>
      </w:tr>
      <w:tr>
        <w:trPr>
          <w:trHeight w:val="132"/>
        </w:trPr>
        <w:tc>
          <w:tcPr>
            <w:tcW w:w="8640" w:type="dxa"/>
            <w:vAlign w:val="bottom"/>
            <w:tcBorders>
              <w:bottom w:val="single" w:sz="8" w:color="CCEEFF"/>
            </w:tcBorders>
            <w:gridSpan w:val="7"/>
          </w:tcPr>
          <w:p>
            <w:pPr>
              <w:ind w:left="140"/>
              <w:spacing w:after="0"/>
              <w:rPr>
                <w:sz w:val="20"/>
                <w:szCs w:val="20"/>
                <w:color w:val="auto"/>
              </w:rPr>
            </w:pPr>
            <w:r>
              <w:rPr>
                <w:rFonts w:ascii="Arial" w:cs="Arial" w:eastAsia="Arial" w:hAnsi="Arial"/>
                <w:sz w:val="10"/>
                <w:szCs w:val="10"/>
                <w:color w:val="auto"/>
              </w:rPr>
              <w:t>Total non-GAAP adjustments</w:t>
            </w: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2.2 %</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4.4 %</w:t>
            </w:r>
          </w:p>
        </w:tc>
        <w:tc>
          <w:tcPr>
            <w:tcW w:w="0" w:type="dxa"/>
            <w:vAlign w:val="bottom"/>
          </w:tcPr>
          <w:p>
            <w:pPr>
              <w:spacing w:after="0"/>
              <w:rPr>
                <w:sz w:val="1"/>
                <w:szCs w:val="1"/>
                <w:color w:val="auto"/>
              </w:rPr>
            </w:pPr>
          </w:p>
        </w:tc>
      </w:tr>
      <w:tr>
        <w:trPr>
          <w:trHeight w:val="143"/>
        </w:trPr>
        <w:tc>
          <w:tcPr>
            <w:tcW w:w="86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0"/>
                <w:szCs w:val="10"/>
                <w:b w:val="1"/>
                <w:bCs w:val="1"/>
                <w:color w:val="auto"/>
              </w:rPr>
              <w:t>Adjusted EBITDA Margin</w:t>
            </w: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6.8 %</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28" w:right="299" w:bottom="1440" w:gutter="0" w:footer="0" w:header="0"/>
        </w:sectPr>
      </w:pPr>
    </w:p>
    <w:bookmarkStart w:id="22" w:name="page23"/>
    <w:bookmarkEnd w:id="22"/>
    <w:tbl>
      <w:tblPr>
        <w:tblLayout w:type="fixed"/>
        <w:tblInd w:w="8"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EXHIBIT 99.1</w:t>
            </w:r>
          </w:p>
        </w:tc>
      </w:tr>
      <w:tr>
        <w:trPr>
          <w:trHeight w:val="675"/>
        </w:trPr>
        <w:tc>
          <w:tcPr>
            <w:tcW w:w="8800" w:type="dxa"/>
            <w:vAlign w:val="bottom"/>
            <w:gridSpan w:val="2"/>
          </w:tcPr>
          <w:p>
            <w:pPr>
              <w:spacing w:after="0"/>
              <w:rPr>
                <w:sz w:val="20"/>
                <w:szCs w:val="20"/>
                <w:color w:val="auto"/>
              </w:rPr>
            </w:pPr>
            <w:r>
              <w:rPr>
                <w:rFonts w:ascii="Arial" w:cs="Arial" w:eastAsia="Arial" w:hAnsi="Arial"/>
                <w:sz w:val="12"/>
                <w:szCs w:val="12"/>
                <w:b w:val="1"/>
                <w:bCs w:val="1"/>
                <w:color w:val="auto"/>
              </w:rPr>
              <w:t>Free Cash Flow and Adjusted Free Cash Flow Reconciliation:</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3"/>
        </w:trPr>
        <w:tc>
          <w:tcPr>
            <w:tcW w:w="4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gridSpan w:val="3"/>
          </w:tcPr>
          <w:p>
            <w:pPr>
              <w:jc w:val="right"/>
              <w:spacing w:after="0" w:line="114" w:lineRule="exact"/>
              <w:rPr>
                <w:sz w:val="20"/>
                <w:szCs w:val="20"/>
                <w:color w:val="auto"/>
              </w:rPr>
            </w:pPr>
            <w:r>
              <w:rPr>
                <w:rFonts w:ascii="Arial" w:cs="Arial" w:eastAsia="Arial" w:hAnsi="Arial"/>
                <w:sz w:val="10"/>
                <w:szCs w:val="10"/>
                <w:color w:val="auto"/>
              </w:rPr>
              <w:t>Three Months Ended</w:t>
            </w:r>
          </w:p>
        </w:tc>
        <w:tc>
          <w:tcPr>
            <w:tcW w:w="780" w:type="dxa"/>
            <w:vAlign w:val="bottom"/>
          </w:tcPr>
          <w:p>
            <w:pPr>
              <w:spacing w:after="0"/>
              <w:rPr>
                <w:sz w:val="9"/>
                <w:szCs w:val="9"/>
                <w:color w:val="auto"/>
              </w:rPr>
            </w:pPr>
          </w:p>
        </w:tc>
      </w:tr>
      <w:tr>
        <w:trPr>
          <w:trHeight w:val="122"/>
        </w:trPr>
        <w:tc>
          <w:tcPr>
            <w:tcW w:w="420" w:type="dxa"/>
            <w:vAlign w:val="bottom"/>
            <w:tcBorders>
              <w:bottom w:val="single" w:sz="8" w:color="CCEEFF"/>
            </w:tcBorders>
          </w:tcPr>
          <w:p>
            <w:pPr>
              <w:spacing w:after="0"/>
              <w:rPr>
                <w:sz w:val="10"/>
                <w:szCs w:val="10"/>
                <w:color w:val="auto"/>
              </w:rPr>
            </w:pPr>
          </w:p>
        </w:tc>
        <w:tc>
          <w:tcPr>
            <w:tcW w:w="83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color w:val="auto"/>
              </w:rPr>
              <w:t>March 31,</w:t>
            </w:r>
          </w:p>
        </w:tc>
        <w:tc>
          <w:tcPr>
            <w:tcW w:w="780" w:type="dxa"/>
            <w:vAlign w:val="bottom"/>
            <w:tcBorders>
              <w:bottom w:val="single" w:sz="8" w:color="auto"/>
            </w:tcBorders>
          </w:tcPr>
          <w:p>
            <w:pPr>
              <w:spacing w:after="0"/>
              <w:rPr>
                <w:sz w:val="10"/>
                <w:szCs w:val="10"/>
                <w:color w:val="auto"/>
              </w:rPr>
            </w:pPr>
          </w:p>
        </w:tc>
      </w:tr>
      <w:tr>
        <w:trPr>
          <w:trHeight w:val="97"/>
        </w:trPr>
        <w:tc>
          <w:tcPr>
            <w:tcW w:w="88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(in millions)</w:t>
            </w:r>
          </w:p>
        </w:tc>
        <w:tc>
          <w:tcPr>
            <w:tcW w:w="2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452"/>
              <w:spacing w:after="0" w:line="97" w:lineRule="exact"/>
              <w:rPr>
                <w:sz w:val="20"/>
                <w:szCs w:val="20"/>
                <w:color w:val="auto"/>
              </w:rPr>
            </w:pPr>
            <w:r>
              <w:rPr>
                <w:rFonts w:ascii="Arial" w:cs="Arial" w:eastAsia="Arial" w:hAnsi="Arial"/>
                <w:sz w:val="10"/>
                <w:szCs w:val="10"/>
                <w:color w:val="auto"/>
              </w:rPr>
              <w:t>2026</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451"/>
              <w:spacing w:after="0" w:line="97" w:lineRule="exact"/>
              <w:rPr>
                <w:sz w:val="20"/>
                <w:szCs w:val="20"/>
                <w:color w:val="auto"/>
              </w:rPr>
            </w:pPr>
            <w:r>
              <w:rPr>
                <w:rFonts w:ascii="Arial" w:cs="Arial" w:eastAsia="Arial" w:hAnsi="Arial"/>
                <w:sz w:val="10"/>
                <w:szCs w:val="10"/>
                <w:color w:val="auto"/>
              </w:rPr>
              <w:t>2025</w:t>
            </w: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8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10"/>
        </w:trPr>
        <w:tc>
          <w:tcPr>
            <w:tcW w:w="880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Operating Cash Flow</w:t>
            </w:r>
          </w:p>
        </w:tc>
        <w:tc>
          <w:tcPr>
            <w:tcW w:w="280" w:type="dxa"/>
            <w:vAlign w:val="bottom"/>
          </w:tcPr>
          <w:p>
            <w:pPr>
              <w:jc w:val="right"/>
              <w:ind w:right="172"/>
              <w:spacing w:after="0" w:line="110" w:lineRule="exact"/>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10" w:lineRule="exact"/>
              <w:rPr>
                <w:sz w:val="20"/>
                <w:szCs w:val="20"/>
                <w:color w:val="auto"/>
              </w:rPr>
            </w:pPr>
            <w:r>
              <w:rPr>
                <w:rFonts w:ascii="Arial" w:cs="Arial" w:eastAsia="Arial" w:hAnsi="Arial"/>
                <w:sz w:val="10"/>
                <w:szCs w:val="10"/>
                <w:color w:val="auto"/>
              </w:rPr>
              <w:t>(8)</w:t>
            </w:r>
          </w:p>
        </w:tc>
        <w:tc>
          <w:tcPr>
            <w:tcW w:w="80" w:type="dxa"/>
            <w:vAlign w:val="bottom"/>
          </w:tcPr>
          <w:p>
            <w:pPr>
              <w:spacing w:after="0"/>
              <w:rPr>
                <w:sz w:val="9"/>
                <w:szCs w:val="9"/>
                <w:color w:val="auto"/>
              </w:rPr>
            </w:pPr>
          </w:p>
        </w:tc>
        <w:tc>
          <w:tcPr>
            <w:tcW w:w="440" w:type="dxa"/>
            <w:vAlign w:val="bottom"/>
          </w:tcPr>
          <w:p>
            <w:pPr>
              <w:jc w:val="right"/>
              <w:ind w:right="312"/>
              <w:spacing w:after="0" w:line="110" w:lineRule="exact"/>
              <w:rPr>
                <w:sz w:val="20"/>
                <w:szCs w:val="20"/>
                <w:color w:val="auto"/>
              </w:rPr>
            </w:pPr>
            <w:r>
              <w:rPr>
                <w:rFonts w:ascii="Arial" w:cs="Arial" w:eastAsia="Arial" w:hAnsi="Arial"/>
                <w:sz w:val="10"/>
                <w:szCs w:val="10"/>
                <w:color w:val="auto"/>
              </w:rPr>
              <w:t>$</w:t>
            </w:r>
          </w:p>
        </w:tc>
        <w:tc>
          <w:tcPr>
            <w:tcW w:w="780" w:type="dxa"/>
            <w:vAlign w:val="bottom"/>
          </w:tcPr>
          <w:p>
            <w:pPr>
              <w:jc w:val="right"/>
              <w:spacing w:after="0" w:line="110" w:lineRule="exact"/>
              <w:rPr>
                <w:sz w:val="20"/>
                <w:szCs w:val="20"/>
                <w:color w:val="auto"/>
              </w:rPr>
            </w:pPr>
            <w:r>
              <w:rPr>
                <w:rFonts w:ascii="Arial" w:cs="Arial" w:eastAsia="Arial" w:hAnsi="Arial"/>
                <w:sz w:val="10"/>
                <w:szCs w:val="10"/>
                <w:color w:val="auto"/>
              </w:rPr>
              <w:t>(58)</w:t>
            </w:r>
          </w:p>
        </w:tc>
      </w:tr>
      <w:tr>
        <w:trPr>
          <w:trHeight w:val="136"/>
        </w:trPr>
        <w:tc>
          <w:tcPr>
            <w:tcW w:w="88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Cost of additions to land, buildings and equipment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r>
      <w:tr>
        <w:trPr>
          <w:trHeight w:val="132"/>
        </w:trPr>
        <w:tc>
          <w:tcPr>
            <w:tcW w:w="88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Cost of additions to internal use software</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r>
      <w:tr>
        <w:trPr>
          <w:trHeight w:val="147"/>
        </w:trPr>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Free Cash Flow</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w:t>
            </w:r>
          </w:p>
        </w:tc>
      </w:tr>
      <w:tr>
        <w:trPr>
          <w:trHeight w:val="128"/>
        </w:trPr>
        <w:tc>
          <w:tcPr>
            <w:tcW w:w="8800" w:type="dxa"/>
            <w:vAlign w:val="bottom"/>
            <w:gridSpan w:val="2"/>
          </w:tcPr>
          <w:p>
            <w:pPr>
              <w:spacing w:after="0"/>
              <w:rPr>
                <w:sz w:val="20"/>
                <w:szCs w:val="20"/>
                <w:color w:val="auto"/>
              </w:rPr>
            </w:pPr>
            <w:r>
              <w:rPr>
                <w:rFonts w:ascii="Arial" w:cs="Arial" w:eastAsia="Arial" w:hAnsi="Arial"/>
                <w:sz w:val="10"/>
                <w:szCs w:val="10"/>
                <w:color w:val="auto"/>
              </w:rPr>
              <w:t>Free Cash Flow</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1"/>
                <w:szCs w:val="11"/>
                <w:color w:val="auto"/>
              </w:rPr>
            </w:pPr>
          </w:p>
        </w:tc>
        <w:tc>
          <w:tcPr>
            <w:tcW w:w="4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(76)</w:t>
            </w:r>
          </w:p>
        </w:tc>
      </w:tr>
      <w:tr>
        <w:trPr>
          <w:trHeight w:val="138"/>
        </w:trPr>
        <w:tc>
          <w:tcPr>
            <w:tcW w:w="88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Transaction costs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r>
      <w:tr>
        <w:trPr>
          <w:trHeight w:val="132"/>
        </w:trPr>
        <w:tc>
          <w:tcPr>
            <w:tcW w:w="8800" w:type="dxa"/>
            <w:vAlign w:val="bottom"/>
            <w:gridSpan w:val="2"/>
          </w:tcPr>
          <w:p>
            <w:pPr>
              <w:ind w:left="80"/>
              <w:spacing w:after="0"/>
              <w:rPr>
                <w:sz w:val="20"/>
                <w:szCs w:val="20"/>
                <w:color w:val="auto"/>
              </w:rPr>
            </w:pPr>
            <w:r>
              <w:rPr>
                <w:rFonts w:ascii="Arial" w:cs="Arial" w:eastAsia="Arial" w:hAnsi="Arial"/>
                <w:sz w:val="10"/>
                <w:szCs w:val="10"/>
                <w:color w:val="auto"/>
              </w:rPr>
              <w:t>Direct response costs - cyber event payments</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35"/>
        </w:trPr>
        <w:tc>
          <w:tcPr>
            <w:tcW w:w="88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Vendor finance lease payments</w:t>
            </w: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w:t>
            </w:r>
          </w:p>
        </w:tc>
      </w:tr>
      <w:tr>
        <w:trPr>
          <w:trHeight w:val="127"/>
        </w:trPr>
        <w:tc>
          <w:tcPr>
            <w:tcW w:w="8800" w:type="dxa"/>
            <w:vAlign w:val="bottom"/>
            <w:gridSpan w:val="2"/>
          </w:tcPr>
          <w:p>
            <w:pPr>
              <w:spacing w:after="0"/>
              <w:rPr>
                <w:sz w:val="20"/>
                <w:szCs w:val="20"/>
                <w:color w:val="auto"/>
              </w:rPr>
            </w:pPr>
            <w:r>
              <w:rPr>
                <w:rFonts w:ascii="Arial" w:cs="Arial" w:eastAsia="Arial" w:hAnsi="Arial"/>
                <w:sz w:val="10"/>
                <w:szCs w:val="10"/>
                <w:b w:val="1"/>
                <w:bCs w:val="1"/>
                <w:color w:val="auto"/>
              </w:rPr>
              <w:t>Adjusted Free Cash Flow</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4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w:t>
            </w:r>
          </w:p>
        </w:tc>
      </w:tr>
      <w:tr>
        <w:trPr>
          <w:trHeight w:val="20"/>
        </w:trPr>
        <w:tc>
          <w:tcPr>
            <w:tcW w:w="4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8"/>
          <w:szCs w:val="8"/>
          <w:color w:val="auto"/>
        </w:rPr>
        <w:t>__________</w:t>
      </w:r>
    </w:p>
    <w:p>
      <w:pPr>
        <w:spacing w:after="0" w:line="45"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8"/>
          <w:szCs w:val="8"/>
          <w:i w:val="1"/>
          <w:iCs w:val="1"/>
          <w:color w:val="auto"/>
        </w:rPr>
      </w:pPr>
      <w:r>
        <w:rPr>
          <w:rFonts w:ascii="Arial" w:cs="Arial" w:eastAsia="Arial" w:hAnsi="Arial"/>
          <w:sz w:val="8"/>
          <w:szCs w:val="8"/>
          <w:i w:val="1"/>
          <w:iCs w:val="1"/>
          <w:color w:val="auto"/>
        </w:rPr>
        <w:t>Reserved for future use.</w:t>
      </w:r>
    </w:p>
    <w:p>
      <w:pPr>
        <w:spacing w:after="0" w:line="43" w:lineRule="exact"/>
        <w:rPr>
          <w:rFonts w:ascii="Arial" w:cs="Arial" w:eastAsia="Arial" w:hAnsi="Arial"/>
          <w:sz w:val="8"/>
          <w:szCs w:val="8"/>
          <w:i w:val="1"/>
          <w:iCs w:val="1"/>
          <w:color w:val="auto"/>
        </w:rPr>
      </w:pPr>
    </w:p>
    <w:p>
      <w:pPr>
        <w:ind w:left="208" w:hanging="208"/>
        <w:spacing w:after="0"/>
        <w:tabs>
          <w:tab w:leader="none" w:pos="208" w:val="left"/>
        </w:tabs>
        <w:numPr>
          <w:ilvl w:val="0"/>
          <w:numId w:val="13"/>
        </w:numPr>
        <w:rPr>
          <w:rFonts w:ascii="Arial" w:cs="Arial" w:eastAsia="Arial" w:hAnsi="Arial"/>
          <w:sz w:val="8"/>
          <w:szCs w:val="8"/>
          <w:i w:val="1"/>
          <w:iCs w:val="1"/>
          <w:color w:val="auto"/>
        </w:rPr>
      </w:pPr>
      <w:r>
        <w:rPr>
          <w:rFonts w:ascii="Arial" w:cs="Arial" w:eastAsia="Arial" w:hAnsi="Arial"/>
          <w:sz w:val="8"/>
          <w:szCs w:val="8"/>
          <w:i w:val="1"/>
          <w:iCs w:val="1"/>
          <w:color w:val="auto"/>
        </w:rPr>
        <w:t>Included in Depreciation and amortization on the Consolidated Statements of Income (Loss).</w:t>
      </w:r>
    </w:p>
    <w:p>
      <w:pPr>
        <w:spacing w:after="0" w:line="43" w:lineRule="exact"/>
        <w:rPr>
          <w:rFonts w:ascii="Arial" w:cs="Arial" w:eastAsia="Arial" w:hAnsi="Arial"/>
          <w:sz w:val="8"/>
          <w:szCs w:val="8"/>
          <w:i w:val="1"/>
          <w:iCs w:val="1"/>
          <w:color w:val="auto"/>
        </w:rPr>
      </w:pPr>
    </w:p>
    <w:p>
      <w:pPr>
        <w:ind w:left="208" w:hanging="208"/>
        <w:spacing w:after="0"/>
        <w:tabs>
          <w:tab w:leader="none" w:pos="208" w:val="left"/>
        </w:tabs>
        <w:numPr>
          <w:ilvl w:val="0"/>
          <w:numId w:val="13"/>
        </w:numPr>
        <w:rPr>
          <w:rFonts w:ascii="Arial" w:cs="Arial" w:eastAsia="Arial" w:hAnsi="Arial"/>
          <w:sz w:val="8"/>
          <w:szCs w:val="8"/>
          <w:i w:val="1"/>
          <w:iCs w:val="1"/>
          <w:color w:val="auto"/>
        </w:rPr>
      </w:pPr>
      <w:r>
        <w:rPr>
          <w:rFonts w:ascii="Arial" w:cs="Arial" w:eastAsia="Arial" w:hAnsi="Arial"/>
          <w:sz w:val="8"/>
          <w:szCs w:val="8"/>
          <w:i w:val="1"/>
          <w:iCs w:val="1"/>
          <w:color w:val="auto"/>
        </w:rPr>
        <w:t>The tax impact of Adjusted Pre-tax income (loss) was calculated under the same accounting principles applied to the 'As Reported' pre-tax income (loss), which employs an annual effective tax rate method to the results and without regard to the Total Non-GAAP adjustments.</w:t>
      </w:r>
    </w:p>
    <w:p>
      <w:pPr>
        <w:spacing w:after="0" w:line="43" w:lineRule="exact"/>
        <w:rPr>
          <w:rFonts w:ascii="Arial" w:cs="Arial" w:eastAsia="Arial" w:hAnsi="Arial"/>
          <w:sz w:val="8"/>
          <w:szCs w:val="8"/>
          <w:i w:val="1"/>
          <w:iCs w:val="1"/>
          <w:color w:val="auto"/>
        </w:rPr>
      </w:pPr>
    </w:p>
    <w:p>
      <w:pPr>
        <w:ind w:left="208" w:hanging="208"/>
        <w:spacing w:after="0"/>
        <w:tabs>
          <w:tab w:leader="none" w:pos="208" w:val="left"/>
        </w:tabs>
        <w:numPr>
          <w:ilvl w:val="0"/>
          <w:numId w:val="13"/>
        </w:numPr>
        <w:rPr>
          <w:rFonts w:ascii="Arial" w:cs="Arial" w:eastAsia="Arial" w:hAnsi="Arial"/>
          <w:sz w:val="8"/>
          <w:szCs w:val="8"/>
          <w:i w:val="1"/>
          <w:iCs w:val="1"/>
          <w:color w:val="auto"/>
        </w:rPr>
      </w:pPr>
      <w:r>
        <w:rPr>
          <w:rFonts w:ascii="Arial" w:cs="Arial" w:eastAsia="Arial" w:hAnsi="Arial"/>
          <w:sz w:val="8"/>
          <w:szCs w:val="8"/>
          <w:i w:val="1"/>
          <w:iCs w:val="1"/>
          <w:color w:val="auto"/>
        </w:rPr>
        <w:t>Average shares for the 2026 and 2025 calculation of adjusted EPS excludes 5.4 million shares associated with our Series A convertible preferred stock and includes the impact of preferred stock dividends of approximately $2 million each quarter.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8"/>
          </w:cols>
          <w:pgMar w:left="292" w:top="128" w:right="299" w:bottom="1440"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130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4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141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41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141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13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13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130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2026-05-11T15:13:50Z</dcterms:created>
  <dcterms:modified xsi:type="dcterms:W3CDTF">2026-05-11T15:13:50Z</dcterms:modified>
</cp:coreProperties>
</file>