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before="0" w:after="0"/>
        <w:ind w:left="0" w:right="0" w:firstLine="5040"/>
        <w:jc w:val="center"/>
      </w:p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_______________   </w: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100" w:after="283"/>
        <w:ind w:left="0" w:right="0" w:firstLine="720"/>
        <w:jc w:val="both"/>
        <w:rPr>
          <w:rFonts w:ascii="Arial;sans-serif" w:hAnsi="Arial;sans-serif"/>
          <w:b/>
          <w:color w:val="000000"/>
          <w:sz w:val="20"/>
        </w:rPr>
      </w:pPr>
      <w:r>
        <w:rPr>
          <w:rFonts w:ascii="Arial;sans-serif" w:hAnsi="Arial;sans-serif"/>
          <w:b/>
          <w:color w:val="000000"/>
          <w:sz w:val="20"/>
        </w:rPr>
        <w:t>For the quarterly period ended: September 30, 2026</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00" w:after="283"/>
        <w:ind w:left="0" w:right="0" w:firstLine="720"/>
        <w:jc w:val="both"/>
        <w:rPr>
          <w:rFonts w:ascii="Arial;sans-serif" w:hAnsi="Arial;sans-serif"/>
          <w:b/>
          <w:color w:val="000000"/>
          <w:sz w:val="20"/>
        </w:rPr>
      </w:pPr>
      <w:r>
        <w:rPr>
          <w:rFonts w:ascii="Arial;sans-serif" w:hAnsi="Arial;sans-serif"/>
          <w:b/>
          <w:color w:val="000000"/>
          <w:sz w:val="20"/>
        </w:rPr>
        <w:t>For the transition period from                        to</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Commission File Number 001-37817</w:t>
      </w:r>
    </w:p>
    <w:p>
      <w:pPr>
        <w:pStyle w:val="TextBody"/>
        <w:bidi w:val="0"/>
        <w:spacing w:before="180" w:after="283"/>
        <w:jc w:val="center"/>
      </w:pPr>
      <w:r>
        <w:drawing>
          <wp:inline distT="0" distB="0" distL="0" distR="0">
            <wp:extent cx="14573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361950"/>
                    </a:xfrm>
                    <a:prstGeom prst="rect">
                      <a:avLst/>
                    </a:prstGeom>
                  </pic:spPr>
                </pic:pic>
              </a:graphicData>
            </a:graphic>
          </wp:inline>
        </w:drawing>
      </w:r>
      <w:bookmarkStart w:id="0" w:name="i-1"/>
      <w:bookmarkEnd w:id="0"/>
    </w:p>
    <w:p>
      <w:pPr>
        <w:pStyle w:val="TextBody"/>
        <w:bidi w:val="0"/>
        <w:spacing w:lineRule="auto" w:line="288" w:before="180" w:after="283"/>
        <w:jc w:val="center"/>
        <w:rPr>
          <w:rFonts w:ascii="Arial;sans-serif" w:hAnsi="Arial;sans-serif"/>
          <w:b/>
          <w:color w:val="000000"/>
          <w:sz w:val="28"/>
        </w:rPr>
      </w:pPr>
      <w:r>
        <w:rPr>
          <w:rFonts w:ascii="Arial;sans-serif" w:hAnsi="Arial;sans-serif"/>
          <w:b/>
          <w:color w:val="000000"/>
          <w:sz w:val="28"/>
        </w:rPr>
        <w:t>CONDUENT INCORPORATED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5968" w:type="dxa"/>
        <w:jc w:val="center"/>
        <w:tblInd w:w="0" w:type="dxa"/>
        <w:tblLayout w:type="fixed"/>
        <w:tblCellMar>
          <w:top w:w="28" w:type="dxa"/>
          <w:left w:w="28" w:type="dxa"/>
          <w:bottom w:w="28" w:type="dxa"/>
          <w:right w:w="28" w:type="dxa"/>
        </w:tblCellMar>
      </w:tblPr>
      <w:tblGrid>
        <w:gridCol w:w="312"/>
        <w:gridCol w:w="274"/>
        <w:gridCol w:w="274"/>
        <w:gridCol w:w="665"/>
        <w:gridCol w:w="665"/>
        <w:gridCol w:w="667"/>
        <w:gridCol w:w="399"/>
        <w:gridCol w:w="399"/>
        <w:gridCol w:w="412"/>
        <w:gridCol w:w="109"/>
        <w:gridCol w:w="109"/>
        <w:gridCol w:w="109"/>
        <w:gridCol w:w="460"/>
        <w:gridCol w:w="460"/>
        <w:gridCol w:w="654"/>
      </w:tblGrid>
      <w:t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c>
          <w:tcPr>
            <w:tcW w:w="4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c>
          <w:tcPr>
            <w:tcW w:w="4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100 Campus Drive, </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Florham Park,</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(844) 663-2638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7932" w:type="dxa"/>
        <w:jc w:val="center"/>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100" w:after="283"/>
        <w:ind w:left="0" w:right="0" w:firstLine="180"/>
        <w:jc w:val="left"/>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180"/>
        <w:jc w:val="left"/>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422"/>
        <w:gridCol w:w="422"/>
        <w:gridCol w:w="424"/>
        <w:gridCol w:w="109"/>
        <w:gridCol w:w="109"/>
        <w:gridCol w:w="109"/>
        <w:gridCol w:w="537"/>
        <w:gridCol w:w="537"/>
        <w:gridCol w:w="539"/>
        <w:gridCol w:w="109"/>
        <w:gridCol w:w="109"/>
        <w:gridCol w:w="109"/>
        <w:gridCol w:w="627"/>
        <w:gridCol w:w="627"/>
        <w:gridCol w:w="629"/>
        <w:gridCol w:w="109"/>
        <w:gridCol w:w="109"/>
        <w:gridCol w:w="109"/>
        <w:gridCol w:w="676"/>
        <w:gridCol w:w="676"/>
        <w:gridCol w:w="679"/>
        <w:gridCol w:w="109"/>
        <w:gridCol w:w="109"/>
        <w:gridCol w:w="160"/>
      </w:tblGrid>
      <w:t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Small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283"/>
        <w:ind w:left="0" w:right="0" w:firstLine="180"/>
        <w:jc w:val="left"/>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60" w:after="283"/>
        <w:ind w:left="0" w:right="0" w:firstLine="180"/>
        <w:jc w:val="left"/>
      </w:pPr>
      <w:r>
        <w:rPr>
          <w:rFonts w:ascii="Arial;sans-serif" w:hAnsi="Arial;sans-serif"/>
          <w:b w:val="false"/>
          <w:color w:val="000000"/>
          <w:sz w:val="18"/>
        </w:rPr>
        <w:t>Indicate by a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 xml:space="preserve">☒ </w:t>
      </w:r>
    </w:p>
    <w:tbl>
      <w:tblPr>
        <w:tblW w:w="6010" w:type="dxa"/>
        <w:jc w:val="left"/>
        <w:tblInd w:w="0" w:type="dxa"/>
        <w:tblLayout w:type="fixed"/>
        <w:tblCellMar>
          <w:top w:w="28" w:type="dxa"/>
          <w:left w:w="28" w:type="dxa"/>
          <w:bottom w:w="28" w:type="dxa"/>
          <w:right w:w="28" w:type="dxa"/>
        </w:tblCellMar>
      </w:tblPr>
      <w:tblGrid>
        <w:gridCol w:w="510"/>
        <w:gridCol w:w="448"/>
        <w:gridCol w:w="451"/>
        <w:gridCol w:w="459"/>
        <w:gridCol w:w="459"/>
        <w:gridCol w:w="461"/>
        <w:gridCol w:w="109"/>
        <w:gridCol w:w="109"/>
        <w:gridCol w:w="109"/>
        <w:gridCol w:w="847"/>
        <w:gridCol w:w="847"/>
        <w:gridCol w:w="1201"/>
      </w:tblGrid>
      <w:t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c>
          <w:tcPr>
            <w:tcW w:w="27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 at October 31, 2026</w:t>
            </w:r>
          </w:p>
        </w:tc>
      </w:tr>
      <w:tr>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w:t>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155,681,722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716280"/>
                <wp:effectExtent l="0" t="0" r="0" b="0"/>
                <wp:wrapNone/>
                <wp:docPr id="2" name="Frame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5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96"/>
                              <w:gridCol w:w="696"/>
                              <w:gridCol w:w="99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Conduent Q3 2026 Form 10-Q</w:t>
                                  </w:r>
                                </w:p>
                              </w:tc>
                            </w:tr>
                          </w:tbl>
                          <w:p>
                            <w:pPr>
                              <w:pStyle w:val="TextBody"/>
                              <w:bidi w:val="0"/>
                              <w:spacing w:before="0" w:after="0"/>
                              <w:jc w:val="righ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5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96"/>
                        <w:gridCol w:w="696"/>
                        <w:gridCol w:w="99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Conduent Q3 2026 Form 10-Q</w:t>
                            </w:r>
                          </w:p>
                        </w:tc>
                      </w:tr>
                    </w:tbl>
                    <w:p>
                      <w:pPr>
                        <w:pStyle w:val="TextBody"/>
                        <w:bidi w:val="0"/>
                        <w:spacing w:before="0" w:after="0"/>
                        <w:jc w:val="right"/>
                      </w:pPr>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76" w:before="0" w:after="0"/>
        <w:ind w:left="0" w:right="0" w:firstLine="5040"/>
        <w:jc w:val="left"/>
        <w:rPr>
          <w:rFonts w:ascii="Arial;sans-serif" w:hAnsi="Arial;sans-serif"/>
          <w:b/>
          <w:color w:val="1269BC"/>
          <w:sz w:val="24"/>
        </w:rPr>
      </w:pPr>
      <w:r>
        <w:rPr>
          <w:rFonts w:ascii="Arial;sans-serif" w:hAnsi="Arial;sans-serif"/>
          <w:b/>
          <w:color w:val="1269BC"/>
          <w:sz w:val="24"/>
        </w:rPr>
        <w:t>FORWARD-LOOKING STATEMENTS</w:t>
      </w:r>
    </w:p>
    <w:p>
      <w:pPr>
        <w:pStyle w:val="TextBody"/>
        <w:bidi w:val="0"/>
        <w:spacing w:lineRule="auto" w:line="288" w:before="0" w:after="180"/>
        <w:jc w:val="left"/>
        <w:rPr>
          <w:rFonts w:ascii="Arial;sans-serif" w:hAnsi="Arial;sans-serif"/>
          <w:b w:val="false"/>
          <w:color w:val="000000"/>
          <w:sz w:val="19"/>
        </w:rPr>
      </w:pPr>
      <w:r>
        <w:rPr>
          <w:rFonts w:ascii="Arial;sans-serif" w:hAnsi="Arial;sans-serif"/>
          <w:b w:val="false"/>
          <w:color w:val="000000"/>
          <w:sz w:val="19"/>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 xml:space="preserve">Important factors and uncertainties that could cause our actual results to differ materially from those in our forward-looking statements include, but are not limited to: risks related to recently announced divestitures including the sale of the Company’s (i) Transit Business and (ii) Tolling Business, including but not limited to our ability to realize the benefits anticipated from such transactions, unexpected costs, liabilities or delays associated with such transactions, the risk of litigation or regulatory actions and our inability to retain and hire key personnel; with respect to the sale of the Transit Business, risks that we do not receive some or all of the holdback amounts, including as a result of post-closing purchase price adjustments, indemnification claims or the failure to satisfy the conditions to release; the risk that transaction costs, taxes or other amounts payable in connection with the sale of the Transit Business exceed our current expectations; with respect to the pending sale of our Tolling Business, risks related to the equity interest in Quarterhill Inc. to be received as partial consideration in the Tolling transaction, including fluctuations in the value of such interest, the risk that required regulatory approvals, third-party consents or other closing conditions are not satisfied such that the closing is delayed or does not occur; government appropriations and termination rights contained in our government contracts; the impact of changes in government spending levels, budget priorities or efficiency initiatives, including federal cost-reduction programs, on demand for our government solutions and services;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the impact of changes in trade policies, tariffs or export controls on our cost structure, supply chain and business operations;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("AI")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our investigation of such incident and mitigation and remediation efforts, the nature and extent of such incident, the potential disruption to our business or operations, the potential impact on our reputation, and our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including with respect to the class action settlement related to the January 2025 Cyber Event, and the possibility that the court may materially alter or fail to approve the settlement agreement, uncertainties regarding the outcome of other legal proceedings or government investigations related to the January 2025 Cyber Event, unexpected costs or liabilities in connection with the settlement agreement and January 2025 Cyber Event, the risk of litigation or regulatory actions related to the January 2025 Cyber Event, and the availability and timing of cyber insurance recovery; the impact of potential goodwill and other asset impairments on our results of operations;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10-Q as well as in our 2025 Annual Report on Form 10-K and any subsequent Quarterly Report on Form 10-Q and Current Report on Form 8-K filed (or furnished) with the Securities and Exchange Commission (the "SEC"). Any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7070"/>
                <wp:effectExtent l="0" t="0" r="0" b="0"/>
                <wp:wrapNone/>
                <wp:docPr id="3" name="Frame2"/>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68" w:before="0" w:after="0"/>
        <w:ind w:left="0" w:right="0" w:firstLine="5040"/>
        <w:jc w:val="left"/>
        <w:rPr>
          <w:rFonts w:ascii="Arial;sans-serif" w:hAnsi="Arial;sans-serif"/>
          <w:b w:val="false"/>
          <w:color w:val="000000"/>
          <w:sz w:val="19"/>
        </w:rPr>
      </w:pPr>
      <w:r>
        <w:rPr>
          <w:rFonts w:ascii="Arial;sans-serif" w:hAnsi="Arial;sans-serif"/>
          <w:b w:val="false"/>
          <w:color w:val="000000"/>
          <w:sz w:val="19"/>
        </w:rPr>
        <w:t>forward-looking statements made by us in this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7070"/>
                <wp:effectExtent l="0" t="0" r="0" b="0"/>
                <wp:wrapNone/>
                <wp:docPr id="4" name="Frame3"/>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283"/>
        <w:ind w:left="0" w:right="0" w:firstLine="5040"/>
        <w:jc w:val="left"/>
        <w:rPr>
          <w:rFonts w:ascii="Arial;sans-serif" w:hAnsi="Arial;sans-serif"/>
          <w:b/>
          <w:color w:val="0066CC"/>
          <w:sz w:val="24"/>
        </w:rPr>
      </w:pPr>
      <w:r>
        <w:rPr>
          <w:rFonts w:ascii="Arial;sans-serif" w:hAnsi="Arial;sans-serif"/>
          <w:b/>
          <w:color w:val="0066CC"/>
          <w:sz w:val="24"/>
        </w:rPr>
        <w:t>CONDUENT INCORPORATED</w:t>
      </w:r>
    </w:p>
    <w:p>
      <w:pPr>
        <w:pStyle w:val="TextBody"/>
        <w:bidi w:val="0"/>
        <w:spacing w:before="0" w:after="0"/>
        <w:jc w:val="left"/>
      </w:pPr>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FORM 10-Q</w:t>
      </w:r>
    </w:p>
    <w:p>
      <w:pPr>
        <w:pStyle w:val="TextBody"/>
        <w:bidi w:val="0"/>
        <w:spacing w:before="0" w:after="0"/>
        <w:jc w:val="left"/>
      </w:pPr>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 xml:space="preserve">September 30, 2026 </w:t>
      </w:r>
    </w:p>
    <w:p>
      <w:pPr>
        <w:pStyle w:val="TextBody"/>
        <w:bidi w:val="0"/>
        <w:spacing w:lineRule="auto" w:line="288" w:before="180" w:after="283"/>
        <w:jc w:val="center"/>
        <w:rPr>
          <w:rFonts w:ascii="Arial;sans-serif" w:hAnsi="Arial;sans-serif"/>
          <w:b/>
          <w:color w:val="1269BC"/>
          <w:sz w:val="20"/>
        </w:rPr>
      </w:pPr>
      <w:r>
        <w:rPr>
          <w:rFonts w:ascii="Arial;sans-serif" w:hAnsi="Arial;sans-serif"/>
          <w:b/>
          <w:color w:val="1269BC"/>
          <w:sz w:val="20"/>
        </w:rPr>
        <w:t>TABLE OF CONTENTS</w:t>
      </w:r>
    </w:p>
    <w:p>
      <w:pPr>
        <w:pStyle w:val="TextBody"/>
        <w:bidi w:val="0"/>
        <w:spacing w:lineRule="auto" w:line="288" w:before="0" w:after="0"/>
        <w:jc w:val="left"/>
        <w:rPr>
          <w:color w:val="000000"/>
        </w:rPr>
      </w:pPr>
      <w:r>
        <w:rPr>
          <w:color w:val="000000"/>
        </w:rPr>
        <w:t> </w:t>
      </w:r>
    </w:p>
    <w:tbl>
      <w:tblPr>
        <w:tblW w:w="9951" w:type="dxa"/>
        <w:jc w:val="left"/>
        <w:tblInd w:w="0" w:type="dxa"/>
        <w:tblLayout w:type="fixed"/>
        <w:tblCellMar>
          <w:top w:w="28" w:type="dxa"/>
          <w:left w:w="28" w:type="dxa"/>
          <w:bottom w:w="28" w:type="dxa"/>
          <w:right w:w="28" w:type="dxa"/>
        </w:tblCellMar>
      </w:tblPr>
      <w:tblGrid>
        <w:gridCol w:w="541"/>
        <w:gridCol w:w="475"/>
        <w:gridCol w:w="475"/>
        <w:gridCol w:w="2602"/>
        <w:gridCol w:w="2602"/>
        <w:gridCol w:w="2640"/>
        <w:gridCol w:w="180"/>
        <w:gridCol w:w="180"/>
        <w:gridCol w:w="256"/>
      </w:tblGrid>
      <w:t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93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661DE8"/>
                <w:sz w:val="20"/>
              </w:rPr>
            </w:pPr>
            <w:r>
              <w:rPr>
                <w:rFonts w:ascii="Arial;sans-serif" w:hAnsi="Arial;sans-serif"/>
                <w:b/>
                <w:color w:val="661DE8"/>
                <w:sz w:val="20"/>
              </w:rPr>
              <w:t>Page</w:t>
            </w:r>
          </w:p>
        </w:tc>
      </w:tr>
      <w:tr>
        <w:tc>
          <w:tcPr>
            <w:tcW w:w="93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3">
              <w:r>
                <w:rPr>
                  <w:rStyle w:val="InternetLink"/>
                  <w:rFonts w:ascii="Arial;sans-serif" w:hAnsi="Arial;sans-serif"/>
                  <w:b/>
                  <w:strike w:val="false"/>
                  <w:dstrike w:val="false"/>
                  <w:color w:val="0000FF"/>
                  <w:sz w:val="20"/>
                  <w:u w:val="none"/>
                  <w:effect w:val="none"/>
                </w:rPr>
                <w:t>Part I — Financial Information</w:t>
              </w:r>
            </w:hyperlink>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3">
              <w:r>
                <w:rPr>
                  <w:rStyle w:val="InternetLink"/>
                  <w:rFonts w:ascii="Arial;sans-serif" w:hAnsi="Arial;sans-serif"/>
                  <w:b w:val="false"/>
                  <w:strike w:val="false"/>
                  <w:dstrike w:val="false"/>
                  <w:color w:val="0000FF"/>
                  <w:sz w:val="20"/>
                  <w:u w:val="none"/>
                  <w:effect w:val="none"/>
                </w:rPr>
                <w:t>Item 1.</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6">
              <w:r>
                <w:rPr>
                  <w:rStyle w:val="InternetLink"/>
                  <w:rFonts w:ascii="Arial;sans-serif" w:hAnsi="Arial;sans-serif"/>
                  <w:b w:val="false"/>
                  <w:strike w:val="false"/>
                  <w:dstrike w:val="false"/>
                  <w:color w:val="0000FF"/>
                  <w:sz w:val="20"/>
                  <w:u w:val="none"/>
                  <w:effect w:val="none"/>
                </w:rPr>
                <w:t>Financial Statements (Unaudited)</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6">
              <w:r>
                <w:rPr>
                  <w:rStyle w:val="InternetLink"/>
                  <w:rFonts w:ascii="Arial;sans-serif" w:hAnsi="Arial;sans-serif"/>
                  <w:b w:val="false"/>
                  <w:strike w:val="false"/>
                  <w:dstrike w:val="false"/>
                  <w:color w:val="0000FF"/>
                  <w:sz w:val="20"/>
                  <w:u w:val="none"/>
                  <w:effect w:val="none"/>
                </w:rPr>
                <w:t>4</w:t>
              </w:r>
            </w:hyperlink>
          </w:p>
        </w:tc>
      </w:tr>
      <w:tr>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9">
              <w:r>
                <w:rPr>
                  <w:rStyle w:val="InternetLink"/>
                  <w:rFonts w:ascii="Arial;sans-serif" w:hAnsi="Arial;sans-serif"/>
                  <w:b w:val="false"/>
                  <w:strike w:val="false"/>
                  <w:dstrike w:val="false"/>
                  <w:color w:val="0000FF"/>
                  <w:sz w:val="20"/>
                  <w:u w:val="none"/>
                  <w:effect w:val="none"/>
                </w:rPr>
                <w:t>Condensed Consolidated Statements of Income (Loss)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9">
              <w:r>
                <w:rPr>
                  <w:rStyle w:val="InternetLink"/>
                  <w:rFonts w:ascii="Arial;sans-serif" w:hAnsi="Arial;sans-serif"/>
                  <w:b w:val="false"/>
                  <w:strike w:val="false"/>
                  <w:dstrike w:val="false"/>
                  <w:color w:val="0000FF"/>
                  <w:sz w:val="20"/>
                  <w:u w:val="none"/>
                  <w:effect w:val="none"/>
                </w:rPr>
                <w:t>4</w:t>
              </w:r>
            </w:hyperlink>
          </w:p>
        </w:tc>
      </w:tr>
      <w:t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22">
              <w:r>
                <w:rPr>
                  <w:rStyle w:val="InternetLink"/>
                  <w:rFonts w:ascii="Arial;sans-serif" w:hAnsi="Arial;sans-serif"/>
                  <w:b w:val="false"/>
                  <w:strike w:val="false"/>
                  <w:dstrike w:val="false"/>
                  <w:color w:val="0000FF"/>
                  <w:sz w:val="20"/>
                  <w:u w:val="none"/>
                  <w:effect w:val="none"/>
                </w:rPr>
                <w:t>Condensed Consolidated Statements of Comprehensive Income (Loss)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22">
              <w:r>
                <w:rPr>
                  <w:rStyle w:val="InternetLink"/>
                  <w:rFonts w:ascii="Arial;sans-serif" w:hAnsi="Arial;sans-serif"/>
                  <w:b w:val="false"/>
                  <w:strike w:val="false"/>
                  <w:dstrike w:val="false"/>
                  <w:color w:val="0000FF"/>
                  <w:sz w:val="20"/>
                  <w:u w:val="none"/>
                  <w:effect w:val="none"/>
                </w:rPr>
                <w:t>5</w:t>
              </w:r>
            </w:hyperlink>
          </w:p>
        </w:tc>
      </w:tr>
      <w:tr>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25">
              <w:r>
                <w:rPr>
                  <w:rStyle w:val="InternetLink"/>
                  <w:rFonts w:ascii="Arial;sans-serif" w:hAnsi="Arial;sans-serif"/>
                  <w:b w:val="false"/>
                  <w:strike w:val="false"/>
                  <w:dstrike w:val="false"/>
                  <w:color w:val="0000FF"/>
                  <w:sz w:val="20"/>
                  <w:u w:val="none"/>
                  <w:effect w:val="none"/>
                </w:rPr>
                <w:t>Condensed Consolidated Balance Sheets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25">
              <w:r>
                <w:rPr>
                  <w:rStyle w:val="InternetLink"/>
                  <w:rFonts w:ascii="Arial;sans-serif" w:hAnsi="Arial;sans-serif"/>
                  <w:b w:val="false"/>
                  <w:strike w:val="false"/>
                  <w:dstrike w:val="false"/>
                  <w:color w:val="0000FF"/>
                  <w:sz w:val="20"/>
                  <w:u w:val="none"/>
                  <w:effect w:val="none"/>
                </w:rPr>
                <w:t>6</w:t>
              </w:r>
            </w:hyperlink>
          </w:p>
        </w:tc>
      </w:tr>
      <w:t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31">
              <w:r>
                <w:rPr>
                  <w:rStyle w:val="InternetLink"/>
                  <w:rFonts w:ascii="Arial;sans-serif" w:hAnsi="Arial;sans-serif"/>
                  <w:b w:val="false"/>
                  <w:strike w:val="false"/>
                  <w:dstrike w:val="false"/>
                  <w:color w:val="0000FF"/>
                  <w:sz w:val="20"/>
                  <w:u w:val="none"/>
                  <w:effect w:val="none"/>
                </w:rPr>
                <w:t>Condensed Consolidated Statements of Cash Flows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31">
              <w:r>
                <w:rPr>
                  <w:rStyle w:val="InternetLink"/>
                  <w:rFonts w:ascii="Arial;sans-serif" w:hAnsi="Arial;sans-serif"/>
                  <w:b w:val="false"/>
                  <w:strike w:val="false"/>
                  <w:dstrike w:val="false"/>
                  <w:color w:val="0000FF"/>
                  <w:sz w:val="20"/>
                  <w:u w:val="none"/>
                  <w:effect w:val="none"/>
                </w:rPr>
                <w:t>7</w:t>
              </w:r>
            </w:hyperlink>
          </w:p>
        </w:tc>
      </w:tr>
      <w:tr>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37">
              <w:r>
                <w:rPr>
                  <w:rStyle w:val="InternetLink"/>
                  <w:rFonts w:ascii="Arial;sans-serif" w:hAnsi="Arial;sans-serif"/>
                  <w:b w:val="false"/>
                  <w:strike w:val="false"/>
                  <w:dstrike w:val="false"/>
                  <w:color w:val="0000FF"/>
                  <w:sz w:val="20"/>
                  <w:u w:val="none"/>
                  <w:effect w:val="none"/>
                </w:rPr>
                <w:t>Condensed Consolidated Statements of Shareholders' Equity</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37">
              <w:r>
                <w:rPr>
                  <w:rStyle w:val="InternetLink"/>
                  <w:rFonts w:ascii="Arial;sans-serif" w:hAnsi="Arial;sans-serif"/>
                  <w:b w:val="false"/>
                  <w:strike w:val="false"/>
                  <w:dstrike w:val="false"/>
                  <w:color w:val="0000FF"/>
                  <w:sz w:val="20"/>
                  <w:u w:val="none"/>
                  <w:effect w:val="none"/>
                </w:rPr>
                <w:t>8</w:t>
              </w:r>
            </w:hyperlink>
          </w:p>
        </w:tc>
      </w:tr>
      <w:t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43">
              <w:r>
                <w:rPr>
                  <w:rStyle w:val="InternetLink"/>
                  <w:rFonts w:ascii="Arial;sans-serif" w:hAnsi="Arial;sans-serif"/>
                  <w:b w:val="false"/>
                  <w:strike w:val="false"/>
                  <w:dstrike w:val="false"/>
                  <w:color w:val="0000FF"/>
                  <w:sz w:val="20"/>
                  <w:u w:val="none"/>
                  <w:effect w:val="none"/>
                </w:rPr>
                <w:t>Notes to the Condensed Consolidated Financial Statements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43">
              <w:r>
                <w:rPr>
                  <w:rStyle w:val="InternetLink"/>
                  <w:rFonts w:ascii="Arial;sans-serif" w:hAnsi="Arial;sans-serif"/>
                  <w:b w:val="false"/>
                  <w:strike w:val="false"/>
                  <w:dstrike w:val="false"/>
                  <w:color w:val="0000FF"/>
                  <w:sz w:val="20"/>
                  <w:u w:val="none"/>
                  <w:effect w:val="none"/>
                </w:rPr>
                <w:t>9</w:t>
              </w:r>
            </w:hyperlink>
          </w:p>
        </w:tc>
      </w:tr>
      <w:t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3">
              <w:r>
                <w:rPr>
                  <w:rStyle w:val="InternetLink"/>
                  <w:rFonts w:ascii="Arial;sans-serif" w:hAnsi="Arial;sans-serif"/>
                  <w:b w:val="false"/>
                  <w:strike w:val="false"/>
                  <w:dstrike w:val="false"/>
                  <w:color w:val="0000FF"/>
                  <w:sz w:val="20"/>
                  <w:u w:val="none"/>
                  <w:effect w:val="none"/>
                </w:rPr>
                <w:t>Item 2.</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3">
              <w:r>
                <w:rPr>
                  <w:rStyle w:val="InternetLink"/>
                  <w:rFonts w:ascii="Arial;sans-serif" w:hAnsi="Arial;sans-serif"/>
                  <w:b w:val="false"/>
                  <w:strike w:val="false"/>
                  <w:dstrike w:val="false"/>
                  <w:color w:val="0000FF"/>
                  <w:sz w:val="20"/>
                  <w:u w:val="none"/>
                  <w:effect w:val="none"/>
                </w:rPr>
                <w:t>Management’s Discussion and Analysis of Financial Condition and Results of Operations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03">
              <w:r>
                <w:rPr>
                  <w:rStyle w:val="InternetLink"/>
                  <w:rFonts w:ascii="Arial;sans-serif" w:hAnsi="Arial;sans-serif"/>
                  <w:b w:val="false"/>
                  <w:strike w:val="false"/>
                  <w:dstrike w:val="false"/>
                  <w:color w:val="0000FF"/>
                  <w:sz w:val="20"/>
                  <w:u w:val="none"/>
                  <w:effect w:val="none"/>
                </w:rPr>
                <w:t>26</w:t>
              </w:r>
            </w:hyperlink>
          </w:p>
        </w:tc>
      </w:tr>
      <w:tr>
        <w:tc>
          <w:tcPr>
            <w:tcW w:w="1491" w:type="dxa"/>
            <w:gridSpan w:val="3"/>
            <w:tcBorders/>
            <w:vAlign w:val="center"/>
          </w:tcPr>
          <w:p>
            <w:pPr>
              <w:pStyle w:val="TableContents"/>
              <w:bidi w:val="0"/>
              <w:spacing w:before="0" w:after="283"/>
              <w:jc w:val="left"/>
              <w:rPr>
                <w:sz w:val="4"/>
                <w:szCs w:val="4"/>
              </w:rPr>
            </w:pPr>
            <w:r>
              <w:rPr>
                <w:sz w:val="4"/>
                <w:szCs w:val="4"/>
              </w:rPr>
            </w:r>
          </w:p>
        </w:tc>
        <w:tc>
          <w:tcPr>
            <w:tcW w:w="7844"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1491" w:type="dxa"/>
            <w:gridSpan w:val="3"/>
            <w:tcBorders/>
            <w:vAlign w:val="center"/>
          </w:tcPr>
          <w:p>
            <w:pPr>
              <w:pStyle w:val="TableContents"/>
              <w:bidi w:val="0"/>
              <w:spacing w:before="0" w:after="283"/>
              <w:jc w:val="left"/>
              <w:rPr>
                <w:sz w:val="4"/>
                <w:szCs w:val="4"/>
              </w:rPr>
            </w:pPr>
            <w:r>
              <w:rPr>
                <w:sz w:val="4"/>
                <w:szCs w:val="4"/>
              </w:rPr>
            </w:r>
          </w:p>
        </w:tc>
        <w:tc>
          <w:tcPr>
            <w:tcW w:w="7844"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24">
              <w:r>
                <w:rPr>
                  <w:rStyle w:val="InternetLink"/>
                  <w:rFonts w:ascii="Arial;sans-serif" w:hAnsi="Arial;sans-serif"/>
                  <w:b w:val="false"/>
                  <w:strike w:val="false"/>
                  <w:dstrike w:val="false"/>
                  <w:color w:val="0000FF"/>
                  <w:sz w:val="20"/>
                  <w:u w:val="none"/>
                  <w:effect w:val="none"/>
                </w:rPr>
                <w:t>Item 3.</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24">
              <w:r>
                <w:rPr>
                  <w:rStyle w:val="InternetLink"/>
                  <w:rFonts w:ascii="Arial;sans-serif" w:hAnsi="Arial;sans-serif"/>
                  <w:b w:val="false"/>
                  <w:strike w:val="false"/>
                  <w:dstrike w:val="false"/>
                  <w:color w:val="0000FF"/>
                  <w:sz w:val="20"/>
                  <w:u w:val="none"/>
                  <w:effect w:val="none"/>
                </w:rPr>
                <w:t>Quantitative and Qualitative Disclosures About Market Risk</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24">
              <w:r>
                <w:rPr>
                  <w:rStyle w:val="InternetLink"/>
                  <w:rFonts w:ascii="Arial;sans-serif" w:hAnsi="Arial;sans-serif"/>
                  <w:b w:val="false"/>
                  <w:strike w:val="false"/>
                  <w:dstrike w:val="false"/>
                  <w:color w:val="0000FF"/>
                  <w:sz w:val="20"/>
                  <w:u w:val="none"/>
                  <w:effect w:val="none"/>
                </w:rPr>
                <w:t>38</w:t>
              </w:r>
            </w:hyperlink>
          </w:p>
        </w:tc>
      </w:tr>
      <w:t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27">
              <w:r>
                <w:rPr>
                  <w:rStyle w:val="InternetLink"/>
                  <w:rFonts w:ascii="Arial;sans-serif" w:hAnsi="Arial;sans-serif"/>
                  <w:b w:val="false"/>
                  <w:strike w:val="false"/>
                  <w:dstrike w:val="false"/>
                  <w:color w:val="0000FF"/>
                  <w:sz w:val="20"/>
                  <w:u w:val="none"/>
                  <w:effect w:val="none"/>
                </w:rPr>
                <w:t>Item 4.</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27">
              <w:r>
                <w:rPr>
                  <w:rStyle w:val="InternetLink"/>
                  <w:rFonts w:ascii="Arial;sans-serif" w:hAnsi="Arial;sans-serif"/>
                  <w:b w:val="false"/>
                  <w:strike w:val="false"/>
                  <w:dstrike w:val="false"/>
                  <w:color w:val="0000FF"/>
                  <w:sz w:val="20"/>
                  <w:u w:val="none"/>
                  <w:effect w:val="none"/>
                </w:rPr>
                <w:t>Controls and Procedures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27">
              <w:r>
                <w:rPr>
                  <w:rStyle w:val="InternetLink"/>
                  <w:rFonts w:ascii="Arial;sans-serif" w:hAnsi="Arial;sans-serif"/>
                  <w:b w:val="false"/>
                  <w:strike w:val="false"/>
                  <w:dstrike w:val="false"/>
                  <w:color w:val="0000FF"/>
                  <w:sz w:val="20"/>
                  <w:u w:val="none"/>
                  <w:effect w:val="none"/>
                </w:rPr>
                <w:t>38</w:t>
              </w:r>
            </w:hyperlink>
          </w:p>
        </w:tc>
      </w:tr>
      <w:tr>
        <w:tc>
          <w:tcPr>
            <w:tcW w:w="9335"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30">
              <w:r>
                <w:rPr>
                  <w:rStyle w:val="InternetLink"/>
                  <w:rFonts w:ascii="Arial;sans-serif" w:hAnsi="Arial;sans-serif"/>
                  <w:b/>
                  <w:strike w:val="false"/>
                  <w:dstrike w:val="false"/>
                  <w:color w:val="0000FF"/>
                  <w:sz w:val="20"/>
                  <w:u w:val="none"/>
                  <w:effect w:val="none"/>
                </w:rPr>
                <w:t>Part II — Other Information</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33">
              <w:r>
                <w:rPr>
                  <w:rStyle w:val="InternetLink"/>
                  <w:rFonts w:ascii="Arial;sans-serif" w:hAnsi="Arial;sans-serif"/>
                  <w:b w:val="false"/>
                  <w:strike w:val="false"/>
                  <w:dstrike w:val="false"/>
                  <w:color w:val="0000FF"/>
                  <w:sz w:val="20"/>
                  <w:u w:val="none"/>
                  <w:effect w:val="none"/>
                </w:rPr>
                <w:t>Item 1.</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33">
              <w:r>
                <w:rPr>
                  <w:rStyle w:val="InternetLink"/>
                  <w:rFonts w:ascii="Arial;sans-serif" w:hAnsi="Arial;sans-serif"/>
                  <w:b w:val="false"/>
                  <w:strike w:val="false"/>
                  <w:dstrike w:val="false"/>
                  <w:color w:val="0000FF"/>
                  <w:sz w:val="20"/>
                  <w:u w:val="none"/>
                  <w:effect w:val="none"/>
                </w:rPr>
                <w:t>Legal Proceedings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33">
              <w:r>
                <w:rPr>
                  <w:rStyle w:val="InternetLink"/>
                  <w:rFonts w:ascii="Arial;sans-serif" w:hAnsi="Arial;sans-serif"/>
                  <w:b w:val="false"/>
                  <w:strike w:val="false"/>
                  <w:dstrike w:val="false"/>
                  <w:color w:val="0000FF"/>
                  <w:sz w:val="20"/>
                  <w:u w:val="none"/>
                  <w:effect w:val="none"/>
                </w:rPr>
                <w:t>39</w:t>
              </w:r>
            </w:hyperlink>
          </w:p>
        </w:tc>
      </w:tr>
      <w:t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36">
              <w:r>
                <w:rPr>
                  <w:rStyle w:val="InternetLink"/>
                  <w:rFonts w:ascii="Arial;sans-serif" w:hAnsi="Arial;sans-serif"/>
                  <w:b w:val="false"/>
                  <w:strike w:val="false"/>
                  <w:dstrike w:val="false"/>
                  <w:color w:val="0000FF"/>
                  <w:sz w:val="20"/>
                  <w:u w:val="none"/>
                  <w:effect w:val="none"/>
                </w:rPr>
                <w:t>Item 1A.</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36">
              <w:r>
                <w:rPr>
                  <w:rStyle w:val="InternetLink"/>
                  <w:rFonts w:ascii="Arial;sans-serif" w:hAnsi="Arial;sans-serif"/>
                  <w:b w:val="false"/>
                  <w:strike w:val="false"/>
                  <w:dstrike w:val="false"/>
                  <w:color w:val="0000FF"/>
                  <w:sz w:val="20"/>
                  <w:u w:val="none"/>
                  <w:effect w:val="none"/>
                </w:rPr>
                <w:t>Risk Factors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36">
              <w:r>
                <w:rPr>
                  <w:rStyle w:val="InternetLink"/>
                  <w:rFonts w:ascii="Arial;sans-serif" w:hAnsi="Arial;sans-serif"/>
                  <w:b w:val="false"/>
                  <w:strike w:val="false"/>
                  <w:dstrike w:val="false"/>
                  <w:color w:val="0000FF"/>
                  <w:sz w:val="20"/>
                  <w:u w:val="none"/>
                  <w:effect w:val="none"/>
                </w:rPr>
                <w:t>39</w:t>
              </w:r>
            </w:hyperlink>
          </w:p>
        </w:tc>
      </w:tr>
      <w:t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39">
              <w:r>
                <w:rPr>
                  <w:rStyle w:val="InternetLink"/>
                  <w:rFonts w:ascii="Arial;sans-serif" w:hAnsi="Arial;sans-serif"/>
                  <w:b w:val="false"/>
                  <w:strike w:val="false"/>
                  <w:dstrike w:val="false"/>
                  <w:color w:val="0000FF"/>
                  <w:sz w:val="20"/>
                  <w:u w:val="none"/>
                  <w:effect w:val="none"/>
                </w:rPr>
                <w:t>Item 2.</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39">
              <w:r>
                <w:rPr>
                  <w:rStyle w:val="InternetLink"/>
                  <w:rFonts w:ascii="Arial;sans-serif" w:hAnsi="Arial;sans-serif"/>
                  <w:b w:val="false"/>
                  <w:strike w:val="false"/>
                  <w:dstrike w:val="false"/>
                  <w:color w:val="0000FF"/>
                  <w:sz w:val="20"/>
                  <w:u w:val="none"/>
                  <w:effect w:val="none"/>
                </w:rPr>
                <w:t>Unregistered Sales of Equity Securities and Use of Proceeds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39">
              <w:r>
                <w:rPr>
                  <w:rStyle w:val="InternetLink"/>
                  <w:rFonts w:ascii="Arial;sans-serif" w:hAnsi="Arial;sans-serif"/>
                  <w:b w:val="false"/>
                  <w:strike w:val="false"/>
                  <w:dstrike w:val="false"/>
                  <w:color w:val="0000FF"/>
                  <w:sz w:val="20"/>
                  <w:u w:val="none"/>
                  <w:effect w:val="none"/>
                </w:rPr>
                <w:t>39</w:t>
              </w:r>
            </w:hyperlink>
          </w:p>
        </w:tc>
      </w:tr>
      <w:t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42">
              <w:r>
                <w:rPr>
                  <w:rStyle w:val="InternetLink"/>
                  <w:rFonts w:ascii="Arial;sans-serif" w:hAnsi="Arial;sans-serif"/>
                  <w:b w:val="false"/>
                  <w:strike w:val="false"/>
                  <w:dstrike w:val="false"/>
                  <w:color w:val="0000FF"/>
                  <w:sz w:val="20"/>
                  <w:u w:val="none"/>
                  <w:effect w:val="none"/>
                </w:rPr>
                <w:t>Item 3.</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42">
              <w:r>
                <w:rPr>
                  <w:rStyle w:val="InternetLink"/>
                  <w:rFonts w:ascii="Arial;sans-serif" w:hAnsi="Arial;sans-serif"/>
                  <w:b w:val="false"/>
                  <w:strike w:val="false"/>
                  <w:dstrike w:val="false"/>
                  <w:color w:val="0000FF"/>
                  <w:sz w:val="20"/>
                  <w:u w:val="none"/>
                  <w:effect w:val="none"/>
                </w:rPr>
                <w:t>Defaults Upon Senior Securities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42">
              <w:r>
                <w:rPr>
                  <w:rStyle w:val="InternetLink"/>
                  <w:rFonts w:ascii="Arial;sans-serif" w:hAnsi="Arial;sans-serif"/>
                  <w:b w:val="false"/>
                  <w:strike w:val="false"/>
                  <w:dstrike w:val="false"/>
                  <w:color w:val="0000FF"/>
                  <w:sz w:val="20"/>
                  <w:u w:val="none"/>
                  <w:effect w:val="none"/>
                </w:rPr>
                <w:t>39</w:t>
              </w:r>
            </w:hyperlink>
          </w:p>
        </w:tc>
      </w:tr>
      <w:t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45">
              <w:r>
                <w:rPr>
                  <w:rStyle w:val="InternetLink"/>
                  <w:rFonts w:ascii="Arial;sans-serif" w:hAnsi="Arial;sans-serif"/>
                  <w:b w:val="false"/>
                  <w:strike w:val="false"/>
                  <w:dstrike w:val="false"/>
                  <w:color w:val="0000FF"/>
                  <w:sz w:val="20"/>
                  <w:u w:val="none"/>
                  <w:effect w:val="none"/>
                </w:rPr>
                <w:t>Item 4.</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45">
              <w:r>
                <w:rPr>
                  <w:rStyle w:val="InternetLink"/>
                  <w:rFonts w:ascii="Arial;sans-serif" w:hAnsi="Arial;sans-serif"/>
                  <w:b w:val="false"/>
                  <w:strike w:val="false"/>
                  <w:dstrike w:val="false"/>
                  <w:color w:val="0000FF"/>
                  <w:sz w:val="20"/>
                  <w:u w:val="none"/>
                  <w:effect w:val="none"/>
                </w:rPr>
                <w:t>Mine Safety Disclosures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45">
              <w:r>
                <w:rPr>
                  <w:rStyle w:val="InternetLink"/>
                  <w:rFonts w:ascii="Arial;sans-serif" w:hAnsi="Arial;sans-serif"/>
                  <w:b w:val="false"/>
                  <w:strike w:val="false"/>
                  <w:dstrike w:val="false"/>
                  <w:color w:val="0000FF"/>
                  <w:sz w:val="20"/>
                  <w:u w:val="none"/>
                  <w:effect w:val="none"/>
                </w:rPr>
                <w:t>39</w:t>
              </w:r>
            </w:hyperlink>
          </w:p>
        </w:tc>
      </w:tr>
      <w:t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48">
              <w:r>
                <w:rPr>
                  <w:rStyle w:val="InternetLink"/>
                  <w:rFonts w:ascii="Arial;sans-serif" w:hAnsi="Arial;sans-serif"/>
                  <w:b w:val="false"/>
                  <w:strike w:val="false"/>
                  <w:dstrike w:val="false"/>
                  <w:color w:val="0000FF"/>
                  <w:sz w:val="20"/>
                  <w:u w:val="none"/>
                  <w:effect w:val="none"/>
                </w:rPr>
                <w:t>Item 5.</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48">
              <w:r>
                <w:rPr>
                  <w:rStyle w:val="InternetLink"/>
                  <w:rFonts w:ascii="Arial;sans-serif" w:hAnsi="Arial;sans-serif"/>
                  <w:b w:val="false"/>
                  <w:strike w:val="false"/>
                  <w:dstrike w:val="false"/>
                  <w:color w:val="0000FF"/>
                  <w:sz w:val="20"/>
                  <w:u w:val="none"/>
                  <w:effect w:val="none"/>
                </w:rPr>
                <w:t>Other Information</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48">
              <w:r>
                <w:rPr>
                  <w:rStyle w:val="InternetLink"/>
                  <w:rFonts w:ascii="Arial;sans-serif" w:hAnsi="Arial;sans-serif"/>
                  <w:b w:val="false"/>
                  <w:strike w:val="false"/>
                  <w:dstrike w:val="false"/>
                  <w:color w:val="0000FF"/>
                  <w:sz w:val="20"/>
                  <w:u w:val="none"/>
                  <w:effect w:val="none"/>
                </w:rPr>
                <w:t>40</w:t>
              </w:r>
            </w:hyperlink>
          </w:p>
        </w:tc>
      </w:tr>
      <w:t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51">
              <w:r>
                <w:rPr>
                  <w:rStyle w:val="InternetLink"/>
                  <w:rFonts w:ascii="Arial;sans-serif" w:hAnsi="Arial;sans-serif"/>
                  <w:b w:val="false"/>
                  <w:strike w:val="false"/>
                  <w:dstrike w:val="false"/>
                  <w:color w:val="0000FF"/>
                  <w:sz w:val="20"/>
                  <w:u w:val="none"/>
                  <w:effect w:val="none"/>
                </w:rPr>
                <w:t>Item 6.</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w:anchor="i0803f604a6a745b0891421f6e73a6600_151">
              <w:r>
                <w:rPr>
                  <w:rStyle w:val="InternetLink"/>
                  <w:rFonts w:ascii="Arial;sans-serif" w:hAnsi="Arial;sans-serif"/>
                  <w:b w:val="false"/>
                  <w:strike w:val="false"/>
                  <w:dstrike w:val="false"/>
                  <w:color w:val="0000FF"/>
                  <w:sz w:val="20"/>
                  <w:u w:val="none"/>
                  <w:effect w:val="none"/>
                </w:rPr>
                <w:t>Exhibits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51">
              <w:r>
                <w:rPr>
                  <w:rStyle w:val="InternetLink"/>
                  <w:rFonts w:ascii="Arial;sans-serif" w:hAnsi="Arial;sans-serif"/>
                  <w:b w:val="false"/>
                  <w:strike w:val="false"/>
                  <w:dstrike w:val="false"/>
                  <w:color w:val="0000FF"/>
                  <w:sz w:val="20"/>
                  <w:u w:val="none"/>
                  <w:effect w:val="none"/>
                </w:rPr>
                <w:t>40</w:t>
              </w:r>
            </w:hyperlink>
          </w:p>
        </w:tc>
      </w:tr>
      <w:tr>
        <w:tc>
          <w:tcPr>
            <w:tcW w:w="93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54">
              <w:r>
                <w:rPr>
                  <w:rStyle w:val="InternetLink"/>
                  <w:rFonts w:ascii="Arial;sans-serif" w:hAnsi="Arial;sans-serif"/>
                  <w:b/>
                  <w:strike w:val="false"/>
                  <w:dstrike w:val="false"/>
                  <w:color w:val="0000FF"/>
                  <w:sz w:val="20"/>
                  <w:u w:val="none"/>
                  <w:effect w:val="none"/>
                </w:rPr>
                <w:t>Signatures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0803f604a6a745b0891421f6e73a6600_154">
              <w:r>
                <w:rPr>
                  <w:rStyle w:val="InternetLink"/>
                  <w:rFonts w:ascii="Arial;sans-serif" w:hAnsi="Arial;sans-serif"/>
                  <w:b w:val="false"/>
                  <w:strike w:val="false"/>
                  <w:dstrike w:val="false"/>
                  <w:color w:val="0000FF"/>
                  <w:sz w:val="20"/>
                  <w:u w:val="none"/>
                  <w:effect w:val="none"/>
                </w:rPr>
                <w:t>41</w:t>
              </w:r>
            </w:hyperlink>
          </w:p>
        </w:tc>
      </w:tr>
    </w:tbl>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7070"/>
                <wp:effectExtent l="0" t="0" r="0" b="0"/>
                <wp:wrapNone/>
                <wp:docPr id="5" name="Frame4"/>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0"/>
        <w:ind w:left="0" w:right="0" w:firstLine="5040"/>
        <w:jc w:val="left"/>
      </w:pPr>
      <w:hyperlink w:anchor="i0803f604a6a745b0891421f6e73a6600_13">
        <w:r>
          <w:rPr>
            <w:rStyle w:val="InternetLink"/>
            <w:rFonts w:ascii="Arial;sans-serif" w:hAnsi="Arial;sans-serif"/>
            <w:b/>
            <w:strike w:val="false"/>
            <w:dstrike w:val="false"/>
            <w:color w:val="0066CC"/>
            <w:sz w:val="24"/>
            <w:u w:val="none"/>
            <w:effect w:val="none"/>
          </w:rPr>
          <w:t>PART I — FINANCIAL INFORMATION</w:t>
        </w:r>
      </w:hyperlink>
      <w:r>
        <w:rPr>
          <w:rFonts w:ascii="Arial;sans-serif" w:hAnsi="Arial;sans-serif"/>
          <w:b/>
          <w:color w:val="0066CC"/>
          <w:sz w:val="24"/>
        </w:rPr>
        <w:t xml:space="preserve">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269BC"/>
          <w:sz w:val="24"/>
        </w:rPr>
      </w:pPr>
      <w:r>
        <w:rPr>
          <w:rFonts w:ascii="Arial;sans-serif" w:hAnsi="Arial;sans-serif"/>
          <w:b/>
          <w:color w:val="1269BC"/>
          <w:sz w:val="24"/>
        </w:rPr>
        <w:t>ITEM 1 — FINANCIAL STATEMENTS (UNAUDITED)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 xml:space="preserve">CONDENSED CONSOLIDATED STATEMENTS OF INCOME (LOSS) (UNAUDITED) </w:t>
      </w:r>
    </w:p>
    <w:tbl>
      <w:tblPr>
        <w:tblW w:w="10205" w:type="dxa"/>
        <w:jc w:val="left"/>
        <w:tblInd w:w="0" w:type="dxa"/>
        <w:tblLayout w:type="fixed"/>
        <w:tblCellMar>
          <w:top w:w="28" w:type="dxa"/>
          <w:left w:w="28" w:type="dxa"/>
          <w:bottom w:w="28" w:type="dxa"/>
          <w:right w:w="28" w:type="dxa"/>
        </w:tblCellMar>
      </w:tblPr>
      <w:tblGrid>
        <w:gridCol w:w="1984"/>
        <w:gridCol w:w="1724"/>
        <w:gridCol w:w="1733"/>
        <w:gridCol w:w="109"/>
        <w:gridCol w:w="109"/>
        <w:gridCol w:w="109"/>
        <w:gridCol w:w="196"/>
        <w:gridCol w:w="538"/>
        <w:gridCol w:w="109"/>
        <w:gridCol w:w="109"/>
        <w:gridCol w:w="109"/>
        <w:gridCol w:w="109"/>
        <w:gridCol w:w="196"/>
        <w:gridCol w:w="538"/>
        <w:gridCol w:w="109"/>
        <w:gridCol w:w="109"/>
        <w:gridCol w:w="109"/>
        <w:gridCol w:w="109"/>
        <w:gridCol w:w="196"/>
        <w:gridCol w:w="556"/>
        <w:gridCol w:w="109"/>
        <w:gridCol w:w="109"/>
        <w:gridCol w:w="109"/>
        <w:gridCol w:w="109"/>
        <w:gridCol w:w="196"/>
        <w:gridCol w:w="556"/>
        <w:gridCol w:w="157"/>
      </w:tblGrid>
      <w:tr>
        <w:tc>
          <w:tcPr>
            <w:tcW w:w="198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5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(0.90)</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87070"/>
                <wp:effectExtent l="0" t="0" r="0" b="0"/>
                <wp:wrapNone/>
                <wp:docPr id="6" name="Frame5"/>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283"/>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CONDENSED CONSOLIDATED STATEMENTS OF COMPREHENSIVE INCOME (LOSS) (UNAUDITED)</w:t>
      </w:r>
    </w:p>
    <w:tbl>
      <w:tblPr>
        <w:tblW w:w="7902" w:type="dxa"/>
        <w:jc w:val="center"/>
        <w:tblInd w:w="0" w:type="dxa"/>
        <w:tblLayout w:type="fixed"/>
        <w:tblCellMar>
          <w:top w:w="28" w:type="dxa"/>
          <w:left w:w="28" w:type="dxa"/>
          <w:bottom w:w="28" w:type="dxa"/>
          <w:right w:w="28" w:type="dxa"/>
        </w:tblCellMar>
      </w:tblPr>
      <w:tblGrid>
        <w:gridCol w:w="1280"/>
        <w:gridCol w:w="1119"/>
        <w:gridCol w:w="1126"/>
        <w:gridCol w:w="109"/>
        <w:gridCol w:w="109"/>
        <w:gridCol w:w="109"/>
        <w:gridCol w:w="196"/>
        <w:gridCol w:w="406"/>
        <w:gridCol w:w="109"/>
        <w:gridCol w:w="109"/>
        <w:gridCol w:w="109"/>
        <w:gridCol w:w="109"/>
        <w:gridCol w:w="196"/>
        <w:gridCol w:w="406"/>
        <w:gridCol w:w="109"/>
        <w:gridCol w:w="109"/>
        <w:gridCol w:w="109"/>
        <w:gridCol w:w="109"/>
        <w:gridCol w:w="196"/>
        <w:gridCol w:w="496"/>
        <w:gridCol w:w="109"/>
        <w:gridCol w:w="109"/>
        <w:gridCol w:w="109"/>
        <w:gridCol w:w="109"/>
        <w:gridCol w:w="196"/>
        <w:gridCol w:w="496"/>
        <w:gridCol w:w="154"/>
      </w:tblGrid>
      <w:tr>
        <w:tc>
          <w:tcPr>
            <w:tcW w:w="1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color w:val="000000"/>
                <w:sz w:val="16"/>
              </w:rPr>
              <w:t>Other Comprehensive Income (Loss), Net</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benefit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(1)All amounts are net of tax. Tax effects were immaterial.</w:t>
      </w:r>
    </w:p>
    <w:p>
      <w:pPr>
        <w:pStyle w:val="TextBody"/>
        <w:bidi w:val="0"/>
        <w:spacing w:before="0" w:after="0"/>
        <w:jc w:val="left"/>
      </w:p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7070"/>
                <wp:effectExtent l="0" t="0" r="0" b="0"/>
                <wp:wrapNone/>
                <wp:docPr id="7" name="Frame6"/>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283"/>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 xml:space="preserve">CONDENSED CONSOLIDATED BALANCE SHEETS (UNAUDITED) </w:t>
      </w:r>
    </w:p>
    <w:tbl>
      <w:tblPr>
        <w:tblW w:w="9022" w:type="dxa"/>
        <w:jc w:val="left"/>
        <w:tblInd w:w="0" w:type="dxa"/>
        <w:tblLayout w:type="fixed"/>
        <w:tblCellMar>
          <w:top w:w="28" w:type="dxa"/>
          <w:left w:w="28" w:type="dxa"/>
          <w:bottom w:w="28" w:type="dxa"/>
          <w:right w:w="28" w:type="dxa"/>
        </w:tblCellMar>
      </w:tblPr>
      <w:tblGrid>
        <w:gridCol w:w="1884"/>
        <w:gridCol w:w="1657"/>
        <w:gridCol w:w="1663"/>
        <w:gridCol w:w="109"/>
        <w:gridCol w:w="109"/>
        <w:gridCol w:w="109"/>
        <w:gridCol w:w="358"/>
        <w:gridCol w:w="1016"/>
        <w:gridCol w:w="201"/>
        <w:gridCol w:w="109"/>
        <w:gridCol w:w="109"/>
        <w:gridCol w:w="109"/>
        <w:gridCol w:w="343"/>
        <w:gridCol w:w="976"/>
        <w:gridCol w:w="270"/>
      </w:tblGrid>
      <w:tr>
        <w:tc>
          <w:tcPr>
            <w:tcW w:w="18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share data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Contingencies (See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154,709 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series A convertible preferred stock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70,097 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87070"/>
                <wp:effectExtent l="0" t="0" r="0" b="0"/>
                <wp:wrapNone/>
                <wp:docPr id="8" name="Frame7"/>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283"/>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CONDENSED CONSOLIDATED STATEMENTS OF CASH FLOWS (UNAUDITED)</w:t>
      </w:r>
    </w:p>
    <w:tbl>
      <w:tblPr>
        <w:tblW w:w="8976" w:type="dxa"/>
        <w:jc w:val="left"/>
        <w:tblInd w:w="0" w:type="dxa"/>
        <w:tblLayout w:type="fixed"/>
        <w:tblCellMar>
          <w:top w:w="28" w:type="dxa"/>
          <w:left w:w="28" w:type="dxa"/>
          <w:bottom w:w="28" w:type="dxa"/>
          <w:right w:w="28" w:type="dxa"/>
        </w:tblCellMar>
      </w:tblPr>
      <w:tblGrid>
        <w:gridCol w:w="2420"/>
        <w:gridCol w:w="2113"/>
        <w:gridCol w:w="2142"/>
        <w:gridCol w:w="109"/>
        <w:gridCol w:w="109"/>
        <w:gridCol w:w="109"/>
        <w:gridCol w:w="196"/>
        <w:gridCol w:w="496"/>
        <w:gridCol w:w="109"/>
        <w:gridCol w:w="109"/>
        <w:gridCol w:w="109"/>
        <w:gridCol w:w="109"/>
        <w:gridCol w:w="196"/>
        <w:gridCol w:w="496"/>
        <w:gridCol w:w="154"/>
      </w:tblGrid>
      <w:tr>
        <w:tc>
          <w:tcPr>
            <w:tcW w:w="2420"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required to reconcile net income (loss) to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inducement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sales of fixed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and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compensation and benefits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and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income tax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land, buildings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internal 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issuance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Excise tax payment on 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for settlement of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contribution from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color w:val="000000"/>
                <w:sz w:val="16"/>
              </w:rPr>
              <w:t>Cash, Cash Equivalents and Restricted Cash at End of period</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(1)Includes $3 million and $16 million of restricted cash as of September 30, 2026 and 2025, respectively, that were included in Other current assets on the respective Condensed Consolidated Balance Sheets.</w:t>
      </w:r>
    </w:p>
    <w:p>
      <w:pPr>
        <w:pStyle w:val="TextBody"/>
        <w:bidi w:val="0"/>
        <w:spacing w:before="60" w:after="283"/>
        <w:ind w:left="0" w:right="0" w:hanging="360"/>
        <w:jc w:val="left"/>
      </w:p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87070"/>
                <wp:effectExtent l="0" t="0" r="0" b="0"/>
                <wp:wrapNone/>
                <wp:docPr id="9" name="Frame8"/>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0"/>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pPr>
      <w:r>
        <w:rPr>
          <w:rFonts w:ascii="Arial;sans-serif" w:hAnsi="Arial;sans-serif"/>
          <w:b/>
          <w:color w:val="0066CC"/>
          <w:sz w:val="20"/>
        </w:rPr>
        <w:t xml:space="preserve">CONDENSED CONSOLIDATED STATEMENTS OF SHAREHOLDERS' EQUITY </w:t>
      </w:r>
      <w:r>
        <w:rPr>
          <w:rFonts w:ascii="Arial;sans-serif" w:hAnsi="Arial;sans-serif"/>
          <w:b/>
          <w:color w:val="1269BC"/>
          <w:sz w:val="20"/>
        </w:rPr>
        <w:t>(UNAUDITED)</w:t>
      </w:r>
    </w:p>
    <w:tbl>
      <w:tblPr>
        <w:tblW w:w="10205" w:type="dxa"/>
        <w:jc w:val="left"/>
        <w:tblInd w:w="0" w:type="dxa"/>
        <w:tblLayout w:type="fixed"/>
        <w:tblCellMar>
          <w:top w:w="28" w:type="dxa"/>
          <w:left w:w="28" w:type="dxa"/>
          <w:bottom w:w="28" w:type="dxa"/>
          <w:right w:w="28" w:type="dxa"/>
        </w:tblCellMar>
      </w:tblPr>
      <w:tblGrid>
        <w:gridCol w:w="789"/>
        <w:gridCol w:w="406"/>
        <w:gridCol w:w="409"/>
        <w:gridCol w:w="269"/>
        <w:gridCol w:w="336"/>
        <w:gridCol w:w="163"/>
        <w:gridCol w:w="109"/>
        <w:gridCol w:w="109"/>
        <w:gridCol w:w="109"/>
        <w:gridCol w:w="210"/>
        <w:gridCol w:w="460"/>
        <w:gridCol w:w="126"/>
        <w:gridCol w:w="109"/>
        <w:gridCol w:w="109"/>
        <w:gridCol w:w="109"/>
        <w:gridCol w:w="247"/>
        <w:gridCol w:w="680"/>
        <w:gridCol w:w="149"/>
        <w:gridCol w:w="109"/>
        <w:gridCol w:w="109"/>
        <w:gridCol w:w="109"/>
        <w:gridCol w:w="250"/>
        <w:gridCol w:w="718"/>
        <w:gridCol w:w="150"/>
        <w:gridCol w:w="109"/>
        <w:gridCol w:w="109"/>
        <w:gridCol w:w="109"/>
        <w:gridCol w:w="181"/>
        <w:gridCol w:w="391"/>
        <w:gridCol w:w="109"/>
        <w:gridCol w:w="109"/>
        <w:gridCol w:w="109"/>
        <w:gridCol w:w="109"/>
        <w:gridCol w:w="311"/>
        <w:gridCol w:w="700"/>
        <w:gridCol w:w="189"/>
        <w:gridCol w:w="109"/>
        <w:gridCol w:w="109"/>
        <w:gridCol w:w="109"/>
        <w:gridCol w:w="252"/>
        <w:gridCol w:w="524"/>
        <w:gridCol w:w="224"/>
      </w:tblGrid>
      <w:tr>
        <w:tc>
          <w:tcPr>
            <w:tcW w:w="78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 September 30, 2026</w:t>
            </w:r>
          </w:p>
        </w:tc>
      </w:tr>
      <w:t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r>
              <w:rPr>
                <w:rFonts w:ascii="Arial;sans-serif" w:hAnsi="Arial;sans-serif"/>
                <w:b w:val="false"/>
                <w:color w:val="000000"/>
                <w:sz w:val="14"/>
              </w:rPr>
              <w:t>AOCL</w:t>
            </w:r>
            <w:r>
              <w:rPr>
                <w:rFonts w:ascii="Arial;sans-serif" w:hAnsi="Arial;sans-serif"/>
                <w:b w:val="false"/>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Shareholders'</w:t>
              <w:br/>
              <w:t>Equity</w:t>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2026</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(2,767)</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 preferred stock, $20/share</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Buyback of noncontrolling interest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September 30, 2026</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3,969 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(2,818)</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 September 30, 2025</w:t>
            </w:r>
          </w:p>
        </w:tc>
      </w:tr>
      <w:t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r>
              <w:rPr>
                <w:rFonts w:ascii="Arial;sans-serif" w:hAnsi="Arial;sans-serif"/>
                <w:b w:val="false"/>
                <w:color w:val="000000"/>
                <w:sz w:val="14"/>
              </w:rPr>
              <w:t>AOCL</w:t>
            </w:r>
            <w:r>
              <w:rPr>
                <w:rFonts w:ascii="Arial;sans-serif" w:hAnsi="Arial;sans-serif"/>
                <w:b w:val="false"/>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Shareholders'</w:t>
              <w:br/>
              <w:t>Equity</w:t>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2025</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(2,529)</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 preferred stock, $20/share</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Buyback of noncontrolling interest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September 30, 2025</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(2,577)</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 September 30, 2026</w:t>
            </w:r>
          </w:p>
        </w:tc>
      </w:tr>
      <w:t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r>
              <w:rPr>
                <w:rFonts w:ascii="Arial;sans-serif" w:hAnsi="Arial;sans-serif"/>
                <w:b w:val="false"/>
                <w:color w:val="000000"/>
                <w:sz w:val="14"/>
              </w:rPr>
              <w:t>AOCL</w:t>
            </w:r>
            <w:r>
              <w:rPr>
                <w:rFonts w:ascii="Arial;sans-serif" w:hAnsi="Arial;sans-serif"/>
                <w:b w:val="false"/>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Shareholders'</w:t>
              <w:br/>
              <w:t>Equity</w:t>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2025</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(2,613)</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 preferred stock, $60/share</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Buyback of noncontrolling interest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September 30, 2026</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3,969 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(2,818)</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 September 30, 2025</w:t>
            </w:r>
          </w:p>
        </w:tc>
      </w:tr>
      <w:t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r>
              <w:rPr>
                <w:rFonts w:ascii="Arial;sans-serif" w:hAnsi="Arial;sans-serif"/>
                <w:b w:val="false"/>
                <w:color w:val="000000"/>
                <w:sz w:val="14"/>
              </w:rPr>
              <w:t>AOCL</w:t>
            </w:r>
            <w:r>
              <w:rPr>
                <w:rFonts w:ascii="Arial;sans-serif" w:hAnsi="Arial;sans-serif"/>
                <w:b w:val="false"/>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Shareholders'</w:t>
              <w:br/>
              <w:t>Equity</w:t>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2024</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(2,433)</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 preferred stock, $60/share</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Contribution from noncontrolling interest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September 30, 2025</w:t>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3,964 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(2,577)</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(1)AOCL - Accumulated other comprehensive loss. Refer to Note 11 – Accumulated Other Comprehensive Loss for the components of AOCL.</w:t>
      </w:r>
    </w:p>
    <w:p>
      <w:pPr>
        <w:pStyle w:val="TextBody"/>
        <w:bidi w:val="0"/>
        <w:spacing w:lineRule="auto" w:line="288" w:before="60" w:after="283"/>
        <w:ind w:left="0" w:right="0" w:firstLine="72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87070"/>
                <wp:effectExtent l="0" t="0" r="0" b="0"/>
                <wp:wrapNone/>
                <wp:docPr id="10" name="Frame9"/>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283"/>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1 – Basis of Presentation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References herein to “we,” “us,” “our,” the “Company” and “Conduent” refer to Conduent Incorporated and its consolidated subsidiaries unless the context suggests otherwise.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Description of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Conduent Incorporated is a New York corporation, organized in 2016. Conduent is a global technology-enabled operating partner that helps businesses and governments simplify complexity, modernize mission-critical operations and deliver measurable outcomes through AI, automation, data and human expertise. Through a dedicated global team of approximately 46,000 associates, process expertise and advanced technologies, Conduent's solutions and services digitally transform its clients’ operations to enhance customer experiences, improve performance, increase efficiencies and reduce costs.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Basis of Presentation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 Accordingly, they do not include all the information and notes required by U.S. GAAP for complete financial statements. The December 31, 2025 Condensed Consolidated Balance Sheet was derived from the audited Consolidated Financial Statements included in the Company's Annual Report on Form 10-K for the year ended December 31, 2025. Certain reclassifications have been made to prior years' amounts to conform to the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2025.</w:t>
      </w:r>
    </w:p>
    <w:p>
      <w:pPr>
        <w:pStyle w:val="TextBody"/>
        <w:bidi w:val="0"/>
        <w:spacing w:lineRule="auto" w:line="276" w:before="0" w:after="180"/>
        <w:jc w:val="left"/>
        <w:rPr>
          <w:rFonts w:ascii="Arial;sans-serif" w:hAnsi="Arial;sans-serif"/>
          <w:b/>
          <w:color w:val="0066CC"/>
          <w:sz w:val="20"/>
        </w:rPr>
      </w:pPr>
      <w:r>
        <w:rPr>
          <w:rFonts w:ascii="Arial;sans-serif" w:hAnsi="Arial;sans-serif"/>
          <w:b/>
          <w:color w:val="0066CC"/>
          <w:sz w:val="20"/>
        </w:rPr>
        <w:t>Discontinued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May 21, 2026, the Company entered into a definitive agreement to sell its Public Transit business, an operating unit of its Transportation segment to Modaxo USA Holdings, Inc. and certain affiliates (collectively, "Modaxo"). On June 29, 2026, the Company entered into a definitive agreement to sell its Tolling business, the other operating unit of its Transportation segment, to Quarterhill Inc. The sale of the Public Transit business closed on October 1, 2026 and the sale of the Tolling business is expected to close before the end of 2026.</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These two transactions collectively represent an exit from the Transportation business, a strategic shift that will have a major effect on the Company’s operations and financial results. As such, these transactions qualify under applicable accounting guidance for reporting as discontinued operations and the Company reported these businesses as discontinued operations and reclassified their results from its former Transportation segment to Discontinued Operations and no longer reports results for a Transportation segment. Additionally, the related assets and liabilities associated with the discontinued operations are classified as held for sale in the Company's condensed consolidated balance sheet for the periods presented. Refer to Note 5 – Divestitures and Discontinued Operations to the Condensed Consolidated Financial Statements for additional information, including selected cash flow information.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Unless otherwise indicated, the financial disclosures and related information provided herein relate to the Company's continuing operations, which exclude the Transportation segment, and all prior periods have been recast to reflect discontinued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87070"/>
                <wp:effectExtent l="0" t="0" r="0" b="0"/>
                <wp:wrapNone/>
                <wp:docPr id="11" name="Frame10"/>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76" w:before="0" w:after="180"/>
        <w:ind w:left="0" w:right="0" w:firstLine="5040"/>
        <w:jc w:val="left"/>
        <w:rPr>
          <w:rFonts w:ascii="Arial;sans-serif" w:hAnsi="Arial;sans-serif"/>
          <w:b/>
          <w:color w:val="0066CC"/>
          <w:sz w:val="20"/>
        </w:rPr>
      </w:pPr>
      <w:r>
        <w:rPr>
          <w:rFonts w:ascii="Arial;sans-serif" w:hAnsi="Arial;sans-serif"/>
          <w:b/>
          <w:color w:val="0066CC"/>
          <w:sz w:val="20"/>
        </w:rPr>
        <w:t>Use of Estimates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 In connection with the Company’s periodic review of the estimated useful lives of its buildings and equipment, the Company extended the estimated useful lives of its desktop and laptop computers from three years to four years effective April 1, 2026. The change in estimated useful lives was due to actual and expected longer refresh cycles for these assets. Based on the carrying value of the assets as of March 31, 2026, and those since placed in service, the effects of this change in estimate were decreases in Loss Before Income Taxes from Continuing Operations and Net Loss from Continuing Operations of $1 million and $2 million, respectively, for the three and nine months ended September 30, 2026. The expected impact of the change in estimate for the year ending December 31, 2026 is a decrease of approximately $3 million in Loss Before Income Taxes from Continuing Operations and Net Loss from Continuing Operations.</w:t>
      </w:r>
    </w:p>
    <w:p>
      <w:pPr>
        <w:pStyle w:val="TextBody"/>
        <w:bidi w:val="0"/>
        <w:spacing w:lineRule="auto" w:line="276" w:before="0" w:after="180"/>
        <w:jc w:val="left"/>
        <w:rPr>
          <w:rFonts w:ascii="Arial;sans-serif" w:hAnsi="Arial;sans-serif"/>
          <w:b/>
          <w:color w:val="0066CC"/>
          <w:sz w:val="20"/>
        </w:rPr>
      </w:pPr>
      <w:r>
        <w:rPr>
          <w:rFonts w:ascii="Arial;sans-serif" w:hAnsi="Arial;sans-serif"/>
          <w:b/>
          <w:color w:val="0066CC"/>
          <w:sz w:val="20"/>
        </w:rPr>
        <w:t>Summary of Significant Accounting Policies</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The Company's significant accounting policies are described in Note 1 – Basis of Presentation and Summary of Significant Accounting Policies in the Company's Annual Report on Form 10-K for the year ended December 31, 2025.</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During 2026, there have been no changes to the Company's significant accounting policies as described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rPr>
      </w:pPr>
      <w:r>
        <w:rPr>
          <w:rFonts w:ascii="Arial;sans-serif" w:hAnsi="Arial;sans-serif"/>
          <w:b/>
          <w:color w:val="1269BC"/>
          <w:sz w:val="24"/>
        </w:rPr>
        <w:t>Note 2 – Recent Accounting Pronouncements</w:t>
      </w:r>
    </w:p>
    <w:p>
      <w:pPr>
        <w:pStyle w:val="TextBody"/>
        <w:bidi w:val="0"/>
        <w:spacing w:lineRule="auto" w:line="288" w:before="0" w:after="180"/>
        <w:jc w:val="left"/>
        <w:rPr>
          <w:rFonts w:ascii="Arial;sans-serif" w:hAnsi="Arial;sans-serif"/>
          <w:b/>
          <w:color w:val="1269BD"/>
          <w:sz w:val="20"/>
        </w:rPr>
      </w:pPr>
      <w:r>
        <w:rPr>
          <w:rFonts w:ascii="Arial;sans-serif" w:hAnsi="Arial;sans-serif"/>
          <w:b/>
          <w:color w:val="1269BD"/>
          <w:sz w:val="20"/>
        </w:rPr>
        <w:t>New Accounting Standards Adopted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not adopted any new accounting standards in 2026.</w:t>
      </w:r>
    </w:p>
    <w:p>
      <w:pPr>
        <w:pStyle w:val="TextBody"/>
        <w:bidi w:val="0"/>
        <w:spacing w:lineRule="auto" w:line="288" w:before="0" w:after="180"/>
        <w:jc w:val="left"/>
        <w:rPr>
          <w:rFonts w:ascii="Arial;sans-serif" w:hAnsi="Arial;sans-serif"/>
          <w:b/>
          <w:color w:val="1269BD"/>
          <w:sz w:val="20"/>
        </w:rPr>
      </w:pPr>
      <w:r>
        <w:rPr>
          <w:rFonts w:ascii="Arial;sans-serif" w:hAnsi="Arial;sans-serif"/>
          <w:b/>
          <w:color w:val="1269BD"/>
          <w:sz w:val="20"/>
        </w:rPr>
        <w:t>New Accounting Standards To Be Adopted</w:t>
      </w:r>
    </w:p>
    <w:p>
      <w:pPr>
        <w:pStyle w:val="TextBody"/>
        <w:bidi w:val="0"/>
        <w:spacing w:lineRule="auto" w:line="288" w:before="0" w:after="180"/>
        <w:jc w:val="left"/>
      </w:pPr>
      <w:r>
        <w:rPr>
          <w:rFonts w:ascii="Arial;sans-serif" w:hAnsi="Arial;sans-serif"/>
          <w:b/>
          <w:color w:val="000000"/>
          <w:sz w:val="20"/>
        </w:rPr>
        <w:t>Disaggregation of Income Statement Expenses:</w:t>
      </w:r>
      <w:r>
        <w:rPr>
          <w:color w:val="000000"/>
        </w:rPr>
        <w:t xml:space="preserve"> </w:t>
      </w:r>
      <w:r>
        <w:rPr>
          <w:rFonts w:ascii="Arial;sans-serif" w:hAnsi="Arial;sans-serif"/>
          <w:b w:val="false"/>
          <w:color w:val="000000"/>
          <w:sz w:val="20"/>
        </w:rPr>
        <w:t>In November 2024, the Financial Accounting Standards Board ("FASB") issued final guidance designed to enhance financial reporting by requiring public business entities to disclose additional details regarding specific expense categories in the notes to the financial statements for both interim and annual periods. The new guidance is effective for annual periods beginning after December 15, 2026 and interim periods beginning after December 15, 2027. The Company is not early adopting this guidance. As the guidance is disclosure related, adoption will not have any impact on the Company's Condensed Consolidated Financial Statements.</w:t>
      </w:r>
    </w:p>
    <w:p>
      <w:pPr>
        <w:pStyle w:val="TextBody"/>
        <w:bidi w:val="0"/>
        <w:spacing w:lineRule="auto" w:line="288" w:before="0" w:after="180"/>
        <w:jc w:val="left"/>
      </w:pPr>
      <w:r>
        <w:rPr>
          <w:rFonts w:ascii="Arial;sans-serif" w:hAnsi="Arial;sans-serif"/>
          <w:b/>
          <w:color w:val="000000"/>
          <w:sz w:val="20"/>
        </w:rPr>
        <w:t xml:space="preserve">Internal-use Software: </w:t>
      </w:r>
      <w:r>
        <w:rPr>
          <w:rFonts w:ascii="Arial;sans-serif" w:hAnsi="Arial;sans-serif"/>
          <w:b w:val="false"/>
          <w:color w:val="000000"/>
          <w:sz w:val="20"/>
        </w:rPr>
        <w:t>In September 2025, the FASB issued final guidance designed to modernize the accounting for software costs that are accounted for as "internal-use software." This new guidance removes all previous references to project stages. It requires capitalization of software costs when (i) management has authorized and committed to funding the software project and (ii) it is probable that the project will be completed and the software will be used to perform the function intended. The new guidance is effective for annual and interim periods beginning after December 15, 2027. Early adoption is permitted as of the beginning of an annual reporting period. The Company is currently evaluating the impact that this new standard will have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87070"/>
                <wp:effectExtent l="0" t="0" r="0" b="0"/>
                <wp:wrapNone/>
                <wp:docPr id="12" name="Frame11"/>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Note 3 – Revenue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Disaggregation of Revenue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about disaggregated revenue by major service offering and reportable segment and the timing of revenue recognition. Refer to Note 4 – Segment Reporting for additional information on the Company's reportable segments. </w:t>
      </w:r>
    </w:p>
    <w:tbl>
      <w:tblPr>
        <w:tblW w:w="7227" w:type="dxa"/>
        <w:jc w:val="left"/>
        <w:tblInd w:w="0" w:type="dxa"/>
        <w:tblLayout w:type="fixed"/>
        <w:tblCellMar>
          <w:top w:w="28" w:type="dxa"/>
          <w:left w:w="28" w:type="dxa"/>
          <w:bottom w:w="28" w:type="dxa"/>
          <w:right w:w="28" w:type="dxa"/>
        </w:tblCellMar>
      </w:tblPr>
      <w:tblGrid>
        <w:gridCol w:w="978"/>
        <w:gridCol w:w="853"/>
        <w:gridCol w:w="86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c>
          <w:tcPr>
            <w:tcW w:w="9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Experience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BPaaS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Integrated Digital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Healthcare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Services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p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Contract liabilities include payments received in advance of performance under the contract, which are realized when the associated revenue is recognized under the contract.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information about significant movements in contract assets (current and long-term) for the nine months ended September 30, 2026 and 2025:</w:t>
      </w:r>
    </w:p>
    <w:tbl>
      <w:tblPr>
        <w:tblW w:w="5345" w:type="dxa"/>
        <w:jc w:val="center"/>
        <w:tblInd w:w="0" w:type="dxa"/>
        <w:tblLayout w:type="fixed"/>
        <w:tblCellMar>
          <w:top w:w="28" w:type="dxa"/>
          <w:left w:w="28" w:type="dxa"/>
          <w:bottom w:w="28" w:type="dxa"/>
          <w:right w:w="28" w:type="dxa"/>
        </w:tblCellMar>
      </w:tblPr>
      <w:tblGrid>
        <w:gridCol w:w="1221"/>
        <w:gridCol w:w="1066"/>
        <w:gridCol w:w="1087"/>
        <w:gridCol w:w="109"/>
        <w:gridCol w:w="109"/>
        <w:gridCol w:w="109"/>
        <w:gridCol w:w="196"/>
        <w:gridCol w:w="331"/>
        <w:gridCol w:w="109"/>
        <w:gridCol w:w="109"/>
        <w:gridCol w:w="109"/>
        <w:gridCol w:w="109"/>
        <w:gridCol w:w="196"/>
        <w:gridCol w:w="331"/>
        <w:gridCol w:w="154"/>
      </w:tblGrid>
      <w:tr>
        <w:tc>
          <w:tcPr>
            <w:tcW w:w="122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contract assets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Billed and transferred to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Ending balance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w:t>
      </w:r>
    </w:p>
    <w:p>
      <w:pPr>
        <w:pStyle w:val="TextBody"/>
        <w:bidi w:val="0"/>
        <w:spacing w:lineRule="auto" w:line="288" w:before="0" w:after="180"/>
        <w:jc w:val="left"/>
      </w:pPr>
      <w:r>
        <w:rPr>
          <w:rFonts w:ascii="Arial;sans-serif" w:hAnsi="Arial;sans-serif"/>
          <w:b w:val="false"/>
          <w:i/>
          <w:color w:val="000000"/>
          <w:sz w:val="10"/>
        </w:rPr>
        <w:t xml:space="preserve">(1) </w:t>
      </w:r>
      <w:r>
        <w:rPr>
          <w:rFonts w:ascii="Arial;sans-serif" w:hAnsi="Arial;sans-serif"/>
          <w:b w:val="false"/>
          <w:i/>
          <w:color w:val="000000"/>
          <w:sz w:val="16"/>
        </w:rPr>
        <w:t xml:space="preserve">Of which $2 million and $5 million are included in Other long-term assets as of September 30, 2026 and 2025, respectively.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87070"/>
                <wp:effectExtent l="0" t="0" r="0" b="0"/>
                <wp:wrapNone/>
                <wp:docPr id="13" name="Frame12"/>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The following table provides information about significant movements in contract liabilities balances (current and long-term) for the nine months ended September 30, 2026 and 2025:</w:t>
      </w:r>
    </w:p>
    <w:tbl>
      <w:tblPr>
        <w:tblW w:w="5886" w:type="dxa"/>
        <w:jc w:val="center"/>
        <w:tblInd w:w="0" w:type="dxa"/>
        <w:tblLayout w:type="fixed"/>
        <w:tblCellMar>
          <w:top w:w="28" w:type="dxa"/>
          <w:left w:w="28" w:type="dxa"/>
          <w:bottom w:w="28" w:type="dxa"/>
          <w:right w:w="28" w:type="dxa"/>
        </w:tblCellMar>
      </w:tblPr>
      <w:tblGrid>
        <w:gridCol w:w="1383"/>
        <w:gridCol w:w="1209"/>
        <w:gridCol w:w="1233"/>
        <w:gridCol w:w="109"/>
        <w:gridCol w:w="109"/>
        <w:gridCol w:w="109"/>
        <w:gridCol w:w="196"/>
        <w:gridCol w:w="421"/>
        <w:gridCol w:w="109"/>
        <w:gridCol w:w="109"/>
        <w:gridCol w:w="109"/>
        <w:gridCol w:w="109"/>
        <w:gridCol w:w="196"/>
        <w:gridCol w:w="331"/>
        <w:gridCol w:w="154"/>
      </w:tblGrid>
      <w:tr>
        <w:tc>
          <w:tcPr>
            <w:tcW w:w="138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Deferral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Revenue recognized related to deferral of income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Ending balance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w:t>
      </w:r>
    </w:p>
    <w:p>
      <w:pPr>
        <w:pStyle w:val="TextBody"/>
        <w:bidi w:val="0"/>
        <w:spacing w:lineRule="auto" w:line="288" w:before="0" w:after="60"/>
        <w:jc w:val="left"/>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 xml:space="preserve">Of which $39 million and $48 million were recognized during the nine months ended September 30, 2026 and 2025, respectively, that related to the Company's contract liabilities as of December 31, 2025 and 2024, respectively. </w:t>
      </w:r>
    </w:p>
    <w:p>
      <w:pPr>
        <w:pStyle w:val="TextBody"/>
        <w:bidi w:val="0"/>
        <w:spacing w:lineRule="auto" w:line="288" w:before="0" w:after="180"/>
        <w:jc w:val="left"/>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Of which $60 million and $43 million are included in Other long-term liabilities as of September 30, 2026 and 2025, respectively.</w:t>
      </w:r>
      <w:r>
        <w:rPr>
          <w:color w:val="000000"/>
        </w:rPr>
        <w:t xml:space="preserve"> </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Transaction Price Allocated to the Remaining Performance Obligations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Estimated revenue expected to be recognized in the future related to performance obligations that are unsatisfied or partially satisfied at September 30, 2026 was approximately $500 million. The Company expects to recognize approximately 93% of this revenue over the next two years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rPr>
      </w:pPr>
      <w:r>
        <w:rPr>
          <w:rFonts w:ascii="Arial;sans-serif" w:hAnsi="Arial;sans-serif"/>
          <w:b/>
          <w:color w:val="1269BC"/>
          <w:sz w:val="24"/>
        </w:rPr>
        <w:t>Note 4 – Segment Reporting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CODM evaluates the Company's financial performance based on Segment profit (loss) for its two reportable segments - Commercial and Government. The Company's CODM uses Segment profit (loss) information to monitor budget versus actual results and then uses this information to help make informed decisions about future resource investment, potential restructuring of segments to enhance overall company performance, and future divestitures and acquisitions.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discussed in Note 5 – Divestitures and Discontinued Operations, the Company has entered into definitive agreements to sell its Transit and Tolling businesses to Modaxo and Quarterhill Inc., respectively. The sale of Transit closed on October 1, 2026 and the sale of the Tolling business is expected to close before the end of 2026. As a result of such sales, and having met applicable accounting requirements, the Company reported these businesses as discontinued operations and reclassified their results from the former Transportation segment to Discontinued Operations and no longer reports results for a Transportation segment. All prior periods have been reclassified to conform to this presentation.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CODM does not evaluate operating segments using discrete asset information as a significant portion of the assets is managed at the total company level.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description of the Company's reportable segments is as follows:</w:t>
      </w:r>
    </w:p>
    <w:p>
      <w:pPr>
        <w:pStyle w:val="TextBody"/>
        <w:bidi w:val="0"/>
        <w:spacing w:lineRule="auto" w:line="288" w:before="0" w:after="180"/>
        <w:ind w:left="0" w:right="0" w:hanging="360"/>
        <w:jc w:val="left"/>
      </w:pPr>
      <w:r>
        <w:rPr>
          <w:color w:val="000000"/>
        </w:rPr>
        <w:t>•</w:t>
      </w:r>
      <w:r>
        <w:rPr>
          <w:rFonts w:ascii="Arial;sans-serif" w:hAnsi="Arial;sans-serif"/>
          <w:b/>
          <w:color w:val="0066CC"/>
          <w:sz w:val="20"/>
        </w:rPr>
        <w:t>Commercial:</w:t>
      </w:r>
      <w:r>
        <w:rPr>
          <w:color w:val="000000"/>
        </w:rPr>
        <w:t xml:space="preserve"> </w:t>
      </w:r>
      <w:r>
        <w:rPr>
          <w:rFonts w:ascii="Arial;sans-serif" w:hAnsi="Arial;sans-serif"/>
          <w:b w:val="false"/>
          <w:color w:val="000000"/>
          <w:sz w:val="20"/>
        </w:rPr>
        <w:t>The Commercial segment provides business process services that span its clients' businesses end-to-end from the front-office to the back-office for a variety of commercial industries. These solutions are both cross-industry and industry-specific in nature. Across the Commercial segment, the Company operates on its clients’ behalf to deliver mission-critical solutions and services to reduce costs, improve efficiencies and enable revenue growth for the Company's clients and deliver better experiences for their consumers and employees.</w:t>
      </w:r>
    </w:p>
    <w:p>
      <w:pPr>
        <w:pStyle w:val="TextBody"/>
        <w:bidi w:val="0"/>
        <w:spacing w:lineRule="auto" w:line="288" w:before="0" w:after="180"/>
        <w:ind w:left="0" w:right="0" w:hanging="360"/>
        <w:jc w:val="left"/>
      </w:pPr>
      <w:r>
        <w:rPr>
          <w:color w:val="000000"/>
        </w:rPr>
        <w:t>•</w:t>
      </w:r>
      <w:r>
        <w:rPr>
          <w:rFonts w:ascii="Arial;sans-serif" w:hAnsi="Arial;sans-serif"/>
          <w:b/>
          <w:color w:val="0066CC"/>
          <w:sz w:val="20"/>
        </w:rPr>
        <w:t xml:space="preserve">Government: </w:t>
      </w:r>
      <w:r>
        <w:rPr>
          <w:rFonts w:ascii="Arial;sans-serif" w:hAnsi="Arial;sans-serif"/>
          <w:b w:val="false"/>
          <w:color w:val="000000"/>
          <w:sz w:val="20"/>
        </w:rPr>
        <w:t>The Government segment provides government-centric services and solutions to U.S. federal, state, local and foreign governments for public assistance, healthcare programs administration, transaction processing, eligibility and enrollment processing, payment services and case management. In this segment, the Company helps governments respond to changing rules for eligibility and keep pace with increasing citizen expectations, modernize legacy technology systems, combat benefits fraud and adapt to an evolving regulatory environment.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87070"/>
                <wp:effectExtent l="0" t="0" r="0" b="0"/>
                <wp:wrapNone/>
                <wp:docPr id="14" name="Frame13"/>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Selected financial information for the Company's segments is as follows:</w:t>
      </w:r>
    </w:p>
    <w:tbl>
      <w:tblPr>
        <w:tblW w:w="7358" w:type="dxa"/>
        <w:jc w:val="left"/>
        <w:tblInd w:w="0" w:type="dxa"/>
        <w:tblLayout w:type="fixed"/>
        <w:tblCellMar>
          <w:top w:w="28" w:type="dxa"/>
          <w:left w:w="28" w:type="dxa"/>
          <w:bottom w:w="28" w:type="dxa"/>
          <w:right w:w="28" w:type="dxa"/>
        </w:tblCellMar>
      </w:tblPr>
      <w:tblGrid>
        <w:gridCol w:w="1073"/>
        <w:gridCol w:w="936"/>
        <w:gridCol w:w="946"/>
        <w:gridCol w:w="109"/>
        <w:gridCol w:w="109"/>
        <w:gridCol w:w="109"/>
        <w:gridCol w:w="263"/>
        <w:gridCol w:w="565"/>
        <w:gridCol w:w="148"/>
        <w:gridCol w:w="109"/>
        <w:gridCol w:w="109"/>
        <w:gridCol w:w="109"/>
        <w:gridCol w:w="275"/>
        <w:gridCol w:w="592"/>
        <w:gridCol w:w="154"/>
        <w:gridCol w:w="109"/>
        <w:gridCol w:w="109"/>
        <w:gridCol w:w="109"/>
        <w:gridCol w:w="109"/>
        <w:gridCol w:w="109"/>
        <w:gridCol w:w="109"/>
        <w:gridCol w:w="109"/>
        <w:gridCol w:w="109"/>
        <w:gridCol w:w="109"/>
        <w:gridCol w:w="196"/>
        <w:gridCol w:w="421"/>
        <w:gridCol w:w="154"/>
      </w:tblGrid>
      <w:tr>
        <w:tc>
          <w:tcPr>
            <w:tcW w:w="10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1534" w:type="dxa"/>
            <w:gridSpan w:val="10"/>
            <w:tcBorders/>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r>
              <w:rPr>
                <w:rFonts w:ascii="Arial;sans-serif" w:hAnsi="Arial;sans-serif"/>
                <w:b w:val="false"/>
                <w:color w:val="000000"/>
                <w:sz w:val="16"/>
              </w:rPr>
              <w:t>Total</w:t>
            </w:r>
            <w:r>
              <w:rPr>
                <w:rFonts w:ascii="Arial;sans-serif" w:hAnsi="Arial;sans-serif"/>
                <w:b w:val="false"/>
                <w:color w:val="000000"/>
                <w:sz w:val="10"/>
              </w:rPr>
              <w:t>(1)</w:t>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Expenses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60"/>
        <w:ind w:left="0" w:right="0" w:hanging="360"/>
        <w:jc w:val="left"/>
      </w:pPr>
      <w:r>
        <w:rPr>
          <w:rFonts w:ascii="Arial;sans-serif" w:hAnsi="Arial;sans-serif"/>
          <w:b w:val="false"/>
          <w:i/>
          <w:color w:val="000000"/>
          <w:sz w:val="10"/>
        </w:rPr>
        <w:t>(1)    </w:t>
      </w:r>
      <w:r>
        <w:rPr>
          <w:rFonts w:ascii="Arial;sans-serif" w:hAnsi="Arial;sans-serif"/>
          <w:b w:val="false"/>
          <w:i/>
          <w:color w:val="000000"/>
          <w:sz w:val="16"/>
        </w:rPr>
        <w:t>Total excludes Discontinued Operations and Unallocated Costs.</w:t>
      </w:r>
    </w:p>
    <w:p>
      <w:pPr>
        <w:pStyle w:val="TextBody"/>
        <w:bidi w:val="0"/>
        <w:spacing w:lineRule="auto" w:line="288" w:before="0" w:after="60"/>
        <w:ind w:left="0" w:right="0" w:hanging="360"/>
        <w:jc w:val="left"/>
      </w:pPr>
      <w:r>
        <w:rPr>
          <w:rFonts w:ascii="Arial;sans-serif" w:hAnsi="Arial;sans-serif"/>
          <w:b w:val="false"/>
          <w:i/>
          <w:color w:val="000000"/>
          <w:sz w:val="10"/>
        </w:rPr>
        <w:t>(2)</w:t>
      </w:r>
      <w:r>
        <w:rPr>
          <w:color w:val="000000"/>
        </w:rPr>
        <w:t>    </w:t>
      </w:r>
      <w:r>
        <w:rPr>
          <w:rFonts w:ascii="Arial;sans-serif" w:hAnsi="Arial;sans-serif"/>
          <w:b w:val="false"/>
          <w:i/>
          <w:color w:val="000000"/>
          <w:sz w:val="16"/>
        </w:rPr>
        <w:t>In the first quarter of 2026, the Company revised its methodology for allocating certain technology costs to the expense categories within its reportable segments. The prior year's expenses have been reclassified to conform to the current year's methodology. This update had no impact on total segment expenses by reportable segment or on total expenses by expense category.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87070"/>
                <wp:effectExtent l="0" t="0" r="0" b="0"/>
                <wp:wrapNone/>
                <wp:docPr id="15" name="Frame14"/>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tbl>
      <w:tblPr>
        <w:tblW w:w="7493" w:type="dxa"/>
        <w:jc w:val="left"/>
        <w:tblInd w:w="0" w:type="dxa"/>
        <w:tblLayout w:type="fixed"/>
        <w:tblCellMar>
          <w:top w:w="28" w:type="dxa"/>
          <w:left w:w="28" w:type="dxa"/>
          <w:bottom w:w="28" w:type="dxa"/>
          <w:right w:w="28" w:type="dxa"/>
        </w:tblCellMar>
      </w:tblPr>
      <w:tblGrid>
        <w:gridCol w:w="1073"/>
        <w:gridCol w:w="936"/>
        <w:gridCol w:w="946"/>
        <w:gridCol w:w="109"/>
        <w:gridCol w:w="109"/>
        <w:gridCol w:w="109"/>
        <w:gridCol w:w="222"/>
        <w:gridCol w:w="630"/>
        <w:gridCol w:w="124"/>
        <w:gridCol w:w="109"/>
        <w:gridCol w:w="109"/>
        <w:gridCol w:w="109"/>
        <w:gridCol w:w="275"/>
        <w:gridCol w:w="592"/>
        <w:gridCol w:w="154"/>
        <w:gridCol w:w="109"/>
        <w:gridCol w:w="109"/>
        <w:gridCol w:w="109"/>
        <w:gridCol w:w="109"/>
        <w:gridCol w:w="109"/>
        <w:gridCol w:w="109"/>
        <w:gridCol w:w="109"/>
        <w:gridCol w:w="109"/>
        <w:gridCol w:w="109"/>
        <w:gridCol w:w="196"/>
        <w:gridCol w:w="556"/>
        <w:gridCol w:w="154"/>
      </w:tblGrid>
      <w:tr>
        <w:tc>
          <w:tcPr>
            <w:tcW w:w="10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c>
          <w:tcPr>
            <w:tcW w:w="1669" w:type="dxa"/>
            <w:gridSpan w:val="10"/>
            <w:tcBorders/>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r>
              <w:rPr>
                <w:rFonts w:ascii="Arial;sans-serif" w:hAnsi="Arial;sans-serif"/>
                <w:b w:val="false"/>
                <w:color w:val="000000"/>
                <w:sz w:val="16"/>
              </w:rPr>
              <w:t>Total</w:t>
            </w:r>
            <w:r>
              <w:rPr>
                <w:rFonts w:ascii="Arial;sans-serif" w:hAnsi="Arial;sans-serif"/>
                <w:b w:val="false"/>
                <w:color w:val="000000"/>
                <w:sz w:val="10"/>
              </w:rPr>
              <w:t>(1)</w:t>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Expenses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60"/>
        <w:ind w:left="0" w:right="0" w:hanging="360"/>
        <w:jc w:val="left"/>
      </w:pPr>
      <w:r>
        <w:rPr>
          <w:rFonts w:ascii="Arial;sans-serif" w:hAnsi="Arial;sans-serif"/>
          <w:b w:val="false"/>
          <w:i/>
          <w:color w:val="000000"/>
          <w:sz w:val="10"/>
        </w:rPr>
        <w:t>(1)    </w:t>
      </w:r>
      <w:r>
        <w:rPr>
          <w:rFonts w:ascii="Arial;sans-serif" w:hAnsi="Arial;sans-serif"/>
          <w:b w:val="false"/>
          <w:i/>
          <w:color w:val="000000"/>
          <w:sz w:val="16"/>
        </w:rPr>
        <w:t>Total excludes Discontinued Operations and Unallocated Costs.</w:t>
      </w:r>
    </w:p>
    <w:p>
      <w:pPr>
        <w:pStyle w:val="TextBody"/>
        <w:bidi w:val="0"/>
        <w:spacing w:lineRule="auto" w:line="288" w:before="0" w:after="60"/>
        <w:ind w:left="0" w:right="0" w:hanging="360"/>
        <w:jc w:val="left"/>
      </w:pPr>
      <w:r>
        <w:rPr>
          <w:rFonts w:ascii="Arial;sans-serif" w:hAnsi="Arial;sans-serif"/>
          <w:b w:val="false"/>
          <w:i/>
          <w:color w:val="000000"/>
          <w:sz w:val="10"/>
        </w:rPr>
        <w:t>(2)</w:t>
      </w:r>
      <w:r>
        <w:rPr>
          <w:color w:val="000000"/>
        </w:rPr>
        <w:t>    </w:t>
      </w:r>
      <w:r>
        <w:rPr>
          <w:rFonts w:ascii="Arial;sans-serif" w:hAnsi="Arial;sans-serif"/>
          <w:b w:val="false"/>
          <w:i/>
          <w:color w:val="000000"/>
          <w:sz w:val="16"/>
        </w:rPr>
        <w:t>In the first quarter of 2026, the Company revised its methodology for allocating certain technology costs to the expense categories within its reportable segments. The prior year's expenses have been reclassified to conform to the current year's methodology. This update had no impact on total segment expenses by reportable segment or on total expenses by expense category.</w:t>
      </w:r>
    </w:p>
    <w:p>
      <w:pPr>
        <w:pStyle w:val="TextBody"/>
        <w:bidi w:val="0"/>
        <w:spacing w:before="0" w:after="60"/>
        <w:ind w:left="0" w:right="0" w:hanging="360"/>
        <w:jc w:val="left"/>
      </w:p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Other operating expense shown above is primarily comprised of third-party legal fees and other miscellaneous expenses.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87070"/>
                <wp:effectExtent l="0" t="0" r="0" b="0"/>
                <wp:wrapNone/>
                <wp:docPr id="16" name="Frame15"/>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The following is a reconciliation of Segment profit (loss) to Income (loss) before income taxes from continuing operations:</w:t>
      </w:r>
    </w:p>
    <w:tbl>
      <w:tblPr>
        <w:tblW w:w="9687" w:type="dxa"/>
        <w:jc w:val="left"/>
        <w:tblInd w:w="0" w:type="dxa"/>
        <w:tblLayout w:type="fixed"/>
        <w:tblCellMar>
          <w:top w:w="28" w:type="dxa"/>
          <w:left w:w="28" w:type="dxa"/>
          <w:bottom w:w="28" w:type="dxa"/>
          <w:right w:w="28" w:type="dxa"/>
        </w:tblCellMar>
      </w:tblPr>
      <w:tblGrid>
        <w:gridCol w:w="1921"/>
        <w:gridCol w:w="1679"/>
        <w:gridCol w:w="1710"/>
        <w:gridCol w:w="109"/>
        <w:gridCol w:w="109"/>
        <w:gridCol w:w="109"/>
        <w:gridCol w:w="196"/>
        <w:gridCol w:w="406"/>
        <w:gridCol w:w="109"/>
        <w:gridCol w:w="109"/>
        <w:gridCol w:w="109"/>
        <w:gridCol w:w="109"/>
        <w:gridCol w:w="196"/>
        <w:gridCol w:w="406"/>
        <w:gridCol w:w="109"/>
        <w:gridCol w:w="109"/>
        <w:gridCol w:w="109"/>
        <w:gridCol w:w="109"/>
        <w:gridCol w:w="196"/>
        <w:gridCol w:w="496"/>
        <w:gridCol w:w="109"/>
        <w:gridCol w:w="109"/>
        <w:gridCol w:w="109"/>
        <w:gridCol w:w="109"/>
        <w:gridCol w:w="196"/>
        <w:gridCol w:w="496"/>
        <w:gridCol w:w="154"/>
      </w:tblGrid>
      <w:tr>
        <w:tc>
          <w:tcPr>
            <w:tcW w:w="192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Unallocated costs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pPr>
      <w:r>
        <w:rPr>
          <w:rFonts w:ascii="Arial;sans-serif" w:hAnsi="Arial;sans-serif"/>
          <w:b w:val="false"/>
          <w:i/>
          <w:color w:val="000000"/>
          <w:sz w:val="10"/>
        </w:rPr>
        <w:t>(1)    </w:t>
      </w:r>
      <w:r>
        <w:rPr>
          <w:rFonts w:ascii="Arial;sans-serif" w:hAnsi="Arial;sans-serif"/>
          <w:b w:val="false"/>
          <w:i/>
          <w:color w:val="000000"/>
          <w:sz w:val="16"/>
        </w:rPr>
        <w:t>Unallocated Costs includes IT infrastructure costs that are shared by multiple reportable segments, enterprise application costs and certain corporate overhead expenses not directly attributable or allocated to the reportable segments. Included in the nine months ended September 30, 2026 period are $4 million of former CEO separation costs and a benefit related to a stock compensation plan change as described in Note 13 – Preferred Stock and Common Stock. Included in the nine months ended September 30, 2025 period are $25 million of Direct response costs related to the January 2025 Cyber Event as well as a $9 million insurance recovery related to the 2019 Texas Matter. Additionally, Unallocated Costs includes certain indirect costs that are no longer allocated to the former Transportation segment, which is now classified as Discontinued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3 – Revenue for additional information on disaggregated revenues of the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Note 5 – Divestitures and Discontinued Operations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Public Transit Divestiture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May 21, 2026, the Company, by and through its wholly owned subsidiary Conduent Business Services, LLC (“CBS”), entered into an Equity Interest Purchase Agreement (the “Transit Purchase Agreement”) with Modaxo USA Holdings, Inc. ("US Buyer") and Modaxo France Holdings SAS ("French Buyer" and together with US Buyer, “Transit Buyer”), and Modaxo Group Inc. Under the Transit Purchase Agreement, CBS agreed to sell all of the issued and outstanding equity interests of Conduent Transport Solutions, Inc. and certain non</w:t>
        <w:noBreakHyphen/>
        <w:t>U.S. subsidiaries that comprise the Company’s public transit and fare collection business (the “Transit Business”) on the terms and subject to the conditions set forth therein.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purchase price is $164 million in cash, subject to customary purchase price adjustments, and the Transit Purchase Agreement requires at least $15 million in cash to be transferred with the Transit Business on the day of closing.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Transit Purchase Agreement contains customary representations and warranties and pre</w:t>
        <w:noBreakHyphen/>
        <w:t>closing covenants for a transaction of this type.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September 30, 2026, CBS, Transit Buyer and Modaxo Group, Inc. entered into the First Amendment to the Transit Purchase Agreement (the “Amendment”) to amend the Transit Purchase Agreement to, among other things, remove the US Buyer as a party to the Transit Purchase Agreement such that the French Buyer is the sole Buyer under the Transit Purchase Agreement and waive certain closing conditions related to certain governmental filings.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October 1, 2026, Conduent completed the sale of the Transit Business. The Company received $140 million from the Transit Buyer in the form of cash consideration. At closing the Transit Buyer retained (i) a $10 million purchase price holdback for a maximum of one year to secure net tangible asset related adjustments, and (ii) a $12 million special holdback, the release of which is dependent upon certain target completion dates for a former customer. In addition, there were certain other closing adjustments of $2 million. In the fourth quarter of 2026, the Company expects to record a pre-tax gain (after expected transaction costs) of $2 million and income tax expense of approximately $7 million. In addition, $18 million in cash was transferred to the Transit Buyer at closing.</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87070"/>
                <wp:effectExtent l="0" t="0" r="0" b="0"/>
                <wp:wrapNone/>
                <wp:docPr id="17" name="Frame16"/>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180"/>
        <w:ind w:left="0" w:right="0" w:firstLine="5040"/>
        <w:jc w:val="left"/>
        <w:rPr>
          <w:rFonts w:ascii="Arial;sans-serif" w:hAnsi="Arial;sans-serif"/>
          <w:b/>
          <w:color w:val="0066CC"/>
          <w:sz w:val="20"/>
        </w:rPr>
      </w:pPr>
      <w:r>
        <w:rPr>
          <w:rFonts w:ascii="Arial;sans-serif" w:hAnsi="Arial;sans-serif"/>
          <w:b/>
          <w:color w:val="0066CC"/>
          <w:sz w:val="20"/>
        </w:rPr>
        <w:t>Tolling Divestiture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June 29, 2026, the Company by and through its wholly owned subsidiary, CBS, entered into an Asset Purchase Agreement (the “Tolling Purchase Agreement”) with Quarterhill Inc., a Canada Business Corporations Act corporation (“Tolling Buyer”). Under the Tolling Purchase Agreement, the Company, by and through certain of its subsidiaries, will sell and assign, and Tolling Buyer will purchase and assume from the Company, certain assets and liabilities of the Company’s tolling solutions business (the “Tolling Business”), on the terms and subject to the conditions set forth therein.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purchase price consists of $70 million in cash, subject to customary purchase price adjustments, and a number of common shares of Tolling Buyer equal to 7% of the issued and outstanding shares of Tolling Buyer, calculated as of immediately prior to the closing. The estimated market value of these shares, based on the publicly traded market price of Quarterhill Inc. as of September 30, 2026 was $20 million.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Tolling Purchase Agreement contains customary representations and warranties and pre</w:t>
        <w:noBreakHyphen/>
        <w:t>closing covenants for a transaction of this type. The transaction is expected to close before the end of 2026, subject to customary conditions and regulatory approvals.</w:t>
      </w: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Discontinued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Collectively, these two divestitures represent an exit from the Transportation business, a strategic shift that will have a major effect on the Company’s operations and financial results, and as such, qualify for reporting as discontinued operations. Beginning in the second quarter of 2026, the Company reported the results of the Transportation segment, for the periods presented, in the Company's Condensed Consolidated Statements of Income (Loss) as discontinued operations and reported the assets and liabilities of the Transportation segment on the Condensed Consolidated Balance Sheets as held for sale. All prior periods have been reclassified to conform with this presentation. Additionally, the Company has classified the assets and liabilities held for sale as current assets and liabilities as it expects the two transactions will close within one year. The net assets of discontinued operations are recorded at the lower of their carrying amount or estimated fair value less costs to sell.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the second quarter of 2026, the Company recorded a net pre-tax loss of $31 million related to the pending Tolling divestiture to reduce the carrying amount of the Tolling business to its estimated fair value less costs to sell (the "impairment loss"). During the third quarter of 2026, the Company reassessed the estimated fair value less costs to sell of the Tolling business and reduced the previously recognized loss by $21 million. As a result, the cumulative pre-tax loss was $10 million as of September 30, 2026. There was no tax benefit recorded related to this loss. This loss is included on the Condensed Consolidated Statements of Income (Loss) in Income (loss) from discontinued operations, net of tax and is included in the Condensed Consolidated Statements of Cash Flows as an adjustment in (Gain) loss on divestitures and sales of fixed assets, net. Any differences due to changes in fair values less costs to sell or carrying values for the Tolling business will be recognized as a gain or loss in future financial statements.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Summarized financial information for the Company's Discontinued Operations is as follows:</w:t>
      </w:r>
    </w:p>
    <w:tbl>
      <w:tblPr>
        <w:tblW w:w="9866" w:type="dxa"/>
        <w:jc w:val="left"/>
        <w:tblInd w:w="0" w:type="dxa"/>
        <w:tblLayout w:type="fixed"/>
        <w:tblCellMar>
          <w:top w:w="28" w:type="dxa"/>
          <w:left w:w="28" w:type="dxa"/>
          <w:bottom w:w="28" w:type="dxa"/>
          <w:right w:w="28" w:type="dxa"/>
        </w:tblCellMar>
      </w:tblPr>
      <w:tblGrid>
        <w:gridCol w:w="2035"/>
        <w:gridCol w:w="1777"/>
        <w:gridCol w:w="1797"/>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c>
          <w:tcPr>
            <w:tcW w:w="2035"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Revenue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pPr>
      <w:r>
        <w:rPr>
          <w:rFonts w:ascii="Arial;sans-serif" w:hAnsi="Arial;sans-serif"/>
          <w:b w:val="false"/>
          <w:i/>
          <w:color w:val="000000"/>
          <w:sz w:val="10"/>
        </w:rPr>
        <w:t>(1)    </w:t>
      </w:r>
      <w:r>
        <w:rPr>
          <w:rFonts w:ascii="Arial;sans-serif" w:hAnsi="Arial;sans-serif"/>
          <w:b w:val="false"/>
          <w:i/>
          <w:color w:val="000000"/>
          <w:sz w:val="16"/>
        </w:rPr>
        <w:t>Includes customer contract-related adjustments in our Tolling business of $33 million and $38 million</w:t>
      </w:r>
      <w:r>
        <w:rPr>
          <w:color w:val="000000"/>
        </w:rPr>
        <w:t xml:space="preserve"> </w:t>
      </w:r>
      <w:r>
        <w:rPr>
          <w:rFonts w:ascii="Arial;sans-serif" w:hAnsi="Arial;sans-serif"/>
          <w:b w:val="false"/>
          <w:i/>
          <w:color w:val="000000"/>
          <w:sz w:val="16"/>
        </w:rPr>
        <w:t>for the three and nine months ended September 30, 2026,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87070"/>
                <wp:effectExtent l="0" t="0" r="0" b="0"/>
                <wp:wrapNone/>
                <wp:docPr id="18" name="Frame17"/>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 xml:space="preserve">Other (income) expenses, net shown for the nine months ended September 30, 2026 in the table above include the $10 million impairment loss noted above. This amount includes approximately $2 million of transaction-related costs that have been accrued within Other current liabilities.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The following is a summary of the major categories of assets and liabilities that have been reclassified as held for sale in connection with the Transit and Tolling divestitures described above: </w:t>
      </w:r>
    </w:p>
    <w:tbl>
      <w:tblPr>
        <w:tblW w:w="7927" w:type="dxa"/>
        <w:jc w:val="left"/>
        <w:tblInd w:w="0" w:type="dxa"/>
        <w:tblLayout w:type="fixed"/>
        <w:tblCellMar>
          <w:top w:w="28" w:type="dxa"/>
          <w:left w:w="28" w:type="dxa"/>
          <w:bottom w:w="28" w:type="dxa"/>
          <w:right w:w="28" w:type="dxa"/>
        </w:tblCellMar>
      </w:tblPr>
      <w:tblGrid>
        <w:gridCol w:w="1487"/>
        <w:gridCol w:w="1301"/>
        <w:gridCol w:w="1321"/>
        <w:gridCol w:w="109"/>
        <w:gridCol w:w="109"/>
        <w:gridCol w:w="109"/>
        <w:gridCol w:w="425"/>
        <w:gridCol w:w="913"/>
        <w:gridCol w:w="237"/>
        <w:gridCol w:w="109"/>
        <w:gridCol w:w="109"/>
        <w:gridCol w:w="109"/>
        <w:gridCol w:w="402"/>
        <w:gridCol w:w="868"/>
        <w:gridCol w:w="319"/>
      </w:tblGrid>
      <w:tr>
        <w:tc>
          <w:tcPr>
            <w:tcW w:w="14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Write-down to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of discontinued operations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is a summary of selected financial information of the discontinued operations:</w:t>
      </w:r>
    </w:p>
    <w:tbl>
      <w:tblPr>
        <w:tblW w:w="6502" w:type="dxa"/>
        <w:jc w:val="left"/>
        <w:tblInd w:w="0" w:type="dxa"/>
        <w:tblLayout w:type="fixed"/>
        <w:tblCellMar>
          <w:top w:w="28" w:type="dxa"/>
          <w:left w:w="28" w:type="dxa"/>
          <w:bottom w:w="28" w:type="dxa"/>
          <w:right w:w="28" w:type="dxa"/>
        </w:tblCellMar>
      </w:tblPr>
      <w:tblGrid>
        <w:gridCol w:w="1651"/>
        <w:gridCol w:w="1441"/>
        <w:gridCol w:w="1467"/>
        <w:gridCol w:w="109"/>
        <w:gridCol w:w="109"/>
        <w:gridCol w:w="109"/>
        <w:gridCol w:w="217"/>
        <w:gridCol w:w="266"/>
        <w:gridCol w:w="120"/>
        <w:gridCol w:w="120"/>
        <w:gridCol w:w="120"/>
        <w:gridCol w:w="120"/>
        <w:gridCol w:w="217"/>
        <w:gridCol w:w="266"/>
        <w:gridCol w:w="170"/>
      </w:tblGrid>
      <w:tr>
        <w:tc>
          <w:tcPr>
            <w:tcW w:w="165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buildings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product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r>
      <w:t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Write-down of assets to estimated fair value less costs to 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contract-related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Capital and other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product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r>
      <w:t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to obtain and fulfill a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rPr>
      </w:pPr>
      <w:r>
        <w:rPr>
          <w:rFonts w:ascii="Arial;sans-serif" w:hAnsi="Arial;sans-serif"/>
          <w:b/>
          <w:color w:val="1269BC"/>
          <w:sz w:val="24"/>
        </w:rPr>
        <w:t>Note 6 – Restructuring Programs and Related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2026, the Company initiated a transformation project to accelerate growth, improve delivery, modernize technology, and optimize support functions (the "2026 Restructuring Program"). Management has estimated that the restructuring and related costs of this project will be in the range of $50 million to $70 million. The estimated completion date of this project is the end of the first half of 2027.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87070"/>
                <wp:effectExtent l="0" t="0" r="0" b="0"/>
                <wp:wrapNone/>
                <wp:docPr id="19" name="Frame18"/>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In the future, there may be additional provisions or changes in estimates for the 2026 Restructuring Program or other previously disclosed restructuring programs as payments are made, or actions are completed. Costs associated with restructuring are generally recognized when it has been determined that a liability has been incurred, upon communication to the affected employees or exit from the leased facility.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summary of the Company's restructuring program activity in the table below for the nine months ended September 30, 2026 and 2025 includes: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Severance and related costs - employee termination costs, which include severance, retraining and other related contractual benefits;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 xml:space="preserve">Contract termination and other related costs - incremental, non-recurring costs related to professional support services associated with the implementation of certain cost reductions and strategic transformation and capital allocation programs in 2026 and non-lease costs associated with exited lease facilities in both years; and </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Asset impairments - non-cash impairments of operating lease right-of-use assets and associated leasehold improvements related to the reduction of the Company's real estate footprint.</w:t>
      </w:r>
    </w:p>
    <w:tbl>
      <w:tblPr>
        <w:tblW w:w="10205" w:type="dxa"/>
        <w:jc w:val="left"/>
        <w:tblInd w:w="0" w:type="dxa"/>
        <w:tblLayout w:type="fixed"/>
        <w:tblCellMar>
          <w:top w:w="28" w:type="dxa"/>
          <w:left w:w="28" w:type="dxa"/>
          <w:bottom w:w="28" w:type="dxa"/>
          <w:right w:w="28" w:type="dxa"/>
        </w:tblCellMar>
      </w:tblPr>
      <w:tblGrid>
        <w:gridCol w:w="941"/>
        <w:gridCol w:w="807"/>
        <w:gridCol w:w="818"/>
        <w:gridCol w:w="579"/>
        <w:gridCol w:w="980"/>
        <w:gridCol w:w="326"/>
        <w:gridCol w:w="109"/>
        <w:gridCol w:w="109"/>
        <w:gridCol w:w="109"/>
        <w:gridCol w:w="985"/>
        <w:gridCol w:w="1215"/>
        <w:gridCol w:w="553"/>
        <w:gridCol w:w="109"/>
        <w:gridCol w:w="109"/>
        <w:gridCol w:w="109"/>
        <w:gridCol w:w="367"/>
        <w:gridCol w:w="761"/>
        <w:gridCol w:w="205"/>
        <w:gridCol w:w="109"/>
        <w:gridCol w:w="109"/>
        <w:gridCol w:w="109"/>
        <w:gridCol w:w="196"/>
        <w:gridCol w:w="331"/>
        <w:gridCol w:w="160"/>
      </w:tblGrid>
      <w:tr>
        <w:tc>
          <w:tcPr>
            <w:tcW w:w="94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Severance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Contract Termination and Other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Balance at December 31, 2025</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Total Net Current Period Charges</w:t>
            </w:r>
            <w:r>
              <w:rPr>
                <w:rFonts w:ascii="Arial;sans-serif" w:hAnsi="Arial;sans-serif"/>
                <w:b w:val="false"/>
                <w:color w:val="000000"/>
                <w:sz w:val="10"/>
              </w:rPr>
              <w:t>(1)</w:t>
            </w:r>
          </w:p>
        </w:tc>
        <w:tc>
          <w:tcPr>
            <w:tcW w:w="15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5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against reserve and currency</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Balance at September 30, 2026</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1"/>
        <w:gridCol w:w="807"/>
        <w:gridCol w:w="818"/>
        <w:gridCol w:w="579"/>
        <w:gridCol w:w="980"/>
        <w:gridCol w:w="326"/>
        <w:gridCol w:w="109"/>
        <w:gridCol w:w="109"/>
        <w:gridCol w:w="109"/>
        <w:gridCol w:w="756"/>
        <w:gridCol w:w="1570"/>
        <w:gridCol w:w="427"/>
        <w:gridCol w:w="109"/>
        <w:gridCol w:w="109"/>
        <w:gridCol w:w="109"/>
        <w:gridCol w:w="367"/>
        <w:gridCol w:w="761"/>
        <w:gridCol w:w="205"/>
        <w:gridCol w:w="109"/>
        <w:gridCol w:w="109"/>
        <w:gridCol w:w="109"/>
        <w:gridCol w:w="196"/>
        <w:gridCol w:w="331"/>
        <w:gridCol w:w="160"/>
      </w:tblGrid>
      <w:tr>
        <w:tc>
          <w:tcPr>
            <w:tcW w:w="94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Severance and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Contract Termination and Other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Balance at December 31, 2024</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Total Net Current Period Charges</w:t>
            </w:r>
            <w:r>
              <w:rPr>
                <w:rFonts w:ascii="Arial;sans-serif" w:hAnsi="Arial;sans-serif"/>
                <w:b w:val="false"/>
                <w:color w:val="000000"/>
                <w:sz w:val="10"/>
              </w:rPr>
              <w:t>(1)</w:t>
            </w:r>
          </w:p>
        </w:tc>
        <w:tc>
          <w:tcPr>
            <w:tcW w:w="15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against reserve and currency</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6" w:type="dxa"/>
            <w:gridSpan w:val="3"/>
            <w:tcBorders/>
            <w:vAlign w:val="center"/>
          </w:tcPr>
          <w:p>
            <w:pPr>
              <w:pStyle w:val="TableContents"/>
              <w:bidi w:val="0"/>
              <w:spacing w:before="0" w:after="283"/>
              <w:jc w:val="left"/>
              <w:rPr>
                <w:sz w:val="4"/>
                <w:szCs w:val="4"/>
              </w:rPr>
            </w:pPr>
            <w:r>
              <w:rPr>
                <w:sz w:val="4"/>
                <w:szCs w:val="4"/>
              </w:rPr>
            </w:r>
          </w:p>
        </w:tc>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Balance at September 30, 2025</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60" w:after="180"/>
        <w:ind w:left="0" w:right="0" w:hanging="360"/>
        <w:jc w:val="left"/>
        <w:rPr>
          <w:rFonts w:ascii="Arial;sans-serif" w:hAnsi="Arial;sans-serif"/>
          <w:b w:val="false"/>
          <w:i/>
          <w:color w:val="000000"/>
          <w:sz w:val="16"/>
        </w:rPr>
      </w:pPr>
      <w:r>
        <w:rPr>
          <w:rFonts w:ascii="Arial;sans-serif" w:hAnsi="Arial;sans-serif"/>
          <w:b w:val="false"/>
          <w:i/>
          <w:color w:val="000000"/>
          <w:sz w:val="16"/>
        </w:rPr>
        <w:t>(1)Represents amounts recognized within the Condensed Consolidated Statements of Income (Loss) for the periods shown.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 restructuring and related costs are allocated to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7 – Debt</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Long-term debt was as follows:</w:t>
      </w:r>
    </w:p>
    <w:tbl>
      <w:tblPr>
        <w:tblW w:w="7447" w:type="dxa"/>
        <w:jc w:val="left"/>
        <w:tblInd w:w="0" w:type="dxa"/>
        <w:tblLayout w:type="fixed"/>
        <w:tblCellMar>
          <w:top w:w="28" w:type="dxa"/>
          <w:left w:w="28" w:type="dxa"/>
          <w:bottom w:w="28" w:type="dxa"/>
          <w:right w:w="28" w:type="dxa"/>
        </w:tblCellMar>
      </w:tblPr>
      <w:tblGrid>
        <w:gridCol w:w="1313"/>
        <w:gridCol w:w="1147"/>
        <w:gridCol w:w="1169"/>
        <w:gridCol w:w="109"/>
        <w:gridCol w:w="109"/>
        <w:gridCol w:w="109"/>
        <w:gridCol w:w="425"/>
        <w:gridCol w:w="913"/>
        <w:gridCol w:w="237"/>
        <w:gridCol w:w="109"/>
        <w:gridCol w:w="109"/>
        <w:gridCol w:w="109"/>
        <w:gridCol w:w="402"/>
        <w:gridCol w:w="868"/>
        <w:gridCol w:w="319"/>
      </w:tblGrid>
      <w:tr>
        <w:tc>
          <w:tcPr>
            <w:tcW w:w="131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Principal debt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 and unamortized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87070"/>
                <wp:effectExtent l="0" t="0" r="0" b="0"/>
                <wp:wrapNone/>
                <wp:docPr id="20" name="Frame19"/>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180"/>
        <w:ind w:left="0" w:right="0" w:firstLine="5040"/>
        <w:jc w:val="left"/>
      </w:pPr>
      <w:r>
        <w:rPr>
          <w:rFonts w:ascii="Arial;sans-serif" w:hAnsi="Arial;sans-serif"/>
          <w:b w:val="false"/>
          <w:color w:val="000000"/>
          <w:sz w:val="20"/>
          <w:shd w:fill="FFFFFF" w:val="clear"/>
        </w:rPr>
        <w:t xml:space="preserve">As of </w:t>
      </w:r>
      <w:r>
        <w:rPr>
          <w:rFonts w:ascii="Arial;sans-serif" w:hAnsi="Arial;sans-serif"/>
          <w:b w:val="false"/>
          <w:color w:val="000000"/>
          <w:sz w:val="20"/>
        </w:rPr>
        <w:t>September 30, 2026, the Company had $327 million outstanding borrowings under its Revolving Credit Facility (the "Facility"). The Company utilized $26 million of the Facility to issue letters of credit as of September 30, 2026. Additionally, the Company utilized $79 million of the Performance Letter of Credit Facility to issue performance letters of credit as of September 30, 2026. The remaining unused capacity, reflecting total borrowing facility size minus outstanding borrowings and letters of credit, under the Facility and the Performance Letter of Credit Facility was $4 million and $14 million, respectively, as of September 30, 2026.</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At September 30, 2026, the Company was in compliance with all debt covenants related to the borrowings in the table above.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October 23, 2026, the Company completed the refinancing of the existing $357 million Facility by extending the maturities and adding $90 million of additional commitments, consisting of $75 million of new first-out revolving commitments and a new $15 million backstop performance letter of credit facility (the "Refinancing Agreement"). Borrowings under the new revolving credit facility (the "New Facility"), consisting of first-out and new second-out facilities bear interest at a per annum rate equal to, at the option of the Company, (i) the applicable term SOFR rate plus a margin of 4.00% and 3.00%, respectively, or (ii) the applicable base rate plus a margin of 3.00% and 2.00%, respectively, and mature on May 31, 2029. The New Facility contains certain customary affirmative and negative covenants, restrictions, prepayment terms and events of default.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Pursuant to the terms of the Refinancing Agreement, the Company used $131 million of proceeds from the sale of the Transit Business to repay outstanding borrowings under the New Facility. In addition, the Company paid $22 million of debt issuance costs at closing. The aggregate commitments under the New Facility will be reduced by $80 million no later than December 31, 2026, or earlier upon the closing of a new accounts receivable factoring facility. If the Company does not execute a new agreement by December 31, 2026, such failure will constitute an event of default under the New Facility. On October 28, 2026, the Company borrowed $75 million under the New Facility. The Company expects to repay the $75 million borrowing using proceeds from the anticipated sale of the Tolling Business and available cash for the remaining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8 – Financial Instruments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At September 30, 2026 and December 31, 2025, the Company had outstanding forward exchange contracts with gross notional values of $52 million and $163 million, respectively. At September 30, 2026, approximately 57% of these contracts mature within three months, 21% in three to six months, 19% in six to twelve months and 3% in greater than twelve months. Most of these foreign currency derivative contracts are designated as cash flow hedges and did not have a material impact on the Company's condensed consolidated balance sheet, income statement or cash flows for the periods presented.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9 – Fair Value of Financial Assets and Liabilities for additional information regarding the fair value of the Company's foreign exchange forward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9 – Fair Value of Financial Assets and Liabilities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Level 1: Fair value is determined using an unadjusted quoted price in an active market for identical assets or liabilities.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Level 2: Fair value is estimated using inputs other than quoted prices included within Level 1 that are observable, either directly or indirectly.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Level 3: Fair value is estimated using unobservable inputs that are significant to the fair value of the assets or liabilities.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87070"/>
                <wp:effectExtent l="0" t="0" r="0" b="0"/>
                <wp:wrapNone/>
                <wp:docPr id="21" name="Frame20"/>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1269BC"/>
          <w:sz w:val="20"/>
        </w:rPr>
      </w:pPr>
      <w:r>
        <w:rPr>
          <w:rFonts w:ascii="Arial;sans-serif" w:hAnsi="Arial;sans-serif"/>
          <w:b/>
          <w:color w:val="1269BC"/>
          <w:sz w:val="20"/>
        </w:rPr>
        <w:t>Summary of Financial Assets and Liabilities Accounted for at Fair Value on a Recurring Basis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represents assets and liabilities measured at fair value on a recurring basis. The basis for the measurement at fair value in all cases was Level 2. </w:t>
      </w:r>
    </w:p>
    <w:tbl>
      <w:tblPr>
        <w:tblW w:w="6697" w:type="dxa"/>
        <w:jc w:val="left"/>
        <w:tblInd w:w="0" w:type="dxa"/>
        <w:tblLayout w:type="fixed"/>
        <w:tblCellMar>
          <w:top w:w="28" w:type="dxa"/>
          <w:left w:w="28" w:type="dxa"/>
          <w:bottom w:w="28" w:type="dxa"/>
          <w:right w:w="28" w:type="dxa"/>
        </w:tblCellMar>
      </w:tblPr>
      <w:tblGrid>
        <w:gridCol w:w="1210"/>
        <w:gridCol w:w="831"/>
        <w:gridCol w:w="838"/>
        <w:gridCol w:w="109"/>
        <w:gridCol w:w="109"/>
        <w:gridCol w:w="109"/>
        <w:gridCol w:w="433"/>
        <w:gridCol w:w="899"/>
        <w:gridCol w:w="243"/>
        <w:gridCol w:w="109"/>
        <w:gridCol w:w="109"/>
        <w:gridCol w:w="109"/>
        <w:gridCol w:w="411"/>
        <w:gridCol w:w="852"/>
        <w:gridCol w:w="326"/>
      </w:tblGrid>
      <w:tr>
        <w:tc>
          <w:tcPr>
            <w:tcW w:w="121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contracts - 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contracts - 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color w:val="1269BC"/>
          <w:sz w:val="20"/>
        </w:rPr>
      </w:pPr>
      <w:r>
        <w:rPr>
          <w:rFonts w:ascii="Arial;sans-serif" w:hAnsi="Arial;sans-serif"/>
          <w:b/>
          <w:color w:val="1269BC"/>
          <w:sz w:val="20"/>
        </w:rPr>
        <w:t>Summary of Other Financial Assets and Liabilities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estimated fair values of other financial assets and liabilities were as follows:</w:t>
      </w:r>
    </w:p>
    <w:tbl>
      <w:tblPr>
        <w:tblW w:w="5180" w:type="dxa"/>
        <w:jc w:val="left"/>
        <w:tblInd w:w="0" w:type="dxa"/>
        <w:tblLayout w:type="fixed"/>
        <w:tblCellMar>
          <w:top w:w="28" w:type="dxa"/>
          <w:left w:w="28" w:type="dxa"/>
          <w:bottom w:w="28" w:type="dxa"/>
          <w:right w:w="28" w:type="dxa"/>
        </w:tblCellMar>
      </w:tblPr>
      <w:tblGrid>
        <w:gridCol w:w="464"/>
        <w:gridCol w:w="406"/>
        <w:gridCol w:w="360"/>
        <w:gridCol w:w="198"/>
        <w:gridCol w:w="426"/>
        <w:gridCol w:w="112"/>
        <w:gridCol w:w="109"/>
        <w:gridCol w:w="109"/>
        <w:gridCol w:w="109"/>
        <w:gridCol w:w="196"/>
        <w:gridCol w:w="421"/>
        <w:gridCol w:w="109"/>
        <w:gridCol w:w="109"/>
        <w:gridCol w:w="109"/>
        <w:gridCol w:w="109"/>
        <w:gridCol w:w="198"/>
        <w:gridCol w:w="426"/>
        <w:gridCol w:w="112"/>
        <w:gridCol w:w="109"/>
        <w:gridCol w:w="109"/>
        <w:gridCol w:w="109"/>
        <w:gridCol w:w="196"/>
        <w:gridCol w:w="421"/>
        <w:gridCol w:w="154"/>
      </w:tblGrid>
      <w:tr>
        <w:tc>
          <w:tcPr>
            <w:tcW w:w="46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w:t>
              <w:br/>
              <w:t>Value</w:t>
            </w:r>
          </w:p>
        </w:tc>
      </w:tr>
      <w:t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3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c>
          <w:tcPr>
            <w:tcW w:w="123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fair value amounts for Cash and cash equivalents, Restricted cash, Accounts receivable, net and Short-term debt approximate carrying amounts due to the short-term maturities of these instruments.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fair value of Long-term debt was estimated using quoted market prices for identical or similar instruments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10 – Employee Benefit Plans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post-retirement pension,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recognized an expense related to its defined contribution plans of $2 million and $0 million for the three months ended September 30, 2026 and 2025, respectively, and $6 million and $4 million for the nine months ended September 30, 2026 and 2025, respectively. The balance sheet and income statement impacts of any remaining defined benefit plans are immaterial for all periods presented in these Condensed Consolidated Financial Statements.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87070"/>
                <wp:effectExtent l="0" t="0" r="0" b="0"/>
                <wp:wrapNone/>
                <wp:docPr id="22" name="Frame21"/>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Note 11 – Accumulated Other Comprehensive Loss ("AOCL")</w:t>
      </w:r>
    </w:p>
    <w:p>
      <w:pPr>
        <w:pStyle w:val="TextBody"/>
        <w:bidi w:val="0"/>
        <w:spacing w:lineRule="auto" w:line="288" w:before="0" w:after="0"/>
        <w:jc w:val="left"/>
      </w:pPr>
      <w:r>
        <w:rPr>
          <w:rFonts w:ascii="Arial;sans-serif" w:hAnsi="Arial;sans-serif"/>
          <w:b w:val="false"/>
          <w:color w:val="000000"/>
          <w:sz w:val="20"/>
        </w:rPr>
        <w:t>Below are the balances and changes in AOCL</w:t>
      </w:r>
      <w:r>
        <w:rPr>
          <w:rFonts w:ascii="Arial;sans-serif" w:hAnsi="Arial;sans-serif"/>
          <w:b w:val="false"/>
          <w:color w:val="000000"/>
          <w:sz w:val="13"/>
        </w:rPr>
        <w:t>(1)</w:t>
      </w:r>
      <w:r>
        <w:rPr>
          <w:rFonts w:ascii="Arial;sans-serif" w:hAnsi="Arial;sans-serif"/>
          <w:b w:val="false"/>
          <w:color w:val="000000"/>
          <w:sz w:val="20"/>
        </w:rPr>
        <w:t xml:space="preserve">: </w:t>
      </w:r>
    </w:p>
    <w:tbl>
      <w:tblPr>
        <w:tblW w:w="10205" w:type="dxa"/>
        <w:jc w:val="center"/>
        <w:tblInd w:w="0" w:type="dxa"/>
        <w:tblLayout w:type="fixed"/>
        <w:tblCellMar>
          <w:top w:w="28" w:type="dxa"/>
          <w:left w:w="28" w:type="dxa"/>
          <w:bottom w:w="28" w:type="dxa"/>
          <w:right w:w="28" w:type="dxa"/>
        </w:tblCellMar>
      </w:tblPr>
      <w:tblGrid>
        <w:gridCol w:w="874"/>
        <w:gridCol w:w="660"/>
        <w:gridCol w:w="669"/>
        <w:gridCol w:w="109"/>
        <w:gridCol w:w="109"/>
        <w:gridCol w:w="109"/>
        <w:gridCol w:w="534"/>
        <w:gridCol w:w="1188"/>
        <w:gridCol w:w="299"/>
        <w:gridCol w:w="109"/>
        <w:gridCol w:w="109"/>
        <w:gridCol w:w="109"/>
        <w:gridCol w:w="588"/>
        <w:gridCol w:w="1219"/>
        <w:gridCol w:w="329"/>
        <w:gridCol w:w="109"/>
        <w:gridCol w:w="109"/>
        <w:gridCol w:w="109"/>
        <w:gridCol w:w="612"/>
        <w:gridCol w:w="753"/>
        <w:gridCol w:w="340"/>
        <w:gridCol w:w="109"/>
        <w:gridCol w:w="109"/>
        <w:gridCol w:w="109"/>
        <w:gridCol w:w="196"/>
        <w:gridCol w:w="474"/>
        <w:gridCol w:w="162"/>
      </w:tblGrid>
      <w:tr>
        <w:tc>
          <w:tcPr>
            <w:tcW w:w="87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c>
          <w:tcPr>
            <w:tcW w:w="2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74"/>
        <w:gridCol w:w="660"/>
        <w:gridCol w:w="669"/>
        <w:gridCol w:w="109"/>
        <w:gridCol w:w="109"/>
        <w:gridCol w:w="109"/>
        <w:gridCol w:w="534"/>
        <w:gridCol w:w="1188"/>
        <w:gridCol w:w="299"/>
        <w:gridCol w:w="109"/>
        <w:gridCol w:w="109"/>
        <w:gridCol w:w="109"/>
        <w:gridCol w:w="588"/>
        <w:gridCol w:w="1219"/>
        <w:gridCol w:w="329"/>
        <w:gridCol w:w="109"/>
        <w:gridCol w:w="109"/>
        <w:gridCol w:w="109"/>
        <w:gridCol w:w="612"/>
        <w:gridCol w:w="753"/>
        <w:gridCol w:w="340"/>
        <w:gridCol w:w="109"/>
        <w:gridCol w:w="109"/>
        <w:gridCol w:w="109"/>
        <w:gridCol w:w="196"/>
        <w:gridCol w:w="474"/>
        <w:gridCol w:w="162"/>
      </w:tblGrid>
      <w:tr>
        <w:tc>
          <w:tcPr>
            <w:tcW w:w="87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c>
          <w:tcPr>
            <w:tcW w:w="2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(1)All amounts are net of tax. Tax effects were immaterial.</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12 – Contingencies and Litigation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September 30, 2026.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financial position or liquidity.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87070"/>
                <wp:effectExtent l="0" t="0" r="0" b="0"/>
                <wp:wrapNone/>
                <wp:docPr id="23" name="Frame22"/>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0066CC"/>
          <w:sz w:val="20"/>
        </w:rPr>
      </w:pPr>
      <w:r>
        <w:rPr>
          <w:rFonts w:ascii="Arial;sans-serif" w:hAnsi="Arial;sans-serif"/>
          <w:b/>
          <w:color w:val="0066CC"/>
          <w:sz w:val="20"/>
        </w:rPr>
        <w:t>Litigation Against the Company</w:t>
      </w:r>
    </w:p>
    <w:p>
      <w:pPr>
        <w:pStyle w:val="TextBody"/>
        <w:bidi w:val="0"/>
        <w:spacing w:lineRule="auto" w:line="288" w:before="0" w:after="180"/>
        <w:jc w:val="left"/>
      </w:pPr>
      <w:r>
        <w:rPr>
          <w:rFonts w:ascii="Arial;sans-serif" w:hAnsi="Arial;sans-serif"/>
          <w:b/>
          <w:i/>
          <w:color w:val="1269BC"/>
          <w:sz w:val="20"/>
        </w:rPr>
        <w:t xml:space="preserve">Skyview Capital LLC and Continuum Global Solutions, LLC v. Conduent Business Services, LLC: </w:t>
      </w:r>
      <w:r>
        <w:rPr>
          <w:rFonts w:ascii="Arial;sans-serif" w:hAnsi="Arial;sans-serif"/>
          <w:b w:val="false"/>
          <w:color w:val="000000"/>
          <w:sz w:val="20"/>
        </w:rPr>
        <w:t>On February 3, 2020, plaintiffs Skyview Capital LLC and Continuum Global Solutions LLC (collectively "Skyview") filed a lawsuit in the Supreme Court of the State of New York, County of New York against Conduent Business Services, LLC ("CBS"), a wholly-owned subsidiary of the Company. The lawsuit relates to the February 2019 sale of a portion of CBS's select standalone customer care call center business to plaintiffs. Under the terms of the sale agreement, CBS received approximately $23 million of promissory notes from plaintiffs (the "Notes"). The lawsuit alleges various causes of action in connection with the acquisition, including: indemnification for breaches of representations and warranties; indemnification for breaches of covenants; and fraud. Skyview sought to avoid its obligations under the Notes, as well as damages against CBS for the alleged breaches of representations and warranties and fraud. On August 20, 2020, CBS filed counterclaims against Skyview seeking the outstanding balance on the Notes, the amounts owed for operating certain Jamaica-based call centers on Skyview’s behalf pending closing (the "Jamaica Deferred Closing"), other obligations under a transition services agreement and its amendments (the "TSAs"), and late rent payment obligations.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May 2021, the court denied CBS’s motion to dismiss and allowed Skyview’s claims to proceed. Following completion of fact and expert discovery, the parties filed summary judgment motions in July 2023. On December 8, 2023, the court granted the parties’ motions in part and denied them in part. In January 2024, the parties filed cross-notices of appeal with the New York Supreme Court, Appellate Division, First Department ("Appellate Division").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July 2024, Skyview informed CBS of its intention to sell a portion of its call center business. Skyview and CBS reached an agreement on August 8, 2024, under which, contemporaneously with the closing of such a transaction, Skyview would pay the outstanding principal plus interest due on the outstanding Notes, fully discharging Skyview's obligations under the Notes, and would pay certain of CBS's litigation costs. The transaction closed in December 2024, at which point Skyview paid CBS approximately $33 million, representing all outstanding principal and interest due on the Notes and reimbursement of certain litigation costs. As a result, CBS dismissed its two counterclaims related to the Notes.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June 2025, the Appellate Division issued a ruling on the parties’ cross-appeals, finding predominantly in CBS’s favor. Specifically, the Appellate Division dismissed Skyview’s fraud claim in its entirety (along with Skyview’s request for punitive damages). In addition, the Appellate Division found there to be issues of fact for trial on Skyview’s breach of contract claim. With respect to CBS’s counterclaims, the Appellate Division (i) affirmed summary judgment for CBS on its counterclaims concerning the TSAs and late rent payment amounts and (ii) affirmed summary judgment for CBS on its Jamaica Deferred Closing counterclaim and instructed the trial court to adjudicate the final amount owed by Skyview to CBS on that counterclaim. The Appellate Division further found that the maximum amount that Skyview would have been entitled to set off against its liability on the Notes was $5 million (the contractual indemnification limit set forth in the sale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trial court accordingly entered judgment for CBS of approximately $24 million on the TSA and late rent payment counterclaims on June 23, 2025, with final entry by the County Clerk on August 20, 2025. On July 3, 2025, Skyview filed a motion to reargue the Appellate Division’s decision and, alternatively, for leave to appeal to the New York Court of Appeals. This motion was denied on September 4,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parties proceeded with various pre-trial submissions on September 23, 2026. The court has not yet set a trial date.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CBS continues to deny all of plaintiffs' allegations, believes that it has strong defenses to all plaintiffs’ claims, and will continue to defend the litigation vigorously, if necessary. The Company is not able to determine or predict the ultimate outcome of this proceeding or reasonably provide an estimate or range of estimates of the possible outcome or loss, if any, in excess of currently recorded reserves.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87070"/>
                <wp:effectExtent l="0" t="0" r="0" b="0"/>
                <wp:wrapNone/>
                <wp:docPr id="24" name="Frame23"/>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1269BC"/>
          <w:sz w:val="20"/>
        </w:rPr>
      </w:pPr>
      <w:r>
        <w:rPr>
          <w:rFonts w:ascii="Arial;sans-serif" w:hAnsi="Arial;sans-serif"/>
          <w:b/>
          <w:color w:val="1269BC"/>
          <w:sz w:val="20"/>
        </w:rPr>
        <w:t>January 2025 Cyber Event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CBS and Conduent State &amp; Local Solutions, Inc. (collectively, “Conduent”) are parties to a number of lawsuits in the U.S. asserted by or on behalf of individuals who allegedly received a notification letter that their personal information may have been affected by the January 2025 Cyber Event. Substantially all of these lawsuits have been consolidated into a single action in the U.S. District Court, District of New Jersey (In re: Conduent Business Services Data Breach Litigation). The initial consolidated complaint was filed by plaintiffs on March 18, 2026, with an amended complaint filed on June 12, 2026. Conduent denies plaintiffs’ allegations and believes that it has strong defenses against them. Nevertheless, to avoid the costs and burdens associated with litigation, Conduent agreed to resolve the matter. In August 2026, the parties reached an agreement in principle to settle the case, subject to the court’s approval and the parties filed a joint status report with the court on September 10, 2026.</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Subsequent to quarter end, on October 16, 2026, Conduent entered into a Class Action Settlement Agreement and Release (the "Settlement Agreement") with the plaintiffs, pursuant to which Conduent will fund, or cause to be funded, $80 million into a non-reversionary settlement fund, which amount will be inclusive of the recovery amount for class members, costs of credit and medical data monitoring, fees for the plaintiffs’ counsel, and the costs of administering the settlement, and is Conduent’s total monetary obligation under the Settlement Agreement. Upon final approval, the Settlement Agreement releases Conduent, Conduent’s affected clients, and such clients’ affected customers, from claims arising out of or relating to the cyber incident. The Settlement Agreement is not an admission of fault or liability, which Conduent denies, and remains subject to court approval. The motion for preliminary approval of the Settlement Agreement was filed on October 16, 2026, and the court has scheduled a hearing on the motion for December 11, 2026. Conduent maintains cyber insurance and does not expect this settlement to have a material impact on its financial position, results of operations or cash flows. In the third quarter of 2026, the Company recorded a receivable in Other current assets and a liability in Other current liabilities for $80 million related to the Settlement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also been responding to subpoenas, information requests, and investigations from certain governmental agencies and other stakeholders. The Company is not able to determine or predict the ultimate outcome of these matters or reasonably provide an estimate or range of estimates of the possible outcome or loss, if any, in excess of currently recorded reserves.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Other Contingencies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Certain contracts, primarily in the Company's Government segment and former Transportation segment, require the Company to provide a surety bond or a letter of credit as a guarantee of performance. As of September 30, 2026, the Company had $529 million of outstanding surety bonds issued to secure its performance of contractual obligations with its clients and $138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pPr>
      <w:r>
        <w:rPr>
          <w:rFonts w:ascii="Arial;sans-serif" w:hAnsi="Arial;sans-serif"/>
          <w:b/>
          <w:color w:val="0066CC"/>
          <w:sz w:val="24"/>
        </w:rPr>
        <w:t>Note 13 </w:t>
      </w:r>
      <w:r>
        <w:rPr>
          <w:color w:val="1269BC"/>
        </w:rPr>
        <w:t>–</w:t>
      </w:r>
      <w:r>
        <w:rPr>
          <w:color w:val="0066CC"/>
        </w:rPr>
        <w:t> </w:t>
      </w:r>
      <w:r>
        <w:rPr>
          <w:rFonts w:ascii="Arial;sans-serif" w:hAnsi="Arial;sans-serif"/>
          <w:b/>
          <w:color w:val="0066CC"/>
          <w:sz w:val="24"/>
        </w:rPr>
        <w:t>Preferred Stock and Common Stock</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Series A Preferred Stock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 44.9438 shares of common stock for a total of 5,393,000 shares (reflecting an initial conversion price of approximately $22.25 per share of common stock), subject to customary anti-dilution adjustments.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Common Stock - Stock Compensation Plan Change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2025, for certain senior executives, the Company changed its Annual Performance Incentive Plan (“APIP”) cash incentive by awarding a portion of the incentive in Performance Stock Units (“PSUs”). In March 2026, the Compensation Committee of the Board of Directors used its discretion under the APIP plan documents to reduce the aggregate 2025 APIP pool and cancel the issuance of these PSUs. The impact of this change reduced compensation expense in the first quarter of 2026 by approximately $3 million and reduced PSUs outstanding by approximately 3.3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87070"/>
                <wp:effectExtent l="0" t="0" r="0" b="0"/>
                <wp:wrapNone/>
                <wp:docPr id="25" name="Frame24"/>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Note 14 – Earnings (Loss) per Share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did not declare any common stock dividends in the periods presented.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(loss) per share of common stock:</w:t>
      </w:r>
    </w:p>
    <w:tbl>
      <w:tblPr>
        <w:tblW w:w="10205" w:type="dxa"/>
        <w:jc w:val="left"/>
        <w:tblInd w:w="0" w:type="dxa"/>
        <w:tblLayout w:type="fixed"/>
        <w:tblCellMar>
          <w:top w:w="28" w:type="dxa"/>
          <w:left w:w="28" w:type="dxa"/>
          <w:bottom w:w="28" w:type="dxa"/>
          <w:right w:w="28" w:type="dxa"/>
        </w:tblCellMar>
      </w:tblPr>
      <w:tblGrid>
        <w:gridCol w:w="1701"/>
        <w:gridCol w:w="1303"/>
        <w:gridCol w:w="1310"/>
        <w:gridCol w:w="135"/>
        <w:gridCol w:w="135"/>
        <w:gridCol w:w="135"/>
        <w:gridCol w:w="243"/>
        <w:gridCol w:w="672"/>
        <w:gridCol w:w="135"/>
        <w:gridCol w:w="135"/>
        <w:gridCol w:w="135"/>
        <w:gridCol w:w="135"/>
        <w:gridCol w:w="243"/>
        <w:gridCol w:w="672"/>
        <w:gridCol w:w="135"/>
        <w:gridCol w:w="135"/>
        <w:gridCol w:w="135"/>
        <w:gridCol w:w="135"/>
        <w:gridCol w:w="243"/>
        <w:gridCol w:w="672"/>
        <w:gridCol w:w="135"/>
        <w:gridCol w:w="135"/>
        <w:gridCol w:w="135"/>
        <w:gridCol w:w="135"/>
        <w:gridCol w:w="243"/>
        <w:gridCol w:w="672"/>
        <w:gridCol w:w="206"/>
      </w:tblGrid>
      <w:tr>
        <w:tc>
          <w:tcPr>
            <w:tcW w:w="170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c>
          <w:tcPr>
            <w:tcW w:w="4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4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 in whole dollars and shares in thousands)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Net Earnings (Loss) per Share: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Discontinued Operations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 Preferred Stock</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(Loss) Available to Common Shareholders - Basic</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Net Earnings (Loss) per Share: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Discontinued Operations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 Preferred Stock</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(Loss) Available to Common Shareholders - Diluted</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 Basic</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159,899 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Shares Issuable With Respect To:</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Units / Shares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 Convertible Preferred Stock</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 Diluted</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155,594 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157,004 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155,252 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159,899 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Earnings (Loss) per Share: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net income (loss) per share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(0.90)</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net income (loss) per share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(0.90)</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securities were not included in the computation of diluted earnings per share as they were either contingently issuable shares or shares that if included would have been anti-dilutive (shares in thousands):</w:t>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shares/units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Convertible preferred stock</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Anti-Dilutive and Contingently Issuable Securities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16,322 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22,664 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17,086 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22,680 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87070"/>
                <wp:effectExtent l="0" t="0" r="0" b="0"/>
                <wp:wrapNone/>
                <wp:docPr id="26" name="Frame25"/>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Note 15 – Supplementary Financial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Other assets and Other liabilities were as follows:</w:t>
      </w:r>
    </w:p>
    <w:tbl>
      <w:tblPr>
        <w:tblW w:w="7732" w:type="dxa"/>
        <w:jc w:val="center"/>
        <w:tblInd w:w="0" w:type="dxa"/>
        <w:tblLayout w:type="fixed"/>
        <w:tblCellMar>
          <w:top w:w="28" w:type="dxa"/>
          <w:left w:w="28" w:type="dxa"/>
          <w:bottom w:w="28" w:type="dxa"/>
          <w:right w:w="28" w:type="dxa"/>
        </w:tblCellMar>
      </w:tblPr>
      <w:tblGrid>
        <w:gridCol w:w="1420"/>
        <w:gridCol w:w="1241"/>
        <w:gridCol w:w="1253"/>
        <w:gridCol w:w="109"/>
        <w:gridCol w:w="109"/>
        <w:gridCol w:w="109"/>
        <w:gridCol w:w="425"/>
        <w:gridCol w:w="913"/>
        <w:gridCol w:w="237"/>
        <w:gridCol w:w="109"/>
        <w:gridCol w:w="109"/>
        <w:gridCol w:w="109"/>
        <w:gridCol w:w="402"/>
        <w:gridCol w:w="868"/>
        <w:gridCol w:w="319"/>
      </w:tblGrid>
      <w:tr>
        <w:tc>
          <w:tcPr>
            <w:tcW w:w="14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Value-added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receivables from buyers of divested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Cyber insurance recovery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 to vendors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to factoring counterparty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Cyber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 use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16 – Subsequent Events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Note 5 – Divestitures and Discontinued Operations for information on the October 1, 2026 completed sale of the Transit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Note 7 – Debt for information on the October 23, 2026 Refinancing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Note 12 – Contingencies and Litigation for information on the October 16, 2026 Settlement Agreement relating to the January 2025 Cyber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87070"/>
                <wp:effectExtent l="0" t="0" r="0" b="0"/>
                <wp:wrapNone/>
                <wp:docPr id="27" name="Frame26"/>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ITEM 2 — MANAGEMENT’S DISCUSSION AND ANALYSIS OF FINANCIAL CONDITION AND RESULTS OF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the discussion of our results is on a continuing operations basis and does not include discontinued operations. Transactions and other factors significantly impacting our financial condition, results of operations and liquidity are generally discussed in order of magnitude. Our MD&amp;A is presented in seven sections: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Overview;</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Financial Information and Analysis of Results of Operations;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Metrics;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Capital Resources and Liquidity;</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 xml:space="preserve">Critical Accounting Estimates and Policies; </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Recent Accounting Changes; and</w:t>
      </w:r>
    </w:p>
    <w:p>
      <w:pPr>
        <w:pStyle w:val="TextBody"/>
        <w:bidi w:val="0"/>
        <w:spacing w:lineRule="auto" w:line="288" w:before="0" w:after="180"/>
        <w:ind w:left="0" w:right="0" w:hanging="360"/>
        <w:jc w:val="left"/>
      </w:pPr>
      <w:r>
        <w:rPr>
          <w:color w:val="000000"/>
        </w:rPr>
        <w:t>•</w:t>
      </w:r>
      <w:r>
        <w:rPr>
          <w:rFonts w:ascii="Arial;sans-serif" w:hAnsi="Arial;sans-serif"/>
          <w:b w:val="false"/>
          <w:color w:val="000000"/>
          <w:sz w:val="20"/>
        </w:rPr>
        <w:t>Non-GAAP Financial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MD&amp;A is provided as a supplement to, and should be read in conjunction with, our Condensed Consolidated Financial Statements and the accompanying Notes.</w:t>
      </w:r>
    </w:p>
    <w:p>
      <w:pPr>
        <w:pStyle w:val="TextBody"/>
        <w:bidi w:val="0"/>
        <w:spacing w:lineRule="auto" w:line="288" w:before="0" w:after="180"/>
        <w:jc w:val="left"/>
        <w:rPr>
          <w:rFonts w:ascii="Arial;sans-serif" w:hAnsi="Arial;sans-serif"/>
          <w:b/>
          <w:color w:val="1269BC"/>
          <w:sz w:val="24"/>
          <w:u w:val="single"/>
        </w:rPr>
      </w:pPr>
      <w:r>
        <w:rPr>
          <w:rFonts w:ascii="Arial;sans-serif" w:hAnsi="Arial;sans-serif"/>
          <w:b/>
          <w:color w:val="1269BC"/>
          <w:sz w:val="24"/>
          <w:u w:val="single"/>
        </w:rPr>
        <w:t>Overview</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deliver digital business solutions and services spanning the commercial and government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46,000 associates, process expertise and advanced technologies, our solutions and services digitally transform our clients’ operations to enhance customer experiences, improve performance, increase efficiencies and reduce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Headquartered in Florham Park, New Jersey, we have operations in 24 countries as of September 30, 2026.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reportable segments correspond to how we organize and manage the business and are aligned to the industries in which our clients operate. These two segments are:</w:t>
      </w:r>
    </w:p>
    <w:p>
      <w:pPr>
        <w:pStyle w:val="TextBody"/>
        <w:bidi w:val="0"/>
        <w:spacing w:lineRule="auto" w:line="288" w:before="0" w:after="180"/>
        <w:ind w:left="0" w:right="0" w:hanging="360"/>
        <w:jc w:val="left"/>
      </w:pPr>
      <w:r>
        <w:rPr>
          <w:color w:val="000000"/>
        </w:rPr>
        <w:t>•</w:t>
      </w:r>
      <w:r>
        <w:rPr>
          <w:rFonts w:ascii="Arial;sans-serif" w:hAnsi="Arial;sans-serif"/>
          <w:b/>
          <w:color w:val="3051F2"/>
          <w:sz w:val="20"/>
        </w:rPr>
        <w:t>Commercial</w:t>
      </w:r>
      <w:r>
        <w:rPr>
          <w:color w:val="000000"/>
        </w:rPr>
        <w:t xml:space="preserve"> – </w:t>
      </w:r>
      <w:r>
        <w:rPr>
          <w:rFonts w:ascii="Arial;sans-serif" w:hAnsi="Arial;sans-serif"/>
          <w:b w:val="false"/>
          <w:color w:val="000000"/>
          <w:sz w:val="20"/>
        </w:rPr>
        <w:t>Our Commercial segment provides business process services that span our clients' businesses end-to-end from the front-office to the back-office for a variety of commercial industries. These solutions are both cross-industry and industry-specific in nature. Across the Commercial segment, we operate on our clients’ behalf to deliver mission-critical solutions and services to reduce costs, improve efficiencies and enable revenue growth for our clients and deliver better experiences for their consumers and employees.</w:t>
      </w:r>
    </w:p>
    <w:p>
      <w:pPr>
        <w:pStyle w:val="TextBody"/>
        <w:bidi w:val="0"/>
        <w:spacing w:lineRule="auto" w:line="288" w:before="0" w:after="180"/>
        <w:ind w:left="0" w:right="0" w:hanging="360"/>
        <w:jc w:val="left"/>
      </w:pPr>
      <w:r>
        <w:rPr>
          <w:color w:val="000000"/>
        </w:rPr>
        <w:t>•</w:t>
      </w:r>
      <w:r>
        <w:rPr>
          <w:rFonts w:ascii="Arial;sans-serif" w:hAnsi="Arial;sans-serif"/>
          <w:b/>
          <w:color w:val="3051F2"/>
          <w:sz w:val="20"/>
        </w:rPr>
        <w:t>Government</w:t>
      </w:r>
      <w:r>
        <w:rPr>
          <w:color w:val="000000"/>
        </w:rPr>
        <w:t xml:space="preserve"> – </w:t>
      </w:r>
      <w:r>
        <w:rPr>
          <w:rFonts w:ascii="Arial;sans-serif" w:hAnsi="Arial;sans-serif"/>
          <w:b w:val="false"/>
          <w:color w:val="000000"/>
          <w:sz w:val="20"/>
        </w:rPr>
        <w:t>Our Government segment provides government-centric services and solutions to U.S. federal, state, local and foreign governments for public assistance, healthcare programs administration, transaction processing, eligibility and enrollment processing, payment services and case management. In this segment, we help governments respond to changing rules for eligibility and keep pace with increasing citizen expectations, modernize legacy technology systems, combat benefits fraud and adapt to an evolving regulatory environment.</w:t>
      </w: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Executive Summary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transformation at Conduent continued during the third quarter of 2026 as we built upon the strategic priorities established earlier in the year. Throughout the quarter, we remained focused on driving growth in targeted markets, advancing portfolio optimization initiatives, strengthening operational execution, and improving the efficiency of our cost structure. These actions contributed to continued progress in our efforts to position the Company for sustainable long-term growth and profitability. Our priorities remain unchanged: accelerating execution, enforcing financial discipline, reducing costs, optimizing the portfolio, converting pipeline into growth, and simplifying the organization. During the third quarter, we made further progress against these objectives and believe we are building momentum as we move through the remainder of 2026.</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During the third quarter of 2026 we achieved the following: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87070"/>
                <wp:effectExtent l="0" t="0" r="0" b="0"/>
                <wp:wrapNone/>
                <wp:docPr id="28" name="Frame27"/>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hanging="360"/>
        <w:jc w:val="left"/>
      </w:pPr>
      <w:r>
        <w:rPr>
          <w:color w:val="000000"/>
        </w:rPr>
        <w:t>•</w:t>
      </w:r>
      <w:r>
        <w:rPr>
          <w:rFonts w:ascii="Arial;sans-serif" w:hAnsi="Arial;sans-serif"/>
          <w:b w:val="false"/>
          <w:color w:val="000000"/>
          <w:sz w:val="20"/>
        </w:rPr>
        <w:t>Introduced our ASCEND 2026-28 framework at our Investor Day, outlining a three-year path to consistent growth and profitable performance focused on standardizing operations and infrastructure, specializing in core solutions, and scaling our go-to-market capabilities.</w:t>
      </w:r>
    </w:p>
    <w:p>
      <w:pPr>
        <w:pStyle w:val="TextBody"/>
        <w:bidi w:val="0"/>
        <w:spacing w:lineRule="auto" w:line="288" w:before="0" w:after="180"/>
        <w:ind w:left="0" w:right="0" w:hanging="360"/>
        <w:jc w:val="left"/>
      </w:pPr>
      <w:r>
        <w:rPr>
          <w:color w:val="000000"/>
        </w:rPr>
        <w:t>•</w:t>
      </w:r>
      <w:r>
        <w:rPr>
          <w:rFonts w:ascii="Arial;sans-serif" w:hAnsi="Arial;sans-serif"/>
          <w:b w:val="false"/>
          <w:color w:val="000000"/>
          <w:sz w:val="20"/>
        </w:rPr>
        <w:t>Secured a contract spanning up to 14 years to continue operating and modernizing a large Government client’s Medicaid program delivery system, extending a long-standing relationship and further strengthening our position in the Government healthcare market.</w:t>
      </w:r>
    </w:p>
    <w:p>
      <w:pPr>
        <w:pStyle w:val="TextBody"/>
        <w:bidi w:val="0"/>
        <w:spacing w:lineRule="auto" w:line="288" w:before="0" w:after="180"/>
        <w:ind w:left="0" w:right="0" w:hanging="360"/>
        <w:jc w:val="left"/>
      </w:pPr>
      <w:r>
        <w:rPr>
          <w:color w:val="000000"/>
        </w:rPr>
        <w:t>•</w:t>
      </w:r>
      <w:r>
        <w:rPr>
          <w:rFonts w:ascii="Arial;sans-serif" w:hAnsi="Arial;sans-serif"/>
          <w:b w:val="false"/>
          <w:color w:val="000000"/>
          <w:sz w:val="20"/>
        </w:rPr>
        <w:t>Appointed a Chief Information and Technology Officer to lead our global technology strategy and advance our transformation efforts, including accelerating AI adoption and modernizing our technology capabilities.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Subsequent to the end of the third quarter of 2026, we achieved the following:</w:t>
      </w:r>
    </w:p>
    <w:p>
      <w:pPr>
        <w:pStyle w:val="TextBody"/>
        <w:bidi w:val="0"/>
        <w:spacing w:lineRule="auto" w:line="288" w:before="0" w:after="180"/>
        <w:ind w:left="0" w:right="0" w:hanging="360"/>
        <w:jc w:val="left"/>
      </w:pPr>
      <w:r>
        <w:rPr>
          <w:color w:val="000000"/>
        </w:rPr>
        <w:t>•</w:t>
      </w:r>
      <w:r>
        <w:rPr>
          <w:rFonts w:ascii="Arial;sans-serif" w:hAnsi="Arial;sans-serif"/>
          <w:b w:val="false"/>
          <w:color w:val="000000"/>
          <w:sz w:val="20"/>
        </w:rPr>
        <w:t>On October 1, 2026, we completed the sale of our Public Transit Business for a base purchase price of $164 million, subject to customary adjustments. The sale of our Tolling business is expected to occur by the end of 2026 and, upon completion, will represent our exit from the Transportation segment.</w:t>
      </w:r>
    </w:p>
    <w:p>
      <w:pPr>
        <w:pStyle w:val="TextBody"/>
        <w:bidi w:val="0"/>
        <w:spacing w:lineRule="auto" w:line="288" w:before="0" w:after="180"/>
        <w:ind w:left="0" w:right="0" w:hanging="360"/>
        <w:jc w:val="left"/>
      </w:pPr>
      <w:r>
        <w:rPr>
          <w:color w:val="000000"/>
        </w:rPr>
        <w:t>•</w:t>
      </w:r>
      <w:r>
        <w:rPr>
          <w:rFonts w:ascii="Arial;sans-serif" w:hAnsi="Arial;sans-serif"/>
          <w:b w:val="false"/>
          <w:color w:val="000000"/>
          <w:sz w:val="20"/>
        </w:rPr>
        <w:t>On October 16, 2026, we entered into a Class Action Settlement Agreement and Release (the "Settlement Agreement") with the plaintiffs for the January 2025 cybersecurity incident pending preliminary approval by the US District Court for the District of New Jersey. Conduent's insurers will fund the settlement of $80 million into a non-reversionary settlement fund, inclusive of the recovery amount for class members, costs of credit and medical data monitoring, fees for the plaintiffs’ counsel, and the costs of administering the settlement, and is the total monetary obligation under the Settlement Agreement.</w:t>
      </w:r>
    </w:p>
    <w:p>
      <w:pPr>
        <w:pStyle w:val="TextBody"/>
        <w:bidi w:val="0"/>
        <w:spacing w:lineRule="auto" w:line="288" w:before="0" w:after="180"/>
        <w:ind w:left="0" w:right="0" w:hanging="360"/>
        <w:jc w:val="left"/>
      </w:pPr>
      <w:r>
        <w:rPr>
          <w:color w:val="000000"/>
        </w:rPr>
        <w:t>•</w:t>
      </w:r>
      <w:r>
        <w:rPr>
          <w:rFonts w:ascii="Arial;sans-serif" w:hAnsi="Arial;sans-serif"/>
          <w:b w:val="false"/>
          <w:color w:val="000000"/>
          <w:sz w:val="20"/>
        </w:rPr>
        <w:t>On October 23, 2026, the Company completed the refinancing of its existing $357 million senior secured revolving credit facilities with its existing revolving lenders by extending the maturities and adding $90 million of additional commitments, consisting of $75 million of new first-out revolving commitments and a new $15 million backstop performance letter of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87070"/>
                <wp:effectExtent l="0" t="0" r="0" b="0"/>
                <wp:wrapNone/>
                <wp:docPr id="29" name="Frame28"/>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283"/>
        <w:ind w:left="0" w:right="0" w:firstLine="5040"/>
        <w:jc w:val="left"/>
        <w:rPr>
          <w:rFonts w:ascii="Arial;sans-serif" w:hAnsi="Arial;sans-serif"/>
          <w:b/>
          <w:color w:val="1269BC"/>
          <w:sz w:val="24"/>
          <w:u w:val="single"/>
        </w:rPr>
      </w:pPr>
      <w:r>
        <w:rPr>
          <w:rFonts w:ascii="Arial;sans-serif" w:hAnsi="Arial;sans-serif"/>
          <w:b/>
          <w:color w:val="1269BC"/>
          <w:sz w:val="24"/>
          <w:u w:val="single"/>
        </w:rPr>
        <w:t>Financial Information and Analysis of Results of Operations</w:t>
      </w:r>
    </w:p>
    <w:tbl>
      <w:tblPr>
        <w:tblW w:w="10205" w:type="dxa"/>
        <w:jc w:val="left"/>
        <w:tblInd w:w="0" w:type="dxa"/>
        <w:tblLayout w:type="fixed"/>
        <w:tblCellMar>
          <w:top w:w="28" w:type="dxa"/>
          <w:left w:w="28" w:type="dxa"/>
          <w:bottom w:w="28" w:type="dxa"/>
          <w:right w:w="28" w:type="dxa"/>
        </w:tblCellMar>
      </w:tblPr>
      <w:tblGrid>
        <w:gridCol w:w="2031"/>
        <w:gridCol w:w="1774"/>
        <w:gridCol w:w="1799"/>
        <w:gridCol w:w="109"/>
        <w:gridCol w:w="109"/>
        <w:gridCol w:w="109"/>
        <w:gridCol w:w="196"/>
        <w:gridCol w:w="421"/>
        <w:gridCol w:w="109"/>
        <w:gridCol w:w="109"/>
        <w:gridCol w:w="109"/>
        <w:gridCol w:w="109"/>
        <w:gridCol w:w="196"/>
        <w:gridCol w:w="421"/>
        <w:gridCol w:w="109"/>
        <w:gridCol w:w="109"/>
        <w:gridCol w:w="109"/>
        <w:gridCol w:w="109"/>
        <w:gridCol w:w="244"/>
        <w:gridCol w:w="431"/>
        <w:gridCol w:w="136"/>
        <w:gridCol w:w="109"/>
        <w:gridCol w:w="109"/>
        <w:gridCol w:w="109"/>
        <w:gridCol w:w="247"/>
        <w:gridCol w:w="247"/>
        <w:gridCol w:w="536"/>
      </w:tblGrid>
      <w:tr>
        <w:tc>
          <w:tcPr>
            <w:tcW w:w="2031"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c>
          <w:tcPr>
            <w:tcW w:w="5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c>
          <w:tcPr>
            <w:tcW w:w="5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c>
          <w:tcPr>
            <w:tcW w:w="5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41"/>
        <w:gridCol w:w="1678"/>
        <w:gridCol w:w="1702"/>
        <w:gridCol w:w="109"/>
        <w:gridCol w:w="109"/>
        <w:gridCol w:w="109"/>
        <w:gridCol w:w="196"/>
        <w:gridCol w:w="556"/>
        <w:gridCol w:w="109"/>
        <w:gridCol w:w="109"/>
        <w:gridCol w:w="109"/>
        <w:gridCol w:w="109"/>
        <w:gridCol w:w="196"/>
        <w:gridCol w:w="556"/>
        <w:gridCol w:w="109"/>
        <w:gridCol w:w="109"/>
        <w:gridCol w:w="109"/>
        <w:gridCol w:w="109"/>
        <w:gridCol w:w="214"/>
        <w:gridCol w:w="494"/>
        <w:gridCol w:w="120"/>
        <w:gridCol w:w="109"/>
        <w:gridCol w:w="109"/>
        <w:gridCol w:w="109"/>
        <w:gridCol w:w="244"/>
        <w:gridCol w:w="247"/>
        <w:gridCol w:w="535"/>
      </w:tblGrid>
      <w:tr>
        <w:tc>
          <w:tcPr>
            <w:tcW w:w="194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c>
          <w:tcPr>
            <w:tcW w:w="5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87070"/>
                <wp:effectExtent l="0" t="0" r="0" b="0"/>
                <wp:wrapNone/>
                <wp:docPr id="30" name="Frame29"/>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0066CC"/>
          <w:sz w:val="20"/>
        </w:rPr>
      </w:pPr>
      <w:r>
        <w:rPr>
          <w:rFonts w:ascii="Arial;sans-serif" w:hAnsi="Arial;sans-serif"/>
          <w:b/>
          <w:color w:val="0066CC"/>
          <w:sz w:val="20"/>
        </w:rPr>
        <w:t>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Revenue for the three and nine months ended September 30, 2026 decreased compared to the prior year period, primarily driven by contract losses, including the loss of the largest Commercial segment customer, and lower volumes, partially offset by new business ramp.</w:t>
      </w: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Cost of Services (excluding depreciation and amortization)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Cost of services for the three and nine months ended September 30, 2026 decreased compared to the prior year periods, primarily driven by lower expenses associated with reduced revenues and cost optimization initiatives. </w:t>
      </w:r>
    </w:p>
    <w:p>
      <w:pPr>
        <w:pStyle w:val="TextBody"/>
        <w:bidi w:val="0"/>
        <w:spacing w:lineRule="auto" w:line="276" w:before="0" w:after="180"/>
        <w:jc w:val="left"/>
        <w:rPr>
          <w:rFonts w:ascii="Arial;sans-serif" w:hAnsi="Arial;sans-serif"/>
          <w:b/>
          <w:color w:val="0066CC"/>
          <w:sz w:val="20"/>
        </w:rPr>
      </w:pPr>
      <w:r>
        <w:rPr>
          <w:rFonts w:ascii="Arial;sans-serif" w:hAnsi="Arial;sans-serif"/>
          <w:b/>
          <w:color w:val="0066CC"/>
          <w:sz w:val="20"/>
        </w:rPr>
        <w:t>Selling, General and Administrative ("SG&amp;A") (excluding depreciation and amortization)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SG&amp;A for the three months ended September 30, 2026 decreased compared the prior year period, primarily driven by cost efficiencies in our corporate functions and lower healthcare costs resulting from reduced U.S. headcount.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SG&amp;A for the nine months ended September 30, 2026 decreased compared to the prior year period, some of which was driven by non-recurring items in the first quarter of 2025. These items included the $25 million of direct response costs related to the January 2025 Cyber Event and the $9 million benefit from the recovery of legal costs from one of our insurance carriers related to the previously disclosed State of Texas matter that settled in February 2019. In addition, cost efficiencies in our corporate functions and lower healthcare costs resulting from reduced U.S. headcount contributed to the decrease. The current year period SG&amp;A also included two offsetting items. Separation costs of approximately $4 million related to the departure of our former Chief Executive Officer were offset by an approximate $3 million net benefit related to our 2025 Annual Performance Incentive Plan as described in Note 13 – Preferred Stock and Common Stock.</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Depreciation and Amortization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Depreciation and amortization for the three and nine months ended September 30, 2026 decreased compared to the prior year periods due to lower capital investments.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Restructuring and Related Costs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W w:w="7288" w:type="dxa"/>
        <w:jc w:val="left"/>
        <w:tblInd w:w="0" w:type="dxa"/>
        <w:tblLayout w:type="fixed"/>
        <w:tblCellMar>
          <w:top w:w="28" w:type="dxa"/>
          <w:left w:w="28" w:type="dxa"/>
          <w:bottom w:w="28" w:type="dxa"/>
          <w:right w:w="28" w:type="dxa"/>
        </w:tblCellMar>
      </w:tblPr>
      <w:tblGrid>
        <w:gridCol w:w="1201"/>
        <w:gridCol w:w="1050"/>
        <w:gridCol w:w="1063"/>
        <w:gridCol w:w="109"/>
        <w:gridCol w:w="109"/>
        <w:gridCol w:w="109"/>
        <w:gridCol w:w="206"/>
        <w:gridCol w:w="347"/>
        <w:gridCol w:w="114"/>
        <w:gridCol w:w="114"/>
        <w:gridCol w:w="114"/>
        <w:gridCol w:w="114"/>
        <w:gridCol w:w="206"/>
        <w:gridCol w:w="347"/>
        <w:gridCol w:w="114"/>
        <w:gridCol w:w="109"/>
        <w:gridCol w:w="109"/>
        <w:gridCol w:w="109"/>
        <w:gridCol w:w="196"/>
        <w:gridCol w:w="331"/>
        <w:gridCol w:w="109"/>
        <w:gridCol w:w="109"/>
        <w:gridCol w:w="109"/>
        <w:gridCol w:w="109"/>
        <w:gridCol w:w="196"/>
        <w:gridCol w:w="331"/>
        <w:gridCol w:w="154"/>
      </w:tblGrid>
      <w:t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termination and other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left"/>
        <w:rPr>
          <w:rFonts w:ascii="Arial;sans-serif" w:hAnsi="Arial;sans-serif"/>
          <w:b w:val="false"/>
          <w:color w:val="000000"/>
          <w:sz w:val="20"/>
        </w:rPr>
      </w:pPr>
      <w:r>
        <w:rPr>
          <w:rFonts w:ascii="Arial;sans-serif" w:hAnsi="Arial;sans-serif"/>
          <w:b w:val="false"/>
          <w:color w:val="000000"/>
          <w:sz w:val="20"/>
        </w:rPr>
        <w:t>Restructuring and related costs for the three and nine months ended September 30, 2026 increased compared to the prior year periods due to the 2026 Restructuring Program. Refer to Note 6 – Restructuring Programs and Related Costs to the Condensed Consolidated Financial Statements for additional information regarding our restructuring programs.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Interest Expense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Interest expense represents interest on long-term debt and the amortization of debt issuance costs. Interest expense for the three and nine months ended September 30, 2026 increased, compared to the prior year periods due to higher average outstanding debt balances under our Credit Facility.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87070"/>
                <wp:effectExtent l="0" t="0" r="0" b="0"/>
                <wp:wrapNone/>
                <wp:docPr id="31" name="Frame30"/>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76" w:before="0" w:after="180"/>
        <w:ind w:left="0" w:right="0" w:firstLine="5040"/>
        <w:jc w:val="left"/>
        <w:rPr>
          <w:rFonts w:ascii="Arial;sans-serif" w:hAnsi="Arial;sans-serif"/>
          <w:b/>
          <w:color w:val="0066CC"/>
          <w:sz w:val="20"/>
        </w:rPr>
      </w:pPr>
      <w:r>
        <w:rPr>
          <w:rFonts w:ascii="Arial;sans-serif" w:hAnsi="Arial;sans-serif"/>
          <w:b/>
          <w:color w:val="0066CC"/>
          <w:sz w:val="20"/>
        </w:rPr>
        <w:t>(Gain) Loss on Divestitures and Transaction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(Gain) loss on divestitures and transaction costs includes professional fees and other costs related to consummated and certain other non-consummated transactions considered by the Company related to its portfolio rationalization activities. These costs exclude costs directly related to the divestitures of our Transit and Tolling businesses, which have been reclassified to Income (loss) from discontinued operations, net of tax. The remaining transaction costs for the nine months ended September 30, 2026 decreased, compared to the prior year periods, due to reduced portfolio rationalization activities.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Litigation Settlements (Recoveries), Net</w:t>
      </w:r>
    </w:p>
    <w:p>
      <w:pPr>
        <w:pStyle w:val="TextBody"/>
        <w:bidi w:val="0"/>
        <w:spacing w:lineRule="auto" w:line="268" w:before="0" w:after="180"/>
        <w:jc w:val="left"/>
        <w:rPr>
          <w:rFonts w:ascii="Arial;sans-serif" w:hAnsi="Arial;sans-serif"/>
          <w:b w:val="false"/>
          <w:color w:val="000000"/>
          <w:sz w:val="20"/>
        </w:rPr>
      </w:pPr>
      <w:r>
        <w:rPr>
          <w:rFonts w:ascii="Arial;sans-serif" w:hAnsi="Arial;sans-serif"/>
          <w:b w:val="false"/>
          <w:color w:val="000000"/>
          <w:sz w:val="20"/>
        </w:rPr>
        <w:t>Litigation settlements (recoveries), net for the nine months ended September 30, 2026 and 2025 were not material.</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Other (Income) Expenses, Net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Other (income) expenses, net for the nine months ended September 30, 2026 and 2025 primarily include interest income on cash investments, accounts receivable factoring fees and foreign currency transaction losses (gains).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Income Taxes from Continuing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effective continuing operations tax rate for the three months ended September 30, 2026 was (12.3)%, compared to (12.0)% for the three months ended September 30, 2025. The September 30, 2026 rate was lower than the U.S. statutory rate of 21%, primarily due to valuation allowances, geographic mix of income and discrete taxes. The effective tax rate for the three months ended September 30, 2025 was lower than the U.S. statutory rate of 21%, primarily due to valuation allowances and geographic mix of income.</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Excluding the impact of restructuring, divestiture-related transaction costs, other expenses, amortization, valuation allowances and discrete tax items, the normalized effective tax rate for the three months ended September 30, 2026 was (0.6)%. The normalized effective tax rate for the three months ended September 30, 2025 was 31.7%, due primarily to excluding the impact of amortization, restructuring, divestitures, valuation allowances and discrete tax items.</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The effective continuing operations tax rate for the nine months ended September 30, 2026 was (17.7)%, compared to 1.8% for the nine months ended September 30, 2025. The September 30, 2026 rate was lower than the U.S. statutory rate of 21%, primarily due to valuation allowances, geographic mix of income and discrete taxes. The effective tax rate for the nine months ended September 30, 2025 was lower than the U.S. statutory rate of 21%, primarily due to valuation allowances and geographic mix of income.</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Excluding the impact of restructuring, former CEO departure costs, divestiture-related transaction costs, other expenses, amortization, valuation allowances and discrete tax items, the normalized effective tax rate for the nine months ended September 30, 2026 was 17.1%. The normalized effective tax rate for the nine months ended September 30, 2025 was 26.8%, primarily due to excluding the impact of amortization, restructuring, divestitures, reserves for the Direct response costs - cyber event, valuation allowances and discrete tax items.</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In 2021, the Organization for Economic Cooperation and Development released model rules for a 15% global minimum tax, known as Pillar Two. This alternative minimum tax is treated as a period cost beginning in 2024 and does not have a material impact on our financial results of operations for the current period. We continue to monitor legislative developments, as well as additional guidance from countries that have enacted legislation.</w:t>
      </w:r>
    </w:p>
    <w:p>
      <w:pPr>
        <w:pStyle w:val="TextBody"/>
        <w:bidi w:val="0"/>
        <w:spacing w:lineRule="auto" w:line="276" w:before="0" w:after="180"/>
        <w:jc w:val="left"/>
        <w:rPr>
          <w:rFonts w:ascii="Arial;sans-serif" w:hAnsi="Arial;sans-serif"/>
          <w:b/>
          <w:color w:val="0066CC"/>
          <w:sz w:val="20"/>
        </w:rPr>
      </w:pPr>
      <w:r>
        <w:rPr>
          <w:rFonts w:ascii="Arial;sans-serif" w:hAnsi="Arial;sans-serif"/>
          <w:b/>
          <w:color w:val="0066CC"/>
          <w:sz w:val="20"/>
        </w:rPr>
        <w:t xml:space="preserve">Net Loss from Discontinued Operations, Net of Tax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loss from discontinued operations, net of tax for all periods presented relates to the reclassification of our former Transportation segment to discontinued operations. The three and nine months ended September 30, 2026 amounts include certain unfavorable customer contract related adjustments and the impairment loss related to our Tolling business. See Note 5 – Divestitures and Discontinued Operations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87070"/>
                <wp:effectExtent l="0" t="0" r="0" b="0"/>
                <wp:wrapNone/>
                <wp:docPr id="32" name="Frame31"/>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180"/>
        <w:ind w:left="0" w:right="0" w:firstLine="5040"/>
        <w:jc w:val="left"/>
        <w:rPr>
          <w:rFonts w:ascii="Arial;sans-serif" w:hAnsi="Arial;sans-serif"/>
          <w:b/>
          <w:color w:val="1269BC"/>
          <w:sz w:val="24"/>
        </w:rPr>
      </w:pPr>
      <w:r>
        <w:rPr>
          <w:rFonts w:ascii="Arial;sans-serif" w:hAnsi="Arial;sans-serif"/>
          <w:b/>
          <w:color w:val="1269BC"/>
          <w:sz w:val="24"/>
        </w:rPr>
        <w:t>Operations Review of Segment Revenue and Profit</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Our financial performance is based on Segment Profit (Loss) for the following two segments: </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Commercial; and</w:t>
      </w:r>
    </w:p>
    <w:p>
      <w:pPr>
        <w:pStyle w:val="TextBody"/>
        <w:bidi w:val="0"/>
        <w:spacing w:lineRule="auto" w:line="288" w:before="0" w:after="180"/>
        <w:ind w:left="0" w:right="0" w:hanging="360"/>
        <w:jc w:val="left"/>
      </w:pPr>
      <w:r>
        <w:rPr>
          <w:color w:val="000000"/>
        </w:rPr>
        <w:t>•</w:t>
      </w:r>
      <w:r>
        <w:rPr>
          <w:rFonts w:ascii="Arial;sans-serif" w:hAnsi="Arial;sans-serif"/>
          <w:b w:val="false"/>
          <w:color w:val="000000"/>
          <w:sz w:val="20"/>
        </w:rPr>
        <w:t xml:space="preserve">Government.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information below has been revised to exclude the results of our former Transportation segment, which, as described in Note 5 – Divestitures and Discontinued Operations, has been reclassified to Discontinued Operations following the announcement of the planned divestitures of the Transit business and Tolling business.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Unallocated Costs includes IT infrastructure costs that are shared by multiple reportable segments, enterprise application costs and certain corporate overhead expenses not directly attributable or allocated to our reportable segments.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also present Segment Adjusted Earnings before Interest, Taxes, Depreciation and Amortization ("Adjusted EBITDA") and Adjusted EBITDA Margin for the reasons described in Non-GAAP Financial Measures section of the MD&amp;A below.</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Results of our financial performance were:</w:t>
      </w:r>
    </w:p>
    <w:tbl>
      <w:tblPr>
        <w:tblW w:w="9157" w:type="dxa"/>
        <w:jc w:val="left"/>
        <w:tblInd w:w="0" w:type="dxa"/>
        <w:tblLayout w:type="fixed"/>
        <w:tblCellMar>
          <w:top w:w="28" w:type="dxa"/>
          <w:left w:w="28" w:type="dxa"/>
          <w:bottom w:w="28" w:type="dxa"/>
          <w:right w:w="28" w:type="dxa"/>
        </w:tblCellMar>
      </w:tblPr>
      <w:tblGrid>
        <w:gridCol w:w="1068"/>
        <w:gridCol w:w="931"/>
        <w:gridCol w:w="940"/>
        <w:gridCol w:w="109"/>
        <w:gridCol w:w="109"/>
        <w:gridCol w:w="109"/>
        <w:gridCol w:w="219"/>
        <w:gridCol w:w="470"/>
        <w:gridCol w:w="287"/>
        <w:gridCol w:w="109"/>
        <w:gridCol w:w="109"/>
        <w:gridCol w:w="109"/>
        <w:gridCol w:w="229"/>
        <w:gridCol w:w="492"/>
        <w:gridCol w:w="300"/>
        <w:gridCol w:w="109"/>
        <w:gridCol w:w="109"/>
        <w:gridCol w:w="109"/>
        <w:gridCol w:w="109"/>
        <w:gridCol w:w="109"/>
        <w:gridCol w:w="109"/>
        <w:gridCol w:w="109"/>
        <w:gridCol w:w="355"/>
        <w:gridCol w:w="737"/>
        <w:gridCol w:w="467"/>
        <w:gridCol w:w="109"/>
        <w:gridCol w:w="109"/>
        <w:gridCol w:w="109"/>
        <w:gridCol w:w="196"/>
        <w:gridCol w:w="421"/>
        <w:gridCol w:w="301"/>
      </w:tblGrid>
      <w:tr>
        <w:tc>
          <w:tcPr>
            <w:tcW w:w="106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2913" w:type="dxa"/>
            <w:gridSpan w:val="10"/>
            <w:tcBorders/>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r>
              <w:rPr>
                <w:rFonts w:ascii="Arial;sans-serif" w:hAnsi="Arial;sans-serif"/>
                <w:b w:val="false"/>
                <w:color w:val="000000"/>
                <w:sz w:val="16"/>
              </w:rPr>
              <w:t>Unallocated Costs</w:t>
            </w:r>
            <w:r>
              <w:rPr>
                <w:rFonts w:ascii="Arial;sans-serif" w:hAnsi="Arial;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Reportable Segments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87070"/>
                <wp:effectExtent l="0" t="0" r="0" b="0"/>
                <wp:wrapNone/>
                <wp:docPr id="33" name="Frame32"/>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tbl>
      <w:tblPr>
        <w:tblW w:w="9325" w:type="dxa"/>
        <w:jc w:val="left"/>
        <w:tblInd w:w="0" w:type="dxa"/>
        <w:tblLayout w:type="fixed"/>
        <w:tblCellMar>
          <w:top w:w="28" w:type="dxa"/>
          <w:left w:w="28" w:type="dxa"/>
          <w:bottom w:w="28" w:type="dxa"/>
          <w:right w:w="28" w:type="dxa"/>
        </w:tblCellMar>
      </w:tblPr>
      <w:tblGrid>
        <w:gridCol w:w="1068"/>
        <w:gridCol w:w="931"/>
        <w:gridCol w:w="940"/>
        <w:gridCol w:w="109"/>
        <w:gridCol w:w="109"/>
        <w:gridCol w:w="109"/>
        <w:gridCol w:w="196"/>
        <w:gridCol w:w="556"/>
        <w:gridCol w:w="256"/>
        <w:gridCol w:w="109"/>
        <w:gridCol w:w="109"/>
        <w:gridCol w:w="109"/>
        <w:gridCol w:w="229"/>
        <w:gridCol w:w="492"/>
        <w:gridCol w:w="300"/>
        <w:gridCol w:w="109"/>
        <w:gridCol w:w="109"/>
        <w:gridCol w:w="109"/>
        <w:gridCol w:w="109"/>
        <w:gridCol w:w="109"/>
        <w:gridCol w:w="109"/>
        <w:gridCol w:w="109"/>
        <w:gridCol w:w="335"/>
        <w:gridCol w:w="785"/>
        <w:gridCol w:w="440"/>
        <w:gridCol w:w="109"/>
        <w:gridCol w:w="109"/>
        <w:gridCol w:w="109"/>
        <w:gridCol w:w="196"/>
        <w:gridCol w:w="556"/>
        <w:gridCol w:w="301"/>
      </w:tblGrid>
      <w:tr>
        <w:tc>
          <w:tcPr>
            <w:tcW w:w="106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c>
          <w:tcPr>
            <w:tcW w:w="3049" w:type="dxa"/>
            <w:gridSpan w:val="10"/>
            <w:tcBorders/>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r>
              <w:rPr>
                <w:rFonts w:ascii="Arial;sans-serif" w:hAnsi="Arial;sans-serif"/>
                <w:b w:val="false"/>
                <w:color w:val="000000"/>
                <w:sz w:val="16"/>
              </w:rPr>
              <w:t>Unallocated Costs</w:t>
            </w:r>
            <w:r>
              <w:rPr>
                <w:rFonts w:ascii="Arial;sans-serif" w:hAnsi="Arial;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Reportable Segments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Other adjustments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w:t>
      </w:r>
    </w:p>
    <w:p>
      <w:pPr>
        <w:pStyle w:val="TextBody"/>
        <w:bidi w:val="0"/>
        <w:spacing w:lineRule="auto" w:line="288" w:before="0" w:after="0"/>
        <w:jc w:val="left"/>
      </w:pPr>
      <w:r>
        <w:rPr>
          <w:rFonts w:ascii="Arial;sans-serif" w:hAnsi="Arial;sans-serif"/>
          <w:b w:val="false"/>
          <w:color w:val="000000"/>
          <w:sz w:val="10"/>
        </w:rPr>
        <w:t xml:space="preserve">(1) </w:t>
      </w:r>
      <w:r>
        <w:rPr>
          <w:rFonts w:ascii="Arial;sans-serif" w:hAnsi="Arial;sans-serif"/>
          <w:b w:val="false"/>
          <w:color w:val="000000"/>
          <w:sz w:val="16"/>
        </w:rPr>
        <w:t>Other adjustments in 2026 consist of former CEO separation costs.</w:t>
      </w:r>
    </w:p>
    <w:p>
      <w:pPr>
        <w:pStyle w:val="TextBody"/>
        <w:bidi w:val="0"/>
        <w:spacing w:lineRule="auto" w:line="288" w:before="0" w:after="120"/>
        <w:jc w:val="left"/>
      </w:pPr>
      <w:r>
        <w:rPr>
          <w:rFonts w:ascii="Arial;sans-serif" w:hAnsi="Arial;sans-serif"/>
          <w:b w:val="false"/>
          <w:color w:val="000000"/>
          <w:sz w:val="10"/>
        </w:rPr>
        <w:t xml:space="preserve">(2) </w:t>
      </w:r>
      <w:r>
        <w:rPr>
          <w:rFonts w:ascii="Arial;sans-serif" w:hAnsi="Arial;sans-serif"/>
          <w:b w:val="false"/>
          <w:color w:val="000000"/>
          <w:sz w:val="16"/>
        </w:rPr>
        <w:t>Unallocated Costs in Segment profit (loss) includes certain indirect costs that are no longer allocated to the former Transportation segment, which is now classified as Discontinued Operations. These costs were $4 million and $5 million for the three months ended September 30, 2026 and 2025, respectively. These costs were $12 million and $18 million for the nine months ended September 30, 2026 and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87070"/>
                <wp:effectExtent l="0" t="0" r="0" b="0"/>
                <wp:wrapNone/>
                <wp:docPr id="34" name="Frame33"/>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2207"/>
        <w:gridCol w:w="1856"/>
        <w:gridCol w:w="1879"/>
        <w:gridCol w:w="109"/>
        <w:gridCol w:w="109"/>
        <w:gridCol w:w="109"/>
        <w:gridCol w:w="196"/>
        <w:gridCol w:w="377"/>
        <w:gridCol w:w="109"/>
        <w:gridCol w:w="109"/>
        <w:gridCol w:w="109"/>
        <w:gridCol w:w="109"/>
        <w:gridCol w:w="196"/>
        <w:gridCol w:w="377"/>
        <w:gridCol w:w="109"/>
        <w:gridCol w:w="109"/>
        <w:gridCol w:w="109"/>
        <w:gridCol w:w="109"/>
        <w:gridCol w:w="196"/>
        <w:gridCol w:w="467"/>
        <w:gridCol w:w="109"/>
        <w:gridCol w:w="109"/>
        <w:gridCol w:w="109"/>
        <w:gridCol w:w="109"/>
        <w:gridCol w:w="196"/>
        <w:gridCol w:w="467"/>
        <w:gridCol w:w="156"/>
      </w:tblGrid>
      <w:tr>
        <w:tc>
          <w:tcPr>
            <w:tcW w:w="220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5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r>
      <w:tr>
        <w:tc>
          <w:tcPr>
            <w:tcW w:w="5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and Segment Profit (Loss) Reconciliation to Income (Loss) Before Income Taxes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Other adjustments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c>
          <w:tcPr>
            <w:tcW w:w="5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w:t>
      </w:r>
    </w:p>
    <w:p>
      <w:pPr>
        <w:pStyle w:val="TextBody"/>
        <w:bidi w:val="0"/>
        <w:spacing w:lineRule="auto" w:line="288" w:before="0" w:after="0"/>
        <w:jc w:val="left"/>
      </w:pPr>
      <w:r>
        <w:rPr>
          <w:rFonts w:ascii="Arial;sans-serif" w:hAnsi="Arial;sans-serif"/>
          <w:b w:val="false"/>
          <w:color w:val="000000"/>
          <w:sz w:val="10"/>
        </w:rPr>
        <w:t xml:space="preserve">(1) </w:t>
      </w:r>
      <w:r>
        <w:rPr>
          <w:rFonts w:ascii="Arial;sans-serif" w:hAnsi="Arial;sans-serif"/>
          <w:b w:val="false"/>
          <w:color w:val="000000"/>
          <w:sz w:val="16"/>
        </w:rPr>
        <w:t>Other adjustments in 2026 consist of former CEO separation costs.</w:t>
      </w:r>
    </w:p>
    <w:p>
      <w:pPr>
        <w:pStyle w:val="TextBody"/>
        <w:bidi w:val="0"/>
        <w:spacing w:lineRule="auto" w:line="288" w:before="180" w:after="180"/>
        <w:jc w:val="left"/>
        <w:rPr>
          <w:rFonts w:ascii="Arial;sans-serif" w:hAnsi="Arial;sans-serif"/>
          <w:b/>
          <w:color w:val="1269BC"/>
          <w:sz w:val="20"/>
        </w:rPr>
      </w:pPr>
      <w:r>
        <w:rPr>
          <w:rFonts w:ascii="Arial;sans-serif" w:hAnsi="Arial;sans-serif"/>
          <w:b/>
          <w:color w:val="1269BC"/>
          <w:sz w:val="20"/>
        </w:rPr>
        <w:t>Commercial Segment</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Commercial revenue for the three and nine months ended September 30, 2026 decreased, compared to the prior year periods, primarily driven by contract losses, including our largest customer, lower volumes, and the non-recurrence of a multi-year licensing agreement entered into in the prior year, partially offset by new business ramp. </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Segment Profit and Adjusted EBITDA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Commercial segment profit and Adjusted EBITDA for the three months ended September 30, 2026 decreased, compared to the prior year period, primarily due to the revenue drivers noted above, particularly the non-recurrence of the prior year multi-year licensing agreement.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Commercial segment profit remained relatively flat, while Adjusted EBITDA for the nine months ended September 30, 2026 decreased compared to the prior-year period. The decrease in Adjusted EBITDA was primarily driven by the revenue drivers noted above, partially offset by cost efficiencies implemented in the second half of the prior year, including lower fixed technology overhead.</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Government Segment</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Government revenue for the three and nine months ended September 30, 2026 decreased, compared to the prior year periods, primarily due to contract losses and lower volumes. These declines were partially offset by the ramp of new business.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Segment Profit and Adjusted EBITDA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Government segment profit and Adjusted EBITDA for the three months ended September 30, 2026 increased, compared to the prior year period, primarily due to cost efficiencies, partially offset by the revenue drivers noted above.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Government segment profit and Adjusted EBITDA for the nine months ended September 30, 2026 increased, compared to the prior year period, primarily due to cost efficiencies and continued lower expenses in our Government Services business, partially offset by the revenue drivers noted above.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87070"/>
                <wp:effectExtent l="0" t="0" r="0" b="0"/>
                <wp:wrapNone/>
                <wp:docPr id="35" name="Frame34"/>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0066CC"/>
          <w:sz w:val="20"/>
        </w:rPr>
      </w:pPr>
      <w:r>
        <w:rPr>
          <w:rFonts w:ascii="Arial;sans-serif" w:hAnsi="Arial;sans-serif"/>
          <w:b/>
          <w:color w:val="0066CC"/>
          <w:sz w:val="20"/>
        </w:rPr>
        <w:t>Unallocated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Unallocated Costs for the three and nine months ended September 30, 2026 were favorable, compared to the prior year period, primarily driven by cost efficiencies in our corporate functions and the absence of non-recurring items recognized in the prior year, including direct response costs related to the January 2025 Cyber Event and the recovery of legal costs from an insurance carrier related to the previously disclosed State of Texas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u w:val="single"/>
        </w:rPr>
      </w:pPr>
      <w:r>
        <w:rPr>
          <w:rFonts w:ascii="Arial;sans-serif" w:hAnsi="Arial;sans-serif"/>
          <w:b/>
          <w:color w:val="1269BC"/>
          <w:sz w:val="24"/>
          <w:u w:val="single"/>
        </w:rPr>
        <w:t>Metrics</w:t>
      </w: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Metrics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ACV Activity as defined below. All amounts exclude our Discontinued Operations. </w:t>
      </w:r>
    </w:p>
    <w:p>
      <w:pPr>
        <w:pStyle w:val="TextBody"/>
        <w:bidi w:val="0"/>
        <w:spacing w:lineRule="auto" w:line="288" w:before="0" w:after="180"/>
        <w:jc w:val="left"/>
        <w:rPr>
          <w:rFonts w:ascii="Arial;sans-serif" w:hAnsi="Arial;sans-serif"/>
          <w:b/>
          <w:i/>
          <w:color w:val="1269BC"/>
          <w:sz w:val="20"/>
        </w:rPr>
      </w:pPr>
      <w:r>
        <w:rPr>
          <w:rFonts w:ascii="Arial;sans-serif" w:hAnsi="Arial;sans-serif"/>
          <w:b/>
          <w:i/>
          <w:color w:val="1269BC"/>
          <w:sz w:val="20"/>
        </w:rPr>
        <w:t>Signings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Signings information for the three and nine months ended September 30, 2026 and 2025 is as follows:</w:t>
      </w:r>
    </w:p>
    <w:tbl>
      <w:tblPr>
        <w:tblW w:w="7509" w:type="dxa"/>
        <w:jc w:val="left"/>
        <w:tblInd w:w="0" w:type="dxa"/>
        <w:tblLayout w:type="fixed"/>
        <w:tblCellMar>
          <w:top w:w="28" w:type="dxa"/>
          <w:left w:w="28" w:type="dxa"/>
          <w:bottom w:w="28" w:type="dxa"/>
          <w:right w:w="28" w:type="dxa"/>
        </w:tblCellMar>
      </w:tblPr>
      <w:tblGrid>
        <w:gridCol w:w="989"/>
        <w:gridCol w:w="866"/>
        <w:gridCol w:w="875"/>
        <w:gridCol w:w="109"/>
        <w:gridCol w:w="109"/>
        <w:gridCol w:w="109"/>
        <w:gridCol w:w="196"/>
        <w:gridCol w:w="556"/>
        <w:gridCol w:w="109"/>
        <w:gridCol w:w="109"/>
        <w:gridCol w:w="109"/>
        <w:gridCol w:w="109"/>
        <w:gridCol w:w="196"/>
        <w:gridCol w:w="556"/>
        <w:gridCol w:w="109"/>
        <w:gridCol w:w="109"/>
        <w:gridCol w:w="109"/>
        <w:gridCol w:w="109"/>
        <w:gridCol w:w="218"/>
        <w:gridCol w:w="470"/>
        <w:gridCol w:w="123"/>
        <w:gridCol w:w="109"/>
        <w:gridCol w:w="109"/>
        <w:gridCol w:w="109"/>
        <w:gridCol w:w="203"/>
        <w:gridCol w:w="203"/>
        <w:gridCol w:w="532"/>
      </w:tblGrid>
      <w:tr>
        <w:tc>
          <w:tcPr>
            <w:tcW w:w="9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business ACV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business TCV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Renewals 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Signings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Annual recurring revenue signings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Non-recurring revenue signings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7509"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business ACV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business TCV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Renewals 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Signings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Annual recurring revenue signings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6"/>
              </w:rPr>
              <w:t>Non-recurring revenue signings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(1)Recurring revenue signings are for new business contracts longer than one year.</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(2)Non-recurring revenue signings are for contracts shorter than one year.</w:t>
      </w:r>
    </w:p>
    <w:p>
      <w:pPr>
        <w:pStyle w:val="TextBody"/>
        <w:bidi w:val="0"/>
        <w:spacing w:before="60" w:after="18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87070"/>
                <wp:effectExtent l="0" t="0" r="0" b="0"/>
                <wp:wrapNone/>
                <wp:docPr id="36" name="Frame35"/>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The total new business pipeline as of September 30, 2026 and 2025 was $2.9 billion and $2.9 billion, respectively. Total new business pipeline is defined as total new business ACV pipeline of deals at or beyond the qualified prospect stage. This extends past the next twelve-month period to include total pipeline.</w:t>
      </w:r>
    </w:p>
    <w:p>
      <w:pPr>
        <w:pStyle w:val="TextBody"/>
        <w:bidi w:val="0"/>
        <w:spacing w:lineRule="auto" w:line="288" w:before="0" w:after="180"/>
        <w:jc w:val="left"/>
        <w:rPr>
          <w:rFonts w:ascii="Arial;sans-serif" w:hAnsi="Arial;sans-serif"/>
          <w:b/>
          <w:i/>
          <w:color w:val="1269BC"/>
          <w:sz w:val="20"/>
        </w:rPr>
      </w:pPr>
      <w:r>
        <w:rPr>
          <w:rFonts w:ascii="Arial;sans-serif" w:hAnsi="Arial;sans-serif"/>
          <w:b/>
          <w:i/>
          <w:color w:val="1269BC"/>
          <w:sz w:val="20"/>
        </w:rPr>
        <w:t>ACV Activity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ACV Activity reflects the Company’s trailing twelve-month (“TTM”) ACV sales activity and is used to evaluate trends in overall contract value generation across periods. Beginning in the current period, the Company replaced Net ARR Activity with ACV Activity to better reflect total annual contract value-based sales activity rather than projected recurring revenue impacts. The metric represents total ACV generated over the trailing twelve months, with the timing of revenue varying based on contract start dates and implementation timelines. ACV Activity during the period reflects positive fluctuations in the Company's sales activity, including the conversion of pipeline opportunities, large contract awards, renewals and extensions of existing client relationships, and expansion within key accounts across its segments.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ACV Activity metric for the trailing twelve months for each of the prior five quarters was as follows:</w:t>
      </w:r>
    </w:p>
    <w:tbl>
      <w:tblPr>
        <w:tblW w:w="3461" w:type="dxa"/>
        <w:jc w:val="left"/>
        <w:tblInd w:w="0" w:type="dxa"/>
        <w:tblLayout w:type="fixed"/>
        <w:tblCellMar>
          <w:top w:w="28" w:type="dxa"/>
          <w:left w:w="28" w:type="dxa"/>
          <w:bottom w:w="28" w:type="dxa"/>
          <w:right w:w="28" w:type="dxa"/>
        </w:tblCellMar>
      </w:tblPr>
      <w:tblGrid>
        <w:gridCol w:w="576"/>
        <w:gridCol w:w="503"/>
        <w:gridCol w:w="510"/>
        <w:gridCol w:w="109"/>
        <w:gridCol w:w="109"/>
        <w:gridCol w:w="109"/>
        <w:gridCol w:w="393"/>
        <w:gridCol w:w="844"/>
        <w:gridCol w:w="308"/>
      </w:tblGrid>
      <w:tr>
        <w:tc>
          <w:tcPr>
            <w:tcW w:w="57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ACV Activity metric</w:t>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u w:val="single"/>
        </w:rPr>
      </w:pPr>
      <w:r>
        <w:rPr>
          <w:rFonts w:ascii="Arial;sans-serif" w:hAnsi="Arial;sans-serif"/>
          <w:b/>
          <w:color w:val="1269BC"/>
          <w:sz w:val="24"/>
          <w:u w:val="single"/>
        </w:rPr>
        <w:t>Capital Resources and Liquidity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September 30, 2026 and December 31, 2025, total cash and cash equivalents were $292 million and $233 million, respectively. We also had a $357 million Revolving Credit Facility (the "Facility") (reducing to $187 million in October 2026 and maturing in August 2028) for our various cash needs. As of September 30, 2026 we had $327 million outstanding borrowings under the Facility and an additional $26 million was used for letters of credit. The net amount available under the Facility as of September 30, 2026, was $4 million and the amount of borrowings at each quarter-end may be limited by our leverage covenant.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September 30, 2026, our total principal debt outstanding was $903 million, of which $191 million was due within one year.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October 23, 2026, the Company completed the refinancing of its existing $357 million Facility pursuant to a refinancing agreement (the "Refinancing Agreement"), which extended the maturities to May 31, 2029 and added $90 million of additional commitments, consisting of $75 million of new revolving commitments and a new $15 million backstop performance letter of credit facility (the "New Facility"). Pursuant to the terms of the Refinancing Agreement, the Company used $131 million of proceeds from the sale of the Transit Business to repay outstanding borrowings under the New Facility. In addition, the Company paid $22 million of debt issuance costs at closing. The aggregate commitments under the New Facility will be reduced by $80 million no later than December 31, 2026, or earlier upon the closing of a new accounts receivable factoring facility. On October 28, 2026, the Company borrowed $75 million under the New Facility. The Company expects to repay the $75 million borrowing using proceeds from the anticipated sale of the Tolling Business and available cash for the remaining balance.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provide financial flexibility and finance certain investments and projects, we may continue to utilize external financing arrangements. However, we believe that our cash on hand, projected cash flow from operations (considering the impacts of the sale of our Transportation businesses), sound balance sheet and our revolving line of credit will continue to provide sufficient financial resources to meet our expected business obligations for at least the next twelve months.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87070"/>
                <wp:effectExtent l="0" t="0" r="0" b="0"/>
                <wp:wrapNone/>
                <wp:docPr id="37" name="Frame36"/>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Cash Flow Analysis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our cash flows, as reported in our Condensed Consolidated Statement of Cash Flows in the accompanying Condensed Consolidated Financial Statements:</w:t>
      </w:r>
    </w:p>
    <w:tbl>
      <w:tblPr>
        <w:tblW w:w="8286" w:type="dxa"/>
        <w:jc w:val="left"/>
        <w:tblInd w:w="0" w:type="dxa"/>
        <w:tblLayout w:type="fixed"/>
        <w:tblCellMar>
          <w:top w:w="28" w:type="dxa"/>
          <w:left w:w="28" w:type="dxa"/>
          <w:bottom w:w="28" w:type="dxa"/>
          <w:right w:w="28" w:type="dxa"/>
        </w:tblCellMar>
      </w:tblPr>
      <w:tblGrid>
        <w:gridCol w:w="1366"/>
        <w:gridCol w:w="1194"/>
        <w:gridCol w:w="1204"/>
        <w:gridCol w:w="109"/>
        <w:gridCol w:w="109"/>
        <w:gridCol w:w="109"/>
        <w:gridCol w:w="268"/>
        <w:gridCol w:w="679"/>
        <w:gridCol w:w="149"/>
        <w:gridCol w:w="149"/>
        <w:gridCol w:w="149"/>
        <w:gridCol w:w="149"/>
        <w:gridCol w:w="268"/>
        <w:gridCol w:w="679"/>
        <w:gridCol w:w="149"/>
        <w:gridCol w:w="109"/>
        <w:gridCol w:w="109"/>
        <w:gridCol w:w="109"/>
        <w:gridCol w:w="407"/>
        <w:gridCol w:w="500"/>
        <w:gridCol w:w="322"/>
      </w:tblGrid>
      <w:tr>
        <w:tc>
          <w:tcPr>
            <w:tcW w:w="136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Better (Worse)</w:t>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Operating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net improvement in cash used in operating activities of $4 million, compared to the prior year period, was primarily due to favorable working capital results, which included, among other things, the effects of the natural evolution of some of our long-term projects in the Government and former Transportation segments whereby milestones have been achieved and contractual amounts billed and collected. This favorable result occurred despite the lower sales of accounts receivable under our factoring agreement as noted below. The favorable working capital result was partially offset by lower discontinued operations Adjusted EBITDA, and higher cash income taxes and cash interest expense.</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Investing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Investing cash usage increased from the prior year due to the absence of the $50 million cash received in the prior year related to the non-interest bearing note from the Curbside Management and Public Safety Solutions divestiture. This was partially offset by planned reductions in capital expenditures.</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Financing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increase in cash provided by financing activities was due to a net $218 million draw-down of the Facility for various cash needs in the current year as well as the absence of Treasury stock purchases and the repurchase of the noncontrolling interest in an Australian entity, both of which were made in the prior year. The prior year also included the impacts of the 2025 Credit Agreement including the repayment of Term Loan A with proceeds from the Facility and additional borrowings under the Facility for working capital purposes.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Sales of Accounts Receivable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 During the third quarter of 2026, the third-party financial institution ceased their purchases of our accounts receivable. As part of the October 2026 New Facility discussed above, this institution has agreed to restart their purchases. The factoring agreement will terminate on December 31, 2026 and is expected to be replaced with an approximate equal sized facility with another institution. If the Company does not execute a new agreement by December 31, 2026, such failure will constitute an event of default under the New Facility.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net impact from the sales of accounts receivable on net cash provided by (used in) operating activities for the nine months ended September 30, 2026 and 2025 was $(106) million and $(12) million, respectively.</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Material Cash Requirements from Contractual Obligations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believe our balances of cash and cash equivalents, which totaled $292 million as of September 30, 2026, along with cash generated by operations and amounts available for borrowing under our revolving credit facility, will be sufficient to satisfy our cash requirements over the next 12 months and beyond.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At September 30, 2026, the Company’s material cash requirements include debt, leases and estimated purchase commitments. See Part II, Item 7 – Management's Discussion and Analysis of Financial Condition and Results of Operations of our Annual Report on Form 10-K for the year ended December 31, 2025 for additional information on our material cash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87070"/>
                <wp:effectExtent l="0" t="0" r="0" b="0"/>
                <wp:wrapNone/>
                <wp:docPr id="38" name="Frame37"/>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76" w:before="180" w:after="180"/>
        <w:ind w:left="0" w:right="0" w:firstLine="5040"/>
        <w:jc w:val="left"/>
        <w:rPr>
          <w:rFonts w:ascii="Arial;sans-serif" w:hAnsi="Arial;sans-serif"/>
          <w:b/>
          <w:color w:val="0066CC"/>
          <w:sz w:val="24"/>
          <w:u w:val="single"/>
        </w:rPr>
      </w:pPr>
      <w:r>
        <w:rPr>
          <w:rFonts w:ascii="Arial;sans-serif" w:hAnsi="Arial;sans-serif"/>
          <w:b/>
          <w:color w:val="0066CC"/>
          <w:sz w:val="24"/>
          <w:u w:val="single"/>
        </w:rPr>
        <w:t>Critical Accounting Estimates and Policies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involve a significant level of estimation uncertainty and have had or are reasonably likely to have a material impact on amounts reported in the accompanying Condensed Consolidated Financial Statements and notes thereto.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There have been no significant changes during the nine months ended September 30, 2026 to our critical accounting estimates and policies from those disclosed in our Annual Report on Form 10-K for the year ended December 31, 2025.</w:t>
      </w:r>
    </w:p>
    <w:p>
      <w:pPr>
        <w:pStyle w:val="TextBody"/>
        <w:bidi w:val="0"/>
        <w:spacing w:lineRule="auto" w:line="288" w:before="0" w:after="180"/>
        <w:jc w:val="left"/>
        <w:rPr>
          <w:rFonts w:ascii="Arial;sans-serif" w:hAnsi="Arial;sans-serif"/>
          <w:b/>
          <w:color w:val="0066CC"/>
          <w:sz w:val="24"/>
          <w:u w:val="single"/>
        </w:rPr>
      </w:pPr>
      <w:r>
        <w:rPr>
          <w:rFonts w:ascii="Arial;sans-serif" w:hAnsi="Arial;sans-serif"/>
          <w:b/>
          <w:color w:val="0066CC"/>
          <w:sz w:val="24"/>
          <w:u w:val="single"/>
        </w:rPr>
        <w:t>Recent Accounting Changes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See Note 2 – Recent Accounting Pronouncements for information on accounting standards adopted during the current year, as well as recently issued accounting standards not yet required to be adopted and the expected impact of the adoption of these accounting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u w:val="single"/>
        </w:rPr>
      </w:pPr>
      <w:r>
        <w:rPr>
          <w:rFonts w:ascii="Arial;sans-serif" w:hAnsi="Arial;sans-serif"/>
          <w:b/>
          <w:color w:val="0066CC"/>
          <w:sz w:val="24"/>
          <w:u w:val="single"/>
        </w:rPr>
        <w:t>Non-GAAP Financial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report our financial results in accordance with U.S. GAAP. In addition, within this Form 10-Q Part I Item 2 we have discussed our financial results using non-GAAP measures for our Continuing Operations only, unless otherwise noted.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compared to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Condensed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reconciliation of the non-GAAP financial measure Adjusted EBITDA to the most directly comparable financial measure calculated and presented in accordance with U.S. GAAP is provided in the "Operations Review of Segment Revenue and Profit" section above.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Adjusted EBITDA and Adjusted EBITDA Margin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 if applicable: </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Amortization of acquired intangible assets. This is driven by acquisition activity, which can vary in size, nature and timing as compared to other companies within our industry and from period to period.</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Restructuring and related costs. This includes restructuring and asset impairment charges as well as costs associated with our strategic transformation program.</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 xml:space="preserve">Goodwill impairment. This represents goodwill impairment charges arising from annual or interim goodwill testing.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87070"/>
                <wp:effectExtent l="0" t="0" r="0" b="0"/>
                <wp:wrapNone/>
                <wp:docPr id="39" name="Frame38"/>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(Gain) loss on divestitures and transaction costs. This represents (gain) loss on divested businesses and transaction costs.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Litigation settlements (recoveries), net. This represents settlements or recoveries for various matters subject to litigation.</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Loss on extinguishment of debt. This represents write-off of debt issuance costs related to prepayments of debt.</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Direct response costs - cyber event. This represents costs related to investigating, remediating and responding to the January 2025 Cyber Event.</w:t>
      </w:r>
    </w:p>
    <w:p>
      <w:pPr>
        <w:pStyle w:val="TextBody"/>
        <w:bidi w:val="0"/>
        <w:spacing w:lineRule="auto" w:line="288" w:before="0" w:after="180"/>
        <w:ind w:left="0" w:right="0" w:hanging="360"/>
        <w:jc w:val="left"/>
      </w:pPr>
      <w:r>
        <w:rPr>
          <w:color w:val="000000"/>
        </w:rPr>
        <w:t>•</w:t>
      </w:r>
      <w:r>
        <w:rPr>
          <w:rFonts w:ascii="Arial;sans-serif" w:hAnsi="Arial;sans-serif"/>
          <w:b w:val="false"/>
          <w:color w:val="000000"/>
          <w:sz w:val="20"/>
        </w:rPr>
        <w:t>Other charges (credits). This includes Other (income) expenses, net on the Condensed Consolidated Statements of Income (Loss) and other adjustments, including former CEO separation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rPr>
      </w:pPr>
      <w:r>
        <w:rPr>
          <w:rFonts w:ascii="Arial;sans-serif" w:hAnsi="Arial;sans-serif"/>
          <w:b/>
          <w:color w:val="1269BC"/>
          <w:sz w:val="24"/>
        </w:rPr>
        <w:t>ITEM 3 — QUANTITATIVE AND QUALITATIVE DISCLOSURES ABOUT MARKET RISK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Recent market events have not caused us to materially modify or change our financial risk management strategies with respect to our exposures to foreign currency risk. Refer to Note 8 – Financial Instruments in the Condensed Consolidated Financial Statements for additional discussion on our financial risk management.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reporting period, there have been no material changes to the quantitative and qualitative disclosures regarding our market risk set forth in our Annual Report on Form 10-K for the year ended December 31, 2025.</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ITEM 4 — CONTROLS AND PROCEDURES</w:t>
      </w:r>
    </w:p>
    <w:p>
      <w:pPr>
        <w:pStyle w:val="TextBody"/>
        <w:bidi w:val="0"/>
        <w:spacing w:lineRule="auto" w:line="288" w:before="0" w:after="180"/>
        <w:jc w:val="left"/>
      </w:pPr>
      <w:r>
        <w:rPr>
          <w:rFonts w:ascii="Arial;sans-serif" w:hAnsi="Arial;sans-serif"/>
          <w:b/>
          <w:color w:val="1269BC"/>
          <w:sz w:val="20"/>
        </w:rPr>
        <w:t>(a)</w:t>
      </w:r>
      <w:r>
        <w:rPr>
          <w:rFonts w:ascii="Arial;sans-serif" w:hAnsi="Arial;sans-serif"/>
          <w:b/>
          <w:color w:val="1269BC"/>
          <w:sz w:val="20"/>
        </w:rPr>
        <w:t>Evaluation of Disclosure Controls and Procedures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(b)    Changes in Internal Control Over Financial Reporting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that occurred during the quarter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87070"/>
                <wp:effectExtent l="0" t="0" r="0" b="0"/>
                <wp:wrapNone/>
                <wp:docPr id="40" name="Frame39"/>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ITEM 1 — LEGAL PROCEEDINGS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set forth under Note 12 – Contingencies and Litigation in the Condensed Consolidated Financial Statements of this Form 10-Q is incorporated herein by reference in answer to this Item.</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ITEM 1A — RISK FACTORS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Reference is made to the Risk Factors set forth in Part I, Item 1A of our Annual Report on Form 10-K for the year ended December 31, 2025. There have been no material changes to our risk factors as previously reported in our Annual Report on Form 10-K for the year ended December 31, 2025, except as set forth below.</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will hold a minority equity interest in Quarterhill Inc. as partial consideration from the sale of our Tolling business, which subjects us to risks relating to the value and liquidity of such interest, foreign currency exposure, and the performance of a business over which we have no control.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connection with the sale of our Tolling business to Quarterhill Inc. ("Quarterhill"), we will receive, in addition to $70 million in cash, a number of common shares of Quarterhill equal to seven percent (7%) of the issued and outstanding shares of Quarterhill, calculated as of immediately prior to the closing, along with registration rights and board observer rights. Quarterhill's common shares are listed on the Toronto Stock Exchange (the "TSX") under the symbol "QTRH" and on the OTCQX Best Market under the symbol "QTRHF." The market price of Quarterhill's common shares may be volatile and could decline significantly after the closing due to factors unrelated to Quarterhill's operating performance, including general economic and market conditions, industry trends, analyst coverage, investor sentiment, and trading volumes, which would reduce the value of the consideration we ultimately realize from the transaction and could result in significant fair value losses that increase the volatility of our reported earnings. Our ability to monetize the equity interest may be limited by the trading volume in Quarterhill's common shares, contractual lock-up or standstill restrictions, applicable U.S. and Canadian securities laws, and volume limitations under available resale exemptions, and sales of a significant number of shares, or the perception that such sales could occur, could itself depress the prevailing market price. Because Quarterhill's shares trade on the TSX in Canadian dollars, the U.S. dollar value of our equity interest will also be subject to fluctuations in exchange rates, which we may not hedge. Our equity interest represents a minority position that does not provide us with the ability to direct or control Quarterhill's business strategy, operations, capital allocation, or governance, including with respect to the integration and operation of our former Tolling business. There can be no assurance that Quarterhill will successfully integrate the Tolling business, achieve expected synergies, maintain key customer relationships, or generate the financial performance necessary to support or increase the value of its common shares, and a deterioration in Quarterhill's business, competitive position, or financial condition could materially reduce the value of our equity interest or render it worthless.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1269BC"/>
          <w:sz w:val="24"/>
        </w:rPr>
      </w:pPr>
      <w:r>
        <w:rPr>
          <w:rFonts w:ascii="Arial;sans-serif" w:hAnsi="Arial;sans-serif"/>
          <w:b/>
          <w:color w:val="1269BC"/>
          <w:sz w:val="24"/>
        </w:rPr>
        <w:t>ITEM 2 — UNREGISTERED SALES OF EQUITY SECURITIES AND USE OF PROCEEDS</w:t>
      </w:r>
    </w:p>
    <w:p>
      <w:pPr>
        <w:pStyle w:val="TextBody"/>
        <w:bidi w:val="0"/>
        <w:spacing w:lineRule="auto" w:line="288" w:before="0" w:after="180"/>
        <w:ind w:left="0" w:right="0" w:hanging="720"/>
        <w:jc w:val="left"/>
        <w:rPr>
          <w:rFonts w:ascii="Arial;sans-serif" w:hAnsi="Arial;sans-serif"/>
          <w:b/>
          <w:color w:val="1269BC"/>
          <w:sz w:val="20"/>
        </w:rPr>
      </w:pPr>
      <w:r>
        <w:rPr>
          <w:rFonts w:ascii="Arial;sans-serif" w:hAnsi="Arial;sans-serif"/>
          <w:b/>
          <w:color w:val="1269BC"/>
          <w:sz w:val="20"/>
        </w:rPr>
        <w:t>(a)Sales of Unregistered Securities during the Quarter ended September 30, 2026</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During the quarter ended September 30, 2026, the Company did not issue any securities in transactions that were not registered under the Securities Act of 1933, as amended.</w:t>
      </w:r>
    </w:p>
    <w:p>
      <w:pPr>
        <w:pStyle w:val="TextBody"/>
        <w:bidi w:val="0"/>
        <w:spacing w:lineRule="auto" w:line="288" w:before="0" w:after="180"/>
        <w:ind w:left="0" w:right="0" w:hanging="720"/>
        <w:jc w:val="left"/>
        <w:rPr>
          <w:rFonts w:ascii="Arial;sans-serif" w:hAnsi="Arial;sans-serif"/>
          <w:b/>
          <w:color w:val="1269BC"/>
          <w:sz w:val="20"/>
        </w:rPr>
      </w:pPr>
      <w:r>
        <w:rPr>
          <w:rFonts w:ascii="Arial;sans-serif" w:hAnsi="Arial;sans-serif"/>
          <w:b/>
          <w:color w:val="1269BC"/>
          <w:sz w:val="20"/>
        </w:rPr>
        <w:t>(b)Purchases of Equity Securities by the Issuer and Affiliated Purchasers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There were no share repurchases during the three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1269BC"/>
          <w:sz w:val="24"/>
        </w:rPr>
      </w:pPr>
      <w:r>
        <w:rPr>
          <w:rFonts w:ascii="Arial;sans-serif" w:hAnsi="Arial;sans-serif"/>
          <w:b/>
          <w:color w:val="1269BC"/>
          <w:sz w:val="24"/>
        </w:rPr>
        <w:t>ITEM 3 — DEFAULTS UPON SENIOR SECURITIES</w:t>
      </w:r>
    </w:p>
    <w:p>
      <w:pPr>
        <w:pStyle w:val="TextBody"/>
        <w:bidi w:val="0"/>
        <w:spacing w:lineRule="auto" w:line="288" w:before="180" w:after="18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1269BC"/>
          <w:sz w:val="24"/>
        </w:rPr>
      </w:pPr>
      <w:r>
        <w:rPr>
          <w:rFonts w:ascii="Arial;sans-serif" w:hAnsi="Arial;sans-serif"/>
          <w:b/>
          <w:color w:val="1269BC"/>
          <w:sz w:val="24"/>
        </w:rPr>
        <w:t>ITEM 4 — MINE SAFETY DISCLOSURES</w:t>
      </w:r>
    </w:p>
    <w:p>
      <w:pPr>
        <w:pStyle w:val="TextBody"/>
        <w:bidi w:val="0"/>
        <w:spacing w:lineRule="auto" w:line="288" w:before="180" w:after="18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87070"/>
                <wp:effectExtent l="0" t="0" r="0" b="0"/>
                <wp:wrapNone/>
                <wp:docPr id="41" name="Frame40"/>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180" w:after="180"/>
        <w:ind w:left="0" w:right="0" w:firstLine="5040"/>
        <w:jc w:val="both"/>
        <w:rPr>
          <w:rFonts w:ascii="Arial;sans-serif" w:hAnsi="Arial;sans-serif"/>
          <w:b/>
          <w:color w:val="1269BC"/>
          <w:sz w:val="24"/>
        </w:rPr>
      </w:pPr>
      <w:r>
        <w:rPr>
          <w:rFonts w:ascii="Arial;sans-serif" w:hAnsi="Arial;sans-serif"/>
          <w:b/>
          <w:color w:val="1269BC"/>
          <w:sz w:val="24"/>
        </w:rPr>
        <w:t>ITEM 5 — OTHER INFORMATION</w:t>
      </w:r>
    </w:p>
    <w:p>
      <w:pPr>
        <w:pStyle w:val="TextBody"/>
        <w:bidi w:val="0"/>
        <w:spacing w:lineRule="auto" w:line="288" w:before="180" w:after="180"/>
        <w:jc w:val="both"/>
        <w:rPr>
          <w:rFonts w:ascii="Arial;sans-serif" w:hAnsi="Arial;sans-serif"/>
          <w:b/>
          <w:color w:val="0066CC"/>
          <w:sz w:val="20"/>
        </w:rPr>
      </w:pPr>
      <w:r>
        <w:rPr>
          <w:rFonts w:ascii="Arial;sans-serif" w:hAnsi="Arial;sans-serif"/>
          <w:b/>
          <w:color w:val="0066CC"/>
          <w:sz w:val="20"/>
        </w:rPr>
        <w:t xml:space="preserve">10b5-1 Plans </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During the three months ended September 30, 2026,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269BC"/>
          <w:sz w:val="24"/>
        </w:rPr>
      </w:pPr>
      <w:r>
        <w:rPr>
          <w:rFonts w:ascii="Arial;sans-serif" w:hAnsi="Arial;sans-serif"/>
          <w:b/>
          <w:color w:val="1269BC"/>
          <w:sz w:val="24"/>
        </w:rPr>
        <w:t>ITEM 6 — EXHIBITS</w:t>
      </w:r>
    </w:p>
    <w:tbl>
      <w:tblPr>
        <w:tblW w:w="10205"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1906"/>
        <w:gridCol w:w="1520"/>
        <w:gridCol w:w="1525"/>
        <w:gridCol w:w="109"/>
        <w:gridCol w:w="109"/>
        <w:gridCol w:w="109"/>
        <w:gridCol w:w="298"/>
        <w:gridCol w:w="298"/>
        <w:gridCol w:w="299"/>
        <w:gridCol w:w="109"/>
        <w:gridCol w:w="109"/>
        <w:gridCol w:w="109"/>
        <w:gridCol w:w="185"/>
        <w:gridCol w:w="185"/>
        <w:gridCol w:w="186"/>
        <w:gridCol w:w="113"/>
        <w:gridCol w:w="113"/>
        <w:gridCol w:w="113"/>
        <w:gridCol w:w="244"/>
        <w:gridCol w:w="244"/>
        <w:gridCol w:w="245"/>
        <w:gridCol w:w="113"/>
        <w:gridCol w:w="113"/>
        <w:gridCol w:w="113"/>
        <w:gridCol w:w="191"/>
        <w:gridCol w:w="191"/>
        <w:gridCol w:w="280"/>
      </w:tblGrid>
      <w:t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Incorporated by Reference</w:t>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No.</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Filing Date</w:t>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Arial;sans-serif" w:hAnsi="Arial;sans-serif"/>
                  <w:b w:val="false"/>
                  <w:color w:val="0000FF"/>
                  <w:sz w:val="20"/>
                  <w:u w:val="single"/>
                </w:rPr>
                <w:t>Equity Interest Purchase Agreement dated as of May 21, 2026 among Conduent Business Services, LLC, Modaxo USA Holdings, Inc., Modaxo France Holdings SAS, and solely for purposes of Section 11.18 hereto, Modaxo Group,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8/10/2026</w:t>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
              <w:r>
                <w:rPr>
                  <w:rStyle w:val="InternetLink"/>
                  <w:rFonts w:ascii="Arial;sans-serif" w:hAnsi="Arial;sans-serif"/>
                  <w:b w:val="false"/>
                  <w:color w:val="0000FF"/>
                  <w:sz w:val="20"/>
                  <w:u w:val="single"/>
                </w:rPr>
                <w:t>First Amendment to Equity Interest Purchase Agreement, dated September 30, 2026, among Conduent Business Services, LLC, Modaxo USA Holdings, Inc., Modaxo France Holdings SAS, and Modaxo Group,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10/6/2026</w:t>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5">
              <w:r>
                <w:rPr>
                  <w:rStyle w:val="InternetLink"/>
                  <w:rFonts w:ascii="Arial;sans-serif" w:hAnsi="Arial;sans-serif"/>
                  <w:b w:val="false"/>
                  <w:color w:val="000080"/>
                  <w:sz w:val="20"/>
                  <w:u w:val="single"/>
                </w:rPr>
                <w:t>Asset Purchase Agreement dated as of June 29, 2026, among Conduent Business Services, LLC, Conduent State &amp; Local Solutions, Inc. Conduent Public Sector UK Limited, Quarterhill Inc. and Red Fox I.D. Limited</w:t>
              </w:r>
            </w:hyperlink>
            <w:hyperlink r:id="rId6">
              <w:r>
                <w:rPr>
                  <w:rStyle w:val="InternetLink"/>
                  <w:rFonts w:ascii="Arial;sans-serif" w:hAnsi="Arial;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8/10/2026</w:t>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7">
              <w:r>
                <w:rPr>
                  <w:rStyle w:val="InternetLink"/>
                  <w:rFonts w:ascii="Arial;sans-serif" w:hAnsi="Arial;sans-serif"/>
                  <w:b w:val="false"/>
                  <w:color w:val="0000FF"/>
                  <w:sz w:val="20"/>
                  <w:u w:val="single"/>
                </w:rPr>
                <w:t>Restated Certificate of Incorporation of Registrant filed with the Department of the State of New York on December 31,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12/23/2016</w:t>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8">
              <w:r>
                <w:rPr>
                  <w:rStyle w:val="InternetLink"/>
                  <w:rFonts w:ascii="Arial;sans-serif" w:hAnsi="Arial;sans-serif"/>
                  <w:b w:val="false"/>
                  <w:color w:val="0000FF"/>
                  <w:sz w:val="20"/>
                  <w:u w:val="single"/>
                </w:rPr>
                <w:t>Amended and Restated By-Laws of Registrant as amended through October 31,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11/1/2023</w:t>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ndt-093026xex31a.htm">
              <w:r>
                <w:rPr>
                  <w:rStyle w:val="InternetLink"/>
                  <w:rFonts w:ascii="Arial;sans-serif" w:hAnsi="Arial;sans-serif"/>
                  <w:b w:val="false"/>
                  <w:color w:val="0000FF"/>
                  <w:sz w:val="20"/>
                  <w:u w:val="single"/>
                </w:rPr>
                <w:t>Certification of CEO pursuant to Rule 13a-14(a) or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ndt-093026xex31b.htm">
              <w:r>
                <w:rPr>
                  <w:rStyle w:val="InternetLink"/>
                  <w:rFonts w:ascii="Arial;sans-serif" w:hAnsi="Arial;sans-serif"/>
                  <w:b w:val="false"/>
                  <w:color w:val="0000FF"/>
                  <w:sz w:val="20"/>
                  <w:u w:val="single"/>
                </w:rPr>
                <w:t>Certification of CFO pursuant to Rule 13a-14(a) or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ndt-093026xex32.htm">
              <w:r>
                <w:rPr>
                  <w:rStyle w:val="InternetLink"/>
                  <w:rFonts w:ascii="Arial;sans-serif" w:hAnsi="Arial;sans-serif"/>
                  <w:b w:val="false"/>
                  <w:color w:val="0000FF"/>
                  <w:sz w:val="20"/>
                  <w:u w:val="single"/>
                </w:rPr>
                <w:t>Certification of CEO and CFO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materials from the Registrant's Quarterly Report on Form 10-Q for the quarter ended September 30, 2026 formatted in Inline XBRL: (i) Condensed Consolidated Statements of Income, (ii) Condensed Consolidated Statements of Comprehensive Income, (iii) Condensed Consolidated Balance Sheets, (iv) Condensed Consolidated Statements of Cash Flows, (v) Condensed Consolidated Statements of Shareholders' Equity and (vi) 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0"/>
        <w:ind w:left="0" w:right="0" w:hanging="720"/>
        <w:jc w:val="left"/>
      </w:pPr>
      <w:r>
        <w:rPr>
          <w:rFonts w:ascii="Arial;sans-serif" w:hAnsi="Arial;sans-serif"/>
          <w:b w:val="false"/>
          <w:color w:val="000000"/>
          <w:sz w:val="20"/>
        </w:rPr>
        <w:t>*</w:t>
      </w:r>
      <w:r>
        <w:rPr>
          <w:color w:val="000000"/>
        </w:rPr>
        <w:t>    </w:t>
      </w:r>
      <w:r>
        <w:rPr>
          <w:rFonts w:ascii="Arial;sans-serif" w:hAnsi="Arial;sans-serif"/>
          <w:b w:val="false"/>
          <w:color w:val="000000"/>
          <w:sz w:val="20"/>
        </w:rPr>
        <w:t>Certain attachments have been omitted pursuant to Item 601(a)(5) of Regulation S-K because the information contained therein is not material and is not otherwise publicly disclosed. Conduent will furnish supplementally copies of such attachments to the SEC or its staff upon request.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87070"/>
                <wp:effectExtent l="0" t="0" r="0" b="0"/>
                <wp:wrapNone/>
                <wp:docPr id="42" name="Frame41"/>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03f604a6a745b0891421f6e73a6600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pPr>
            <w:r/>
          </w:p>
        </w:tc>
        <w:tc>
          <w:tcPr>
            <w:tcW w:w="372" w:type="dxa"/>
            <w:gridSpan w:val="3"/>
            <w:tcBorders/>
            <w:tcMar>
              <w:top w:w="0" w:type="dxa"/>
              <w:left w:w="0" w:type="dxa"/>
              <w:bottom w:w="0" w:type="dxa"/>
              <w:right w:w="0" w:type="dxa"/>
            </w:tcMar>
            <w:vAlign w:val="center"/>
          </w:tcPr>
          <w:p>
            <w:pPr>
              <w:pStyle w:val="TableContents"/>
              <w:bidi w:val="0"/>
              <w:spacing w:before="0" w:after="0"/>
              <w:jc w:val="right"/>
            </w:pPr>
            <w:r/>
          </w:p>
        </w:tc>
      </w:tr>
    </w:tbl>
    <w:p>
      <w:pPr>
        <w:pStyle w:val="TextBody"/>
        <w:bidi w:val="0"/>
        <w:spacing w:before="0" w:after="60"/>
        <w:ind w:left="0" w:right="0" w:firstLine="2880"/>
        <w:jc w:val="left"/>
      </w:pPr>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    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pStyle w:val="TextBody"/>
        <w:bidi w:val="0"/>
        <w:spacing w:before="0" w:after="0"/>
        <w:ind w:left="0" w:right="0" w:hanging="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269BC"/>
          <w:sz w:val="24"/>
        </w:rPr>
      </w:pPr>
      <w:r>
        <w:rPr>
          <w:rFonts w:ascii="Arial;sans-serif" w:hAnsi="Arial;sans-serif"/>
          <w:b/>
          <w:color w:val="1269BC"/>
          <w:sz w:val="24"/>
        </w:rPr>
        <w:t>SIGNATURES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quarterly report to be signed on its behalf by the undersigned hereunto duly authorized.</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November 5, 2026</w:t>
      </w:r>
    </w:p>
    <w:p>
      <w:pPr>
        <w:pStyle w:val="TextBody"/>
        <w:bidi w:val="0"/>
        <w:spacing w:before="0" w:after="0"/>
        <w:jc w:val="left"/>
      </w:pPr>
      <w:r/>
    </w:p>
    <w:p>
      <w:pPr>
        <w:pStyle w:val="TextBody"/>
        <w:bidi w:val="0"/>
        <w:spacing w:lineRule="auto" w:line="288" w:before="0" w:after="0"/>
        <w:jc w:val="left"/>
        <w:rPr>
          <w:color w:val="000000"/>
        </w:rPr>
      </w:pPr>
      <w:r>
        <w:rPr>
          <w:color w:val="000000"/>
        </w:rPr>
        <w:t> </w:t>
      </w:r>
    </w:p>
    <w:tbl>
      <w:tblPr>
        <w:tblW w:w="6528" w:type="dxa"/>
        <w:jc w:val="left"/>
        <w:tblInd w:w="0" w:type="dxa"/>
        <w:tblLayout w:type="fixed"/>
        <w:tblCellMar>
          <w:top w:w="28" w:type="dxa"/>
          <w:left w:w="28" w:type="dxa"/>
          <w:bottom w:w="28" w:type="dxa"/>
          <w:right w:w="28" w:type="dxa"/>
        </w:tblCellMar>
      </w:tblPr>
      <w:tblGrid>
        <w:gridCol w:w="496"/>
        <w:gridCol w:w="436"/>
        <w:gridCol w:w="436"/>
        <w:gridCol w:w="1505"/>
        <w:gridCol w:w="1505"/>
        <w:gridCol w:w="2150"/>
      </w:tblGrid>
      <w:tr>
        <w:tc>
          <w:tcPr>
            <w:tcW w:w="4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c>
          <w:tcPr>
            <w:tcW w:w="652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CONDUENT INCORPORATED</w:t>
            </w:r>
          </w:p>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(Registrant)</w:t>
            </w:r>
          </w:p>
        </w:tc>
      </w:tr>
      <w:tr>
        <w:tc>
          <w:tcPr>
            <w:tcW w:w="65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GEORGE ABATE</w:t>
            </w:r>
          </w:p>
        </w:tc>
      </w:tr>
      <w:t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George Abate</w:t>
              <w:br/>
              <w:t>Vice President and Chief Accounting Officer</w:t>
              <w:br/>
              <w:t>(Duly Authorized Officer and Principal Accounting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269BC"/>
          <w:sz w:val="20"/>
        </w:rPr>
      </w:pPr>
      <w:r>
        <w:rPr>
          <w:rFonts w:ascii="Arial;sans-serif" w:hAnsi="Arial;sans-serif"/>
          <w:b/>
          <w:color w:val="1269BC"/>
          <w:sz w:val="20"/>
        </w:rPr>
        <w:t>EXHIBIT 31(a)</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87070"/>
                <wp:effectExtent l="0" t="0" r="0" b="0"/>
                <wp:wrapNone/>
                <wp:docPr id="43" name="Frame42"/>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416.45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Q3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right"/>
      </w:pPr>
      <w:r/>
    </w:p>
    <w:p>
      <w:pPr>
        <w:pStyle w:val="TextBody"/>
        <w:bidi w:val="0"/>
        <w:spacing w:lineRule="auto" w:line="288" w:before="60" w:after="283"/>
        <w:jc w:val="left"/>
        <w:rPr>
          <w:rFonts w:ascii="Arial;sans-serif" w:hAnsi="Arial;sans-serif"/>
          <w:b/>
          <w:color w:val="1269BC"/>
          <w:sz w:val="20"/>
        </w:rPr>
      </w:pPr>
      <w:r>
        <w:rPr>
          <w:rFonts w:ascii="Arial;sans-serif" w:hAnsi="Arial;sans-serif"/>
          <w:b/>
          <w:color w:val="1269BC"/>
          <w:sz w:val="20"/>
        </w:rPr>
        <w:t>CEO CERTIFICATIONS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Harsha V. Agadi,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Conduent Incorporated;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November 5, 2026 </w:t>
      </w:r>
    </w:p>
    <w:p>
      <w:pPr>
        <w:pStyle w:val="TextBody"/>
        <w:bidi w:val="0"/>
        <w:spacing w:before="180" w:after="283"/>
        <w:jc w:val="both"/>
      </w:pPr>
      <w:r/>
    </w:p>
    <w:p>
      <w:pPr>
        <w:pStyle w:val="TextBody"/>
        <w:bidi w:val="0"/>
        <w:spacing w:lineRule="auto" w:line="288" w:before="0" w:after="0"/>
        <w:jc w:val="left"/>
        <w:rPr>
          <w:color w:val="000000"/>
        </w:rPr>
      </w:pPr>
      <w:r>
        <w:rPr>
          <w:color w:val="000000"/>
        </w:rPr>
        <w:t> </w:t>
      </w:r>
    </w:p>
    <w:tbl>
      <w:tblPr>
        <w:tblW w:w="2359" w:type="dxa"/>
        <w:jc w:val="left"/>
        <w:tblInd w:w="0" w:type="dxa"/>
        <w:tblLayout w:type="fixed"/>
        <w:tblCellMar>
          <w:top w:w="28" w:type="dxa"/>
          <w:left w:w="28" w:type="dxa"/>
          <w:bottom w:w="28" w:type="dxa"/>
          <w:right w:w="28" w:type="dxa"/>
        </w:tblCellMar>
      </w:tblPr>
      <w:tblGrid>
        <w:gridCol w:w="799"/>
        <w:gridCol w:w="702"/>
        <w:gridCol w:w="704"/>
        <w:gridCol w:w="154"/>
      </w:tblGrid>
      <w:t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HARSHA V. AGADI</w:t>
            </w:r>
          </w:p>
        </w:tc>
        <w:tc>
          <w:tcPr>
            <w:tcW w:w="154" w:type="dxa"/>
            <w:tcBorders/>
            <w:vAlign w:val="center"/>
          </w:tcPr>
          <w:p>
            <w:pPr>
              <w:pStyle w:val="TableContents"/>
              <w:bidi w:val="0"/>
              <w:spacing w:before="0" w:after="283"/>
              <w:jc w:val="left"/>
              <w:rPr>
                <w:sz w:val="4"/>
                <w:szCs w:val="4"/>
              </w:rPr>
            </w:pPr>
            <w:r>
              <w:rPr>
                <w:sz w:val="4"/>
                <w:szCs w:val="4"/>
              </w:rPr>
            </w:r>
          </w:p>
        </w:tc>
      </w:tr>
      <w:tr>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Harsha V. Agadi</w:t>
              <w:b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269BC"/>
          <w:sz w:val="20"/>
        </w:rPr>
      </w:pPr>
      <w:r>
        <w:rPr>
          <w:rFonts w:ascii="Arial;sans-serif" w:hAnsi="Arial;sans-serif"/>
          <w:b/>
          <w:color w:val="1269BC"/>
          <w:sz w:val="20"/>
        </w:rPr>
        <w:t>EXHIBIT 31(b)</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9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right"/>
      </w:pPr>
      <w:r/>
    </w:p>
    <w:p>
      <w:pPr>
        <w:pStyle w:val="TextBody"/>
        <w:bidi w:val="0"/>
        <w:spacing w:lineRule="auto" w:line="288" w:before="120" w:after="283"/>
        <w:jc w:val="left"/>
        <w:rPr>
          <w:rFonts w:ascii="Arial;sans-serif" w:hAnsi="Arial;sans-serif"/>
          <w:b/>
          <w:color w:val="1269BC"/>
          <w:sz w:val="20"/>
        </w:rPr>
      </w:pPr>
      <w:r>
        <w:rPr>
          <w:rFonts w:ascii="Arial;sans-serif" w:hAnsi="Arial;sans-serif"/>
          <w:b/>
          <w:color w:val="1269BC"/>
          <w:sz w:val="20"/>
        </w:rPr>
        <w:t>CFO CERTIFICATIONS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Giles Goodburn,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Conduent Incorporated;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November 5, 2026 </w:t>
      </w:r>
    </w:p>
    <w:p>
      <w:pPr>
        <w:pStyle w:val="TextBody"/>
        <w:bidi w:val="0"/>
        <w:spacing w:before="180" w:after="283"/>
        <w:jc w:val="both"/>
      </w:pPr>
      <w:r/>
    </w:p>
    <w:tbl>
      <w:tblPr>
        <w:tblW w:w="2329" w:type="dxa"/>
        <w:jc w:val="left"/>
        <w:tblInd w:w="0" w:type="dxa"/>
        <w:tblLayout w:type="fixed"/>
        <w:tblCellMar>
          <w:top w:w="28" w:type="dxa"/>
          <w:left w:w="28" w:type="dxa"/>
          <w:bottom w:w="28" w:type="dxa"/>
          <w:right w:w="28" w:type="dxa"/>
        </w:tblCellMar>
      </w:tblPr>
      <w:tblGrid>
        <w:gridCol w:w="787"/>
        <w:gridCol w:w="693"/>
        <w:gridCol w:w="695"/>
        <w:gridCol w:w="154"/>
      </w:tblGrid>
      <w:t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GILES GOODBURN</w:t>
            </w:r>
          </w:p>
        </w:tc>
        <w:tc>
          <w:tcPr>
            <w:tcW w:w="154" w:type="dxa"/>
            <w:tcBorders/>
            <w:vAlign w:val="center"/>
          </w:tcPr>
          <w:p>
            <w:pPr>
              <w:pStyle w:val="TableContents"/>
              <w:bidi w:val="0"/>
              <w:spacing w:before="0" w:after="283"/>
              <w:jc w:val="left"/>
              <w:rPr>
                <w:sz w:val="4"/>
                <w:szCs w:val="4"/>
              </w:rPr>
            </w:pPr>
            <w:r>
              <w:rPr>
                <w:sz w:val="4"/>
                <w:szCs w:val="4"/>
              </w:rPr>
            </w:r>
          </w:p>
        </w:tc>
      </w:tr>
      <w:tr>
        <w:tc>
          <w:tcPr>
            <w:tcW w:w="2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Giles Goodburn</w:t>
              <w:b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269BC"/>
          <w:sz w:val="20"/>
        </w:rPr>
      </w:pPr>
      <w:r>
        <w:rPr>
          <w:rFonts w:ascii="Arial;sans-serif" w:hAnsi="Arial;sans-serif"/>
          <w:b/>
          <w:color w:val="1269BC"/>
          <w:sz w:val="20"/>
        </w:rPr>
        <w:t>EXHIBIT 32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right"/>
      </w:pPr>
      <w:r/>
    </w:p>
    <w:p>
      <w:pPr>
        <w:pStyle w:val="TextBody"/>
        <w:bidi w:val="0"/>
        <w:spacing w:lineRule="auto" w:line="288" w:before="180" w:after="283"/>
        <w:jc w:val="left"/>
        <w:rPr>
          <w:rFonts w:ascii="Arial;sans-serif" w:hAnsi="Arial;sans-serif"/>
          <w:b/>
          <w:color w:val="1269BC"/>
          <w:sz w:val="20"/>
        </w:rPr>
      </w:pPr>
      <w:r>
        <w:rPr>
          <w:rFonts w:ascii="Arial;sans-serif" w:hAnsi="Arial;sans-serif"/>
          <w:b/>
          <w:color w:val="1269BC"/>
          <w:sz w:val="20"/>
        </w:rPr>
        <w:t>CERTIFICATION OF CEO AND CFO PURSUANT TO 18 U.S.C. § 1350,</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AS ADOPTED PURSUANT TO §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Conduent Incorporated, a New York corporation (the “Company”), for the quarter ended September 30, 2026, as filed with the Securities and Exchange Commission on the date hereof (the “Report”), Harsha V. Agadi, Chief Executive Officer of the Company, and Giles Goodburn, Chief Financial Officer of the Company, each hereby certifies, pursuant to 18 U.S.C. § 1350, as adopted pursuant to § 906 of the Sarbanes-Oxley Act of 2002, to the best of his/her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pPr>
      <w:r/>
    </w:p>
    <w:p>
      <w:pPr>
        <w:pStyle w:val="TextBody"/>
        <w:bidi w:val="0"/>
        <w:spacing w:before="0" w:after="0"/>
        <w:jc w:val="left"/>
      </w:pPr>
      <w:r/>
    </w:p>
    <w:tbl>
      <w:tblPr>
        <w:tblW w:w="2629" w:type="dxa"/>
        <w:jc w:val="left"/>
        <w:tblInd w:w="0" w:type="dxa"/>
        <w:tblLayout w:type="fixed"/>
        <w:tblCellMar>
          <w:top w:w="28" w:type="dxa"/>
          <w:left w:w="28" w:type="dxa"/>
          <w:bottom w:w="28" w:type="dxa"/>
          <w:right w:w="28" w:type="dxa"/>
        </w:tblCellMar>
      </w:tblPr>
      <w:tblGrid>
        <w:gridCol w:w="896"/>
        <w:gridCol w:w="788"/>
        <w:gridCol w:w="791"/>
        <w:gridCol w:w="154"/>
      </w:tblGrid>
      <w:t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HARSHA V. AGADI</w:t>
            </w:r>
          </w:p>
        </w:tc>
        <w:tc>
          <w:tcPr>
            <w:tcW w:w="154"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Harsha V. Agadi</w:t>
              <w:br/>
              <w:t>Chief Executive Officer            </w:t>
            </w:r>
          </w:p>
        </w:tc>
        <w:tc>
          <w:tcPr>
            <w:tcW w:w="154"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November 5, 2026</w:t>
            </w:r>
          </w:p>
        </w:tc>
        <w:tc>
          <w:tcPr>
            <w:tcW w:w="154"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GILES GOODBURN</w:t>
            </w:r>
          </w:p>
        </w:tc>
        <w:tc>
          <w:tcPr>
            <w:tcW w:w="154"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Giles Goodburn</w:t>
              <w:b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November 5, 2026</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 906 has been provided to Conduent Incorporated and will be retained by Conduent Incorporated and furnished to the Securities and Exchange Commission or its staff upon request.</w:t>
      </w:r>
    </w:p>
    <w:p>
      <w:pPr>
        <w:pStyle w:val="TextBody"/>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77703/000167770326000092/exhibit23-transitxequitypu.htm" TargetMode="External"/><Relationship Id="rId4" Type="http://schemas.openxmlformats.org/officeDocument/2006/relationships/hyperlink" Target="https://www.sec.gov/Archives/edgar/data/1677703/000167770326000123/ex21transit-firstamendme.htm" TargetMode="External"/><Relationship Id="rId5" Type="http://schemas.openxmlformats.org/officeDocument/2006/relationships/hyperlink" Target="https://www.sec.gov/Archives/edgar/data/1677703/000167770326000092/exhibit24-tollingxassetpur.htm" TargetMode="External"/><Relationship Id="rId6" Type="http://schemas.openxmlformats.org/officeDocument/2006/relationships/hyperlink" Target="https://www.sec.gov/Archives/edgar/data/1677703/000167770326000092/exhibit24-tollingxassetpur.htm" TargetMode="External"/><Relationship Id="rId7" Type="http://schemas.openxmlformats.org/officeDocument/2006/relationships/hyperlink" Target="https://www.sec.gov/Archives/edgar/data/1677703/000119312516803247/d275811dex31.htm" TargetMode="External"/><Relationship Id="rId8" Type="http://schemas.openxmlformats.org/officeDocument/2006/relationships/hyperlink" Target="https://www.sec.gov/Archives/edgar/data/1677703/000167770323000065/cndt-ex32amendedbyxlaws.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20244</Words>
  <Characters>111953</Characters>
  <CharactersWithSpaces>130413</CharactersWithSpaces>
  <Paragraphs>3248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