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7088915.xml.htm"/>
      <w:bookmarkStart w:id="1" w:name="kswkform3_178708891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Novoseletsky Anna Rose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CAMPUS DRIVE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FLORHAM PARK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CONDUENT Inc</w:t>
              </w:r>
            </w:hyperlink>
            <w:r>
              <w:rPr/>
              <w:t xml:space="preserve"> [ </w:t>
            </w:r>
            <w:r>
              <w:rPr>
                <w:rFonts w:ascii="Times;serif" w:hAnsi="Times;serif"/>
                <w:color w:val="0000FF"/>
                <w:sz w:val="24"/>
                <w:shd w:fill="FFFFFF" w:val="clear"/>
              </w:rPr>
              <w:t>CNDT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GC &amp; Secretary</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Mike Fisherman,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rnpowerofattorney.htm"/>
      <w:bookmarkStart w:id="3" w:name="ksarnpowerofattorney"/>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Anna Novoseletsky and Michael Fisherman as the undersigned’s true and lawful attorneys-in-fact, with full powers to act alone, to execute and file with the Securities and Exchange Commission and any stock exchange or similar authority one or more beneficial ownership reports and any and all amendments thereto, together with any and all exhibits relating thereto including this Power of Attorney, in the name and on behalf of the undersigned, disclosing the undersigned’s beneficial ownership of securities of Conduent Incorporated (the “Company”), in connection with Section 16 and any other provisions of the Securities Exchange Act of 1934, as amended, and the rules promulgated thereunder (the “SEC Rules”), which reports, amendments and exhibits shall contain such information as any of Anna Novoseletsky and Michael Fisherman deem appropriate. The undersigned hereby grants to each such attorney-in-fact full power and authority to do and perform each and every act and thing whatsoever that said attorney or attorneys may deem necessary or advisable to carry out fully the intent of the foregoing as the undersigned might or could do personally. The undersigned acknowledges that none of the foregoing attorneys-in-fact, in serving in such capacity, which the undersigned acknowledges is at the request of the undersigned, is assuming, nor is the Company assuming, any of the undersigned’s responsibilities to comply with the SEC Rules. This Power of Attorney shall remain in full force and effect with respect to each of the foregoing attorneys-in-fact until the undersigned is no longer required to file any of the aforementioned reports under the SEC Rules, unless earlier revoked by the undersigned in a signed writing delivered to the applicable attorney-in-fact. This Power of Attorney revokes, replaces and supersedes all prior Powers of Attorney related to the filings under the SEC Rules with respect to the undersigned’s holdings and transactions in securities relating to the Company. IN WITNESS WHEREOF, the undersigned has executed this Power of Attorney as of the 13 day of August , 2026. ___________________________________________________________ [Signature] Anna Novoseletsky, EVP, General Counsel and Secretary Docusign Envelope ID: CAFE0F7E-6CEE-88DB-804F-AD4E487ECE9C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391650"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939165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78273" TargetMode="External"/><Relationship Id="rId3" Type="http://schemas.openxmlformats.org/officeDocument/2006/relationships/hyperlink" Target="http://www.sec.gov/cgi-bin/browse-edgar?action=getcompany&amp;CIK=000167770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742</Words>
  <Characters>4193</Characters>
  <CharactersWithSpaces>4891</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arnpowerofattorney</dc:title>
</cp:coreProperties>
</file>