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ind w:left="428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3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400" w:hanging="277"/>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68"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For the fiscal year ended: December 31, 2024</w:t>
      </w:r>
    </w:p>
    <w:p>
      <w:pPr>
        <w:spacing w:after="0" w:line="37" w:lineRule="exact"/>
        <w:rPr>
          <w:sz w:val="24"/>
          <w:szCs w:val="24"/>
          <w:color w:val="auto"/>
        </w:rPr>
      </w:pPr>
    </w:p>
    <w:p>
      <w:pPr>
        <w:ind w:left="360" w:hanging="263"/>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8"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For the transition period from: _______ to: _______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001-37817</w:t>
      </w:r>
    </w:p>
    <w:p>
      <w:pPr>
        <w:spacing w:after="0" w:line="3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CONDUENT INCORPORATED</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ectPr>
          <w:pgSz w:w="11900" w:h="16838" w:orient="portrait"/>
          <w:cols w:equalWidth="0" w:num="1">
            <w:col w:w="11280"/>
          </w:cols>
          <w:pgMar w:left="300" w:top="239" w:right="319" w:bottom="1440" w:gutter="0" w:footer="0" w:header="0"/>
        </w:sectPr>
      </w:pPr>
    </w:p>
    <w:p>
      <w:pPr>
        <w:spacing w:after="0" w:line="43" w:lineRule="exact"/>
        <w:rPr>
          <w:sz w:val="24"/>
          <w:szCs w:val="24"/>
          <w:color w:val="auto"/>
        </w:rPr>
      </w:pPr>
    </w:p>
    <w:p>
      <w:pPr>
        <w:ind w:left="3720"/>
        <w:spacing w:after="0"/>
        <w:rPr>
          <w:sz w:val="20"/>
          <w:szCs w:val="20"/>
          <w:color w:val="auto"/>
        </w:rPr>
      </w:pPr>
      <w:r>
        <w:rPr>
          <w:rFonts w:ascii="Arial" w:cs="Arial" w:eastAsia="Arial" w:hAnsi="Arial"/>
          <w:sz w:val="13"/>
          <w:szCs w:val="13"/>
          <w:b w:val="1"/>
          <w:bCs w:val="1"/>
          <w:color w:val="auto"/>
        </w:rPr>
        <w:t>New York</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81-2983623</w:t>
      </w:r>
    </w:p>
    <w:p>
      <w:pPr>
        <w:spacing w:after="0" w:line="42" w:lineRule="exact"/>
        <w:rPr>
          <w:sz w:val="24"/>
          <w:szCs w:val="24"/>
          <w:color w:val="auto"/>
        </w:rPr>
      </w:pPr>
    </w:p>
    <w:p>
      <w:pPr>
        <w:sectPr>
          <w:pgSz w:w="11900" w:h="16838" w:orient="portrait"/>
          <w:cols w:equalWidth="0" w:num="2">
            <w:col w:w="8380" w:space="720"/>
            <w:col w:w="2180"/>
          </w:cols>
          <w:pgMar w:left="300" w:top="239" w:right="319" w:bottom="1440" w:gutter="0" w:footer="0" w:header="0"/>
          <w:type w:val="continuous"/>
        </w:sectPr>
      </w:pPr>
    </w:p>
    <w:p>
      <w:pPr>
        <w:ind w:left="260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15" w:lineRule="exact"/>
        <w:rPr>
          <w:sz w:val="24"/>
          <w:szCs w:val="24"/>
          <w:color w:val="auto"/>
        </w:rPr>
      </w:pPr>
    </w:p>
    <w:p>
      <w:pPr>
        <w:sectPr>
          <w:pgSz w:w="11900" w:h="16838" w:orient="portrait"/>
          <w:cols w:equalWidth="0" w:num="2">
            <w:col w:w="7940" w:space="720"/>
            <w:col w:w="2620"/>
          </w:cols>
          <w:pgMar w:left="300" w:top="239" w:right="31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100 Campus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Florham Park,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07932</w:t>
      </w:r>
    </w:p>
    <w:p>
      <w:pPr>
        <w:spacing w:after="0" w:line="42" w:lineRule="exact"/>
        <w:rPr>
          <w:sz w:val="24"/>
          <w:szCs w:val="24"/>
          <w:color w:val="auto"/>
        </w:rPr>
      </w:pPr>
    </w:p>
    <w:p>
      <w:pPr>
        <w:sectPr>
          <w:pgSz w:w="11900" w:h="16838" w:orient="portrait"/>
          <w:cols w:equalWidth="0" w:num="5">
            <w:col w:w="3140" w:space="480"/>
            <w:col w:w="940" w:space="720"/>
            <w:col w:w="920" w:space="440"/>
            <w:col w:w="1920" w:space="720"/>
            <w:col w:w="2000"/>
          </w:cols>
          <w:pgMar w:left="300" w:top="239" w:right="319" w:bottom="1440" w:gutter="0" w:footer="0" w:header="0"/>
          <w:type w:val="continuous"/>
        </w:sectPr>
      </w:pPr>
    </w:p>
    <w:p>
      <w:pPr>
        <w:jc w:val="center"/>
        <w:ind w:left="90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(Zip Code)</w:t>
      </w:r>
    </w:p>
    <w:p>
      <w:pPr>
        <w:spacing w:after="0" w:line="211" w:lineRule="exact"/>
        <w:rPr>
          <w:sz w:val="24"/>
          <w:szCs w:val="24"/>
          <w:color w:val="auto"/>
        </w:rPr>
      </w:pPr>
    </w:p>
    <w:p>
      <w:pPr>
        <w:sectPr>
          <w:pgSz w:w="11900" w:h="16838" w:orient="portrait"/>
          <w:cols w:equalWidth="0" w:num="2">
            <w:col w:w="8480" w:space="720"/>
            <w:col w:w="2080"/>
          </w:cols>
          <w:pgMar w:left="300" w:top="239" w:right="319" w:bottom="1440" w:gutter="0" w:footer="0" w:header="0"/>
          <w:type w:val="continuous"/>
        </w:sect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(844) 663-2638</w:t>
      </w:r>
    </w:p>
    <w:p>
      <w:pPr>
        <w:spacing w:after="0" w:line="24" w:lineRule="exact"/>
        <w:rPr>
          <w:sz w:val="24"/>
          <w:szCs w:val="24"/>
          <w:color w:val="auto"/>
        </w:rPr>
      </w:pPr>
    </w:p>
    <w:p>
      <w:pPr>
        <w:ind w:left="4240"/>
        <w:spacing w:after="0"/>
        <w:rPr>
          <w:sz w:val="20"/>
          <w:szCs w:val="20"/>
          <w:color w:val="auto"/>
        </w:rPr>
      </w:pPr>
      <w:r>
        <w:rPr>
          <w:rFonts w:ascii="Arial" w:cs="Arial" w:eastAsia="Arial" w:hAnsi="Arial"/>
          <w:sz w:val="11"/>
          <w:szCs w:val="11"/>
          <w:b w:val="1"/>
          <w:bCs w:val="1"/>
          <w:color w:val="auto"/>
        </w:rPr>
        <w:t>(Registrant’s telephone number, including area code)</w:t>
      </w:r>
    </w:p>
    <w:p>
      <w:pPr>
        <w:ind w:left="426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Securities registered pursuant to Section 12(b) of the Act:</w:t>
      </w:r>
    </w:p>
    <w:p>
      <w:pPr>
        <w:sectPr>
          <w:pgSz w:w="11900" w:h="16838" w:orient="portrait"/>
          <w:cols w:equalWidth="0" w:num="1">
            <w:col w:w="11280"/>
          </w:cols>
          <w:pgMar w:left="300" w:top="239" w:right="319" w:bottom="1440" w:gutter="0" w:footer="0" w:header="0"/>
          <w:type w:val="continuous"/>
        </w:sectPr>
      </w:pPr>
    </w:p>
    <w:p>
      <w:pPr>
        <w:spacing w:after="0" w:line="55" w:lineRule="exact"/>
        <w:rPr>
          <w:sz w:val="24"/>
          <w:szCs w:val="24"/>
          <w:color w:val="auto"/>
        </w:rPr>
      </w:pPr>
    </w:p>
    <w:p>
      <w:pPr>
        <w:ind w:left="1360"/>
        <w:spacing w:after="0"/>
        <w:rPr>
          <w:sz w:val="20"/>
          <w:szCs w:val="20"/>
          <w:color w:val="auto"/>
        </w:rPr>
      </w:pPr>
      <w:r>
        <w:rPr>
          <w:rFonts w:ascii="Arial" w:cs="Arial" w:eastAsia="Arial" w:hAnsi="Arial"/>
          <w:sz w:val="11"/>
          <w:szCs w:val="1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1"/>
          <w:szCs w:val="11"/>
          <w:color w:val="auto"/>
        </w:rPr>
        <w:t>Trading Symbol(s)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1"/>
          <w:szCs w:val="11"/>
          <w:color w:val="auto"/>
        </w:rPr>
        <w:t>Name of each exchange on which registered</w:t>
      </w:r>
    </w:p>
    <w:p>
      <w:pPr>
        <w:spacing w:after="0" w:line="21" w:lineRule="exact"/>
        <w:rPr>
          <w:sz w:val="24"/>
          <w:szCs w:val="24"/>
          <w:color w:val="auto"/>
        </w:rPr>
      </w:pPr>
    </w:p>
    <w:p>
      <w:pPr>
        <w:sectPr>
          <w:pgSz w:w="11900" w:h="16838" w:orient="portrait"/>
          <w:cols w:equalWidth="0" w:num="3">
            <w:col w:w="3520" w:space="720"/>
            <w:col w:w="2480" w:space="720"/>
            <w:col w:w="3840"/>
          </w:cols>
          <w:pgMar w:left="300" w:top="239" w:right="319" w:bottom="1440" w:gutter="0" w:footer="0" w:header="0"/>
          <w:type w:val="continuous"/>
        </w:sectPr>
      </w:pPr>
    </w:p>
    <w:p>
      <w:pPr>
        <w:ind w:left="760"/>
        <w:spacing w:after="0"/>
        <w:rPr>
          <w:sz w:val="20"/>
          <w:szCs w:val="20"/>
          <w:color w:val="auto"/>
        </w:rPr>
      </w:pPr>
      <w:r>
        <w:rPr>
          <w:rFonts w:ascii="Arial" w:cs="Arial" w:eastAsia="Arial" w:hAnsi="Arial"/>
          <w:sz w:val="13"/>
          <w:szCs w:val="13"/>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NASDAQ Global Select Market</w:t>
      </w:r>
    </w:p>
    <w:p>
      <w:pPr>
        <w:spacing w:after="0" w:line="146" w:lineRule="exact"/>
        <w:rPr>
          <w:sz w:val="24"/>
          <w:szCs w:val="24"/>
          <w:color w:val="auto"/>
        </w:rPr>
      </w:pPr>
    </w:p>
    <w:p>
      <w:pPr>
        <w:sectPr>
          <w:pgSz w:w="11900" w:h="16838" w:orient="portrait"/>
          <w:cols w:equalWidth="0" w:num="3">
            <w:col w:w="3780" w:space="720"/>
            <w:col w:w="2300" w:space="720"/>
            <w:col w:w="3760"/>
          </w:cols>
          <w:pgMar w:left="300" w:top="239" w:right="31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2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84" w:lineRule="exact"/>
        <w:rPr>
          <w:sz w:val="24"/>
          <w:szCs w:val="24"/>
          <w:color w:val="auto"/>
        </w:rPr>
      </w:pPr>
    </w:p>
    <w:p>
      <w:pPr>
        <w:ind w:left="120" w:right="3060"/>
        <w:spacing w:after="0" w:line="376" w:lineRule="auto"/>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x</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x</w:t>
      </w:r>
    </w:p>
    <w:p>
      <w:pPr>
        <w:ind w:firstLine="125"/>
        <w:spacing w:after="0" w:line="282"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38" w:lineRule="exact"/>
        <w:rPr>
          <w:sz w:val="24"/>
          <w:szCs w:val="24"/>
          <w:color w:val="auto"/>
        </w:rPr>
      </w:pPr>
    </w:p>
    <w:p>
      <w:pPr>
        <w:ind w:firstLine="125"/>
        <w:spacing w:after="0" w:line="282"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Indicate by a check mark whether the registrant is a large accelerated filer, an accelerated filer, a non-accelerated filer, a smaller reporting company or an emerging growth company.</w:t>
      </w:r>
    </w:p>
    <w:p>
      <w:pPr>
        <w:spacing w:after="0" w:line="31" w:lineRule="exact"/>
        <w:rPr>
          <w:sz w:val="24"/>
          <w:szCs w:val="24"/>
          <w:color w:val="auto"/>
        </w:rPr>
      </w:pPr>
    </w:p>
    <w:p>
      <w:pPr>
        <w:spacing w:after="0"/>
        <w:tabs>
          <w:tab w:leader="none" w:pos="340" w:val="left"/>
          <w:tab w:leader="none" w:pos="1080" w:val="left"/>
          <w:tab w:leader="none" w:pos="1320" w:val="left"/>
          <w:tab w:leader="none" w:pos="1780" w:val="left"/>
          <w:tab w:leader="none" w:pos="2620" w:val="left"/>
          <w:tab w:leader="none" w:pos="3020" w:val="left"/>
          <w:tab w:leader="none" w:pos="3900" w:val="left"/>
          <w:tab w:leader="none" w:pos="4320" w:val="left"/>
          <w:tab w:leader="none" w:pos="4920" w:val="left"/>
          <w:tab w:leader="none" w:pos="5600" w:val="left"/>
          <w:tab w:leader="none" w:pos="6320" w:val="left"/>
          <w:tab w:leader="none" w:pos="6660" w:val="left"/>
          <w:tab w:leader="none" w:pos="7400" w:val="left"/>
          <w:tab w:leader="none" w:pos="7940" w:val="left"/>
          <w:tab w:leader="none" w:pos="8660" w:val="left"/>
          <w:tab w:leader="none" w:pos="8880" w:val="left"/>
          <w:tab w:leader="none" w:pos="9280" w:val="left"/>
          <w:tab w:leader="none" w:pos="9760" w:val="left"/>
          <w:tab w:leader="none" w:pos="9980" w:val="left"/>
          <w:tab w:leader="none" w:pos="10280" w:val="left"/>
          <w:tab w:leader="none" w:pos="11020" w:val="left"/>
        </w:tabs>
        <w:rPr>
          <w:sz w:val="20"/>
          <w:szCs w:val="20"/>
          <w:color w:val="auto"/>
        </w:rPr>
      </w:pPr>
      <w:r>
        <w:rPr>
          <w:rFonts w:ascii="Arial" w:cs="Arial" w:eastAsia="Arial" w:hAnsi="Arial"/>
          <w:sz w:val="14"/>
          <w:szCs w:val="14"/>
          <w:color w:val="auto"/>
        </w:rPr>
        <w:t>See</w:t>
        <w:tab/>
        <w:t>definitions</w:t>
        <w:tab/>
        <w:t>of</w:t>
        <w:tab/>
        <w:t>“large</w:t>
        <w:tab/>
        <w:t>accelerated</w:t>
        <w:tab/>
        <w:t>filer,”</w:t>
        <w:tab/>
        <w:t>“accelerated</w:t>
        <w:tab/>
        <w:t>filer,”</w:t>
        <w:tab/>
        <w:t>“smaller</w:t>
        <w:tab/>
        <w:t>reporting</w:t>
        <w:tab/>
        <w:t>company”</w:t>
        <w:tab/>
        <w:t>and</w:t>
        <w:tab/>
        <w:t>"emerging</w:t>
        <w:tab/>
        <w:t>growth</w:t>
        <w:tab/>
        <w:t>company"</w:t>
        <w:tab/>
        <w:t>in</w:t>
        <w:tab/>
        <w:t>Rule</w:t>
        <w:tab/>
        <w:t>12b-2</w:t>
        <w:tab/>
        <w:t>of</w:t>
        <w:tab/>
        <w:t>the</w:t>
        <w:tab/>
        <w:t>Exchange</w:t>
      </w:r>
      <w:r>
        <w:rPr>
          <w:sz w:val="20"/>
          <w:szCs w:val="20"/>
          <w:color w:val="auto"/>
        </w:rPr>
        <w:tab/>
      </w:r>
      <w:r>
        <w:rPr>
          <w:rFonts w:ascii="Arial" w:cs="Arial" w:eastAsia="Arial" w:hAnsi="Arial"/>
          <w:sz w:val="13"/>
          <w:szCs w:val="13"/>
          <w:color w:val="auto"/>
        </w:rPr>
        <w:t>Act.</w:t>
      </w:r>
    </w:p>
    <w:p>
      <w:pPr>
        <w:spacing w:after="0" w:line="9" w:lineRule="exact"/>
        <w:rPr>
          <w:sz w:val="24"/>
          <w:szCs w:val="24"/>
          <w:color w:val="auto"/>
        </w:rPr>
      </w:pPr>
    </w:p>
    <w:p>
      <w:pPr>
        <w:ind w:left="400"/>
        <w:spacing w:after="0" w:line="141" w:lineRule="exact"/>
        <w:tabs>
          <w:tab w:leader="none" w:pos="2000" w:val="left"/>
          <w:tab w:leader="none" w:pos="2560" w:val="left"/>
          <w:tab w:leader="none" w:pos="3780" w:val="left"/>
          <w:tab w:leader="none" w:pos="4400" w:val="left"/>
          <w:tab w:leader="none" w:pos="5920" w:val="left"/>
          <w:tab w:leader="none" w:pos="6580" w:val="left"/>
          <w:tab w:leader="none" w:pos="8360" w:val="left"/>
          <w:tab w:leader="none" w:pos="9080" w:val="left"/>
          <w:tab w:leader="none" w:pos="11000" w:val="left"/>
        </w:tabs>
        <w:rPr>
          <w:sz w:val="20"/>
          <w:szCs w:val="20"/>
          <w:color w:val="auto"/>
        </w:rPr>
      </w:pPr>
      <w:r>
        <w:rPr>
          <w:rFonts w:ascii="Arial" w:cs="Arial" w:eastAsia="Arial" w:hAnsi="Arial"/>
          <w:sz w:val="11"/>
          <w:szCs w:val="11"/>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Small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68" w:lineRule="exact"/>
        <w:rPr>
          <w:sz w:val="24"/>
          <w:szCs w:val="24"/>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106680</wp:posOffset>
            </wp:positionV>
            <wp:extent cx="718883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239" w:right="31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600" w:firstLine="125"/>
        <w:spacing w:after="0" w:line="282"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8" w:lineRule="exact"/>
        <w:rPr>
          <w:sz w:val="20"/>
          <w:szCs w:val="20"/>
          <w:color w:val="auto"/>
        </w:rPr>
      </w:pPr>
    </w:p>
    <w:p>
      <w:pPr>
        <w:ind w:right="120" w:firstLine="125"/>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6" w:lineRule="exact"/>
        <w:rPr>
          <w:sz w:val="20"/>
          <w:szCs w:val="20"/>
          <w:color w:val="auto"/>
        </w:rPr>
      </w:pPr>
    </w:p>
    <w:p>
      <w:pPr>
        <w:ind w:right="100" w:firstLine="125"/>
        <w:spacing w:after="0" w:line="282" w:lineRule="auto"/>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38" w:lineRule="exact"/>
        <w:rPr>
          <w:sz w:val="20"/>
          <w:szCs w:val="20"/>
          <w:color w:val="auto"/>
        </w:rPr>
      </w:pPr>
    </w:p>
    <w:p>
      <w:pPr>
        <w:ind w:right="20" w:firstLine="125"/>
        <w:spacing w:after="0" w:line="282" w:lineRule="auto"/>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7" w:lineRule="exact"/>
        <w:rPr>
          <w:sz w:val="20"/>
          <w:szCs w:val="20"/>
          <w:color w:val="auto"/>
        </w:rPr>
      </w:pPr>
    </w:p>
    <w:p>
      <w:pPr>
        <w:ind w:left="120"/>
        <w:spacing w:after="0" w:line="161" w:lineRule="exact"/>
        <w:tabs>
          <w:tab w:leader="none" w:pos="776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aggregate market value of the voting and non-voting common stock of the registrant held by non-affiliates as of June 30, 2024 was $522,734,017.</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tcPr>
          <w:p>
            <w:pPr>
              <w:jc w:val="center"/>
              <w:spacing w:after="0"/>
              <w:rPr>
                <w:sz w:val="20"/>
                <w:szCs w:val="20"/>
                <w:color w:val="auto"/>
              </w:rPr>
            </w:pPr>
            <w:r>
              <w:rPr>
                <w:rFonts w:ascii="Arial" w:cs="Arial" w:eastAsia="Arial" w:hAnsi="Arial"/>
                <w:sz w:val="14"/>
                <w:szCs w:val="14"/>
                <w:color w:val="auto"/>
              </w:rPr>
              <w:t>Indicate   the   number</w:t>
            </w:r>
          </w:p>
        </w:tc>
        <w:tc>
          <w:tcPr>
            <w:tcW w:w="3000" w:type="dxa"/>
            <w:vAlign w:val="bottom"/>
          </w:tcPr>
          <w:p>
            <w:pPr>
              <w:ind w:left="100"/>
              <w:spacing w:after="0"/>
              <w:rPr>
                <w:sz w:val="20"/>
                <w:szCs w:val="20"/>
                <w:color w:val="auto"/>
              </w:rPr>
            </w:pPr>
            <w:r>
              <w:rPr>
                <w:rFonts w:ascii="Arial" w:cs="Arial" w:eastAsia="Arial" w:hAnsi="Arial"/>
                <w:sz w:val="14"/>
                <w:szCs w:val="14"/>
                <w:color w:val="auto"/>
              </w:rPr>
              <w:t>of   shares   outstanding   of   each   of</w:t>
            </w:r>
          </w:p>
        </w:tc>
        <w:tc>
          <w:tcPr>
            <w:tcW w:w="6500" w:type="dxa"/>
            <w:vAlign w:val="bottom"/>
            <w:gridSpan w:val="4"/>
          </w:tcPr>
          <w:p>
            <w:pPr>
              <w:ind w:left="100"/>
              <w:spacing w:after="0"/>
              <w:rPr>
                <w:sz w:val="20"/>
                <w:szCs w:val="20"/>
                <w:color w:val="auto"/>
              </w:rPr>
            </w:pPr>
            <w:r>
              <w:rPr>
                <w:rFonts w:ascii="Arial" w:cs="Arial" w:eastAsia="Arial" w:hAnsi="Arial"/>
                <w:sz w:val="14"/>
                <w:szCs w:val="14"/>
                <w:color w:val="auto"/>
              </w:rPr>
              <w:t>the   Registrant's   classes   of   common   stock,   as   of   the   latest   practicable   date:</w:t>
            </w:r>
          </w:p>
        </w:tc>
      </w:tr>
      <w:tr>
        <w:trPr>
          <w:trHeight w:val="186"/>
        </w:trPr>
        <w:tc>
          <w:tcPr>
            <w:tcW w:w="17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Class</w:t>
            </w:r>
          </w:p>
        </w:tc>
        <w:tc>
          <w:tcPr>
            <w:tcW w:w="68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Outstanding at January 31, 2025</w:t>
            </w:r>
          </w:p>
        </w:tc>
        <w:tc>
          <w:tcPr>
            <w:tcW w:w="80" w:type="dxa"/>
            <w:vAlign w:val="bottom"/>
          </w:tcPr>
          <w:p>
            <w:pPr>
              <w:spacing w:after="0"/>
              <w:rPr>
                <w:sz w:val="16"/>
                <w:szCs w:val="16"/>
                <w:color w:val="auto"/>
              </w:rPr>
            </w:pPr>
          </w:p>
        </w:tc>
      </w:tr>
      <w:tr>
        <w:trPr>
          <w:trHeight w:val="184"/>
        </w:trPr>
        <w:tc>
          <w:tcPr>
            <w:tcW w:w="1780" w:type="dxa"/>
            <w:vAlign w:val="bottom"/>
          </w:tcPr>
          <w:p>
            <w:pPr>
              <w:jc w:val="center"/>
              <w:spacing w:after="0"/>
              <w:rPr>
                <w:sz w:val="20"/>
                <w:szCs w:val="20"/>
                <w:color w:val="auto"/>
              </w:rPr>
            </w:pPr>
            <w:r>
              <w:rPr>
                <w:rFonts w:ascii="Arial" w:cs="Arial" w:eastAsia="Arial" w:hAnsi="Arial"/>
                <w:sz w:val="14"/>
                <w:szCs w:val="14"/>
                <w:color w:val="auto"/>
              </w:rPr>
              <w:t>Common Stock,</w:t>
            </w:r>
          </w:p>
        </w:tc>
        <w:tc>
          <w:tcPr>
            <w:tcW w:w="3000" w:type="dxa"/>
            <w:vAlign w:val="bottom"/>
          </w:tcPr>
          <w:p>
            <w:pPr>
              <w:ind w:left="120"/>
              <w:spacing w:after="0"/>
              <w:rPr>
                <w:sz w:val="20"/>
                <w:szCs w:val="20"/>
                <w:color w:val="auto"/>
              </w:rPr>
            </w:pPr>
            <w:r>
              <w:rPr>
                <w:rFonts w:ascii="Arial" w:cs="Arial" w:eastAsia="Arial" w:hAnsi="Arial"/>
                <w:sz w:val="14"/>
                <w:szCs w:val="14"/>
                <w:color w:val="auto"/>
              </w:rPr>
              <w:t>$0.01 par value</w:t>
            </w:r>
          </w:p>
        </w:tc>
        <w:tc>
          <w:tcPr>
            <w:tcW w:w="6420" w:type="dxa"/>
            <w:vAlign w:val="bottom"/>
            <w:gridSpan w:val="3"/>
          </w:tcPr>
          <w:p>
            <w:pPr>
              <w:jc w:val="right"/>
              <w:ind w:right="2204"/>
              <w:spacing w:after="0"/>
              <w:rPr>
                <w:sz w:val="20"/>
                <w:szCs w:val="20"/>
                <w:color w:val="auto"/>
              </w:rPr>
            </w:pPr>
            <w:r>
              <w:rPr>
                <w:rFonts w:ascii="Arial" w:cs="Arial" w:eastAsia="Arial" w:hAnsi="Arial"/>
                <w:sz w:val="13"/>
                <w:szCs w:val="13"/>
                <w:color w:val="auto"/>
              </w:rPr>
              <w:t>161,830,138</w:t>
            </w:r>
          </w:p>
        </w:tc>
        <w:tc>
          <w:tcPr>
            <w:tcW w:w="80" w:type="dxa"/>
            <w:vAlign w:val="bottom"/>
          </w:tcPr>
          <w:p>
            <w:pPr>
              <w:spacing w:after="0"/>
              <w:rPr>
                <w:sz w:val="15"/>
                <w:szCs w:val="15"/>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89" w:lineRule="exact"/>
        <w:rPr>
          <w:sz w:val="20"/>
          <w:szCs w:val="20"/>
          <w:color w:val="auto"/>
        </w:rPr>
      </w:pPr>
    </w:p>
    <w:p>
      <w:pPr>
        <w:jc w:val="both"/>
        <w:ind w:firstLine="125"/>
        <w:spacing w:after="0" w:line="282" w:lineRule="auto"/>
        <w:rPr>
          <w:sz w:val="20"/>
          <w:szCs w:val="20"/>
          <w:color w:val="auto"/>
        </w:rPr>
      </w:pPr>
      <w:r>
        <w:rPr>
          <w:rFonts w:ascii="Arial" w:cs="Arial" w:eastAsia="Arial" w:hAnsi="Arial"/>
          <w:sz w:val="14"/>
          <w:szCs w:val="14"/>
          <w:color w:val="auto"/>
        </w:rPr>
        <w:t>Part III of this Form 10-K incorporates by reference certain portions of the Registrant's Notice of 2025 Annual Meeting of Shareholders and Proxy Statement (to be filed with the Securities and Exchange Commission pursuant to Regulation 14A no later than 120 days after the close of the fiscal year covered by this report on Form 10-K).</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106680</wp:posOffset>
            </wp:positionV>
            <wp:extent cx="718883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 w:name="page3"/>
    <w:bookmarkEnd w:id="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FORWARD-LOOKING STATEMENTS</w:t>
      </w:r>
    </w:p>
    <w:p>
      <w:pPr>
        <w:spacing w:after="0" w:line="12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From time to time, we and our representatives may provide information, whether orally or in writing, including certain statements in this Annual Report on Form 10-K (the "Form 10-K"), and in any exhibits to this Form 10-K, which are deemed to be "forward-looking" as defined in the Private Securities Litigation Reform Act of 1995 (the "Litigation Reform Act"). These forward-looking statements and other information are based on our beliefs as well as assumptions made by us using information currently available.</w:t>
      </w:r>
    </w:p>
    <w:p>
      <w:pPr>
        <w:spacing w:after="0" w:line="92"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and could materially adversely affect our business, financial condition, results of operations, cash flows and liquidity.</w:t>
      </w:r>
    </w:p>
    <w:p>
      <w:pPr>
        <w:spacing w:after="0" w:line="99"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Important factors and uncertainties that could cause our actual results to differ materially from those in our forward-looking statements include, but are not limited to: the competitiveness of the markets in which we operate and our ability to renew commercial and government contracts, including contracts awarded through competitive bidding processes; our ability to recover capital and other investments in connection with our contracts; risk and impact of geopolitical events and increasing geopolitical tensions (such as the war in the Ukraine and conflict in the Middle East), macroeconomic conditions, natural disasters and other factors in a particular country or region on our workforce, customers and vendors; our reliance on third-party providers; our ability to deliver on our contractual obligations properly and on time; changes in interest in outsourced business process services;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risks related to our use of artificial intelligence ("AI");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developments in various contingent liabilities that are not reflected on our balance sheet, including those arising as a result of being involved in a variety of claims, lawsuits, investigations and proceedings; risks related to recently completed divestitures including the (i) transfer of the Company’s BenefitWallet’s health savings account, medical savings account and flexible spending account portfolio, (ii) the sale of the Company’s Curbside Management and Public Safety Solutions businesses and (iii) the sale of the Company's Casualty Claims Solutions business, including but not limited to the Company’s ability to realize the benefits anticipated from such transactions, unexpected costs, liabilities or delays in connection with such transactions, and the significant transaction costs associated with such transactions; government appropriations and termination rights contained in our government contracts; risk and impact of potential goodwill and other asset impairments;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and other payments from our subsidiaries; and other factors that are set forth in the “Risk Factors” section, the “Legal Proceedings” section, the “Management's Discussion and Analysis of Financial Condition and Results of Operations” section and other sections of this Form 10-K, as well as in our Quarterly Reports on Form 10-Q and Current Reports on Form 8-K filed with the Securities and Exchange Commission (the "SEC"). Any forward-looking statements made by us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27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 w:name="page4"/>
    <w:bookmarkEnd w:id="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CONDUENT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FORM 10-K</w:t>
      </w:r>
    </w:p>
    <w:p>
      <w:pPr>
        <w:spacing w:after="0"/>
        <w:rPr>
          <w:sz w:val="20"/>
          <w:szCs w:val="20"/>
          <w:color w:val="auto"/>
        </w:rPr>
      </w:pPr>
      <w:r>
        <w:rPr>
          <w:rFonts w:ascii="Arial" w:cs="Arial" w:eastAsia="Arial" w:hAnsi="Arial"/>
          <w:sz w:val="14"/>
          <w:szCs w:val="14"/>
          <w:b w:val="1"/>
          <w:bCs w:val="1"/>
          <w:color w:val="0066CC"/>
        </w:rPr>
        <w:t>December 31, 2024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TABLE OF CONTENTS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20" w:type="dxa"/>
            <w:vAlign w:val="bottom"/>
            <w:shd w:val="clear" w:color="auto" w:fill="CCEEFF"/>
          </w:tcPr>
          <w:p>
            <w:pPr>
              <w:spacing w:after="0"/>
              <w:rPr>
                <w:sz w:val="14"/>
                <w:szCs w:val="14"/>
                <w:color w:val="auto"/>
              </w:rPr>
            </w:pPr>
          </w:p>
        </w:tc>
        <w:tc>
          <w:tcPr>
            <w:tcW w:w="85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3051F2"/>
              </w:rPr>
              <w:t>Page</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b w:val="1"/>
                <w:bCs w:val="1"/>
                <w:color w:val="3051F2"/>
              </w:rPr>
              <w:t>Part I</w:t>
            </w:r>
          </w:p>
        </w:tc>
        <w:tc>
          <w:tcPr>
            <w:tcW w:w="85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Business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3</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1A.</w:t>
            </w:r>
          </w:p>
        </w:tc>
        <w:tc>
          <w:tcPr>
            <w:tcW w:w="8560" w:type="dxa"/>
            <w:vAlign w:val="bottom"/>
          </w:tcPr>
          <w:p>
            <w:pPr>
              <w:ind w:left="240"/>
              <w:spacing w:after="0"/>
              <w:rPr>
                <w:sz w:val="20"/>
                <w:szCs w:val="20"/>
                <w:color w:val="auto"/>
              </w:rPr>
            </w:pPr>
            <w:r>
              <w:rPr>
                <w:rFonts w:ascii="Arial" w:cs="Arial" w:eastAsia="Arial" w:hAnsi="Arial"/>
                <w:sz w:val="14"/>
                <w:szCs w:val="14"/>
                <w:color w:val="0000FF"/>
              </w:rPr>
              <w:t>Risk Factors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15</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1B.</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Unresolved Staff Comments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27</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1C.</w:t>
            </w:r>
          </w:p>
        </w:tc>
        <w:tc>
          <w:tcPr>
            <w:tcW w:w="8560" w:type="dxa"/>
            <w:vAlign w:val="bottom"/>
          </w:tcPr>
          <w:p>
            <w:pPr>
              <w:ind w:left="240"/>
              <w:spacing w:after="0"/>
              <w:rPr>
                <w:sz w:val="20"/>
                <w:szCs w:val="20"/>
                <w:color w:val="auto"/>
              </w:rPr>
            </w:pPr>
            <w:r>
              <w:rPr>
                <w:rFonts w:ascii="Arial" w:cs="Arial" w:eastAsia="Arial" w:hAnsi="Arial"/>
                <w:sz w:val="14"/>
                <w:szCs w:val="14"/>
                <w:color w:val="0000FF"/>
              </w:rPr>
              <w:t>Cybersecurity Matters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27</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2.</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Properties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29</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3.</w:t>
            </w:r>
          </w:p>
        </w:tc>
        <w:tc>
          <w:tcPr>
            <w:tcW w:w="8560" w:type="dxa"/>
            <w:vAlign w:val="bottom"/>
          </w:tcPr>
          <w:p>
            <w:pPr>
              <w:ind w:left="240"/>
              <w:spacing w:after="0"/>
              <w:rPr>
                <w:sz w:val="20"/>
                <w:szCs w:val="20"/>
                <w:color w:val="auto"/>
              </w:rPr>
            </w:pPr>
            <w:r>
              <w:rPr>
                <w:rFonts w:ascii="Arial" w:cs="Arial" w:eastAsia="Arial" w:hAnsi="Arial"/>
                <w:sz w:val="14"/>
                <w:szCs w:val="14"/>
                <w:color w:val="0000FF"/>
              </w:rPr>
              <w:t>Legal Proceedings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29</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4.</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Mine Safety Disclosures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29</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b w:val="1"/>
                <w:bCs w:val="1"/>
                <w:color w:val="0000FF"/>
              </w:rPr>
              <w:t>Part II</w:t>
            </w:r>
          </w:p>
        </w:tc>
        <w:tc>
          <w:tcPr>
            <w:tcW w:w="85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5.</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Market for the Registrant's Common Equity, Related Stockholder Matters and Issuer Purchases of Equity Securities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30</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6.</w:t>
            </w:r>
          </w:p>
        </w:tc>
        <w:tc>
          <w:tcPr>
            <w:tcW w:w="8560" w:type="dxa"/>
            <w:vAlign w:val="bottom"/>
          </w:tcPr>
          <w:p>
            <w:pPr>
              <w:ind w:left="240"/>
              <w:spacing w:after="0"/>
              <w:rPr>
                <w:sz w:val="20"/>
                <w:szCs w:val="20"/>
                <w:color w:val="auto"/>
              </w:rPr>
            </w:pPr>
            <w:r>
              <w:rPr>
                <w:rFonts w:ascii="Arial" w:cs="Arial" w:eastAsia="Arial" w:hAnsi="Arial"/>
                <w:sz w:val="14"/>
                <w:szCs w:val="14"/>
                <w:color w:val="0000FF"/>
              </w:rPr>
              <w:t>[RESERVED]</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31</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7.</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31</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7A.</w:t>
            </w:r>
          </w:p>
        </w:tc>
        <w:tc>
          <w:tcPr>
            <w:tcW w:w="8560" w:type="dxa"/>
            <w:vAlign w:val="bottom"/>
          </w:tcPr>
          <w:p>
            <w:pPr>
              <w:ind w:left="240"/>
              <w:spacing w:after="0"/>
              <w:rPr>
                <w:sz w:val="20"/>
                <w:szCs w:val="20"/>
                <w:color w:val="auto"/>
              </w:rPr>
            </w:pPr>
            <w:r>
              <w:rPr>
                <w:rFonts w:ascii="Arial" w:cs="Arial" w:eastAsia="Arial" w:hAnsi="Arial"/>
                <w:sz w:val="14"/>
                <w:szCs w:val="14"/>
                <w:color w:val="0000FF"/>
              </w:rPr>
              <w:t>Quantitative and Qualitative Disclosures About Market Risk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47</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8.</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Financial Statements and Supplementary Data</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48</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9.</w:t>
            </w:r>
          </w:p>
        </w:tc>
        <w:tc>
          <w:tcPr>
            <w:tcW w:w="8560" w:type="dxa"/>
            <w:vAlign w:val="bottom"/>
          </w:tcPr>
          <w:p>
            <w:pPr>
              <w:ind w:left="240"/>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91</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9A.</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Controls and Procedures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91</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9B.</w:t>
            </w:r>
          </w:p>
        </w:tc>
        <w:tc>
          <w:tcPr>
            <w:tcW w:w="8560" w:type="dxa"/>
            <w:vAlign w:val="bottom"/>
          </w:tcPr>
          <w:p>
            <w:pPr>
              <w:ind w:left="240"/>
              <w:spacing w:after="0"/>
              <w:rPr>
                <w:sz w:val="20"/>
                <w:szCs w:val="20"/>
                <w:color w:val="auto"/>
              </w:rPr>
            </w:pPr>
            <w:r>
              <w:rPr>
                <w:rFonts w:ascii="Arial" w:cs="Arial" w:eastAsia="Arial" w:hAnsi="Arial"/>
                <w:sz w:val="14"/>
                <w:szCs w:val="14"/>
                <w:color w:val="0000FF"/>
              </w:rPr>
              <w:t>Other Information</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92</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9C.</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92</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b w:val="1"/>
                <w:bCs w:val="1"/>
                <w:color w:val="0000FF"/>
              </w:rPr>
              <w:t>Part III</w:t>
            </w:r>
          </w:p>
        </w:tc>
        <w:tc>
          <w:tcPr>
            <w:tcW w:w="85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10.</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Directors, Executive Officers and Corporate Governance</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92</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11.</w:t>
            </w:r>
          </w:p>
        </w:tc>
        <w:tc>
          <w:tcPr>
            <w:tcW w:w="8560" w:type="dxa"/>
            <w:vAlign w:val="bottom"/>
          </w:tcPr>
          <w:p>
            <w:pPr>
              <w:ind w:left="240"/>
              <w:spacing w:after="0"/>
              <w:rPr>
                <w:sz w:val="20"/>
                <w:szCs w:val="20"/>
                <w:color w:val="auto"/>
              </w:rPr>
            </w:pPr>
            <w:r>
              <w:rPr>
                <w:rFonts w:ascii="Arial" w:cs="Arial" w:eastAsia="Arial" w:hAnsi="Arial"/>
                <w:sz w:val="14"/>
                <w:szCs w:val="14"/>
                <w:color w:val="0000FF"/>
              </w:rPr>
              <w:t>Executive Compensation</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93</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12.</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93</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13.</w:t>
            </w:r>
          </w:p>
        </w:tc>
        <w:tc>
          <w:tcPr>
            <w:tcW w:w="8560" w:type="dxa"/>
            <w:vAlign w:val="bottom"/>
          </w:tcPr>
          <w:p>
            <w:pPr>
              <w:ind w:left="240"/>
              <w:spacing w:after="0"/>
              <w:rPr>
                <w:sz w:val="20"/>
                <w:szCs w:val="20"/>
                <w:color w:val="auto"/>
              </w:rPr>
            </w:pPr>
            <w:r>
              <w:rPr>
                <w:rFonts w:ascii="Arial" w:cs="Arial" w:eastAsia="Arial" w:hAnsi="Arial"/>
                <w:sz w:val="14"/>
                <w:szCs w:val="14"/>
                <w:color w:val="0000FF"/>
              </w:rPr>
              <w:t>Certain Relationships, Related Transactions and Director Independence</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93</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14.</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Principal Accountant Fees and Services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93</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b w:val="1"/>
                <w:bCs w:val="1"/>
                <w:color w:val="0000FF"/>
              </w:rPr>
              <w:t>Part IV</w:t>
            </w:r>
          </w:p>
        </w:tc>
        <w:tc>
          <w:tcPr>
            <w:tcW w:w="85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15.</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Exhibits and Financial Statement Schedules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93</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16.</w:t>
            </w:r>
          </w:p>
        </w:tc>
        <w:tc>
          <w:tcPr>
            <w:tcW w:w="8560" w:type="dxa"/>
            <w:vAlign w:val="bottom"/>
          </w:tcPr>
          <w:p>
            <w:pPr>
              <w:ind w:left="240"/>
              <w:spacing w:after="0"/>
              <w:rPr>
                <w:sz w:val="20"/>
                <w:szCs w:val="20"/>
                <w:color w:val="auto"/>
              </w:rPr>
            </w:pPr>
            <w:r>
              <w:rPr>
                <w:rFonts w:ascii="Arial" w:cs="Arial" w:eastAsia="Arial" w:hAnsi="Arial"/>
                <w:sz w:val="14"/>
                <w:szCs w:val="14"/>
                <w:color w:val="0000FF"/>
              </w:rPr>
              <w:t>Form 10-K Summary</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94</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0000FF"/>
              </w:rPr>
              <w:t>Exhibit Index</w:t>
            </w:r>
          </w:p>
        </w:tc>
        <w:tc>
          <w:tcPr>
            <w:tcW w:w="85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95</w:t>
            </w:r>
          </w:p>
        </w:tc>
      </w:tr>
      <w:tr>
        <w:trPr>
          <w:trHeight w:val="192"/>
        </w:trPr>
        <w:tc>
          <w:tcPr>
            <w:tcW w:w="1120" w:type="dxa"/>
            <w:vAlign w:val="bottom"/>
          </w:tcPr>
          <w:p>
            <w:pPr>
              <w:ind w:left="20"/>
              <w:spacing w:after="0"/>
              <w:rPr>
                <w:sz w:val="20"/>
                <w:szCs w:val="20"/>
                <w:color w:val="auto"/>
              </w:rPr>
            </w:pPr>
            <w:r>
              <w:rPr>
                <w:rFonts w:ascii="Arial" w:cs="Arial" w:eastAsia="Arial" w:hAnsi="Arial"/>
                <w:sz w:val="14"/>
                <w:szCs w:val="14"/>
                <w:b w:val="1"/>
                <w:bCs w:val="1"/>
                <w:color w:val="0000FF"/>
              </w:rPr>
              <w:t>Signatures</w:t>
            </w:r>
          </w:p>
        </w:tc>
        <w:tc>
          <w:tcPr>
            <w:tcW w:w="85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 w:name="page5"/>
    <w:bookmarkEnd w:id="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 BUSINESS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In this Form 10-K, unless the content otherwise dictates, "Conduent", the "Company", "we" or "our" mean Conduent Incorporated and its consolidated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Business</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We deliver digital business solutions and services spanning the commercial, government and transportation spectrum – creating valuable outcomes for our clients and the millions of people who count on them. We leverage cloud computing, artificial intelligence ("AI"), machine learning, automation and advanced analytics to deliver mission-critical solutions. Through a dedicated global team of approximately 56,000 associates, process expertise and advanced technologies, our solutions and services digitally transform our clients’ operations to enhance customer experiences, improve performance, increase efficiencies and reduce costs. </w:t>
      </w:r>
    </w:p>
    <w:p>
      <w:pPr>
        <w:spacing w:after="0" w:line="97"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Conduent is a diverse, global company with a portfolio of assets spanning both the commercial and public sectors. Our unique set of solutions and services are utilized by some of the largest corporations, governments and public sector agencies across multiple industries and geographies to deliver end-user excellence at scale and business process efficiencies with state-of-the-art, proprietary technology. Each day, our solutions and services interact in the lives of millions of people in many ways - from safer, more seamless commutes that reduce congestion to streamlined benefits enrollment, digital payments, customer experiences and government healthcare claims. Conduent’s uniqueness, loyalty and dedication to service make for a future of robust value creation and growth.</w:t>
      </w:r>
    </w:p>
    <w:p>
      <w:pPr>
        <w:spacing w:after="0" w:line="100"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Our commercial portfolio includes technology-led solutions driving efficiencies and enhanced end-user experiences across multiple industries in attractive growth markets, including customer experience management, finance and accounting, digital and document solutions, banking, healthcare and human capital solutions. In the commercial market, competitive pressures are driving demand for increased productivity, efficiency and modern digital experiences, and these needs favor end-to-end solutions and outsourcing where we have an advantage. In addition, increasing globalization and the proliferation of AI-enabled solutions and applications creates opportunities we are poised to capitalize on. Our people, process expertise and technology elevate client outcomes every day. In 2024, we managed approximately 2.3 billion customer service interactions, captured and classified 10 billion documents and claims and supported millions of employees with human resource ("HR") services.</w:t>
      </w:r>
    </w:p>
    <w:p>
      <w:pPr>
        <w:spacing w:after="0" w:line="99"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We serve a substantial portion of the public sector, providing market-leading government and transportation offerings that streamline enrollment and automate claims for government-funded programs such as Medicaid and accurately deliver benefits payments that residents depend on every day and seamlessly move travelers.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government portfolio includes government healthcare, eligibility and enrollment solutions, digital payments and child support payments, ensuring efficient Medicaid healthcare claims processing and delivery of benefits to the most vulnerable populations. Our solutions help state agencies determine eligibility, streamline enrollment, adjudicate claims and meet modularity mandates for government-funded healthcare programs. We also deliver government-distributed payments seamlessly and securely utilizing our proprietary software and expertise. In 2024, we processed nearly 450 million Medicaid claims and disbursed approximately $85 billion in government benefit payments.</w:t>
      </w:r>
    </w:p>
    <w:p>
      <w:pPr>
        <w:spacing w:after="0" w:line="97" w:lineRule="exact"/>
        <w:rPr>
          <w:sz w:val="20"/>
          <w:szCs w:val="20"/>
          <w:color w:val="auto"/>
        </w:rPr>
      </w:pPr>
    </w:p>
    <w:p>
      <w:pPr>
        <w:jc w:val="both"/>
        <w:ind w:right="180"/>
        <w:spacing w:after="0" w:line="265" w:lineRule="auto"/>
        <w:rPr>
          <w:sz w:val="20"/>
          <w:szCs w:val="20"/>
          <w:color w:val="auto"/>
        </w:rPr>
      </w:pPr>
      <w:r>
        <w:rPr>
          <w:rFonts w:ascii="Arial" w:cs="Arial" w:eastAsia="Arial" w:hAnsi="Arial"/>
          <w:sz w:val="14"/>
          <w:szCs w:val="14"/>
          <w:color w:val="auto"/>
        </w:rPr>
        <w:t>Our transportation portfolio includes public transit and road usage charging solutions that streamline operations, increase revenue and reduce congestion while enabling safer, more seamless travel with reduced environmental impact. We help transportation agencies collect payments, manage operations, equipment and servicing, and enable digital transactions for transit and road usage charging globally, processing over 13 million tolling transactions every day while helping to reduce congestion.</w:t>
      </w:r>
    </w:p>
    <w:p>
      <w:pPr>
        <w:spacing w:after="0" w:line="92"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With approximately 56,000 associates globally as of December 31, 2024, we are dedicated to our clients' success. Each day, our people and our digital business solutions and services serve millions of end users on behalf of our clients.</w:t>
      </w:r>
    </w:p>
    <w:p>
      <w:pPr>
        <w:spacing w:after="0" w:line="80"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Of our global team, nearly 40% is in North America with the remainder located primarily in our delivery centers in Asia Pacific, Latin America, the Caribbean and Europe. We continue to be recognized for our commitment to fostering a culture of belonging and inclusion.</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 w:name="page6"/>
    <w:bookmarkEnd w:id="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In line with our strategic initiatives, as discussed in Part II, Item 8, Note 4 – Divestitures and Assets/Liabilities Held for Sale of this Form 10-K, we transferred or sold certain portfolios and businesses in 2024. These include our BenefitWallet health savings account and medical savings account portfolio (collectively, the "BenefitWallet Portfolio"), our Curbside Management and Public Safety Solutions businesses and our Casualty Claims Solutions business.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Strategic Focus</w:t>
      </w:r>
    </w:p>
    <w:p>
      <w:pPr>
        <w:spacing w:after="0" w:line="131"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Our aim is to be the technology-led business solutions partner of choice for businesses and governments globally. To achieve this, we focus on delivering outcomes across three critical dimensions: Growth, Efficiency and Quality. Our strategy is designed to deliver shareholder value by creating profitable growth, expanding operating margins, identifying process efficiencies and employing a disciplined capital allocation strategy.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have identified specific execution strategies and key performance indicators across Growth, Efficiency and Quality.</w:t>
      </w:r>
    </w:p>
    <w:p>
      <w:pPr>
        <w:spacing w:after="0" w:line="131" w:lineRule="exact"/>
        <w:rPr>
          <w:sz w:val="20"/>
          <w:szCs w:val="20"/>
          <w:color w:val="auto"/>
        </w:rPr>
      </w:pPr>
    </w:p>
    <w:p>
      <w:pPr>
        <w:ind w:right="420"/>
        <w:spacing w:after="0" w:line="282" w:lineRule="auto"/>
        <w:rPr>
          <w:sz w:val="20"/>
          <w:szCs w:val="20"/>
          <w:color w:val="auto"/>
        </w:rPr>
      </w:pPr>
      <w:r>
        <w:rPr>
          <w:rFonts w:ascii="Arial" w:cs="Arial" w:eastAsia="Arial" w:hAnsi="Arial"/>
          <w:sz w:val="14"/>
          <w:szCs w:val="14"/>
          <w:b w:val="1"/>
          <w:bCs w:val="1"/>
          <w:color w:val="auto"/>
        </w:rPr>
        <w:t>Growth</w:t>
      </w:r>
      <w:r>
        <w:rPr>
          <w:rFonts w:ascii="Arial" w:cs="Arial" w:eastAsia="Arial" w:hAnsi="Arial"/>
          <w:sz w:val="14"/>
          <w:szCs w:val="14"/>
          <w:color w:val="auto"/>
        </w:rPr>
        <w:t>: Our opportunity for growth stems from understanding our clients’ businesses and driving valuable outcomes to help them reduce costs, improve efficiencies and elevate</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 experiences. To capitalize on growth opportunities, we remain focused on several key strategies:</w:t>
      </w:r>
    </w:p>
    <w:p>
      <w:pPr>
        <w:spacing w:after="0" w:line="80" w:lineRule="exact"/>
        <w:rPr>
          <w:sz w:val="20"/>
          <w:szCs w:val="20"/>
          <w:color w:val="auto"/>
        </w:rPr>
      </w:pPr>
    </w:p>
    <w:p>
      <w:pPr>
        <w:ind w:left="500" w:right="140" w:hanging="247"/>
        <w:spacing w:after="0" w:line="265"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Sales Performance Optimization</w:t>
      </w:r>
      <w:r>
        <w:rPr>
          <w:rFonts w:ascii="Arial" w:cs="Arial" w:eastAsia="Arial" w:hAnsi="Arial"/>
          <w:sz w:val="14"/>
          <w:szCs w:val="14"/>
          <w:color w:val="auto"/>
        </w:rPr>
        <w:t>: We continue to optimize sales training, talent, processes and account management to strengthen client and prospect relationships to gain</w:t>
      </w:r>
      <w:r>
        <w:rPr>
          <w:rFonts w:ascii="Arial" w:cs="Arial" w:eastAsia="Arial" w:hAnsi="Arial"/>
          <w:sz w:val="14"/>
          <w:szCs w:val="14"/>
          <w:b w:val="1"/>
          <w:bCs w:val="1"/>
          <w:color w:val="auto"/>
        </w:rPr>
        <w:t xml:space="preserve"> </w:t>
      </w:r>
      <w:r>
        <w:rPr>
          <w:rFonts w:ascii="Arial" w:cs="Arial" w:eastAsia="Arial" w:hAnsi="Arial"/>
          <w:sz w:val="14"/>
          <w:szCs w:val="14"/>
          <w:color w:val="auto"/>
        </w:rPr>
        <w:t>more selling opportunities both with new clients as well as greater share of wallet with existing clients. Our team’s talent and dedication has resulted in Conduent serving 48 states, nearly half of the Fortune 100 companies and other leading companies, including:</w:t>
      </w:r>
    </w:p>
    <w:p>
      <w:pPr>
        <w:spacing w:after="0" w:line="91"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9 of the top 10 U.S. health insurers;</w:t>
      </w:r>
    </w:p>
    <w:p>
      <w:pPr>
        <w:spacing w:after="0" w:line="19"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6 of the top 10 pharma companies;</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4 of the top 5 automakers; and</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6 of the top 10 U.S. banks.</w:t>
      </w:r>
    </w:p>
    <w:p>
      <w:pPr>
        <w:spacing w:after="0" w:line="116" w:lineRule="exact"/>
        <w:rPr>
          <w:rFonts w:ascii="Arial" w:cs="Arial" w:eastAsia="Arial" w:hAnsi="Arial"/>
          <w:sz w:val="14"/>
          <w:szCs w:val="14"/>
          <w:color w:val="auto"/>
        </w:rPr>
      </w:pPr>
    </w:p>
    <w:p>
      <w:pPr>
        <w:ind w:left="500" w:right="100" w:hanging="247"/>
        <w:spacing w:after="0" w:line="265"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Offering Development</w:t>
      </w:r>
      <w:r>
        <w:rPr>
          <w:rFonts w:ascii="Arial" w:cs="Arial" w:eastAsia="Arial" w:hAnsi="Arial"/>
          <w:sz w:val="14"/>
          <w:szCs w:val="14"/>
          <w:color w:val="auto"/>
        </w:rPr>
        <w:t>: We continue to augment our portfolio of services and solutions with innovative technology capabilities, including cloud, data analytics, automation</w:t>
      </w:r>
      <w:r>
        <w:rPr>
          <w:rFonts w:ascii="Arial" w:cs="Arial" w:eastAsia="Arial" w:hAnsi="Arial"/>
          <w:sz w:val="14"/>
          <w:szCs w:val="14"/>
          <w:b w:val="1"/>
          <w:bCs w:val="1"/>
          <w:color w:val="auto"/>
        </w:rPr>
        <w:t xml:space="preserve"> </w:t>
      </w:r>
      <w:r>
        <w:rPr>
          <w:rFonts w:ascii="Arial" w:cs="Arial" w:eastAsia="Arial" w:hAnsi="Arial"/>
          <w:sz w:val="14"/>
          <w:szCs w:val="14"/>
          <w:color w:val="auto"/>
        </w:rPr>
        <w:t>tools, generative AI ("GenAI")/ AI, digital payments and machine learning capabilities to create differentiated, high-value solutions for our clients, operate efficiently and enable greater penetration of attractive market segments.</w:t>
      </w:r>
    </w:p>
    <w:p>
      <w:pPr>
        <w:spacing w:after="0" w:line="92"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In 2024, our existing clients renewed contracts with us and gave us more business in adjacent service lines and we also gained new clients. We measure success in “Growth” through revenue retention, our net Annual Recurring Revenue ("ARR") activity metric and new business signings, among other metrics.</w:t>
      </w:r>
    </w:p>
    <w:p>
      <w:pPr>
        <w:spacing w:after="0" w:line="80"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b w:val="1"/>
          <w:bCs w:val="1"/>
          <w:color w:val="auto"/>
        </w:rPr>
        <w:t>Efficiency</w:t>
      </w:r>
      <w:r>
        <w:rPr>
          <w:rFonts w:ascii="Arial" w:cs="Arial" w:eastAsia="Arial" w:hAnsi="Arial"/>
          <w:sz w:val="14"/>
          <w:szCs w:val="14"/>
          <w:color w:val="auto"/>
        </w:rPr>
        <w:t>: We continue to identify ways to reduce costs and create new efficiencies. We have simplified and standardized our operating model by removing redundant management</w:t>
      </w:r>
      <w:r>
        <w:rPr>
          <w:rFonts w:ascii="Arial" w:cs="Arial" w:eastAsia="Arial" w:hAnsi="Arial"/>
          <w:sz w:val="14"/>
          <w:szCs w:val="14"/>
          <w:b w:val="1"/>
          <w:bCs w:val="1"/>
          <w:color w:val="auto"/>
        </w:rPr>
        <w:t xml:space="preserve"> </w:t>
      </w:r>
      <w:r>
        <w:rPr>
          <w:rFonts w:ascii="Arial" w:cs="Arial" w:eastAsia="Arial" w:hAnsi="Arial"/>
          <w:sz w:val="14"/>
          <w:szCs w:val="14"/>
          <w:color w:val="auto"/>
        </w:rPr>
        <w:t>layers and applying processes that enable faster decision-making and greater transparency and accountability. In addition, we aim to achieve additional efficiencies through the following strategies:</w:t>
      </w:r>
    </w:p>
    <w:p>
      <w:pPr>
        <w:spacing w:after="0" w:line="92" w:lineRule="exact"/>
        <w:rPr>
          <w:sz w:val="20"/>
          <w:szCs w:val="20"/>
          <w:color w:val="auto"/>
        </w:rPr>
      </w:pPr>
    </w:p>
    <w:p>
      <w:pPr>
        <w:ind w:left="500" w:right="120" w:hanging="247"/>
        <w:spacing w:after="0" w:line="256" w:lineRule="auto"/>
        <w:tabs>
          <w:tab w:leader="none" w:pos="49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AI and Automation</w:t>
      </w:r>
      <w:r>
        <w:rPr>
          <w:rFonts w:ascii="Arial" w:cs="Arial" w:eastAsia="Arial" w:hAnsi="Arial"/>
          <w:sz w:val="14"/>
          <w:szCs w:val="14"/>
          <w:color w:val="auto"/>
        </w:rPr>
        <w:t>: We will continue to invest in embedding GenAI/AI and intelligent process automation into existing operations, including automated document</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fraud prevention and detection, claims adjudication and customer experience. Our automation tools increase productivity through advanced data extraction and handling of structured and unstructured data, improve workflow efficiency through business rules and task automation and increase operational accuracy through predictive analytics. In 2024, we launched a dedicated GenAI program with over 20 prioritized use cases to help drive quality, efficiency and faster cycle times in our clients' operations, as well as formed a GenAI innovation initiative with Microsoft.</w:t>
      </w:r>
    </w:p>
    <w:p>
      <w:pPr>
        <w:spacing w:after="0" w:line="99" w:lineRule="exact"/>
        <w:rPr>
          <w:rFonts w:ascii="Arial" w:cs="Arial" w:eastAsia="Arial" w:hAnsi="Arial"/>
          <w:sz w:val="14"/>
          <w:szCs w:val="14"/>
          <w:color w:val="auto"/>
        </w:rPr>
      </w:pPr>
    </w:p>
    <w:p>
      <w:pPr>
        <w:ind w:left="500" w:right="40" w:hanging="247"/>
        <w:spacing w:after="0" w:line="265" w:lineRule="auto"/>
        <w:tabs>
          <w:tab w:leader="none" w:pos="49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Delivery Optimization</w:t>
      </w:r>
      <w:r>
        <w:rPr>
          <w:rFonts w:ascii="Arial" w:cs="Arial" w:eastAsia="Arial" w:hAnsi="Arial"/>
          <w:sz w:val="14"/>
          <w:szCs w:val="14"/>
          <w:color w:val="auto"/>
        </w:rPr>
        <w:t>: We continue to operate more efficiently through common processes with a shared services model that enables economies of scale and creates greater</w:t>
      </w:r>
      <w:r>
        <w:rPr>
          <w:rFonts w:ascii="Arial" w:cs="Arial" w:eastAsia="Arial" w:hAnsi="Arial"/>
          <w:sz w:val="14"/>
          <w:szCs w:val="14"/>
          <w:b w:val="1"/>
          <w:bCs w:val="1"/>
          <w:color w:val="auto"/>
        </w:rPr>
        <w:t xml:space="preserve"> </w:t>
      </w:r>
      <w:r>
        <w:rPr>
          <w:rFonts w:ascii="Arial" w:cs="Arial" w:eastAsia="Arial" w:hAnsi="Arial"/>
          <w:sz w:val="14"/>
          <w:szCs w:val="14"/>
          <w:color w:val="auto"/>
        </w:rPr>
        <w:t>accountability for client performance. We drive progress through continuous process improvement and capitalizing on a range of staffing models, including flexible work from home and hybrid work and optimizing our geographic footprint.</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 w:name="page7"/>
    <w:bookmarkEnd w:id="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ind w:right="240"/>
        <w:spacing w:after="0" w:line="265" w:lineRule="auto"/>
        <w:rPr>
          <w:sz w:val="20"/>
          <w:szCs w:val="20"/>
          <w:color w:val="auto"/>
        </w:rPr>
      </w:pPr>
      <w:r>
        <w:rPr>
          <w:rFonts w:ascii="Arial" w:cs="Arial" w:eastAsia="Arial" w:hAnsi="Arial"/>
          <w:sz w:val="14"/>
          <w:szCs w:val="14"/>
          <w:color w:val="auto"/>
        </w:rPr>
        <w:t>We continue to respond with agility to clients’ shifting needs as reflected in our Net Promoter Score ("NPS"), which has increased by 38 points since becoming Conduent in 2017. In addition, for our top 20 clients, the average tenure is 20 years of partnership, including the period before becoming Conduent. We measure success in Efficiency through associate retention and adjusted earnings before interest, taxes, depreciation and amortization ("Adjusted EBITDA") margin, among other metrics.</w:t>
      </w:r>
    </w:p>
    <w:p>
      <w:pPr>
        <w:spacing w:after="0" w:line="92" w:lineRule="exact"/>
        <w:rPr>
          <w:sz w:val="20"/>
          <w:szCs w:val="20"/>
          <w:color w:val="auto"/>
        </w:rPr>
      </w:pPr>
    </w:p>
    <w:p>
      <w:pPr>
        <w:ind w:right="400"/>
        <w:spacing w:after="0" w:line="282" w:lineRule="auto"/>
        <w:rPr>
          <w:sz w:val="20"/>
          <w:szCs w:val="20"/>
          <w:color w:val="auto"/>
        </w:rPr>
      </w:pPr>
      <w:r>
        <w:rPr>
          <w:rFonts w:ascii="Arial" w:cs="Arial" w:eastAsia="Arial" w:hAnsi="Arial"/>
          <w:sz w:val="14"/>
          <w:szCs w:val="14"/>
          <w:b w:val="1"/>
          <w:bCs w:val="1"/>
          <w:color w:val="auto"/>
        </w:rPr>
        <w:t>Quality</w:t>
      </w:r>
      <w:r>
        <w:rPr>
          <w:rFonts w:ascii="Arial" w:cs="Arial" w:eastAsia="Arial" w:hAnsi="Arial"/>
          <w:sz w:val="14"/>
          <w:szCs w:val="14"/>
          <w:color w:val="auto"/>
        </w:rPr>
        <w:t>: Our clients depend on stable, high-quality service delivery. We continue to drive progress by increasing system uptime, improving operational stability and creating client</w:t>
      </w:r>
      <w:r>
        <w:rPr>
          <w:rFonts w:ascii="Arial" w:cs="Arial" w:eastAsia="Arial" w:hAnsi="Arial"/>
          <w:sz w:val="14"/>
          <w:szCs w:val="14"/>
          <w:b w:val="1"/>
          <w:bCs w:val="1"/>
          <w:color w:val="auto"/>
        </w:rPr>
        <w:t xml:space="preserve"> </w:t>
      </w:r>
      <w:r>
        <w:rPr>
          <w:rFonts w:ascii="Arial" w:cs="Arial" w:eastAsia="Arial" w:hAnsi="Arial"/>
          <w:sz w:val="14"/>
          <w:szCs w:val="14"/>
          <w:color w:val="auto"/>
        </w:rPr>
        <w:t>confidence and satisfaction by focusing on the following strategies:</w:t>
      </w:r>
    </w:p>
    <w:p>
      <w:pPr>
        <w:spacing w:after="0" w:line="80" w:lineRule="exact"/>
        <w:rPr>
          <w:sz w:val="20"/>
          <w:szCs w:val="20"/>
          <w:color w:val="auto"/>
        </w:rPr>
      </w:pPr>
    </w:p>
    <w:p>
      <w:pPr>
        <w:ind w:left="500" w:right="420" w:hanging="247"/>
        <w:spacing w:after="0" w:line="282" w:lineRule="auto"/>
        <w:tabs>
          <w:tab w:leader="none" w:pos="496"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Proactive, Real-time Monitoring of Applications and Service Performance</w:t>
      </w:r>
      <w:r>
        <w:rPr>
          <w:rFonts w:ascii="Arial" w:cs="Arial" w:eastAsia="Arial" w:hAnsi="Arial"/>
          <w:sz w:val="14"/>
          <w:szCs w:val="14"/>
          <w:color w:val="auto"/>
        </w:rPr>
        <w:t>: We continue to invest in AI and machine learning technologies to proactively monitor and</w:t>
      </w:r>
      <w:r>
        <w:rPr>
          <w:rFonts w:ascii="Arial" w:cs="Arial" w:eastAsia="Arial" w:hAnsi="Arial"/>
          <w:sz w:val="14"/>
          <w:szCs w:val="14"/>
          <w:b w:val="1"/>
          <w:bCs w:val="1"/>
          <w:color w:val="auto"/>
        </w:rPr>
        <w:t xml:space="preserve"> </w:t>
      </w:r>
      <w:r>
        <w:rPr>
          <w:rFonts w:ascii="Arial" w:cs="Arial" w:eastAsia="Arial" w:hAnsi="Arial"/>
          <w:sz w:val="14"/>
          <w:szCs w:val="14"/>
          <w:color w:val="auto"/>
        </w:rPr>
        <w:t>prevent incidents.</w:t>
      </w:r>
    </w:p>
    <w:p>
      <w:pPr>
        <w:spacing w:after="0" w:line="80" w:lineRule="exact"/>
        <w:rPr>
          <w:rFonts w:ascii="Arial" w:cs="Arial" w:eastAsia="Arial" w:hAnsi="Arial"/>
          <w:sz w:val="14"/>
          <w:szCs w:val="14"/>
          <w:color w:val="auto"/>
        </w:rPr>
      </w:pPr>
    </w:p>
    <w:p>
      <w:pPr>
        <w:ind w:left="500" w:right="260" w:hanging="247"/>
        <w:spacing w:after="0" w:line="282" w:lineRule="auto"/>
        <w:tabs>
          <w:tab w:leader="none" w:pos="496"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Data Center Optimization</w:t>
      </w:r>
      <w:r>
        <w:rPr>
          <w:rFonts w:ascii="Arial" w:cs="Arial" w:eastAsia="Arial" w:hAnsi="Arial"/>
          <w:sz w:val="14"/>
          <w:szCs w:val="14"/>
          <w:color w:val="auto"/>
        </w:rPr>
        <w:t>: We have systematically consolidated the majority of our technology infrastructure into two primary data centers leading to increased processing</w:t>
      </w:r>
      <w:r>
        <w:rPr>
          <w:rFonts w:ascii="Arial" w:cs="Arial" w:eastAsia="Arial" w:hAnsi="Arial"/>
          <w:sz w:val="14"/>
          <w:szCs w:val="14"/>
          <w:b w:val="1"/>
          <w:bCs w:val="1"/>
          <w:color w:val="auto"/>
        </w:rPr>
        <w:t xml:space="preserve"> </w:t>
      </w:r>
      <w:r>
        <w:rPr>
          <w:rFonts w:ascii="Arial" w:cs="Arial" w:eastAsia="Arial" w:hAnsi="Arial"/>
          <w:sz w:val="14"/>
          <w:szCs w:val="14"/>
          <w:color w:val="auto"/>
        </w:rPr>
        <w:t>speeds, redundancy and stability, and improved performance for our clients.</w:t>
      </w:r>
    </w:p>
    <w:p>
      <w:pPr>
        <w:spacing w:after="0" w:line="80" w:lineRule="exact"/>
        <w:rPr>
          <w:rFonts w:ascii="Arial" w:cs="Arial" w:eastAsia="Arial" w:hAnsi="Arial"/>
          <w:sz w:val="14"/>
          <w:szCs w:val="14"/>
          <w:color w:val="auto"/>
        </w:rPr>
      </w:pPr>
    </w:p>
    <w:p>
      <w:pPr>
        <w:ind w:left="500" w:right="240" w:hanging="247"/>
        <w:spacing w:after="0" w:line="282" w:lineRule="auto"/>
        <w:tabs>
          <w:tab w:leader="none" w:pos="496"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Improve End-User Experience</w:t>
      </w:r>
      <w:r>
        <w:rPr>
          <w:rFonts w:ascii="Arial" w:cs="Arial" w:eastAsia="Arial" w:hAnsi="Arial"/>
          <w:sz w:val="14"/>
          <w:szCs w:val="14"/>
          <w:color w:val="auto"/>
        </w:rPr>
        <w:t>: We are enhancing both user interfaces and experiences across our offerings by expanding self-service tools, AI-powered virtual assistants</w:t>
      </w:r>
      <w:r>
        <w:rPr>
          <w:rFonts w:ascii="Arial" w:cs="Arial" w:eastAsia="Arial" w:hAnsi="Arial"/>
          <w:sz w:val="14"/>
          <w:szCs w:val="14"/>
          <w:b w:val="1"/>
          <w:bCs w:val="1"/>
          <w:color w:val="auto"/>
        </w:rPr>
        <w:t xml:space="preserve"> </w:t>
      </w:r>
      <w:r>
        <w:rPr>
          <w:rFonts w:ascii="Arial" w:cs="Arial" w:eastAsia="Arial" w:hAnsi="Arial"/>
          <w:sz w:val="14"/>
          <w:szCs w:val="14"/>
          <w:color w:val="auto"/>
        </w:rPr>
        <w:t>and mobile apps and by leveraging deeper user insights through analytics.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Our focus on quality has resulted in continued client confidence and satisfaction which is reflected in our Net Promoter Score improvement as well as improved client retention rates.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We measure “Quality” by service level agreement performance, system availability, technology incident rates and client satisfaction.</w:t>
      </w:r>
    </w:p>
    <w:p>
      <w:pPr>
        <w:spacing w:after="0" w:line="117" w:lineRule="exact"/>
        <w:rPr>
          <w:sz w:val="20"/>
          <w:szCs w:val="20"/>
          <w:color w:val="auto"/>
        </w:rPr>
      </w:pPr>
    </w:p>
    <w:p>
      <w:pPr>
        <w:ind w:right="380"/>
        <w:spacing w:after="0" w:line="282" w:lineRule="auto"/>
        <w:rPr>
          <w:sz w:val="20"/>
          <w:szCs w:val="20"/>
          <w:color w:val="auto"/>
        </w:rPr>
      </w:pPr>
      <w:r>
        <w:rPr>
          <w:rFonts w:ascii="Arial" w:cs="Arial" w:eastAsia="Arial" w:hAnsi="Arial"/>
          <w:sz w:val="14"/>
          <w:szCs w:val="14"/>
          <w:b w:val="1"/>
          <w:bCs w:val="1"/>
          <w:color w:val="auto"/>
        </w:rPr>
        <w:t>Investment Strategy</w:t>
      </w:r>
      <w:r>
        <w:rPr>
          <w:rFonts w:ascii="Arial" w:cs="Arial" w:eastAsia="Arial" w:hAnsi="Arial"/>
          <w:sz w:val="14"/>
          <w:szCs w:val="14"/>
          <w:color w:val="auto"/>
        </w:rPr>
        <w:t>: We maintain a balanced and disciplined approach to capital allocation including debt repayment, shareholder returns and internal investments. Our internal</w:t>
      </w:r>
      <w:r>
        <w:rPr>
          <w:rFonts w:ascii="Arial" w:cs="Arial" w:eastAsia="Arial" w:hAnsi="Arial"/>
          <w:sz w:val="14"/>
          <w:szCs w:val="14"/>
          <w:b w:val="1"/>
          <w:bCs w:val="1"/>
          <w:color w:val="auto"/>
        </w:rPr>
        <w:t xml:space="preserve"> </w:t>
      </w:r>
      <w:r>
        <w:rPr>
          <w:rFonts w:ascii="Arial" w:cs="Arial" w:eastAsia="Arial" w:hAnsi="Arial"/>
          <w:sz w:val="14"/>
          <w:szCs w:val="14"/>
          <w:color w:val="auto"/>
        </w:rPr>
        <w:t>investments to support our business goals and client needs fall into three broad categories:</w:t>
      </w:r>
    </w:p>
    <w:p>
      <w:pPr>
        <w:spacing w:after="0" w:line="80" w:lineRule="exact"/>
        <w:rPr>
          <w:sz w:val="20"/>
          <w:szCs w:val="20"/>
          <w:color w:val="auto"/>
        </w:rPr>
      </w:pPr>
    </w:p>
    <w:p>
      <w:pPr>
        <w:ind w:left="500" w:right="40" w:hanging="247"/>
        <w:spacing w:after="0" w:line="282"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color w:val="auto"/>
        </w:rPr>
        <w:t>Opportunities to optimize, where we have significant scale and where we believe that with process improvements, automation and investment into the current offerings, we can improve the end-user experience, reduce our cost of delivery, expand our margins and further capture additional share.</w:t>
      </w:r>
    </w:p>
    <w:p>
      <w:pPr>
        <w:spacing w:after="0" w:line="80" w:lineRule="exact"/>
        <w:rPr>
          <w:rFonts w:ascii="Arial" w:cs="Arial" w:eastAsia="Arial" w:hAnsi="Arial"/>
          <w:sz w:val="14"/>
          <w:szCs w:val="14"/>
          <w:color w:val="auto"/>
        </w:rPr>
      </w:pPr>
    </w:p>
    <w:p>
      <w:pPr>
        <w:ind w:left="500" w:hanging="247"/>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Opportunities to enhance, where we have strong client relationships, a long history of expertise in that market and legacy technology that needs to be refreshed or modernized.</w:t>
      </w:r>
    </w:p>
    <w:p>
      <w:pPr>
        <w:spacing w:after="0" w:line="142" w:lineRule="exact"/>
        <w:rPr>
          <w:rFonts w:ascii="Arial" w:cs="Arial" w:eastAsia="Arial" w:hAnsi="Arial"/>
          <w:sz w:val="13"/>
          <w:szCs w:val="13"/>
          <w:color w:val="auto"/>
        </w:rPr>
      </w:pPr>
    </w:p>
    <w:p>
      <w:pPr>
        <w:ind w:left="500" w:right="40" w:hanging="247"/>
        <w:spacing w:after="0" w:line="282"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color w:val="auto"/>
        </w:rPr>
        <w:t>Opportunities to expand, where we believe we can compete successfully, and we see the return on investment as more significant than in other businesses. These businesses, augmented with new capabilities and geographic expansion, will address market dynamics and provide additional growth opportunities.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Market Opportunity</w:t>
      </w:r>
    </w:p>
    <w:p>
      <w:pPr>
        <w:spacing w:after="0" w:line="131"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We operate in markets with compelling growth opportunities, including Business Process as a Service, transportation, payments and customer experience management, as well as in many industries, including healthcare and financial services. We estimate our addressable market size in the global business process services industry to be $210 billion in 2024, according to third-party industry reports. Many industry analysts and advisors place us as a leader across several segments in this large, diverse and growing market.</w:t>
      </w:r>
    </w:p>
    <w:p>
      <w:pPr>
        <w:spacing w:after="0" w:line="92"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Ongoing competitive pressures and increasing demand for further productivity gains have motivated businesses and government organizations to outsource elements of their day-to-day operations to accelerate performance and improve end-user experience. As a result, our clients have become more focused on their core businesses and the range of outsourced activities has expanded. Increasing globalization has also required many companies to optimize cost structures and engage AI-enabled business process solutions to retain competitiveness.</w:t>
      </w:r>
    </w:p>
    <w:p>
      <w:pPr>
        <w:spacing w:after="0" w:line="97" w:lineRule="exact"/>
        <w:rPr>
          <w:sz w:val="20"/>
          <w:szCs w:val="20"/>
          <w:color w:val="auto"/>
        </w:rPr>
      </w:pPr>
    </w:p>
    <w:p>
      <w:pPr>
        <w:ind w:right="320"/>
        <w:spacing w:after="0" w:line="282" w:lineRule="auto"/>
        <w:rPr>
          <w:sz w:val="20"/>
          <w:szCs w:val="20"/>
          <w:color w:val="auto"/>
        </w:rPr>
      </w:pPr>
      <w:r>
        <w:rPr>
          <w:rFonts w:ascii="Arial" w:cs="Arial" w:eastAsia="Arial" w:hAnsi="Arial"/>
          <w:sz w:val="14"/>
          <w:szCs w:val="14"/>
          <w:color w:val="auto"/>
        </w:rPr>
        <w:t>Conduent is unique in that we have solutions that span the end-to-end value chains of our clients. This means that our clients can partner with us to support more of their business processes than other providers. We are recognized by independent industry analysts as a leader for many of these solutions.</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 w:name="page8"/>
    <w:bookmarkEnd w:id="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500" w:hanging="247"/>
        <w:spacing w:after="0"/>
        <w:tabs>
          <w:tab w:leader="none" w:pos="50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Industry Analyst Accolades:</w:t>
      </w:r>
    </w:p>
    <w:p>
      <w:pPr>
        <w:spacing w:after="0" w:line="89" w:lineRule="exact"/>
        <w:rPr>
          <w:rFonts w:ascii="Arial" w:cs="Arial" w:eastAsia="Arial" w:hAnsi="Arial"/>
          <w:sz w:val="14"/>
          <w:szCs w:val="14"/>
          <w:b w:val="1"/>
          <w:bCs w:val="1"/>
          <w:color w:val="auto"/>
        </w:rPr>
      </w:pPr>
    </w:p>
    <w:p>
      <w:pPr>
        <w:ind w:left="1000" w:hanging="247"/>
        <w:spacing w:after="0"/>
        <w:tabs>
          <w:tab w:leader="none" w:pos="1000" w:val="left"/>
        </w:tabs>
        <w:numPr>
          <w:ilvl w:val="1"/>
          <w:numId w:val="7"/>
        </w:numPr>
        <w:rPr>
          <w:rFonts w:ascii="Arial" w:cs="Arial" w:eastAsia="Arial" w:hAnsi="Arial"/>
          <w:sz w:val="14"/>
          <w:szCs w:val="14"/>
          <w:color w:val="auto"/>
        </w:rPr>
      </w:pPr>
      <w:r>
        <w:rPr>
          <w:rFonts w:ascii="Arial" w:cs="Arial" w:eastAsia="Arial" w:hAnsi="Arial"/>
          <w:sz w:val="14"/>
          <w:szCs w:val="14"/>
          <w:color w:val="auto"/>
        </w:rPr>
        <w:t>NelsonHall Multi-Process HR Transformation NEAT 2024 – Leader</w:t>
      </w:r>
    </w:p>
    <w:p>
      <w:pPr>
        <w:spacing w:after="0" w:line="19"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(Focus Areas: Overall, Efficiency, North America, Europe, Multi-Country, Large Enterprise)</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7"/>
        </w:numPr>
        <w:rPr>
          <w:rFonts w:ascii="Arial" w:cs="Arial" w:eastAsia="Arial" w:hAnsi="Arial"/>
          <w:sz w:val="14"/>
          <w:szCs w:val="14"/>
          <w:color w:val="auto"/>
        </w:rPr>
      </w:pPr>
      <w:r>
        <w:rPr>
          <w:rFonts w:ascii="Arial" w:cs="Arial" w:eastAsia="Arial" w:hAnsi="Arial"/>
          <w:sz w:val="14"/>
          <w:szCs w:val="14"/>
          <w:color w:val="auto"/>
        </w:rPr>
        <w:t>ISG Provider Lens Contact Center - Customer Experience Services US and Europe 2024 – Leader</w:t>
      </w:r>
    </w:p>
    <w:p>
      <w:pPr>
        <w:spacing w:after="0" w:line="5"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4"/>
          <w:szCs w:val="14"/>
          <w:color w:val="auto"/>
        </w:rPr>
        <w:t>(Focus Areas: Digital Operations, Intelligent Agent Experience, Intelligent CX (AI &amp; Analytics); also a Leader in Digital Operations (Global)</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7"/>
        </w:numPr>
        <w:rPr>
          <w:rFonts w:ascii="Arial" w:cs="Arial" w:eastAsia="Arial" w:hAnsi="Arial"/>
          <w:sz w:val="14"/>
          <w:szCs w:val="14"/>
          <w:color w:val="auto"/>
        </w:rPr>
      </w:pPr>
      <w:r>
        <w:rPr>
          <w:rFonts w:ascii="Arial" w:cs="Arial" w:eastAsia="Arial" w:hAnsi="Arial"/>
          <w:sz w:val="14"/>
          <w:szCs w:val="14"/>
          <w:color w:val="auto"/>
        </w:rPr>
        <w:t>NelsonHall Healthcare Payer Operations Transformation NEAT 2024 – Leader</w:t>
      </w:r>
    </w:p>
    <w:p>
      <w:pPr>
        <w:spacing w:after="0" w:line="5" w:lineRule="exact"/>
        <w:rPr>
          <w:rFonts w:ascii="Arial" w:cs="Arial" w:eastAsia="Arial" w:hAnsi="Arial"/>
          <w:sz w:val="14"/>
          <w:szCs w:val="14"/>
          <w:color w:val="auto"/>
        </w:rPr>
      </w:pPr>
    </w:p>
    <w:p>
      <w:pPr>
        <w:ind w:left="1000" w:right="180"/>
        <w:spacing w:after="0" w:line="261" w:lineRule="auto"/>
        <w:rPr>
          <w:rFonts w:ascii="Arial" w:cs="Arial" w:eastAsia="Arial" w:hAnsi="Arial"/>
          <w:sz w:val="14"/>
          <w:szCs w:val="14"/>
          <w:color w:val="auto"/>
        </w:rPr>
      </w:pPr>
      <w:r>
        <w:rPr>
          <w:rFonts w:ascii="Arial" w:cs="Arial" w:eastAsia="Arial" w:hAnsi="Arial"/>
          <w:sz w:val="14"/>
          <w:szCs w:val="14"/>
          <w:color w:val="auto"/>
        </w:rPr>
        <w:t>(Focus Areas: Overall, Care Management &amp; Wellness Services, Care Management Suitability, Claims Management Administration, Member Engagement Services &amp; Enrollment, Provider Management Administration &amp; Network Management)</w:t>
      </w:r>
    </w:p>
    <w:p>
      <w:pPr>
        <w:spacing w:after="0" w:line="52" w:lineRule="exact"/>
        <w:rPr>
          <w:rFonts w:ascii="Arial" w:cs="Arial" w:eastAsia="Arial" w:hAnsi="Arial"/>
          <w:sz w:val="14"/>
          <w:szCs w:val="14"/>
          <w:color w:val="auto"/>
        </w:rPr>
      </w:pPr>
    </w:p>
    <w:p>
      <w:pPr>
        <w:ind w:left="500" w:hanging="247"/>
        <w:spacing w:after="0"/>
        <w:tabs>
          <w:tab w:leader="none" w:pos="50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Market Position:</w:t>
      </w:r>
    </w:p>
    <w:p>
      <w:pPr>
        <w:spacing w:after="0" w:line="89" w:lineRule="exact"/>
        <w:rPr>
          <w:rFonts w:ascii="Arial" w:cs="Arial" w:eastAsia="Arial" w:hAnsi="Arial"/>
          <w:sz w:val="14"/>
          <w:szCs w:val="14"/>
          <w:b w:val="1"/>
          <w:bCs w:val="1"/>
          <w:color w:val="auto"/>
        </w:rPr>
      </w:pPr>
    </w:p>
    <w:p>
      <w:pPr>
        <w:ind w:left="1000" w:hanging="247"/>
        <w:spacing w:after="0"/>
        <w:tabs>
          <w:tab w:leader="none" w:pos="1000" w:val="left"/>
        </w:tabs>
        <w:numPr>
          <w:ilvl w:val="1"/>
          <w:numId w:val="7"/>
        </w:numPr>
        <w:rPr>
          <w:rFonts w:ascii="Arial" w:cs="Arial" w:eastAsia="Arial" w:hAnsi="Arial"/>
          <w:sz w:val="14"/>
          <w:szCs w:val="14"/>
          <w:color w:val="auto"/>
        </w:rPr>
      </w:pPr>
      <w:r>
        <w:rPr>
          <w:rFonts w:ascii="Arial" w:cs="Arial" w:eastAsia="Arial" w:hAnsi="Arial"/>
          <w:sz w:val="14"/>
          <w:szCs w:val="14"/>
          <w:color w:val="auto"/>
        </w:rPr>
        <w:t>Everest Group BPS Top 10 2024 - #8</w:t>
      </w:r>
    </w:p>
    <w:p>
      <w:pPr>
        <w:spacing w:after="0" w:line="19" w:lineRule="exact"/>
        <w:rPr>
          <w:rFonts w:ascii="Arial" w:cs="Arial" w:eastAsia="Arial" w:hAnsi="Arial"/>
          <w:sz w:val="14"/>
          <w:szCs w:val="14"/>
          <w:color w:val="auto"/>
        </w:rPr>
      </w:pPr>
    </w:p>
    <w:p>
      <w:pPr>
        <w:ind w:left="1000" w:hanging="247"/>
        <w:spacing w:after="0"/>
        <w:tabs>
          <w:tab w:leader="none" w:pos="1000" w:val="left"/>
        </w:tabs>
        <w:numPr>
          <w:ilvl w:val="1"/>
          <w:numId w:val="7"/>
        </w:numPr>
        <w:rPr>
          <w:rFonts w:ascii="Arial" w:cs="Arial" w:eastAsia="Arial" w:hAnsi="Arial"/>
          <w:sz w:val="14"/>
          <w:szCs w:val="14"/>
          <w:color w:val="auto"/>
        </w:rPr>
      </w:pPr>
      <w:r>
        <w:rPr>
          <w:rFonts w:ascii="Arial" w:cs="Arial" w:eastAsia="Arial" w:hAnsi="Arial"/>
          <w:sz w:val="14"/>
          <w:szCs w:val="14"/>
          <w:color w:val="auto"/>
        </w:rPr>
        <w:t>Gartner Market Share IT Services 2023 - BPO, Worldwide - #13</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Segments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We organize, manage and report our business through three reportable segments:</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i w:val="1"/>
          <w:iCs w:val="1"/>
          <w:u w:val="single" w:color="auto"/>
          <w:color w:val="auto"/>
        </w:rPr>
        <w:t>Commercial:</w:t>
      </w:r>
      <w:r>
        <w:rPr>
          <w:rFonts w:ascii="Arial" w:cs="Arial" w:eastAsia="Arial" w:hAnsi="Arial"/>
          <w:sz w:val="14"/>
          <w:szCs w:val="14"/>
          <w:i w:val="1"/>
          <w:iCs w:val="1"/>
          <w:color w:val="auto"/>
        </w:rPr>
        <w:t xml:space="preserve"> </w:t>
      </w:r>
      <w:r>
        <w:rPr>
          <w:rFonts w:ascii="Arial" w:cs="Arial" w:eastAsia="Arial" w:hAnsi="Arial"/>
          <w:sz w:val="14"/>
          <w:szCs w:val="14"/>
          <w:color w:val="auto"/>
        </w:rPr>
        <w:t>Our Commercial segment provides business process services that span our clients’ business processes end-to-end from the front-office to the back-office for a variety of</w:t>
      </w:r>
      <w:r>
        <w:rPr>
          <w:rFonts w:ascii="Arial" w:cs="Arial" w:eastAsia="Arial" w:hAnsi="Arial"/>
          <w:sz w:val="14"/>
          <w:szCs w:val="14"/>
          <w:i w:val="1"/>
          <w:iCs w:val="1"/>
          <w:color w:val="auto"/>
        </w:rPr>
        <w:t xml:space="preserve"> </w:t>
      </w:r>
      <w:r>
        <w:rPr>
          <w:rFonts w:ascii="Arial" w:cs="Arial" w:eastAsia="Arial" w:hAnsi="Arial"/>
          <w:sz w:val="14"/>
          <w:szCs w:val="14"/>
          <w:color w:val="auto"/>
        </w:rPr>
        <w:t>commercial industries. These solutions are both cross-industry and industry-specific in nature. Across the Commercial segment, we operate on our clients’ behalf to deliver mission-critical solutions and services to reduce costs, improve efficiencies and enable revenue growth for our clients and better experiences for their consumers and employees. Our Commercial segment is our largest segment, with segment revenue for 2024 of $1,606 million, representing 50.6% of our total revenues excluding divestitures.</w:t>
      </w:r>
    </w:p>
    <w:p>
      <w:pPr>
        <w:spacing w:after="0" w:line="97"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i w:val="1"/>
          <w:iCs w:val="1"/>
          <w:u w:val="single" w:color="auto"/>
          <w:color w:val="auto"/>
        </w:rPr>
        <w:t>Government:</w:t>
      </w:r>
      <w:r>
        <w:rPr>
          <w:rFonts w:ascii="Arial" w:cs="Arial" w:eastAsia="Arial" w:hAnsi="Arial"/>
          <w:sz w:val="14"/>
          <w:szCs w:val="14"/>
          <w:i w:val="1"/>
          <w:iCs w:val="1"/>
          <w:color w:val="auto"/>
        </w:rPr>
        <w:t xml:space="preserve"> </w:t>
      </w:r>
      <w:r>
        <w:rPr>
          <w:rFonts w:ascii="Arial" w:cs="Arial" w:eastAsia="Arial" w:hAnsi="Arial"/>
          <w:sz w:val="14"/>
          <w:szCs w:val="14"/>
          <w:color w:val="auto"/>
        </w:rPr>
        <w:t>Our Government segment provides government-centric services and solutions to U.S. federal, state, local and foreign governments for public assistance, healthcare</w:t>
      </w:r>
      <w:r>
        <w:rPr>
          <w:rFonts w:ascii="Arial" w:cs="Arial" w:eastAsia="Arial" w:hAnsi="Arial"/>
          <w:sz w:val="14"/>
          <w:szCs w:val="14"/>
          <w:i w:val="1"/>
          <w:iCs w:val="1"/>
          <w:color w:val="auto"/>
        </w:rPr>
        <w:t xml:space="preserve"> </w:t>
      </w:r>
      <w:r>
        <w:rPr>
          <w:rFonts w:ascii="Arial" w:cs="Arial" w:eastAsia="Arial" w:hAnsi="Arial"/>
          <w:sz w:val="14"/>
          <w:szCs w:val="14"/>
          <w:color w:val="auto"/>
        </w:rPr>
        <w:t>programs and administration, transaction processing, payment services and case management. In this segment, we help governments respond to changing rules for eligibility and increasing citizen expectations, modernize legacy technology systems, combat benefits fraud and shift in response to an evolving regulatory environment. Our Government segment revenue for 2024 was $984 million, representing 31.0% of our total revenues excluding divestitures.</w:t>
      </w:r>
    </w:p>
    <w:p>
      <w:pPr>
        <w:spacing w:after="0" w:line="97"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i w:val="1"/>
          <w:iCs w:val="1"/>
          <w:u w:val="single" w:color="auto"/>
          <w:color w:val="auto"/>
        </w:rPr>
        <w:t>Transportation:</w:t>
      </w:r>
      <w:r>
        <w:rPr>
          <w:rFonts w:ascii="Arial" w:cs="Arial" w:eastAsia="Arial" w:hAnsi="Arial"/>
          <w:sz w:val="14"/>
          <w:szCs w:val="14"/>
          <w:i w:val="1"/>
          <w:iCs w:val="1"/>
          <w:color w:val="auto"/>
        </w:rPr>
        <w:t xml:space="preserve"> </w:t>
      </w:r>
      <w:r>
        <w:rPr>
          <w:rFonts w:ascii="Arial" w:cs="Arial" w:eastAsia="Arial" w:hAnsi="Arial"/>
          <w:sz w:val="14"/>
          <w:szCs w:val="14"/>
          <w:color w:val="auto"/>
        </w:rPr>
        <w:t>Our Transportation segment provides systems, support and revenue-generating solutions to government transportation agency clients. We deliver mission-critical</w:t>
      </w:r>
      <w:r>
        <w:rPr>
          <w:rFonts w:ascii="Arial" w:cs="Arial" w:eastAsia="Arial" w:hAnsi="Arial"/>
          <w:sz w:val="14"/>
          <w:szCs w:val="14"/>
          <w:i w:val="1"/>
          <w:iCs w:val="1"/>
          <w:color w:val="auto"/>
        </w:rPr>
        <w:t xml:space="preserve"> </w:t>
      </w:r>
      <w:r>
        <w:rPr>
          <w:rFonts w:ascii="Arial" w:cs="Arial" w:eastAsia="Arial" w:hAnsi="Arial"/>
          <w:sz w:val="14"/>
          <w:szCs w:val="14"/>
          <w:color w:val="auto"/>
        </w:rPr>
        <w:t>tolling, transit and digital payment solutions that streamline operations, increase revenue and reduce congestion while creating safe, seamless experiences for travelers. We help transportation agencies contend with rising urbanization and mobility, the need for system efficiency and an increased focus on transportation infrastructure. Transportation segment revenue for 2024 was $586 million, representing 18.4% of our total revenues excluding divestitures.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We present segment financial information in Note 3 – Segment Reporting to our Consolidated Financial Statements included in Part II, Item 8 of this Form 10-K.</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 w:name="page9"/>
    <w:bookmarkEnd w:id="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Service Offerings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Commercial</w:t>
      </w:r>
    </w:p>
    <w:p>
      <w:pPr>
        <w:spacing w:after="0" w:line="129" w:lineRule="exact"/>
        <w:rPr>
          <w:sz w:val="20"/>
          <w:szCs w:val="20"/>
          <w:color w:val="auto"/>
        </w:rPr>
      </w:pPr>
    </w:p>
    <w:p>
      <w:pPr>
        <w:ind w:right="560"/>
        <w:spacing w:after="0" w:line="282" w:lineRule="auto"/>
        <w:rPr>
          <w:sz w:val="20"/>
          <w:szCs w:val="20"/>
          <w:color w:val="auto"/>
        </w:rPr>
      </w:pPr>
      <w:r>
        <w:rPr>
          <w:rFonts w:ascii="Arial" w:cs="Arial" w:eastAsia="Arial" w:hAnsi="Arial"/>
          <w:sz w:val="14"/>
          <w:szCs w:val="14"/>
          <w:color w:val="auto"/>
        </w:rPr>
        <w:t>Our technology-led solutions and services include Customer Experience Management ("CXM"), Business Operations Solutions ("BOS"), Healthcare Claims and Administration Solutions and Human Capital Solutions ("HCS").</w:t>
      </w:r>
    </w:p>
    <w:p>
      <w:pPr>
        <w:spacing w:after="0" w:line="107" w:lineRule="exact"/>
        <w:rPr>
          <w:sz w:val="20"/>
          <w:szCs w:val="20"/>
          <w:color w:val="auto"/>
        </w:rPr>
      </w:pPr>
    </w:p>
    <w:p>
      <w:pPr>
        <w:ind w:left="240" w:hanging="237"/>
        <w:spacing w:after="0"/>
        <w:tabs>
          <w:tab w:leader="none" w:pos="240" w:val="left"/>
        </w:tabs>
        <w:numPr>
          <w:ilvl w:val="0"/>
          <w:numId w:val="8"/>
        </w:numPr>
        <w:rPr>
          <w:rFonts w:ascii="Arial" w:cs="Arial" w:eastAsia="Arial" w:hAnsi="Arial"/>
          <w:sz w:val="17"/>
          <w:szCs w:val="17"/>
          <w:color w:val="auto"/>
        </w:rPr>
      </w:pPr>
      <w:r>
        <w:rPr>
          <w:rFonts w:ascii="Arial" w:cs="Arial" w:eastAsia="Arial" w:hAnsi="Arial"/>
          <w:sz w:val="14"/>
          <w:szCs w:val="14"/>
          <w:b w:val="1"/>
          <w:bCs w:val="1"/>
          <w:color w:val="auto"/>
        </w:rPr>
        <w:t>Customer Experience Management</w:t>
      </w:r>
    </w:p>
    <w:p>
      <w:pPr>
        <w:spacing w:after="0" w:line="100" w:lineRule="exact"/>
        <w:rPr>
          <w:rFonts w:ascii="Arial" w:cs="Arial" w:eastAsia="Arial" w:hAnsi="Arial"/>
          <w:sz w:val="17"/>
          <w:szCs w:val="17"/>
          <w:color w:val="auto"/>
        </w:rPr>
      </w:pPr>
    </w:p>
    <w:p>
      <w:pPr>
        <w:ind w:left="760" w:right="80" w:hanging="257"/>
        <w:spacing w:after="0" w:line="254" w:lineRule="auto"/>
        <w:tabs>
          <w:tab w:leader="none" w:pos="756" w:val="left"/>
        </w:tabs>
        <w:numPr>
          <w:ilvl w:val="1"/>
          <w:numId w:val="8"/>
        </w:numPr>
        <w:rPr>
          <w:rFonts w:ascii="Arial" w:cs="Arial" w:eastAsia="Arial" w:hAnsi="Arial"/>
          <w:sz w:val="14"/>
          <w:szCs w:val="14"/>
          <w:b w:val="1"/>
          <w:bCs w:val="1"/>
          <w:color w:val="auto"/>
        </w:rPr>
      </w:pPr>
      <w:r>
        <w:rPr>
          <w:rFonts w:ascii="Arial" w:cs="Arial" w:eastAsia="Arial" w:hAnsi="Arial"/>
          <w:sz w:val="14"/>
          <w:szCs w:val="14"/>
          <w:color w:val="auto"/>
        </w:rPr>
        <w:t>We deliver a full range of customer contact services and customer communications, including customer care, technical support, loyalty management and outbound and inbound sales, handling many complex interactions and representing the brands of our client. We create better experiences across the customer lifecycle through a variety of channels including social media, chat, email, voice and virtual agent to help customers where and how they want to engage. Through omni-channel communications, automation and analytics, as well as labor efficiencies, we help our clients to reduce costs, enable scale and drive revenue growth and efficiencies. We serve marquee clients across multiple sectors including financial services, health and life sciences, logistics, retail, technology and telecom, travel and hospitality sectors, helping to resolve complex issues for the customers with empathy and effectiveness. The CXM business generally generates income on a per call, per agent, or per percentage of sales made basis.</w:t>
      </w:r>
    </w:p>
    <w:p>
      <w:pPr>
        <w:spacing w:after="0" w:line="98" w:lineRule="exact"/>
        <w:rPr>
          <w:rFonts w:ascii="Arial" w:cs="Arial" w:eastAsia="Arial" w:hAnsi="Arial"/>
          <w:sz w:val="14"/>
          <w:szCs w:val="14"/>
          <w:b w:val="1"/>
          <w:bCs w:val="1"/>
          <w:color w:val="auto"/>
        </w:rPr>
      </w:pPr>
    </w:p>
    <w:p>
      <w:pPr>
        <w:ind w:left="240" w:hanging="237"/>
        <w:spacing w:after="0"/>
        <w:tabs>
          <w:tab w:leader="none" w:pos="24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Business Operations Solutions</w:t>
      </w:r>
    </w:p>
    <w:p>
      <w:pPr>
        <w:spacing w:after="0" w:line="130" w:lineRule="exact"/>
        <w:rPr>
          <w:rFonts w:ascii="Arial" w:cs="Arial" w:eastAsia="Arial" w:hAnsi="Arial"/>
          <w:sz w:val="14"/>
          <w:szCs w:val="14"/>
          <w:b w:val="1"/>
          <w:bCs w:val="1"/>
          <w:i w:val="1"/>
          <w:iCs w:val="1"/>
          <w:color w:val="auto"/>
        </w:rPr>
      </w:pPr>
    </w:p>
    <w:p>
      <w:pPr>
        <w:ind w:left="760" w:hanging="257"/>
        <w:spacing w:after="0" w:line="255" w:lineRule="auto"/>
        <w:tabs>
          <w:tab w:leader="none" w:pos="756" w:val="left"/>
        </w:tabs>
        <w:numPr>
          <w:ilvl w:val="1"/>
          <w:numId w:val="8"/>
        </w:numPr>
        <w:rPr>
          <w:rFonts w:ascii="Arial" w:cs="Arial" w:eastAsia="Arial" w:hAnsi="Arial"/>
          <w:sz w:val="14"/>
          <w:szCs w:val="14"/>
          <w:b w:val="1"/>
          <w:bCs w:val="1"/>
          <w:color w:val="auto"/>
        </w:rPr>
      </w:pPr>
      <w:r>
        <w:rPr>
          <w:rFonts w:ascii="Arial" w:cs="Arial" w:eastAsia="Arial" w:hAnsi="Arial"/>
          <w:sz w:val="14"/>
          <w:szCs w:val="14"/>
          <w:color w:val="auto"/>
        </w:rPr>
        <w:t>In our BOS business, we help our clients digitally transform business processes and drive efficiency, automation and scale across essential business functions. We streamline client operations through our deep industry experience, understanding of our clients’ needs and the latest technology solutions to reduce costs, improve security, performance and accuracy, and enable revenue growth while enhancing the end-user experience. Our portfolio of solutions spans automated document and data management, payments processing, finance, accounting and procurement, and financial industry solutions. We generate revenue in a variety of ways within this business, including per item handled, time and materials, and per service such as postage, web portal hosting or data storage. Our pricing can also be based on achieving specific outcomes for services rendered.</w:t>
      </w:r>
    </w:p>
    <w:p>
      <w:pPr>
        <w:spacing w:after="0" w:line="98" w:lineRule="exact"/>
        <w:rPr>
          <w:rFonts w:ascii="Arial" w:cs="Arial" w:eastAsia="Arial" w:hAnsi="Arial"/>
          <w:sz w:val="14"/>
          <w:szCs w:val="14"/>
          <w:b w:val="1"/>
          <w:bCs w:val="1"/>
          <w:color w:val="auto"/>
        </w:rPr>
      </w:pPr>
    </w:p>
    <w:p>
      <w:pPr>
        <w:ind w:left="240" w:hanging="237"/>
        <w:spacing w:after="0"/>
        <w:tabs>
          <w:tab w:leader="none" w:pos="24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Healthcare Claims and Administration Solutions</w:t>
      </w:r>
    </w:p>
    <w:p>
      <w:pPr>
        <w:spacing w:after="0" w:line="130" w:lineRule="exact"/>
        <w:rPr>
          <w:rFonts w:ascii="Arial" w:cs="Arial" w:eastAsia="Arial" w:hAnsi="Arial"/>
          <w:sz w:val="14"/>
          <w:szCs w:val="14"/>
          <w:b w:val="1"/>
          <w:bCs w:val="1"/>
          <w:i w:val="1"/>
          <w:iCs w:val="1"/>
          <w:color w:val="auto"/>
        </w:rPr>
      </w:pPr>
    </w:p>
    <w:p>
      <w:pPr>
        <w:ind w:left="760" w:right="20" w:hanging="257"/>
        <w:spacing w:after="0" w:line="254" w:lineRule="auto"/>
        <w:tabs>
          <w:tab w:leader="none" w:pos="756" w:val="left"/>
        </w:tabs>
        <w:numPr>
          <w:ilvl w:val="1"/>
          <w:numId w:val="8"/>
        </w:numPr>
        <w:rPr>
          <w:rFonts w:ascii="Arial" w:cs="Arial" w:eastAsia="Arial" w:hAnsi="Arial"/>
          <w:sz w:val="14"/>
          <w:szCs w:val="14"/>
          <w:b w:val="1"/>
          <w:bCs w:val="1"/>
          <w:color w:val="auto"/>
        </w:rPr>
      </w:pPr>
      <w:r>
        <w:rPr>
          <w:rFonts w:ascii="Arial" w:cs="Arial" w:eastAsia="Arial" w:hAnsi="Arial"/>
          <w:sz w:val="14"/>
          <w:szCs w:val="14"/>
          <w:color w:val="auto"/>
        </w:rPr>
        <w:t>On behalf of the healthcare industry, we deliver administration, clinical support, claims management and patient assistance solutions across the healthcare ecosystem to reduce costs, increase compliance and enhance utilization, while improving outcomes and experiences for members and patients. Our solutions span: clinical trials, sales, access and adherence for pharmaceutical clients; claims processing, care integration, subrogation and payment integrity solutions for managed care companies; and intake mailroom/data capture and medical management services for claims payers and third-party administrators. Through our solutions provided to pharmaceutical clients, we generate revenue either based on a per employee, per transaction or a per resource per hour basis. Through our medical bill review, claims processing and payment integrity solutions provided to managed care companies, we generate revenue on a per member per month basis for use of our platform, as a percentage of what we collect for the provider, or a monthly or annual fee.</w:t>
      </w:r>
    </w:p>
    <w:p>
      <w:pPr>
        <w:spacing w:after="0" w:line="98" w:lineRule="exact"/>
        <w:rPr>
          <w:rFonts w:ascii="Arial" w:cs="Arial" w:eastAsia="Arial" w:hAnsi="Arial"/>
          <w:sz w:val="14"/>
          <w:szCs w:val="14"/>
          <w:b w:val="1"/>
          <w:bCs w:val="1"/>
          <w:color w:val="auto"/>
        </w:rPr>
      </w:pPr>
    </w:p>
    <w:p>
      <w:pPr>
        <w:ind w:left="240" w:hanging="237"/>
        <w:spacing w:after="0"/>
        <w:tabs>
          <w:tab w:leader="none" w:pos="2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Human Capital Solutions</w:t>
      </w:r>
    </w:p>
    <w:p>
      <w:pPr>
        <w:spacing w:after="0" w:line="130" w:lineRule="exact"/>
        <w:rPr>
          <w:rFonts w:ascii="Arial" w:cs="Arial" w:eastAsia="Arial" w:hAnsi="Arial"/>
          <w:sz w:val="14"/>
          <w:szCs w:val="14"/>
          <w:b w:val="1"/>
          <w:bCs w:val="1"/>
          <w:color w:val="auto"/>
        </w:rPr>
      </w:pPr>
    </w:p>
    <w:p>
      <w:pPr>
        <w:ind w:left="760" w:right="20" w:hanging="257"/>
        <w:spacing w:after="0" w:line="256" w:lineRule="auto"/>
        <w:tabs>
          <w:tab w:leader="none" w:pos="756" w:val="left"/>
        </w:tabs>
        <w:numPr>
          <w:ilvl w:val="1"/>
          <w:numId w:val="8"/>
        </w:numPr>
        <w:rPr>
          <w:rFonts w:ascii="Arial" w:cs="Arial" w:eastAsia="Arial" w:hAnsi="Arial"/>
          <w:sz w:val="14"/>
          <w:szCs w:val="14"/>
          <w:b w:val="1"/>
          <w:bCs w:val="1"/>
          <w:color w:val="auto"/>
        </w:rPr>
      </w:pPr>
      <w:r>
        <w:rPr>
          <w:rFonts w:ascii="Arial" w:cs="Arial" w:eastAsia="Arial" w:hAnsi="Arial"/>
          <w:sz w:val="14"/>
          <w:szCs w:val="14"/>
          <w:color w:val="auto"/>
        </w:rPr>
        <w:t>We provide services to support our clients' employees at all stages of their employment from on-boarding through retirement. Our solutions span Benefits Administration, Human Resources ("HR") and Payroll, and Learning. On behalf of global organizations and governments, we deliver technology-led HR services and solutions that improve business processes across the employee journey to maximize business performance, while increasing employee satisfaction, engagement and overall well-being. These solutions help empower millions of employees and span health, benefits, payroll, onboarding and learning administration, annual enrollment, wealth and retirement, pensions administration, HR, talent, and workforce management.</w:t>
      </w:r>
    </w:p>
    <w:p>
      <w:pPr>
        <w:spacing w:after="0" w:line="99" w:lineRule="exact"/>
        <w:rPr>
          <w:rFonts w:ascii="Arial" w:cs="Arial" w:eastAsia="Arial" w:hAnsi="Arial"/>
          <w:sz w:val="14"/>
          <w:szCs w:val="14"/>
          <w:b w:val="1"/>
          <w:bCs w:val="1"/>
          <w:color w:val="auto"/>
        </w:rPr>
      </w:pPr>
    </w:p>
    <w:p>
      <w:pPr>
        <w:ind w:left="740" w:hanging="237"/>
        <w:spacing w:after="0"/>
        <w:tabs>
          <w:tab w:leader="none" w:pos="740" w:val="left"/>
        </w:tabs>
        <w:numPr>
          <w:ilvl w:val="1"/>
          <w:numId w:val="8"/>
        </w:numPr>
        <w:rPr>
          <w:rFonts w:ascii="Arial" w:cs="Arial" w:eastAsia="Arial" w:hAnsi="Arial"/>
          <w:sz w:val="14"/>
          <w:szCs w:val="14"/>
          <w:color w:val="auto"/>
        </w:rPr>
      </w:pPr>
      <w:r>
        <w:rPr>
          <w:rFonts w:ascii="Arial" w:cs="Arial" w:eastAsia="Arial" w:hAnsi="Arial"/>
          <w:sz w:val="14"/>
          <w:szCs w:val="14"/>
          <w:color w:val="auto"/>
        </w:rPr>
        <w:t>Depending on the solution, we generate revenue in a variety of ways. Within our Benefits Solutions, we</w:t>
      </w:r>
    </w:p>
    <w:p>
      <w:pPr>
        <w:spacing w:after="0" w:line="200" w:lineRule="exact"/>
        <w:rPr>
          <w:sz w:val="20"/>
          <w:szCs w:val="20"/>
          <w:color w:val="auto"/>
        </w:rPr>
      </w:pPr>
    </w:p>
    <w:p>
      <w:pPr>
        <w:spacing w:after="0" w:line="28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 w:name="page10"/>
    <w:bookmarkEnd w:id="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760" w:right="60"/>
        <w:spacing w:after="0" w:line="256" w:lineRule="auto"/>
        <w:rPr>
          <w:sz w:val="20"/>
          <w:szCs w:val="20"/>
          <w:color w:val="auto"/>
        </w:rPr>
      </w:pPr>
      <w:r>
        <w:rPr>
          <w:rFonts w:ascii="Arial" w:cs="Arial" w:eastAsia="Arial" w:hAnsi="Arial"/>
          <w:sz w:val="14"/>
          <w:szCs w:val="14"/>
          <w:color w:val="auto"/>
        </w:rPr>
        <w:t>principally generate revenue based on the number of employees and retirees we support, as well as transactions generated by client life events such as qualified domestic relations orders, Consolidated Omnibus Budget Reconciliation Act ("COBRA") and Affordable Care Act ("ACA") administration, which are charged on a per transaction basis. Within our HR and Payroll Solutions, we generate revenue principally per client’s employee per period (month / year) pricing, with tiers to address periodic variations in client employee headcount. Within our Learning Solutions, we generate revenue principally by transaction-based pricing per unit of production along with fixed monthly governance fees.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Government</w:t>
      </w:r>
    </w:p>
    <w:p>
      <w:pPr>
        <w:spacing w:after="0" w:line="160"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Our Government solutions and services include Government Healthcare Solutions and Government Service Solutions that streamline delivery of government benefits and programs to constituents and families in need.</w:t>
      </w:r>
    </w:p>
    <w:p>
      <w:pPr>
        <w:spacing w:after="0" w:line="80" w:lineRule="exact"/>
        <w:rPr>
          <w:sz w:val="20"/>
          <w:szCs w:val="20"/>
          <w:color w:val="auto"/>
        </w:rPr>
      </w:pPr>
    </w:p>
    <w:p>
      <w:pPr>
        <w:ind w:left="240" w:hanging="237"/>
        <w:spacing w:after="0"/>
        <w:tabs>
          <w:tab w:leader="none" w:pos="24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Government Healthcare Solutions</w:t>
      </w:r>
    </w:p>
    <w:p>
      <w:pPr>
        <w:spacing w:after="0" w:line="130" w:lineRule="exact"/>
        <w:rPr>
          <w:rFonts w:ascii="Arial" w:cs="Arial" w:eastAsia="Arial" w:hAnsi="Arial"/>
          <w:sz w:val="14"/>
          <w:szCs w:val="14"/>
          <w:b w:val="1"/>
          <w:bCs w:val="1"/>
          <w:color w:val="auto"/>
        </w:rPr>
      </w:pPr>
    </w:p>
    <w:p>
      <w:pPr>
        <w:ind w:left="760" w:right="60" w:hanging="257"/>
        <w:spacing w:after="0" w:line="252" w:lineRule="auto"/>
        <w:tabs>
          <w:tab w:leader="none" w:pos="756" w:val="left"/>
        </w:tabs>
        <w:numPr>
          <w:ilvl w:val="1"/>
          <w:numId w:val="9"/>
        </w:numPr>
        <w:rPr>
          <w:rFonts w:ascii="Arial" w:cs="Arial" w:eastAsia="Arial" w:hAnsi="Arial"/>
          <w:sz w:val="14"/>
          <w:szCs w:val="14"/>
          <w:color w:val="auto"/>
        </w:rPr>
      </w:pPr>
      <w:r>
        <w:rPr>
          <w:rFonts w:ascii="Arial" w:cs="Arial" w:eastAsia="Arial" w:hAnsi="Arial"/>
          <w:sz w:val="14"/>
          <w:szCs w:val="14"/>
          <w:color w:val="auto"/>
        </w:rPr>
        <w:t>We provide program administration solutions for government healthcare programs with a range of innovative solutions such as Medicaid management, provider services, Medicaid business intelligence, pharmacy benefits management, eligibility and enrollment support, customer contact services, application processing, premium billing and case management solutions. In 2024 alone, we processed nearly 450 million claims. Our cloud-native Conduent Medicaid Suite ("CMdS") is a modular software as a service ("SaaS") solution for state Medicaid agencies to transform from a legacy Medicaid Management Information System ("MMIS") to a digital, interoperable and scalable Medicaid Enterprise System. Our case management and tracking solutions provide disease surveillance and outbreak management to make it easier to monitor, report and protect the health of communities globally. Both U.S. and international governments depend on our disease surveillance and outbreak case management solution to track public health metrics, vitals and birth defects, provide contact tracing and understand outbreak dynamics. These solutions help states, counties and countries optimize their costs by streamlining access to care and improving patient health outcomes through population health management, while helping families in need by improving beneficiary support. Within the Government Healthcare Solutions business, our revenue is primarily fixed fee or variable price based on a per call, per interaction or per member basis.</w:t>
      </w:r>
    </w:p>
    <w:p>
      <w:pPr>
        <w:spacing w:after="0" w:line="101" w:lineRule="exact"/>
        <w:rPr>
          <w:rFonts w:ascii="Arial" w:cs="Arial" w:eastAsia="Arial" w:hAnsi="Arial"/>
          <w:sz w:val="14"/>
          <w:szCs w:val="14"/>
          <w:color w:val="auto"/>
        </w:rPr>
      </w:pPr>
    </w:p>
    <w:p>
      <w:pPr>
        <w:ind w:left="240" w:hanging="237"/>
        <w:spacing w:after="0"/>
        <w:tabs>
          <w:tab w:leader="none" w:pos="24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Government Service Solutions</w:t>
      </w:r>
    </w:p>
    <w:p>
      <w:pPr>
        <w:spacing w:after="0" w:line="130" w:lineRule="exact"/>
        <w:rPr>
          <w:rFonts w:ascii="Arial" w:cs="Arial" w:eastAsia="Arial" w:hAnsi="Arial"/>
          <w:sz w:val="14"/>
          <w:szCs w:val="14"/>
          <w:b w:val="1"/>
          <w:bCs w:val="1"/>
          <w:color w:val="auto"/>
        </w:rPr>
      </w:pPr>
    </w:p>
    <w:p>
      <w:pPr>
        <w:ind w:left="760" w:right="20" w:hanging="257"/>
        <w:spacing w:after="0" w:line="252" w:lineRule="auto"/>
        <w:tabs>
          <w:tab w:leader="none" w:pos="756" w:val="left"/>
        </w:tabs>
        <w:numPr>
          <w:ilvl w:val="1"/>
          <w:numId w:val="9"/>
        </w:numPr>
        <w:rPr>
          <w:rFonts w:ascii="Arial" w:cs="Arial" w:eastAsia="Arial" w:hAnsi="Arial"/>
          <w:sz w:val="14"/>
          <w:szCs w:val="14"/>
          <w:b w:val="1"/>
          <w:bCs w:val="1"/>
          <w:color w:val="auto"/>
        </w:rPr>
      </w:pPr>
      <w:r>
        <w:rPr>
          <w:rFonts w:ascii="Arial" w:cs="Arial" w:eastAsia="Arial" w:hAnsi="Arial"/>
          <w:sz w:val="14"/>
          <w:szCs w:val="14"/>
          <w:color w:val="auto"/>
        </w:rPr>
        <w:t>With approximately $85 billion disbursed annually, we are a leader in government payment disbursements for federally sponsored programs including benefit card programs and payment card programs. Benefit card programs are closed-loop solutions that support Supplemental Nutrition Assistance Program ("SNAP"), Temporary Assistance for Needy Families ("TANF") and Women, Infants and Children ("WIC"). Payment card programs are open-loop solutions that support child support and Unemployment Insurance ("UI"). Closed-loop cards are limited to specific retailers (such as Food and Nutrition Service approved retailers), while open-loop cards can be used anywhere that accepts their card network (example MasterCard or Visa). In addition, benefit card programs may only be used for specific, approved products such as food or baby formula, whereas payment card programs can be used for any type of purchase or cash benefit. We deliver electronic payments for government services in 35 states, including 22 Electronic Benefit Transfer ("EBT") programs, 13 EBT for WIC programs and 6 Electronic Childcare programs. In our closed-loop payments solution, we generate revenue based on the number of cases or number of card holders. Within our open-loop payments solution, we generate revenue based on interchange fees and spending on cards as a percentage of transactions.</w:t>
      </w:r>
    </w:p>
    <w:p>
      <w:pPr>
        <w:spacing w:after="0" w:line="103" w:lineRule="exact"/>
        <w:rPr>
          <w:rFonts w:ascii="Arial" w:cs="Arial" w:eastAsia="Arial" w:hAnsi="Arial"/>
          <w:sz w:val="14"/>
          <w:szCs w:val="14"/>
          <w:b w:val="1"/>
          <w:bCs w:val="1"/>
          <w:color w:val="auto"/>
        </w:rPr>
      </w:pPr>
    </w:p>
    <w:p>
      <w:pPr>
        <w:jc w:val="both"/>
        <w:ind w:left="760" w:right="360" w:hanging="257"/>
        <w:spacing w:after="0" w:line="265" w:lineRule="auto"/>
        <w:tabs>
          <w:tab w:leader="none" w:pos="756" w:val="left"/>
        </w:tabs>
        <w:numPr>
          <w:ilvl w:val="1"/>
          <w:numId w:val="9"/>
        </w:numPr>
        <w:rPr>
          <w:rFonts w:ascii="Arial" w:cs="Arial" w:eastAsia="Arial" w:hAnsi="Arial"/>
          <w:sz w:val="14"/>
          <w:szCs w:val="14"/>
          <w:b w:val="1"/>
          <w:bCs w:val="1"/>
          <w:color w:val="auto"/>
        </w:rPr>
      </w:pPr>
      <w:r>
        <w:rPr>
          <w:rFonts w:ascii="Arial" w:cs="Arial" w:eastAsia="Arial" w:hAnsi="Arial"/>
          <w:sz w:val="14"/>
          <w:szCs w:val="14"/>
          <w:color w:val="auto"/>
        </w:rPr>
        <w:t>We also offer a broad set of child support services predominately to State Disbursement Units ("SDUs"), including processing and distributing payments, child support payment cards, childcare credentialing and case management, among others, to help states comply with federal standards. Within child support solutions, the way we generate revenue varies by state, but it is generally either per financial transaction, per call, fixed price, or for development of systems.</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0" w:name="page11"/>
    <w:bookmarkEnd w:id="1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Transportation</w:t>
      </w:r>
    </w:p>
    <w:p>
      <w:pPr>
        <w:spacing w:after="0" w:line="129"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On behalf of transportation authorities around the world, we deliver solutions to facilitate toll and fare collection, congestion and fleet management and digital payments that help streamline operations and increase revenue. With an expanded focus on sustainability and enhancing the quality of life for citizens and communities around the world, our solutions help reduce congestion and greenhouse emissions, while creating seamless experiences for travelers throughout transportation ecosystems.</w:t>
      </w:r>
    </w:p>
    <w:p>
      <w:pPr>
        <w:spacing w:after="0" w:line="92" w:lineRule="exact"/>
        <w:rPr>
          <w:sz w:val="20"/>
          <w:szCs w:val="20"/>
          <w:color w:val="auto"/>
        </w:rPr>
      </w:pPr>
    </w:p>
    <w:p>
      <w:pPr>
        <w:ind w:left="240" w:hanging="237"/>
        <w:spacing w:after="0"/>
        <w:tabs>
          <w:tab w:leader="none" w:pos="24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Road Usage Charging and Management Solutions</w:t>
      </w:r>
    </w:p>
    <w:p>
      <w:pPr>
        <w:spacing w:after="0" w:line="130" w:lineRule="exact"/>
        <w:rPr>
          <w:rFonts w:ascii="Arial" w:cs="Arial" w:eastAsia="Arial" w:hAnsi="Arial"/>
          <w:sz w:val="14"/>
          <w:szCs w:val="14"/>
          <w:b w:val="1"/>
          <w:bCs w:val="1"/>
          <w:color w:val="auto"/>
        </w:rPr>
      </w:pPr>
    </w:p>
    <w:p>
      <w:pPr>
        <w:ind w:left="760" w:right="40" w:hanging="257"/>
        <w:spacing w:after="0" w:line="259" w:lineRule="auto"/>
        <w:tabs>
          <w:tab w:leader="none" w:pos="756" w:val="left"/>
        </w:tabs>
        <w:numPr>
          <w:ilvl w:val="1"/>
          <w:numId w:val="10"/>
        </w:numPr>
        <w:rPr>
          <w:rFonts w:ascii="Arial" w:cs="Arial" w:eastAsia="Arial" w:hAnsi="Arial"/>
          <w:sz w:val="14"/>
          <w:szCs w:val="14"/>
          <w:color w:val="auto"/>
        </w:rPr>
      </w:pPr>
      <w:r>
        <w:rPr>
          <w:rFonts w:ascii="Arial" w:cs="Arial" w:eastAsia="Arial" w:hAnsi="Arial"/>
          <w:sz w:val="14"/>
          <w:szCs w:val="14"/>
          <w:color w:val="auto"/>
        </w:rPr>
        <w:t>Our electronic tolling, urban congestion management and mileage-based user solutions help our clients accurately assess and collect payments millions of times every day to generate revenue for infrastructure improvements. Our solutions include vehicle passenger detection systems, electronic toll collection, automated license plate recognition and congestion management solutions. We generate revenue based on a combination of fixed fee and transaction-based pricing. The transaction-based component can be per account per month, per notice mailed, per active account, per violations fees received, or per image-based transaction.</w:t>
      </w:r>
    </w:p>
    <w:p>
      <w:pPr>
        <w:spacing w:after="0" w:line="124" w:lineRule="exact"/>
        <w:rPr>
          <w:rFonts w:ascii="Arial" w:cs="Arial" w:eastAsia="Arial" w:hAnsi="Arial"/>
          <w:sz w:val="14"/>
          <w:szCs w:val="14"/>
          <w:color w:val="auto"/>
        </w:rPr>
      </w:pPr>
    </w:p>
    <w:p>
      <w:pPr>
        <w:ind w:left="240" w:hanging="237"/>
        <w:spacing w:after="0"/>
        <w:tabs>
          <w:tab w:leader="none" w:pos="240" w:val="left"/>
        </w:tabs>
        <w:numPr>
          <w:ilvl w:val="0"/>
          <w:numId w:val="10"/>
        </w:numPr>
        <w:rPr>
          <w:rFonts w:ascii="Arial" w:cs="Arial" w:eastAsia="Arial" w:hAnsi="Arial"/>
          <w:sz w:val="17"/>
          <w:szCs w:val="17"/>
          <w:b w:val="1"/>
          <w:bCs w:val="1"/>
          <w:color w:val="auto"/>
        </w:rPr>
      </w:pPr>
      <w:r>
        <w:rPr>
          <w:rFonts w:ascii="Arial" w:cs="Arial" w:eastAsia="Arial" w:hAnsi="Arial"/>
          <w:sz w:val="14"/>
          <w:szCs w:val="14"/>
          <w:b w:val="1"/>
          <w:bCs w:val="1"/>
          <w:color w:val="auto"/>
        </w:rPr>
        <w:t>Transit Solutions</w:t>
      </w:r>
    </w:p>
    <w:p>
      <w:pPr>
        <w:spacing w:after="0" w:line="100" w:lineRule="exact"/>
        <w:rPr>
          <w:rFonts w:ascii="Arial" w:cs="Arial" w:eastAsia="Arial" w:hAnsi="Arial"/>
          <w:sz w:val="17"/>
          <w:szCs w:val="17"/>
          <w:b w:val="1"/>
          <w:bCs w:val="1"/>
          <w:color w:val="auto"/>
        </w:rPr>
      </w:pPr>
    </w:p>
    <w:p>
      <w:pPr>
        <w:ind w:left="760" w:right="140" w:hanging="257"/>
        <w:spacing w:after="0" w:line="259" w:lineRule="auto"/>
        <w:tabs>
          <w:tab w:leader="none" w:pos="756" w:val="left"/>
        </w:tabs>
        <w:numPr>
          <w:ilvl w:val="1"/>
          <w:numId w:val="10"/>
        </w:numPr>
        <w:rPr>
          <w:rFonts w:ascii="Arial" w:cs="Arial" w:eastAsia="Arial" w:hAnsi="Arial"/>
          <w:sz w:val="14"/>
          <w:szCs w:val="14"/>
          <w:b w:val="1"/>
          <w:bCs w:val="1"/>
          <w:color w:val="auto"/>
        </w:rPr>
      </w:pPr>
      <w:r>
        <w:rPr>
          <w:rFonts w:ascii="Arial" w:cs="Arial" w:eastAsia="Arial" w:hAnsi="Arial"/>
          <w:sz w:val="14"/>
          <w:szCs w:val="14"/>
          <w:color w:val="auto"/>
        </w:rPr>
        <w:t>For train, bus, subway, metro and other transit travelers, we help make journeys more personalized and convenient while increasing fare collection for authorities and agencies. We combine fare collection, account-based ticketing and intelligent mobility to provide clients with the added efficiency of a single point of management for all transit solutions. Within transit, we primarily generate revenue via implementation of end projects (hardware and software, maintenance services, repair and sale of spare parts), and the building and operation of fare collection systems.</w:t>
      </w:r>
    </w:p>
    <w:p>
      <w:pPr>
        <w:spacing w:after="0" w:line="96" w:lineRule="exact"/>
        <w:rPr>
          <w:rFonts w:ascii="Arial" w:cs="Arial" w:eastAsia="Arial" w:hAnsi="Arial"/>
          <w:sz w:val="14"/>
          <w:szCs w:val="14"/>
          <w:b w:val="1"/>
          <w:bCs w:val="1"/>
          <w:color w:val="auto"/>
        </w:rPr>
      </w:pPr>
    </w:p>
    <w:p>
      <w:pPr>
        <w:ind w:left="240" w:hanging="237"/>
        <w:spacing w:after="0"/>
        <w:tabs>
          <w:tab w:leader="none" w:pos="24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Commercial Vehicles</w:t>
      </w:r>
    </w:p>
    <w:p>
      <w:pPr>
        <w:spacing w:after="0" w:line="130" w:lineRule="exact"/>
        <w:rPr>
          <w:rFonts w:ascii="Arial" w:cs="Arial" w:eastAsia="Arial" w:hAnsi="Arial"/>
          <w:sz w:val="14"/>
          <w:szCs w:val="14"/>
          <w:b w:val="1"/>
          <w:bCs w:val="1"/>
          <w:i w:val="1"/>
          <w:iCs w:val="1"/>
          <w:color w:val="auto"/>
        </w:rPr>
      </w:pPr>
    </w:p>
    <w:p>
      <w:pPr>
        <w:ind w:left="740" w:hanging="237"/>
        <w:spacing w:after="0"/>
        <w:tabs>
          <w:tab w:leader="none" w:pos="740" w:val="left"/>
        </w:tabs>
        <w:numPr>
          <w:ilvl w:val="1"/>
          <w:numId w:val="10"/>
        </w:numPr>
        <w:rPr>
          <w:rFonts w:ascii="Arial" w:cs="Arial" w:eastAsia="Arial" w:hAnsi="Arial"/>
          <w:sz w:val="14"/>
          <w:szCs w:val="14"/>
          <w:b w:val="1"/>
          <w:bCs w:val="1"/>
          <w:color w:val="auto"/>
        </w:rPr>
      </w:pPr>
      <w:r>
        <w:rPr>
          <w:rFonts w:ascii="Arial" w:cs="Arial" w:eastAsia="Arial" w:hAnsi="Arial"/>
          <w:sz w:val="14"/>
          <w:szCs w:val="14"/>
          <w:color w:val="auto"/>
        </w:rPr>
        <w:t>We provide computer-aided dispatch/automatic vehicle location technology to help clients manage their fleet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Competitive Strengths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We possess competitive strengths that distinguish us from our competitors, including:</w:t>
      </w:r>
    </w:p>
    <w:p>
      <w:pPr>
        <w:spacing w:after="0" w:line="131"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b w:val="1"/>
          <w:bCs w:val="1"/>
          <w:i w:val="1"/>
          <w:iCs w:val="1"/>
          <w:color w:val="auto"/>
        </w:rPr>
        <w:t xml:space="preserve">Leadership in attractive growth markets: </w:t>
      </w:r>
      <w:r>
        <w:rPr>
          <w:rFonts w:ascii="Arial" w:cs="Arial" w:eastAsia="Arial" w:hAnsi="Arial"/>
          <w:sz w:val="14"/>
          <w:szCs w:val="14"/>
          <w:color w:val="auto"/>
        </w:rPr>
        <w:t>We are a leader in business process solutions that deliver exceptional outcomes for our clients on an unparalleled scale. Our clients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continue to outsource key business processes to improve efficiency and to accelerate performance and digital transformation. Additionally, clients are moving beyond services for back-office functions to drive customer/employee satisfaction and loyalty. Conduent has a diverse portfolio of solutions that enable business processes end-to-end across our clients’ organizations. This enables them to partner with us across more of their business functions to drive efficiency and better outcomes for their enterprises. The increase in globalization and cost competition continues to accelerate, forcing companies to seek ways to stay ahead of the competition. These factors, along with clients and their customers demanding more personalized, seamless and secure solutions, position Conduent well to capture these opportunities. Through our portfolio of digital business solutions and services, we have reached significant scale in our businesses including:</w:t>
      </w:r>
    </w:p>
    <w:p>
      <w:pPr>
        <w:spacing w:after="0" w:line="99" w:lineRule="exact"/>
        <w:rPr>
          <w:sz w:val="20"/>
          <w:szCs w:val="20"/>
          <w:color w:val="auto"/>
        </w:rPr>
      </w:pPr>
    </w:p>
    <w:p>
      <w:pPr>
        <w:ind w:left="260" w:right="20" w:hanging="257"/>
        <w:spacing w:after="0" w:line="294" w:lineRule="auto"/>
        <w:tabs>
          <w:tab w:leader="none" w:pos="256" w:val="left"/>
        </w:tabs>
        <w:numPr>
          <w:ilvl w:val="0"/>
          <w:numId w:val="1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Healthcare: </w:t>
      </w:r>
      <w:r>
        <w:rPr>
          <w:rFonts w:ascii="Arial" w:cs="Arial" w:eastAsia="Arial" w:hAnsi="Arial"/>
          <w:sz w:val="13"/>
          <w:szCs w:val="13"/>
          <w:color w:val="auto"/>
        </w:rPr>
        <w:t>The U.S. healthcare market is projected to grow at an average rate of 5.6% per year between 2023-2032. We are widely recognized by industry analysts as a leader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healthcare payer operations, serving 9 of the top 10 U.S. health plans and providing administrative and mission-critical program administration solutions for government healthcare programs serving 119 million recipients in 34 states and the District of Columbia. Conduent’s healthcare capabilities have been recognized by NelsonHall and Everest Group.</w:t>
      </w:r>
    </w:p>
    <w:p>
      <w:pPr>
        <w:spacing w:after="0" w:line="75" w:lineRule="exact"/>
        <w:rPr>
          <w:rFonts w:ascii="Arial" w:cs="Arial" w:eastAsia="Arial" w:hAnsi="Arial"/>
          <w:sz w:val="13"/>
          <w:szCs w:val="13"/>
          <w:color w:val="auto"/>
        </w:rPr>
      </w:pPr>
    </w:p>
    <w:p>
      <w:pPr>
        <w:ind w:left="260" w:right="400" w:hanging="257"/>
        <w:spacing w:after="0" w:line="265" w:lineRule="auto"/>
        <w:tabs>
          <w:tab w:leader="none" w:pos="256"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Transportation: </w:t>
      </w:r>
      <w:r>
        <w:rPr>
          <w:rFonts w:ascii="Arial" w:cs="Arial" w:eastAsia="Arial" w:hAnsi="Arial"/>
          <w:sz w:val="14"/>
          <w:szCs w:val="14"/>
          <w:color w:val="auto"/>
        </w:rPr>
        <w:t>Traffic congestion continues to increase due to urbanization and changing global demographics. As a result, optimized transportation systems are becoming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critical to increase efficiency while maintaining strict safety requirements. Electronic toll collection and public transit represent key growth drivers as governments at all levels increasingly focus on transportation infrastructure, and we process over 13 million tolling transactions every day.</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1" w:name="page12"/>
    <w:bookmarkEnd w:id="1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260" w:right="480" w:hanging="257"/>
        <w:spacing w:after="0" w:line="282" w:lineRule="auto"/>
        <w:tabs>
          <w:tab w:leader="none" w:pos="256"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Business Operations Solutions: </w:t>
      </w:r>
      <w:r>
        <w:rPr>
          <w:rFonts w:ascii="Arial" w:cs="Arial" w:eastAsia="Arial" w:hAnsi="Arial"/>
          <w:sz w:val="14"/>
          <w:szCs w:val="14"/>
          <w:color w:val="auto"/>
        </w:rPr>
        <w:t>We provide high volume print and mail services, enrollment processing and personalized communications to large corporations and are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leading provider in this market with more than 10 billion documents captured, indexed and classified annually.</w:t>
      </w:r>
    </w:p>
    <w:p>
      <w:pPr>
        <w:spacing w:after="0" w:line="80" w:lineRule="exact"/>
        <w:rPr>
          <w:sz w:val="20"/>
          <w:szCs w:val="20"/>
          <w:color w:val="auto"/>
        </w:rPr>
      </w:pPr>
    </w:p>
    <w:p>
      <w:pPr>
        <w:ind w:right="160"/>
        <w:spacing w:after="0" w:line="256" w:lineRule="auto"/>
        <w:rPr>
          <w:sz w:val="20"/>
          <w:szCs w:val="20"/>
          <w:color w:val="auto"/>
        </w:rPr>
      </w:pPr>
      <w:r>
        <w:rPr>
          <w:rFonts w:ascii="Arial" w:cs="Arial" w:eastAsia="Arial" w:hAnsi="Arial"/>
          <w:sz w:val="14"/>
          <w:szCs w:val="14"/>
          <w:b w:val="1"/>
          <w:bCs w:val="1"/>
          <w:i w:val="1"/>
          <w:iCs w:val="1"/>
          <w:color w:val="auto"/>
        </w:rPr>
        <w:t xml:space="preserve">Global delivery expertise: </w:t>
      </w:r>
      <w:r>
        <w:rPr>
          <w:rFonts w:ascii="Arial" w:cs="Arial" w:eastAsia="Arial" w:hAnsi="Arial"/>
          <w:sz w:val="14"/>
          <w:szCs w:val="14"/>
          <w:color w:val="auto"/>
        </w:rPr>
        <w:t>Our scale and global delivery capabilities enable us to deliver our proprietary technology and differentiated service offerings seamlessly to clients around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world. We have operations in 24 countries including India, the Philippines, Jamaica, Guatemala, Mexico, Romania, the United Kingdom and several locations within the United States, providing our customers the option for "onshore", "nearshore" or "offshore" outsourced business process services. This global delivery model allows us to leverage lower-cost production locations, consistent methodologies and processes, time zone advantages and business continuity plans. As of December 31, 2024, 44% of our employees were in high-cost countries and 56% were in low-cost countries.</w:t>
      </w:r>
    </w:p>
    <w:p>
      <w:pPr>
        <w:spacing w:after="0" w:line="100"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b w:val="1"/>
          <w:bCs w:val="1"/>
          <w:i w:val="1"/>
          <w:iCs w:val="1"/>
          <w:color w:val="auto"/>
        </w:rPr>
        <w:t xml:space="preserve">Differentiated technology-led suite of multi-industry solutions: </w:t>
      </w:r>
      <w:r>
        <w:rPr>
          <w:rFonts w:ascii="Arial" w:cs="Arial" w:eastAsia="Arial" w:hAnsi="Arial"/>
          <w:sz w:val="14"/>
          <w:szCs w:val="14"/>
          <w:color w:val="auto"/>
        </w:rPr>
        <w:t>Through dedicated people, process expertise and technology, such as analytics and automation, Conduent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solutions and services create value across multiple industries by creating efficiencies, improving experiences, reducing costs and enabling revenue growth while better serving millions of end users that depend on us. By understanding our clients' businesses, we deliver performance by optimizing processes to be more efficient, flexible and secure, and our innovative, tech-led solutions are highly configurable to meet our clients' needs. We deliver value by driving valuable outcomes and reducing costs at scale. We enhance customer experience by improving experiences, engagement and loyalty of end users.</w:t>
      </w:r>
    </w:p>
    <w:p>
      <w:pPr>
        <w:spacing w:after="0" w:line="10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i w:val="1"/>
          <w:iCs w:val="1"/>
          <w:color w:val="auto"/>
        </w:rPr>
        <w:t xml:space="preserve">Recurring revenue model supported by a loyal, diverse client base: </w:t>
      </w:r>
      <w:r>
        <w:rPr>
          <w:rFonts w:ascii="Arial" w:cs="Arial" w:eastAsia="Arial" w:hAnsi="Arial"/>
          <w:sz w:val="14"/>
          <w:szCs w:val="14"/>
          <w:color w:val="auto"/>
        </w:rPr>
        <w:t>We have a broad and diverse base of clients across multiple geographies and industries, including nearly half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the Fortune 100 companies, midsize businesses and governmental entities. Our clients are increasingly satisfied as evidenced by our NPS that has increased by 38 points since becoming Conduent. Our strong client relationships and successful client execution support our stable recurring revenue model and high renewal rates.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Competition</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Although we encounter competition in all areas of our portfolio, we are a leader in many categories. We compete based on technology, performance, quality, reliability, reputation, price, and customer service and support. We consider our "onshore", “near shore” and “offshore” delivery capabilities to be a competitive advantage. Our competitors range from large international companies to relatively small firms. Many of our competitors specialize in certain areas but none compete across all the same segments in our total portfolio which enables us to serve our clients end-to-end across their enterprises. Our competitors include:</w:t>
      </w:r>
    </w:p>
    <w:p>
      <w:pPr>
        <w:spacing w:after="0" w:line="97" w:lineRule="exact"/>
        <w:rPr>
          <w:sz w:val="20"/>
          <w:szCs w:val="20"/>
          <w:color w:val="auto"/>
        </w:rPr>
      </w:pPr>
    </w:p>
    <w:p>
      <w:pPr>
        <w:ind w:left="240" w:hanging="237"/>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Large multinational service providers such as Accenture, Cognizant, TTEC and Teleperformance;</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Traditional business process outsourcing companies such as Genpact, Wipro and EXL Services;</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Human resource, payroll processing and human capital management providers such as Alight and Willis Towers Watson;</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Healthcare-focused IT and service solutions providers such as Gainwell, Optum and Maximus;</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U.S. Federal-focused government services providers such as Leidos;</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Transportation multi-nationals such as TransCore, Thales, Cubic and INIT; and</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Smaller, niche business processing service providers and in-house departments that perform functions that could be outsourced.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Sales and Marketing</w:t>
      </w:r>
    </w:p>
    <w:p>
      <w:pPr>
        <w:spacing w:after="0" w:line="131"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We market and sell our solutions and services to both potential and existing clients through our global sales and business development teams. Additionally, we have dedicated account managers and solution architects who work with clients to better understand their business requirements and tailor our standard solutions to meet their unique needs.</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Our solutions solve clients' business issues and help them achieve their desired business outcomes. We leverage our broad portfolio of offerings and dedicated team of associates to package solutions that exactly meet clients’ needs, while taking a disciplined approach to pricing and contracting. Our sales efforts typically involve extended selling cycles where our deep domain and industry expertise is critical to winning new business. We maintain strong relationships with our clients from initial engagement to implementation and on-going service delivery.</w:t>
      </w:r>
    </w:p>
    <w:p>
      <w:pPr>
        <w:spacing w:after="0" w:line="200" w:lineRule="exact"/>
        <w:rPr>
          <w:sz w:val="20"/>
          <w:szCs w:val="20"/>
          <w:color w:val="auto"/>
        </w:rPr>
      </w:pPr>
    </w:p>
    <w:p>
      <w:pPr>
        <w:spacing w:after="0" w:line="24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2" w:name="page13"/>
    <w:bookmarkEnd w:id="1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Intellectual Property</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Generally, our policy is to seek patent protection for those inventions likely to be incorporated into our products and services or where obtaining such proprietary rights will improve our competitive position. As of December 31, 2024, we own approximately 504 U.S. patents and have 14 pending applications. Our patent portfolio evolves as new applications are filed, patents are awarded to us and as older patents expire. These patents expire at various dates, generally 20 years from their original filing dates. Additionally, approximately 140 U.S. patents and applications were included with assets divested with the public safety business. While we believe that our portfolio of patents and applications has value, in general, no single patent is essential to our business or to any individual segment of our business. In addition, any of our proprietary rights could be challenged, invalidated, or circumvented, or may not provide significant competitive advantages.</w:t>
      </w:r>
    </w:p>
    <w:p>
      <w:pPr>
        <w:spacing w:after="0" w:line="99"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Our business relies on software provided, to an approximately equal extent, by both internal development and external sourcing to deliver our services. With respect to internally developed software, we claim copyright on all such software, registering works which may be accessible to third parties. In addition, we rely on maintaining source code confidentiality to assure our market competitiveness. With respect to externally sourced software, we rely on contracts assuring our continued access for our business use.</w:t>
      </w:r>
    </w:p>
    <w:p>
      <w:pPr>
        <w:spacing w:after="0" w:line="92" w:lineRule="exact"/>
        <w:rPr>
          <w:sz w:val="20"/>
          <w:szCs w:val="20"/>
          <w:color w:val="auto"/>
        </w:rPr>
      </w:pPr>
    </w:p>
    <w:p>
      <w:pPr>
        <w:jc w:val="both"/>
        <w:ind w:right="480"/>
        <w:spacing w:after="0" w:line="265" w:lineRule="auto"/>
        <w:rPr>
          <w:sz w:val="20"/>
          <w:szCs w:val="20"/>
          <w:color w:val="auto"/>
        </w:rPr>
      </w:pPr>
      <w:r>
        <w:rPr>
          <w:rFonts w:ascii="Arial" w:cs="Arial" w:eastAsia="Arial" w:hAnsi="Arial"/>
          <w:sz w:val="14"/>
          <w:szCs w:val="14"/>
          <w:color w:val="auto"/>
        </w:rPr>
        <w:t>In the United States, we own 38 registered trademarks, with 4 pending, reflecting the many businesses we participate in. These trademarks may have a perpetual life, subject to renewal every 10 years and may be subject to cancellation or invalidation based on certain use requirements and third-party challenges, or on other grounds. Additionally, some trademarks were included with assets divested during the year. We vigorously enforce and protect our trademarks.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People and Culture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Headcount</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The skills, expertise and experience of our talented and diverse global workforce allow us to deliver mission-critical services and solutions that drive exceptional client outcomes. As of December 31, 2024, we had approximately 56,000 associates in 24 countries working towards a common vision and purpose, with approximately 40% located in North America and the remainder located primarily in Asia Pacific, Latin America and the Caribbean and Europe. Our three reportable segments, Commercial, Government and Transportation, house most of our associates with approximately 40,600, 5,300 and 3,400 associates,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Conduent Culture</w:t>
      </w:r>
    </w:p>
    <w:p>
      <w:pPr>
        <w:spacing w:after="0" w:line="131" w:lineRule="exact"/>
        <w:rPr>
          <w:sz w:val="20"/>
          <w:szCs w:val="20"/>
          <w:color w:val="auto"/>
        </w:rPr>
      </w:pPr>
    </w:p>
    <w:p>
      <w:pPr>
        <w:jc w:val="both"/>
        <w:ind w:right="200"/>
        <w:spacing w:after="0" w:line="265" w:lineRule="auto"/>
        <w:rPr>
          <w:sz w:val="20"/>
          <w:szCs w:val="20"/>
          <w:color w:val="auto"/>
        </w:rPr>
      </w:pPr>
      <w:r>
        <w:rPr>
          <w:rFonts w:ascii="Arial" w:cs="Arial" w:eastAsia="Arial" w:hAnsi="Arial"/>
          <w:sz w:val="14"/>
          <w:szCs w:val="14"/>
          <w:color w:val="auto"/>
        </w:rPr>
        <w:t>At Conduent, we work to build a culture where individuality is noticed and valued, and all associates feel like they belong and can bring their authentic selves to work. We continue to support an open and inclusive workplace where everyone, regardless of their differences, has an equal opportunity to thrive, do work that fulfills them and contribute their strengths. This commitment is essential to our business strategy, fuels our work for clients and carries forward to their millions of end-users who interact with us every day. </w:t>
      </w:r>
    </w:p>
    <w:p>
      <w:pPr>
        <w:spacing w:after="0" w:line="92"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Our eight Employee Impact Groups ("EIGs") play a vital role in creating an environment of belonging and inclusion through year-round activities that advance culture and professional development, create a sense of community, and impact business outcomes. As part of our focus on creating an inclusive culture, in 2024, we delivered learning on "inclusive leadership" and hosted panel discussions with our leadership team members on a range of topics such as belonging, trust, psychological safety and mental health.</w:t>
      </w:r>
    </w:p>
    <w:p>
      <w:pPr>
        <w:spacing w:after="0" w:line="92" w:lineRule="exact"/>
        <w:rPr>
          <w:sz w:val="20"/>
          <w:szCs w:val="20"/>
          <w:color w:val="auto"/>
        </w:rPr>
      </w:pPr>
    </w:p>
    <w:p>
      <w:pPr>
        <w:ind w:right="460"/>
        <w:spacing w:after="0" w:line="282" w:lineRule="auto"/>
        <w:rPr>
          <w:sz w:val="20"/>
          <w:szCs w:val="20"/>
          <w:color w:val="auto"/>
        </w:rPr>
      </w:pPr>
      <w:r>
        <w:rPr>
          <w:rFonts w:ascii="Arial" w:cs="Arial" w:eastAsia="Arial" w:hAnsi="Arial"/>
          <w:sz w:val="14"/>
          <w:szCs w:val="14"/>
          <w:color w:val="auto"/>
        </w:rPr>
        <w:t>We continue to advance our efforts to attract, retain and develop a diverse and engaged workforce and are proud to have received several global and regional workplace culture awards, including:</w:t>
      </w:r>
    </w:p>
    <w:p>
      <w:pPr>
        <w:spacing w:after="0" w:line="38" w:lineRule="exact"/>
        <w:rPr>
          <w:sz w:val="20"/>
          <w:szCs w:val="20"/>
          <w:color w:val="auto"/>
        </w:rPr>
      </w:pPr>
    </w:p>
    <w:p>
      <w:pPr>
        <w:ind w:left="500" w:hanging="247"/>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Top 100 Global Most Loved Workplaces (Newsweek: 2024, 2023)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Most Loved Workplaces in America (Newsweek: 2024, 2023)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America’s Best 500 Employers for Diversity (Forbes: 2024, 2023, 2022, 2021)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Corporate Equality Index top ranking (Human Rights Campaign: 2024, 2023, 2022)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Top Employer for LGBT+ Inclusion in India (IWEI: 2024, 2023, 2022)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LGBTQ+ Best Places to Work in Mexico (Human Rights Campaign Equidad MX: 2024, 2023,2022) </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3" w:name="page14"/>
    <w:bookmarkEnd w:id="1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500" w:hanging="247"/>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Best Place to Work for Disability Inclusion (Disability Equality Index: 2024, 2023)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Best for Vets Employers (Military Times: 2024, 2023)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ERS Silver Award (Armed Forces Covenant: 2024, 2023) </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Learning and Development</w:t>
      </w:r>
    </w:p>
    <w:p>
      <w:pPr>
        <w:spacing w:after="0" w:line="131"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As a services company, we believe our associates are our most important asset, which is why we invest in associate growth and development programs. We are focused on building a workplace where our people can do their best work and have access to the learning tools and resources they need to excel in their role, stay competitive and grow their skill set. We offer our associates modern, digital world-class learning platforms that help them learn anywhere, anytime on a wide range of topics including technology, professional and business-related themes. As a result, we have been successful in building a culture of continuous learning, with employees taking charge of their learning and development. In addition to our digital platforms, employees are also provided job-specific technical training when they are onboarded and as required during their professional journey. Furthermore, we launched a new, blended learning and development program for people managers in 2024. Our learning platforms are widely utilized with about 1.63 million learning assets completed in 2024 and have great learning effectiveness scores for satisfaction, skill improvement and on the job practical application. We also ensure that our associates complete regulatory and compliance training on topics required based on their role and geography.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Associate Engagement</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We continuously gather associate feedback through multiple touchpoints throughout the year and leverage that feedback to both inform our talent strategy and enhance our associate experience. These touchpoints include both external recognition surveys as well as feedback gathered through internal pulse surveys, exit surveys and our internal social platform used for open and transparent communications. In 2024, Conduent was recognized among Newsweek’s Top 100 Global Most Loved Workplaces. This recognition was based largely on direct feedback gathered from our associates indicating a strong "emotional connection" between associates and our Company. We also continuously monitor our rankings and feedback from current associates on review sites such as Comparably. In 2024, our year-over-year Comparably scores held steady, with our overall culture score in the top 10% of similar sized companies, and love of team, challenging work, and flexibility to do remote work cited among the positives.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Corporate Ethics</w:t>
      </w:r>
    </w:p>
    <w:p>
      <w:pPr>
        <w:spacing w:after="0" w:line="131" w:lineRule="exact"/>
        <w:rPr>
          <w:sz w:val="20"/>
          <w:szCs w:val="20"/>
          <w:color w:val="auto"/>
        </w:rPr>
      </w:pPr>
    </w:p>
    <w:p>
      <w:pPr>
        <w:jc w:val="both"/>
        <w:ind w:right="360"/>
        <w:spacing w:after="0" w:line="322" w:lineRule="auto"/>
        <w:rPr>
          <w:sz w:val="20"/>
          <w:szCs w:val="20"/>
          <w:color w:val="auto"/>
        </w:rPr>
      </w:pPr>
      <w:r>
        <w:rPr>
          <w:rFonts w:ascii="Arial" w:cs="Arial" w:eastAsia="Arial" w:hAnsi="Arial"/>
          <w:sz w:val="13"/>
          <w:szCs w:val="13"/>
          <w:color w:val="auto"/>
        </w:rPr>
        <w:t>We operate according to our Ethics and Compliance Program, which is focused on sustaining an ethical culture and is designed to meet general governance and specific industry, regulatory and legal requirements. The Ethics and Compliance Program is based on our core values, including personal accountability, and overseen by Conduent’s Ethics Office.</w:t>
      </w:r>
    </w:p>
    <w:p>
      <w:pPr>
        <w:spacing w:after="0" w:line="57" w:lineRule="exact"/>
        <w:rPr>
          <w:sz w:val="20"/>
          <w:szCs w:val="20"/>
          <w:color w:val="auto"/>
        </w:rPr>
      </w:pPr>
    </w:p>
    <w:p>
      <w:pPr>
        <w:jc w:val="both"/>
        <w:ind w:right="120"/>
        <w:spacing w:after="0" w:line="265" w:lineRule="auto"/>
        <w:rPr>
          <w:sz w:val="20"/>
          <w:szCs w:val="20"/>
          <w:color w:val="auto"/>
        </w:rPr>
      </w:pPr>
      <w:r>
        <w:rPr>
          <w:rFonts w:ascii="Arial" w:cs="Arial" w:eastAsia="Arial" w:hAnsi="Arial"/>
          <w:sz w:val="14"/>
          <w:szCs w:val="14"/>
          <w:color w:val="auto"/>
        </w:rPr>
        <w:t>Conduent’s Code of Business Conduct is the foundation of our Ethics and Compliance Program. Our Code of Business Conduct embodies and reinforces Conduent’s commitment to the highest standards of integrity and sets forth our expectations for ethical leadership, job performance, and compliance with the Code of Business Conduct and Company policies. It is designed to help associates recognize ethics and compliance issues before they arise and to deal appropriately with issues that occur.</w:t>
      </w:r>
    </w:p>
    <w:p>
      <w:pPr>
        <w:spacing w:after="0" w:line="92"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Conduent Finance Employees are additionally required to act in accordance with our supplemental Finance Code of Conduct. Our associates are required to complete annual business ethics training. Conduent’s Ethics Office periodically solicits associate input to gauge our ethical culture and help identify areas for continuing improvements.</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 xml:space="preserve">Our directors must act in accordance with our Code of Business Conduct and Ethics for Members of the Board; our principal executive officer, principal financial officer and principal accounting officer, among others, must act in accordance with our Finance Code of Conduct; and all of our executives and employees must act in accordance with our Code of Business Conduct. Each of these codes of conduct can be accessed through our website at </w:t>
      </w:r>
      <w:r>
        <w:rPr>
          <w:rFonts w:ascii="Arial" w:cs="Arial" w:eastAsia="Arial" w:hAnsi="Arial"/>
          <w:sz w:val="14"/>
          <w:szCs w:val="14"/>
          <w:color w:val="0563C1"/>
        </w:rPr>
        <w:t>www.conduent.com/corporate-governance</w:t>
      </w:r>
      <w:r>
        <w:rPr>
          <w:rFonts w:ascii="Arial" w:cs="Arial" w:eastAsia="Arial" w:hAnsi="Arial"/>
          <w:sz w:val="14"/>
          <w:szCs w:val="14"/>
          <w:color w:val="auto"/>
        </w:rPr>
        <w:t>. They are also available to any shareholder who requests them in writing addressed to Conduent Incorporated, 100 Campus Drive Suite 200, Florham Park, NJ 07932, Attention: Corporate Secretary. We will disclose any future amendments to, or waivers from, provisions of our Code of Business Conduct and Ethics for Members of the Board and our Code of Business Conduct and our Finance Code of Conduct for our officers on our website as promptly as practicable, and consistent with the requirements of applicable U.S. Securities and Exchange Commission ("SEC") and Nasdaq Global Select Market ("Nasdaq") rules.</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4" w:name="page15"/>
    <w:bookmarkEnd w:id="1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Seasonality</w:t>
      </w:r>
    </w:p>
    <w:p>
      <w:pPr>
        <w:spacing w:after="0" w:line="131"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Our revenues can be affected by various factors such as our clients’ demand patterns for our services, which includes peak windows for benefit enrollment, new product launches by clients and busy retail and travel seasons.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Availability of Company Information</w:t>
      </w:r>
    </w:p>
    <w:p>
      <w:pPr>
        <w:spacing w:after="0" w:line="131" w:lineRule="exact"/>
        <w:rPr>
          <w:sz w:val="20"/>
          <w:szCs w:val="20"/>
          <w:color w:val="auto"/>
        </w:rPr>
      </w:pPr>
    </w:p>
    <w:p>
      <w:pPr>
        <w:jc w:val="both"/>
        <w:ind w:right="560"/>
        <w:spacing w:after="0" w:line="265" w:lineRule="auto"/>
        <w:rPr>
          <w:sz w:val="20"/>
          <w:szCs w:val="20"/>
          <w:color w:val="auto"/>
        </w:rPr>
      </w:pPr>
      <w:r>
        <w:rPr>
          <w:rFonts w:ascii="Arial" w:cs="Arial" w:eastAsia="Arial" w:hAnsi="Arial"/>
          <w:sz w:val="14"/>
          <w:szCs w:val="14"/>
          <w:color w:val="auto"/>
        </w:rPr>
        <w:t xml:space="preserve">Our internet address is </w:t>
      </w:r>
      <w:r>
        <w:rPr>
          <w:rFonts w:ascii="Arial" w:cs="Arial" w:eastAsia="Arial" w:hAnsi="Arial"/>
          <w:sz w:val="14"/>
          <w:szCs w:val="14"/>
          <w:color w:val="0563C1"/>
        </w:rPr>
        <w:t>www.conduent.com</w:t>
      </w:r>
      <w:r>
        <w:rPr>
          <w:rFonts w:ascii="Arial" w:cs="Arial" w:eastAsia="Arial" w:hAnsi="Arial"/>
          <w:sz w:val="14"/>
          <w:szCs w:val="14"/>
          <w:color w:val="auto"/>
        </w:rPr>
        <w:t>. Our Annual Report on Form 10-K, Quarterly Reports on Form 10-Q, Current Reports on Form 8-K, our Proxy Statements and any amendments to these reports and statements are found on the Investors section of our website. We make these documents available free of charge on our website as soon as reasonably practicable after we have filed them with, or furnished them to, the SEC.</w:t>
      </w:r>
    </w:p>
    <w:p>
      <w:pPr>
        <w:spacing w:after="0" w:line="92"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The SEC maintains an internet address (www.sec.gov) that contains reports, proxy and information statements, and other information regarding issuers that file electronically with the SEC. The content on any website referred to in this Form 10-K is not incorporated by reference in this Form 10-K unless expressly noted.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Information about our Executive Officers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list of the executive officers of Conduent as of February 19, 2025.</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Each officer is elected to hold office until the meeting of the Board of Directors held on the day of the next annual meeting of shareholders, subject to the provisions of our by-laws.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gridSpan w:val="2"/>
            <w:vMerge w:val="restart"/>
          </w:tcPr>
          <w:p>
            <w:pPr>
              <w:ind w:left="20"/>
              <w:spacing w:after="0"/>
              <w:rPr>
                <w:sz w:val="20"/>
                <w:szCs w:val="20"/>
                <w:color w:val="auto"/>
              </w:rPr>
            </w:pPr>
            <w:r>
              <w:rPr>
                <w:rFonts w:ascii="Arial" w:cs="Arial" w:eastAsia="Arial" w:hAnsi="Arial"/>
                <w:sz w:val="13"/>
                <w:szCs w:val="13"/>
                <w:color w:val="auto"/>
              </w:rPr>
              <w:t>Name</w:t>
            </w: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rPr>
              <w:t>Age</w:t>
            </w:r>
          </w:p>
        </w:tc>
        <w:tc>
          <w:tcPr>
            <w:tcW w:w="6020" w:type="dxa"/>
            <w:vAlign w:val="bottom"/>
            <w:gridSpan w:val="2"/>
            <w:vMerge w:val="restart"/>
          </w:tcPr>
          <w:p>
            <w:pPr>
              <w:ind w:left="2500"/>
              <w:spacing w:after="0"/>
              <w:rPr>
                <w:sz w:val="20"/>
                <w:szCs w:val="20"/>
                <w:color w:val="auto"/>
              </w:rPr>
            </w:pPr>
            <w:r>
              <w:rPr>
                <w:rFonts w:ascii="Arial" w:cs="Arial" w:eastAsia="Arial" w:hAnsi="Arial"/>
                <w:sz w:val="13"/>
                <w:szCs w:val="13"/>
                <w:color w:val="auto"/>
              </w:rPr>
              <w:t>Present Position</w:t>
            </w: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Year Appointed to</w:t>
            </w:r>
          </w:p>
        </w:tc>
        <w:tc>
          <w:tcPr>
            <w:tcW w:w="1000" w:type="dxa"/>
            <w:vAlign w:val="bottom"/>
          </w:tcPr>
          <w:p>
            <w:pPr>
              <w:jc w:val="center"/>
              <w:spacing w:after="0"/>
              <w:rPr>
                <w:sz w:val="20"/>
                <w:szCs w:val="20"/>
                <w:color w:val="auto"/>
              </w:rPr>
            </w:pPr>
            <w:r>
              <w:rPr>
                <w:rFonts w:ascii="Arial" w:cs="Arial" w:eastAsia="Arial" w:hAnsi="Arial"/>
                <w:sz w:val="13"/>
                <w:szCs w:val="13"/>
                <w:color w:val="auto"/>
                <w:w w:val="95"/>
              </w:rPr>
              <w:t>Conduent Officer</w:t>
            </w:r>
          </w:p>
        </w:tc>
        <w:tc>
          <w:tcPr>
            <w:tcW w:w="0" w:type="dxa"/>
            <w:vAlign w:val="bottom"/>
          </w:tcPr>
          <w:p>
            <w:pPr>
              <w:spacing w:after="0"/>
              <w:rPr>
                <w:sz w:val="1"/>
                <w:szCs w:val="1"/>
                <w:color w:val="auto"/>
              </w:rPr>
            </w:pPr>
          </w:p>
        </w:tc>
      </w:tr>
      <w:tr>
        <w:trPr>
          <w:trHeight w:val="166"/>
        </w:trPr>
        <w:tc>
          <w:tcPr>
            <w:tcW w:w="19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20" w:type="dxa"/>
            <w:vAlign w:val="bottom"/>
            <w:gridSpan w:val="2"/>
            <w:vMerge w:val="continue"/>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Present Position</w:t>
            </w:r>
          </w:p>
        </w:tc>
        <w:tc>
          <w:tcPr>
            <w:tcW w:w="1000" w:type="dxa"/>
            <w:vAlign w:val="bottom"/>
          </w:tcPr>
          <w:p>
            <w:pPr>
              <w:jc w:val="center"/>
              <w:spacing w:after="0"/>
              <w:rPr>
                <w:sz w:val="20"/>
                <w:szCs w:val="20"/>
                <w:color w:val="auto"/>
              </w:rPr>
            </w:pPr>
            <w:r>
              <w:rPr>
                <w:rFonts w:ascii="Arial" w:cs="Arial" w:eastAsia="Arial" w:hAnsi="Arial"/>
                <w:sz w:val="13"/>
                <w:szCs w:val="13"/>
                <w:color w:val="auto"/>
                <w:w w:val="98"/>
              </w:rPr>
              <w:t>Since</w:t>
            </w:r>
          </w:p>
        </w:tc>
        <w:tc>
          <w:tcPr>
            <w:tcW w:w="0" w:type="dxa"/>
            <w:vAlign w:val="bottom"/>
          </w:tcPr>
          <w:p>
            <w:pPr>
              <w:spacing w:after="0"/>
              <w:rPr>
                <w:sz w:val="1"/>
                <w:szCs w:val="1"/>
                <w:color w:val="auto"/>
              </w:rPr>
            </w:pPr>
          </w:p>
        </w:tc>
      </w:tr>
      <w:tr>
        <w:trPr>
          <w:trHeight w:val="158"/>
        </w:trPr>
        <w:tc>
          <w:tcPr>
            <w:tcW w:w="1880" w:type="dxa"/>
            <w:vAlign w:val="bottom"/>
            <w:tcBorders>
              <w:top w:val="single" w:sz="8" w:color="auto"/>
            </w:tcBorders>
            <w:shd w:val="clear" w:color="auto" w:fill="CCEEFF"/>
          </w:tcPr>
          <w:p>
            <w:pPr>
              <w:ind w:left="20"/>
              <w:spacing w:after="0" w:line="158" w:lineRule="exact"/>
              <w:rPr>
                <w:sz w:val="20"/>
                <w:szCs w:val="20"/>
                <w:color w:val="auto"/>
              </w:rPr>
            </w:pPr>
            <w:r>
              <w:rPr>
                <w:rFonts w:ascii="Arial" w:cs="Arial" w:eastAsia="Arial" w:hAnsi="Arial"/>
                <w:sz w:val="13"/>
                <w:szCs w:val="13"/>
                <w:color w:val="auto"/>
              </w:rPr>
              <w:t>Clifford Skelton</w:t>
            </w:r>
            <w:r>
              <w:rPr>
                <w:rFonts w:ascii="Arial" w:cs="Arial" w:eastAsia="Arial" w:hAnsi="Arial"/>
                <w:sz w:val="16"/>
                <w:szCs w:val="16"/>
                <w:color w:val="auto"/>
                <w:vertAlign w:val="superscript"/>
              </w:rPr>
              <w:t>(1)</w:t>
            </w: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69</w:t>
            </w:r>
          </w:p>
        </w:tc>
        <w:tc>
          <w:tcPr>
            <w:tcW w:w="100" w:type="dxa"/>
            <w:vAlign w:val="bottom"/>
            <w:tcBorders>
              <w:top w:val="single" w:sz="8" w:color="CCEEFF"/>
            </w:tcBorders>
            <w:shd w:val="clear" w:color="auto" w:fill="CCEEFF"/>
          </w:tcPr>
          <w:p>
            <w:pPr>
              <w:spacing w:after="0"/>
              <w:rPr>
                <w:sz w:val="13"/>
                <w:szCs w:val="13"/>
                <w:color w:val="auto"/>
              </w:rPr>
            </w:pPr>
          </w:p>
        </w:tc>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President and Chief Executive Officer</w:t>
            </w: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line="167" w:lineRule="exact"/>
              <w:rPr>
                <w:sz w:val="20"/>
                <w:szCs w:val="20"/>
                <w:color w:val="auto"/>
              </w:rPr>
            </w:pPr>
            <w:r>
              <w:rPr>
                <w:rFonts w:ascii="Arial" w:cs="Arial" w:eastAsia="Arial" w:hAnsi="Arial"/>
                <w:sz w:val="13"/>
                <w:szCs w:val="13"/>
                <w:color w:val="auto"/>
              </w:rPr>
              <w:t>George Abate</w:t>
            </w:r>
            <w:r>
              <w:rPr>
                <w:rFonts w:ascii="Arial" w:cs="Arial" w:eastAsia="Arial" w:hAnsi="Arial"/>
                <w:sz w:val="16"/>
                <w:szCs w:val="16"/>
                <w:color w:val="auto"/>
                <w:vertAlign w:val="superscript"/>
              </w:rPr>
              <w:t>(2)</w:t>
            </w:r>
          </w:p>
        </w:tc>
        <w:tc>
          <w:tcPr>
            <w:tcW w:w="640" w:type="dxa"/>
            <w:vAlign w:val="bottom"/>
          </w:tcPr>
          <w:p>
            <w:pPr>
              <w:jc w:val="center"/>
              <w:spacing w:after="0"/>
              <w:rPr>
                <w:sz w:val="20"/>
                <w:szCs w:val="20"/>
                <w:color w:val="auto"/>
              </w:rPr>
            </w:pPr>
            <w:r>
              <w:rPr>
                <w:rFonts w:ascii="Arial" w:cs="Arial" w:eastAsia="Arial" w:hAnsi="Arial"/>
                <w:sz w:val="13"/>
                <w:szCs w:val="13"/>
                <w:color w:val="auto"/>
                <w:w w:val="82"/>
              </w:rPr>
              <w:t>63</w:t>
            </w:r>
          </w:p>
        </w:tc>
        <w:tc>
          <w:tcPr>
            <w:tcW w:w="100" w:type="dxa"/>
            <w:vAlign w:val="bottom"/>
          </w:tcPr>
          <w:p>
            <w:pPr>
              <w:spacing w:after="0"/>
              <w:rPr>
                <w:sz w:val="14"/>
                <w:szCs w:val="14"/>
                <w:color w:val="auto"/>
              </w:rPr>
            </w:pPr>
          </w:p>
        </w:tc>
        <w:tc>
          <w:tcPr>
            <w:tcW w:w="6020" w:type="dxa"/>
            <w:vAlign w:val="bottom"/>
            <w:gridSpan w:val="2"/>
          </w:tcPr>
          <w:p>
            <w:pPr>
              <w:spacing w:after="0"/>
              <w:rPr>
                <w:sz w:val="20"/>
                <w:szCs w:val="20"/>
                <w:color w:val="auto"/>
              </w:rPr>
            </w:pPr>
            <w:r>
              <w:rPr>
                <w:rFonts w:ascii="Arial" w:cs="Arial" w:eastAsia="Arial" w:hAnsi="Arial"/>
                <w:sz w:val="13"/>
                <w:szCs w:val="13"/>
                <w:color w:val="auto"/>
              </w:rPr>
              <w:t>Vice President, Chief Accounting Officer</w:t>
            </w:r>
          </w:p>
        </w:tc>
        <w:tc>
          <w:tcPr>
            <w:tcW w:w="1460" w:type="dxa"/>
            <w:vAlign w:val="bottom"/>
          </w:tcPr>
          <w:p>
            <w:pPr>
              <w:jc w:val="center"/>
              <w:spacing w:after="0"/>
              <w:rPr>
                <w:sz w:val="20"/>
                <w:szCs w:val="20"/>
                <w:color w:val="auto"/>
              </w:rPr>
            </w:pPr>
            <w:r>
              <w:rPr>
                <w:rFonts w:ascii="Arial" w:cs="Arial" w:eastAsia="Arial" w:hAnsi="Arial"/>
                <w:sz w:val="13"/>
                <w:szCs w:val="13"/>
                <w:color w:val="auto"/>
                <w:w w:val="96"/>
              </w:rPr>
              <w:t>2024</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2024</w:t>
            </w: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3"/>
                <w:szCs w:val="13"/>
                <w:color w:val="auto"/>
              </w:rPr>
              <w:t>Adam Appleby</w:t>
            </w:r>
            <w:r>
              <w:rPr>
                <w:rFonts w:ascii="Arial" w:cs="Arial" w:eastAsia="Arial" w:hAnsi="Arial"/>
                <w:sz w:val="16"/>
                <w:szCs w:val="16"/>
                <w:color w:val="auto"/>
                <w:vertAlign w:val="superscript"/>
              </w:rPr>
              <w:t>(2)</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50</w:t>
            </w:r>
          </w:p>
        </w:tc>
        <w:tc>
          <w:tcPr>
            <w:tcW w:w="10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Executive Vice President, Public Sector Solutions</w:t>
            </w: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2024</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2024</w:t>
            </w:r>
          </w:p>
        </w:tc>
        <w:tc>
          <w:tcPr>
            <w:tcW w:w="0" w:type="dxa"/>
            <w:vAlign w:val="bottom"/>
          </w:tcPr>
          <w:p>
            <w:pPr>
              <w:spacing w:after="0"/>
              <w:rPr>
                <w:sz w:val="1"/>
                <w:szCs w:val="1"/>
                <w:color w:val="auto"/>
              </w:rPr>
            </w:pPr>
          </w:p>
        </w:tc>
      </w:tr>
      <w:tr>
        <w:trPr>
          <w:trHeight w:val="167"/>
        </w:trPr>
        <w:tc>
          <w:tcPr>
            <w:tcW w:w="1980" w:type="dxa"/>
            <w:vAlign w:val="bottom"/>
            <w:gridSpan w:val="2"/>
          </w:tcPr>
          <w:p>
            <w:pPr>
              <w:ind w:left="20"/>
              <w:spacing w:after="0" w:line="167" w:lineRule="exact"/>
              <w:rPr>
                <w:sz w:val="20"/>
                <w:szCs w:val="20"/>
                <w:color w:val="auto"/>
              </w:rPr>
            </w:pPr>
            <w:r>
              <w:rPr>
                <w:rFonts w:ascii="Arial" w:cs="Arial" w:eastAsia="Arial" w:hAnsi="Arial"/>
                <w:sz w:val="13"/>
                <w:szCs w:val="13"/>
                <w:color w:val="auto"/>
              </w:rPr>
              <w:t>Mike McDaniel</w:t>
            </w:r>
            <w:r>
              <w:rPr>
                <w:rFonts w:ascii="Arial" w:cs="Arial" w:eastAsia="Arial" w:hAnsi="Arial"/>
                <w:sz w:val="16"/>
                <w:szCs w:val="16"/>
                <w:color w:val="auto"/>
                <w:vertAlign w:val="superscript"/>
              </w:rPr>
              <w:t>(2)</w:t>
            </w:r>
          </w:p>
        </w:tc>
        <w:tc>
          <w:tcPr>
            <w:tcW w:w="640" w:type="dxa"/>
            <w:vAlign w:val="bottom"/>
          </w:tcPr>
          <w:p>
            <w:pPr>
              <w:jc w:val="center"/>
              <w:spacing w:after="0"/>
              <w:rPr>
                <w:sz w:val="20"/>
                <w:szCs w:val="20"/>
                <w:color w:val="auto"/>
              </w:rPr>
            </w:pPr>
            <w:r>
              <w:rPr>
                <w:rFonts w:ascii="Arial" w:cs="Arial" w:eastAsia="Arial" w:hAnsi="Arial"/>
                <w:sz w:val="13"/>
                <w:szCs w:val="13"/>
                <w:color w:val="auto"/>
                <w:w w:val="82"/>
              </w:rPr>
              <w:t>55</w:t>
            </w:r>
          </w:p>
        </w:tc>
        <w:tc>
          <w:tcPr>
            <w:tcW w:w="100" w:type="dxa"/>
            <w:vAlign w:val="bottom"/>
          </w:tcPr>
          <w:p>
            <w:pPr>
              <w:spacing w:after="0"/>
              <w:rPr>
                <w:sz w:val="14"/>
                <w:szCs w:val="14"/>
                <w:color w:val="auto"/>
              </w:rPr>
            </w:pPr>
          </w:p>
        </w:tc>
        <w:tc>
          <w:tcPr>
            <w:tcW w:w="6020" w:type="dxa"/>
            <w:vAlign w:val="bottom"/>
            <w:gridSpan w:val="2"/>
          </w:tcPr>
          <w:p>
            <w:pPr>
              <w:spacing w:after="0"/>
              <w:rPr>
                <w:sz w:val="20"/>
                <w:szCs w:val="20"/>
                <w:color w:val="auto"/>
              </w:rPr>
            </w:pPr>
            <w:r>
              <w:rPr>
                <w:rFonts w:ascii="Arial" w:cs="Arial" w:eastAsia="Arial" w:hAnsi="Arial"/>
                <w:sz w:val="13"/>
                <w:szCs w:val="13"/>
                <w:color w:val="auto"/>
              </w:rPr>
              <w:t>Executive Vice President, Commercial Solutions</w:t>
            </w:r>
          </w:p>
        </w:tc>
        <w:tc>
          <w:tcPr>
            <w:tcW w:w="1460" w:type="dxa"/>
            <w:vAlign w:val="bottom"/>
          </w:tcPr>
          <w:p>
            <w:pPr>
              <w:jc w:val="center"/>
              <w:spacing w:after="0"/>
              <w:rPr>
                <w:sz w:val="20"/>
                <w:szCs w:val="20"/>
                <w:color w:val="auto"/>
              </w:rPr>
            </w:pPr>
            <w:r>
              <w:rPr>
                <w:rFonts w:ascii="Arial" w:cs="Arial" w:eastAsia="Arial" w:hAnsi="Arial"/>
                <w:sz w:val="13"/>
                <w:szCs w:val="13"/>
                <w:color w:val="auto"/>
                <w:w w:val="96"/>
              </w:rPr>
              <w:t>2024</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2024</w:t>
            </w: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Michael Krawitz</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55</w:t>
            </w:r>
          </w:p>
        </w:tc>
        <w:tc>
          <w:tcPr>
            <w:tcW w:w="10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Executive Vice President, General Counsel and Secretary</w:t>
            </w: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0" w:type="dxa"/>
            <w:vAlign w:val="bottom"/>
          </w:tcPr>
          <w:p>
            <w:pPr>
              <w:spacing w:after="0"/>
              <w:rPr>
                <w:sz w:val="1"/>
                <w:szCs w:val="1"/>
                <w:color w:val="auto"/>
              </w:rPr>
            </w:pPr>
          </w:p>
        </w:tc>
      </w:tr>
      <w:tr>
        <w:trPr>
          <w:trHeight w:val="166"/>
        </w:trPr>
        <w:tc>
          <w:tcPr>
            <w:tcW w:w="1980" w:type="dxa"/>
            <w:vAlign w:val="bottom"/>
            <w:gridSpan w:val="2"/>
          </w:tcPr>
          <w:p>
            <w:pPr>
              <w:ind w:left="20"/>
              <w:spacing w:after="0"/>
              <w:rPr>
                <w:sz w:val="20"/>
                <w:szCs w:val="20"/>
                <w:color w:val="auto"/>
              </w:rPr>
            </w:pPr>
            <w:r>
              <w:rPr>
                <w:rFonts w:ascii="Arial" w:cs="Arial" w:eastAsia="Arial" w:hAnsi="Arial"/>
                <w:sz w:val="13"/>
                <w:szCs w:val="13"/>
                <w:color w:val="auto"/>
              </w:rPr>
              <w:t>Mark Prout</w:t>
            </w:r>
          </w:p>
        </w:tc>
        <w:tc>
          <w:tcPr>
            <w:tcW w:w="640" w:type="dxa"/>
            <w:vAlign w:val="bottom"/>
          </w:tcPr>
          <w:p>
            <w:pPr>
              <w:jc w:val="center"/>
              <w:spacing w:after="0"/>
              <w:rPr>
                <w:sz w:val="20"/>
                <w:szCs w:val="20"/>
                <w:color w:val="auto"/>
              </w:rPr>
            </w:pPr>
            <w:r>
              <w:rPr>
                <w:rFonts w:ascii="Arial" w:cs="Arial" w:eastAsia="Arial" w:hAnsi="Arial"/>
                <w:sz w:val="13"/>
                <w:szCs w:val="13"/>
                <w:color w:val="auto"/>
                <w:w w:val="82"/>
              </w:rPr>
              <w:t>61</w:t>
            </w:r>
          </w:p>
        </w:tc>
        <w:tc>
          <w:tcPr>
            <w:tcW w:w="100" w:type="dxa"/>
            <w:vAlign w:val="bottom"/>
          </w:tcPr>
          <w:p>
            <w:pPr>
              <w:spacing w:after="0"/>
              <w:rPr>
                <w:sz w:val="14"/>
                <w:szCs w:val="14"/>
                <w:color w:val="auto"/>
              </w:rPr>
            </w:pPr>
          </w:p>
        </w:tc>
        <w:tc>
          <w:tcPr>
            <w:tcW w:w="6020" w:type="dxa"/>
            <w:vAlign w:val="bottom"/>
            <w:gridSpan w:val="2"/>
          </w:tcPr>
          <w:p>
            <w:pPr>
              <w:spacing w:after="0"/>
              <w:rPr>
                <w:sz w:val="20"/>
                <w:szCs w:val="20"/>
                <w:color w:val="auto"/>
              </w:rPr>
            </w:pPr>
            <w:r>
              <w:rPr>
                <w:rFonts w:ascii="Arial" w:cs="Arial" w:eastAsia="Arial" w:hAnsi="Arial"/>
                <w:sz w:val="13"/>
                <w:szCs w:val="13"/>
                <w:color w:val="auto"/>
              </w:rPr>
              <w:t>Executive Vice President, Chief Information &amp; Technology Officer</w:t>
            </w:r>
          </w:p>
        </w:tc>
        <w:tc>
          <w:tcPr>
            <w:tcW w:w="1460" w:type="dxa"/>
            <w:vAlign w:val="bottom"/>
          </w:tcPr>
          <w:p>
            <w:pPr>
              <w:jc w:val="center"/>
              <w:spacing w:after="0"/>
              <w:rPr>
                <w:sz w:val="20"/>
                <w:szCs w:val="20"/>
                <w:color w:val="auto"/>
              </w:rPr>
            </w:pPr>
            <w:r>
              <w:rPr>
                <w:rFonts w:ascii="Arial" w:cs="Arial" w:eastAsia="Arial" w:hAnsi="Arial"/>
                <w:sz w:val="13"/>
                <w:szCs w:val="13"/>
                <w:color w:val="auto"/>
                <w:w w:val="96"/>
              </w:rPr>
              <w:t>2019</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2020</w:t>
            </w: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3"/>
                <w:szCs w:val="13"/>
                <w:color w:val="auto"/>
              </w:rPr>
              <w:t>Stephen Wood</w:t>
            </w:r>
            <w:r>
              <w:rPr>
                <w:rFonts w:ascii="Arial" w:cs="Arial" w:eastAsia="Arial" w:hAnsi="Arial"/>
                <w:sz w:val="16"/>
                <w:szCs w:val="16"/>
                <w:color w:val="auto"/>
                <w:vertAlign w:val="superscript"/>
              </w:rPr>
              <w:t>(2)</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58</w:t>
            </w:r>
          </w:p>
        </w:tc>
        <w:tc>
          <w:tcPr>
            <w:tcW w:w="100" w:type="dxa"/>
            <w:vAlign w:val="bottom"/>
            <w:shd w:val="clear" w:color="auto" w:fill="CCEEFF"/>
          </w:tcPr>
          <w:p>
            <w:pPr>
              <w:spacing w:after="0"/>
              <w:rPr>
                <w:sz w:val="14"/>
                <w:szCs w:val="14"/>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Executive Vice President, Chief Financial Officer</w:t>
            </w:r>
          </w:p>
        </w:tc>
        <w:tc>
          <w:tcPr>
            <w:tcW w:w="1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2020</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_____________________________</w:t>
      </w:r>
    </w:p>
    <w:p>
      <w:pPr>
        <w:spacing w:after="0" w:line="76" w:lineRule="exact"/>
        <w:rPr>
          <w:sz w:val="20"/>
          <w:szCs w:val="20"/>
          <w:color w:val="auto"/>
        </w:rPr>
      </w:pPr>
    </w:p>
    <w:p>
      <w:pPr>
        <w:ind w:left="140" w:hanging="137"/>
        <w:spacing w:after="0"/>
        <w:tabs>
          <w:tab w:leader="none" w:pos="14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Member of Conduent Board of Directors</w:t>
      </w:r>
    </w:p>
    <w:p>
      <w:pPr>
        <w:ind w:left="140" w:hanging="137"/>
        <w:spacing w:after="0" w:line="221" w:lineRule="auto"/>
        <w:tabs>
          <w:tab w:leader="none" w:pos="14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Officer or executive officer of Conduent or its subsidiaries for less than five years</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As of February 19, 2025, there are no family relationships among any of the executive officers named above and any of our directors.</w:t>
      </w:r>
    </w:p>
    <w:p>
      <w:pPr>
        <w:spacing w:after="0" w:line="131" w:lineRule="exact"/>
        <w:rPr>
          <w:sz w:val="20"/>
          <w:szCs w:val="20"/>
          <w:color w:val="auto"/>
        </w:rPr>
      </w:pPr>
    </w:p>
    <w:p>
      <w:pPr>
        <w:jc w:val="both"/>
        <w:ind w:right="120"/>
        <w:spacing w:after="0" w:line="275" w:lineRule="auto"/>
        <w:rPr>
          <w:sz w:val="20"/>
          <w:szCs w:val="20"/>
          <w:color w:val="auto"/>
        </w:rPr>
      </w:pPr>
      <w:r>
        <w:rPr>
          <w:rFonts w:ascii="Arial" w:cs="Arial" w:eastAsia="Arial" w:hAnsi="Arial"/>
          <w:sz w:val="13"/>
          <w:szCs w:val="13"/>
          <w:color w:val="auto"/>
        </w:rPr>
        <w:t>Mr. Skelton was appointed Chief Operating Officer of Conduent in June 2019, Chief Executive Officer of Conduent in August 2019 and President of Conduent in May 2021. He served as President of Fiserv Output Solutions from March 2017 to June 2019. Prior to that, Mr. Skelton was the Group President and Chief Information Officer at Fiserv from April 2012 until March 2017. Mr. Skelton also held a variety of leadership roles at companies such as Ally Financial (formerly General Motors Acceptance Corporation) and Bank of America. Mr.</w:t>
      </w:r>
    </w:p>
    <w:p>
      <w:pPr>
        <w:ind w:right="80"/>
        <w:spacing w:after="0" w:line="261" w:lineRule="auto"/>
        <w:rPr>
          <w:sz w:val="20"/>
          <w:szCs w:val="20"/>
          <w:color w:val="auto"/>
        </w:rPr>
      </w:pPr>
      <w:r>
        <w:rPr>
          <w:rFonts w:ascii="Arial" w:cs="Arial" w:eastAsia="Arial" w:hAnsi="Arial"/>
          <w:sz w:val="14"/>
          <w:szCs w:val="14"/>
          <w:color w:val="auto"/>
        </w:rPr>
        <w:t>Skelton is a former Navy fighter pilot and served in the Navy for over 20 years. Mr. Skelton earned his Bachelor of Arts degree from the University of Southern California and Master of Public Administration from Harvard University's John F. Kennedy School of Government.</w:t>
      </w:r>
    </w:p>
    <w:p>
      <w:pPr>
        <w:spacing w:after="0" w:line="9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Mr. Abate was appointed Vice President – Chief Accounting Officer and Principal Accounting Officer in August 2024. In his current role, Mr. Abate oversees the Company’s accounting matters. He has held various accounting leadership roles of increasing responsibility at Conduent since 2017 and prior to that at Xerox Corporation. Mr. Abate began his accounting career in the Assurance Practice of KPMG, LLP. Mr. Abate holds a Bachelor of Science in Accounting from Fairfield University.</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5" w:name="page16"/>
    <w:bookmarkEnd w:id="1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Mr. Appleby joined Conduent as Chief Operating Officer – Commercial Solutions in August 2020. He was Chief Operating Officer – Transportation Solutions from October 2022 until August 2023 and President – Transportation Solutions from August 2023 to July 2024. He was appointed to his current position as Executive Vice President, Public Sector Solutions in July 2024. In this role, Mr. Appleby oversees the Company’s portfolio of Public Sector Solutions including Government Healthcare Solutions and Government Services Solutions in the Government segment, as well as Road Usage Charging Solutions, Transit Solutions and Commercial Vehicles in the Transportation segment. Prior to joining Conduent, Mr. Appleby was SVP, Client Operation, Credit Union Solutions at Fiserv from September 2018 until August 2020. Mr. Appleby earned his Bachelor of Science degree in Environmental Science and Systems Engineering from the U.S. Military Academy at West Point and he completed Leadership Development Programs at GE, Bank of America, Ally Financial and Fiserv.</w:t>
      </w:r>
    </w:p>
    <w:p>
      <w:pPr>
        <w:spacing w:after="0" w:line="86"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Mr. Krawitz has served as Executive Vice President, General Counsel and Secretary since November 2019. Prior to joining Conduent, from June 2015 to November 2019, Mr. Krawitz was Executive Vice President, General Counsel and Corporate Secretary of insurance services firm York Risk Services Group, a portfolio company of Onex Corp. From 2014 to 2015, he was Chief Legal Officer of Veriteq Corp., a biotech company. From 1999 to 2014, Mr. Krawitz held leadership roles in public and private companies in the technology and finance sectors. Mr. Krawitz began his career at Fried Frank and earned his Bachelor of Arts in Economics and in Government from Cornell University and his Juris Doctor from Harvard Law School.</w:t>
      </w:r>
    </w:p>
    <w:p>
      <w:pPr>
        <w:spacing w:after="0" w:line="100" w:lineRule="exact"/>
        <w:rPr>
          <w:sz w:val="20"/>
          <w:szCs w:val="20"/>
          <w:color w:val="auto"/>
        </w:rPr>
      </w:pPr>
    </w:p>
    <w:p>
      <w:pPr>
        <w:ind w:right="280"/>
        <w:spacing w:after="0" w:line="292" w:lineRule="auto"/>
        <w:rPr>
          <w:sz w:val="20"/>
          <w:szCs w:val="20"/>
          <w:color w:val="auto"/>
        </w:rPr>
      </w:pPr>
      <w:r>
        <w:rPr>
          <w:rFonts w:ascii="Arial" w:cs="Arial" w:eastAsia="Arial" w:hAnsi="Arial"/>
          <w:sz w:val="13"/>
          <w:szCs w:val="13"/>
          <w:color w:val="auto"/>
        </w:rPr>
        <w:t>Mr. McDaniel joined Conduent in July 2024 as Executive Vice President, Commercial Solutions and has responsibility for our commercial solutions portfolio, including Customer Experience Management, Business Operations Solutions, Healthcare Claims and Administration and Human Capital Solutions. Prior to Conduent, Mr. McDaniel spent four years at</w:t>
      </w:r>
    </w:p>
    <w:p>
      <w:pPr>
        <w:spacing w:after="0" w:line="1" w:lineRule="exact"/>
        <w:rPr>
          <w:sz w:val="20"/>
          <w:szCs w:val="20"/>
          <w:color w:val="auto"/>
        </w:rPr>
      </w:pPr>
    </w:p>
    <w:p>
      <w:pPr>
        <w:ind w:right="140"/>
        <w:spacing w:after="0" w:line="292" w:lineRule="auto"/>
        <w:rPr>
          <w:sz w:val="20"/>
          <w:szCs w:val="20"/>
          <w:color w:val="auto"/>
        </w:rPr>
      </w:pPr>
      <w:r>
        <w:rPr>
          <w:rFonts w:ascii="Arial" w:cs="Arial" w:eastAsia="Arial" w:hAnsi="Arial"/>
          <w:sz w:val="13"/>
          <w:szCs w:val="13"/>
          <w:color w:val="auto"/>
        </w:rPr>
        <w:t>DXC Technology (August 2020 – June 2024) where he was the President of Modern Workplace, managing infrastructure for 7M devices worldwide. Before joining DXC, Mr. McDaniel spent 15 years at Accenture (February 2006 – July 2020) as a Senior Management Director in their Operations Business managing many different aspects of their global BPO</w:t>
      </w:r>
    </w:p>
    <w:p>
      <w:pPr>
        <w:spacing w:after="0" w:line="1"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business. Mr. McDaniel holds an MBA from Bowling Green State University and a Bachelor of Science degree in mechanical engineering from the University of Toledo. He chairs the Board of Directors for the Valley of the Sun YMCA, ICAN which is a free, out-of-school time program that serves at-risk youth in the greater Phoenix area, and the Paul J. Hooker Center for Entrepreneurial Leadership at Bowling Green State University.</w:t>
      </w:r>
    </w:p>
    <w:p>
      <w:pPr>
        <w:spacing w:after="0" w:line="9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Mr. Prout joined Conduent as Head of Information Technology in June of 2019. He was appointed Executive Vice President, Chief Information &amp; Technology Officer in September 2019. Prior to joining Conduent, between 2005 and 2019, Mr. Prout served as Chief Technology Officer of Fiserv, as well as held several IT leadership positions at Fiserv. Prior to Fiserv, he served as CIO of Cendian Corporation. Mr. Prout has also held various leadership positions at United Parcel Service. Mr. Prout earned his Bachelor's degree in business management and programming from Southern Illinois University, Carbondale.</w:t>
      </w:r>
    </w:p>
    <w:p>
      <w:pPr>
        <w:spacing w:after="0" w:line="97"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Mr. Wood has served as the Chief Financial Officer of Conduent since June 2021. He served in his previous role as Conduent’s Corporate Controller from August 2020 until June 2021 and served as its Principal Accounting Officer from December 2020 to August 2024. Prior to joining Conduent, Mr. Wood spent 15 years at Fiserv in finance and accounting leadership positions. From December 2016 to May 2020, Mr. Wood served as Vice President &amp; Chief Financial Officer of Fiserv Output Solutions. From March 2009 to December 2016, he served as Vice President &amp; Controller over several different operating groups, and from January 2005 to March 2009, he led International Finance &amp; Accounting operations. Mr. Wood is a Chartered Global Management Accountant with an MBA with distinction from Warwick Business School and earned his Bachelor of Science from the University of Birmingham in the United Kingdom.</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6" w:name="page17"/>
    <w:bookmarkEnd w:id="1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1A. RISK FACTORS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Economic, Market and Operational Risks</w:t>
      </w:r>
    </w:p>
    <w:p>
      <w:pPr>
        <w:spacing w:after="0" w:line="125" w:lineRule="exact"/>
        <w:rPr>
          <w:sz w:val="20"/>
          <w:szCs w:val="20"/>
          <w:color w:val="auto"/>
        </w:rPr>
      </w:pPr>
    </w:p>
    <w:p>
      <w:pPr>
        <w:ind w:right="120"/>
        <w:spacing w:after="0" w:line="291" w:lineRule="auto"/>
        <w:rPr>
          <w:sz w:val="20"/>
          <w:szCs w:val="20"/>
          <w:color w:val="auto"/>
        </w:rPr>
      </w:pPr>
      <w:r>
        <w:rPr>
          <w:rFonts w:ascii="Arial" w:cs="Arial" w:eastAsia="Arial" w:hAnsi="Arial"/>
          <w:sz w:val="14"/>
          <w:szCs w:val="14"/>
          <w:b w:val="1"/>
          <w:bCs w:val="1"/>
          <w:i w:val="1"/>
          <w:iCs w:val="1"/>
          <w:color w:val="0066CC"/>
        </w:rPr>
        <w:t>Our government contracts are subject to appropriation of funds, termination rights, audits and investigations, which, if exercised, could negatively impact our reputation and reduce our ability to compete for new contracts.</w:t>
      </w:r>
    </w:p>
    <w:p>
      <w:pPr>
        <w:spacing w:after="0" w:line="66" w:lineRule="exact"/>
        <w:rPr>
          <w:sz w:val="20"/>
          <w:szCs w:val="20"/>
          <w:color w:val="auto"/>
        </w:rPr>
      </w:pPr>
    </w:p>
    <w:p>
      <w:pPr>
        <w:ind w:right="100"/>
        <w:spacing w:after="0" w:line="251" w:lineRule="auto"/>
        <w:rPr>
          <w:sz w:val="20"/>
          <w:szCs w:val="20"/>
          <w:color w:val="auto"/>
        </w:rPr>
      </w:pPr>
      <w:r>
        <w:rPr>
          <w:rFonts w:ascii="Arial" w:cs="Arial" w:eastAsia="Arial" w:hAnsi="Arial"/>
          <w:sz w:val="14"/>
          <w:szCs w:val="14"/>
          <w:color w:val="auto"/>
        </w:rPr>
        <w:t>A significant portion of our revenues is derived from contracts with U.S. federal, state and local governments and their agencies, and some of our revenues are derived from contracts with foreign governments and their agencies. Government entities typically finance projects through appropriated funds. While these projects are often planned and executed as multi-year projects, government entities usually reserve the right to change the scope of or terminate these projects for lack of approved funding and/or at their convenience. Changes in government or political developments, including budget deficits, shortfalls or uncertainties, failures to enact appropriation legislation (e.g., a government "shut-down"), government spending reductions or other debt or funding constraints, have resulted in, and in the future could result in, lower governmental sales and our projects being reduced in price or scope or terminated altogether, which also could limit our recovery of incurred costs, reimbursable expenses and profits on work completed prior to the termination. Additionally, if the government discovers what it considers to be improper or illegal activities or contractual non-compliance (including improper billing or non-compliant performance of contract requirements), we may be subject to various civil and criminal penalties and administrative sanctions, which has occurred in the past and may in the future include termination of contracts, forfeiture of profits, suspension of payments, contractual service penalties, fines and suspensions or debarment from doing business with the government. Any resulting penalties or sanctions could materially adversely affect our results of operations and financial condition. Moreover, government contracts are generally subject to audits and investigations by government agencies. If the government finds that we inappropriately charged any costs to a contract, the costs are not reimbursable or, if already reimbursed, the cost must be refunded to the government. Further, the negative publicity that could arise from any such penalties, sanctions or findings in such audits or investigations could have an adverse effect on our reputation in the industry and reduce our ability to compete for new contracts and could materially adversely affect our results of operations and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The markets in which we operate are highly competitive, and we might not be able to compete effectively.</w:t>
      </w:r>
    </w:p>
    <w:p>
      <w:pPr>
        <w:spacing w:after="0" w:line="129"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We operate in a global marketplace in which competition in all areas of our portfolio is vigorous. Some of our competitors possess greater financial, marketing and sales resources, and larger geographic scope in certain parts of the world than we do, which, in turn, provides them with additional leverage in the competition for contracts. In certain niche, regional or metropolitan markets, we face smaller competitors with specialized capabilities who may be able to provide competing services with greater economic efficiency. Some of our competitors have more significant operations than we do in lower cost countries that can serve as a platform from which to provide services worldwide on terms that may be more favorable. Increased competition often results in corresponding pressure on prices and terms. There can be no assurance that we will succeed in providing competitively priced services at levels of service and quality that will enable us to maintain and grow our market share.</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Additionally, we derive significant revenue from contracts awarded through competitive bidding processes, including renewals, which can impose substantial costs on us, and may limit the Company’s ability to negotiate certain contractual terms and conditions. Many of these contracts are extremely complex and require the investment of significant resources in order to prepare accurate bids and proposals. Competitive bidding imposes substantial costs and presents a number of risks, including: (i) the substantial cost and managerial time and effort that we spend to prepare bids and proposals for contracts that may or may not be awarded to us; (ii) the need to estimate accurately the resources and costs that will be required to implement and service any contracts we are awarded, sometimes in advance of the final determination of their full scope and design; (iii) the expense and delay that may arise if our competitors protest or challenge awards made to us pursuant to competitive bidding and the risk that such protests or challenges could result in the requirement to resubmit bids and in the termination, reduction or modification of the awarded contracts; and (iv) the opportunity cost of not bidding on and winning other contracts we might otherwise pursue. If our competitors protest or challenge an award made to us on a government contract, the costs to defend such an award may be significant and could involve subsequent litigation that could take years to resolve.</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ability to recover capital and other investments in connection with our contracts is subject to risk.</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To attract and retain large outsourcing contracts, we sometimes make significant capital and other investments to enable us to perform our services under those contracts, such as purchases of information technology equipment, facility costs, labor resources and costs incurred to develop and implement software. The net book value of certain assets recorded, including a portion of our intangible assets, could be impaired, and our results of operations and financial condition could be materially adversely affected in the event of the early termination of all or a part of such a contract or a reduction in volumes and services thereunder for reasons such as a customer’s or client’s merger or acquisition, divestiture of assets or businesses, business failure or deterioration or a customer’s or client’s exercise of contract termination rights.</w:t>
      </w:r>
    </w:p>
    <w:p>
      <w:pPr>
        <w:spacing w:after="0" w:line="102" w:lineRule="exact"/>
        <w:rPr>
          <w:sz w:val="20"/>
          <w:szCs w:val="20"/>
          <w:color w:val="auto"/>
        </w:rPr>
      </w:pPr>
    </w:p>
    <w:p>
      <w:pPr>
        <w:ind w:right="160"/>
        <w:spacing w:after="0" w:line="291" w:lineRule="auto"/>
        <w:rPr>
          <w:sz w:val="20"/>
          <w:szCs w:val="20"/>
          <w:color w:val="auto"/>
        </w:rPr>
      </w:pPr>
      <w:r>
        <w:rPr>
          <w:rFonts w:ascii="Arial" w:cs="Arial" w:eastAsia="Arial" w:hAnsi="Arial"/>
          <w:sz w:val="14"/>
          <w:szCs w:val="14"/>
          <w:b w:val="1"/>
          <w:bCs w:val="1"/>
          <w:i w:val="1"/>
          <w:iCs w:val="1"/>
          <w:color w:val="0066CC"/>
        </w:rPr>
        <w:t>Our business may be adversely affected by geopolitical events and increasing geopolitical tensions, macroeconomic conditions, natural disasters and other factors that could directly impact certain of our employees, customers and vendors in countries or regions effected by such events and factors.</w:t>
      </w:r>
    </w:p>
    <w:p>
      <w:pPr>
        <w:spacing w:after="0" w:line="66"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have a global workforce and global customers. Our employees and customers in a particular country or region in the world may be impacted as a result of a variety of diversions, including: geopolitical events and increasing geopolitical tensions, such as war, the threat of war, or terrorist activity (including the war in the Ukraine and the conflict in the Middle East); macroeconomic conditions, such as the level of inflation, economic activity and interest rates; natural disasters or the effects of climate change (such as drought, flooding, wildfires, increased storm severity, and sea level rise); power shortages or outages, major public health issues, including pandemics (such as the coronavirus); and significant local, national or global events capturing the attention of a large part of the population. To date, while we do not believe our business, financial position or operations have been materially impacted by these factors, we continue to monitor world events closely. If any of these factors disrupt a country or region where we have a significant workforce (such as the U.S., India or the Philippines) or customers (such as the U.S. or Europe), or vendors, our business could be materially adversely affected.</w:t>
      </w:r>
    </w:p>
    <w:p>
      <w:pPr>
        <w:spacing w:after="0" w:line="101"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b w:val="1"/>
          <w:bCs w:val="1"/>
          <w:i w:val="1"/>
          <w:iCs w:val="1"/>
          <w:color w:val="0066CC"/>
        </w:rPr>
        <w:t>Our results of operations and financial condition may be materially adversely affected by conditions abroad, including local economics, political environments, fluctuating foreign currencies and shifting regulatory schemes.</w:t>
      </w:r>
    </w:p>
    <w:p>
      <w:pPr>
        <w:spacing w:after="0" w:line="66"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Approximately 14% of our 2024 revenues was generated from operations outside the United States. In addition, we maintain significant operations outside the United States. Our results of operations and financial condition could be materially adversely affected by changes in foreign currency exchange rates, as well as by several of other factors, including, without limitation, changes in economic conditions from country to country, changes in a country’s political conditions, trade controls and protection measures, financial sanctions, licensing requirements, local tax issues, capitalization and other related legal matters. If we are unable to effectively hedge these risks, our results of operations and financial condition could be materially adversely affected.</w:t>
      </w:r>
    </w:p>
    <w:p>
      <w:pPr>
        <w:spacing w:after="0" w:line="102" w:lineRule="exact"/>
        <w:rPr>
          <w:sz w:val="20"/>
          <w:szCs w:val="20"/>
          <w:color w:val="auto"/>
        </w:rPr>
      </w:pPr>
    </w:p>
    <w:p>
      <w:pPr>
        <w:jc w:val="both"/>
        <w:ind w:right="440"/>
        <w:spacing w:after="0" w:line="269" w:lineRule="auto"/>
        <w:rPr>
          <w:sz w:val="20"/>
          <w:szCs w:val="20"/>
          <w:color w:val="auto"/>
        </w:rPr>
      </w:pPr>
      <w:r>
        <w:rPr>
          <w:rFonts w:ascii="Arial" w:cs="Arial" w:eastAsia="Arial" w:hAnsi="Arial"/>
          <w:sz w:val="14"/>
          <w:szCs w:val="14"/>
          <w:b w:val="1"/>
          <w:bCs w:val="1"/>
          <w:i w:val="1"/>
          <w:iCs w:val="1"/>
          <w:color w:val="0066CC"/>
        </w:rPr>
        <w:t>We rely to a significant extent on third-party providers, such as subcontractors, a relatively small number of primary software vendors, utility providers and network providers; if they cannot deliver or perform as expected or if our relationships with them are terminated or otherwise change, our results of operations and financial condition could be materially adversely affected.</w:t>
      </w:r>
    </w:p>
    <w:p>
      <w:pPr>
        <w:spacing w:after="0" w:line="82"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Our ability to service our customers and clients and deliver and implement solutions depends to a large extent on third-party providers such as subcontractors, a relatively small number of primary software vendors, software application developers, utility providers and network providers meeting their obligations to us and our expectations in a timely, quality manner. Our results of operations and financial condition have been and in the future may be materially adversely affected and we might incur significant additional liabilities if any of our third-party providers (i) do not meet their service level obligations, (ii) do not meet our or our clients’ expectations, (iii) terminate or refuse to renew their relationships with us, or (iv) offer their products to us with less advantageous prices and other terms than previously offered.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Failure to deliver on our contractual obligations properly and on time could materially adversely affect our results of operations and financial condition.</w:t>
      </w:r>
    </w:p>
    <w:p>
      <w:pPr>
        <w:spacing w:after="0" w:line="129"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Our business model depends in large part on our ability to retain existing and attract new work from our base of existing clients, as well as on relationships we develop with our clients so that we can understand our clients’ needs and deliver solutions and services that are tailored to meet those needs. For our business to grow, we must successfully manage the provision of services under our contracts. If a client is not satisfied with the quality of work</w:t>
      </w:r>
    </w:p>
    <w:p>
      <w:pPr>
        <w:spacing w:after="0" w:line="200" w:lineRule="exact"/>
        <w:rPr>
          <w:sz w:val="20"/>
          <w:szCs w:val="20"/>
          <w:color w:val="auto"/>
        </w:rPr>
      </w:pP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performed by us or a subcontractor, or with the type of services or solutions delivered, or if we or our subcontractors fail to perform in accordance with contract requirements, then we could incur additional costs to address the situation, the profitability of that work might be impaired and the client’s dissatisfaction with our services could damage our ability to obtain additional work from that client or obtain new work from other potential clients. Many of our contracts with non-government clients may be terminated by the client, without cause, upon specified advance notice. Accordingly, clients who are not satisfied might seek to terminate existing contracts prior to their scheduled expiration date, which may result in our inability to fully recover our up-front investments. In addition, clients could direct future business to our competitors. We could also trigger contractual credits to clients or a contractual default. Failure to properly transition new clients to our systems, properly budget transition costs or accurately estimate contract operational costs could result in delays in our contract performance, trigger service level penalties, impair fixed or intangible assets or result in contract profit margins that do not meet our expectations or our historical profit margins.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business is dependent on continued interest in outsourcing.</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Our business and growth depend in large part on continued interest in outsourced business process services. Outsourcing means that an entity contracts with a third-party, such as us, to provide business process services rather than perform such services in-house. There can be no assurance that this interest will continue, as organizations may elect to perform such services themselves and/or the business process outsourcing industry could move to an as-a-service model, thereby eliminating traditional business process outsourcing tasks. A significant change in this interest in outsourcing could materially adversely affect our results of operations and financial condition. Additionally, there can be no assurance that our cross-selling efforts will cause clients to purchase additional services from us or adopt a single-source outsourcing approach.</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may be subject to claims of infringement of third-party intellectual property rights which could adversely affect our results of operation and financial condition.</w:t>
      </w:r>
    </w:p>
    <w:p>
      <w:pPr>
        <w:spacing w:after="0" w:line="129" w:lineRule="exact"/>
        <w:rPr>
          <w:sz w:val="20"/>
          <w:szCs w:val="20"/>
          <w:color w:val="auto"/>
        </w:rPr>
      </w:pPr>
    </w:p>
    <w:p>
      <w:pPr>
        <w:ind w:right="120"/>
        <w:spacing w:after="0" w:line="273" w:lineRule="auto"/>
        <w:rPr>
          <w:sz w:val="20"/>
          <w:szCs w:val="20"/>
          <w:color w:val="auto"/>
        </w:rPr>
      </w:pPr>
      <w:r>
        <w:rPr>
          <w:rFonts w:ascii="Arial" w:cs="Arial" w:eastAsia="Arial" w:hAnsi="Arial"/>
          <w:sz w:val="13"/>
          <w:szCs w:val="13"/>
          <w:color w:val="auto"/>
        </w:rPr>
        <w:t>We rely heavily on the use of intellectual property. We do not own all of the software that we use to run our business; instead we license this software from a small number of primary vendors. If these vendors assert claims that we or our clients are infringing on their software or related intellectual property, we could incur substantial costs to defend these claims, which could materially adversely affect our results of operations and financial condition. In addition, if any of our vendors’ infringement claims are ultimately successful, our vendors could require us to (i) cease selling or using products or services that incorporate the challenged software or technology, (ii) obtain a license or additional licenses from our vendors or</w:t>
      </w:r>
    </w:p>
    <w:p>
      <w:pPr>
        <w:jc w:val="both"/>
        <w:ind w:right="40" w:firstLine="3"/>
        <w:spacing w:after="0" w:line="254" w:lineRule="auto"/>
        <w:tabs>
          <w:tab w:leader="none" w:pos="2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redesign our services which rely on the challenged software or technology. In addition, we may be exposed to claims for monetary damages. If we are unsuccessful in defending an infringement claim and our vendors require us to initiate any of the above actions, or we are required to pay monetary damages, then such actions could materially adversely affect our results of operations and financial condition.</w:t>
      </w:r>
    </w:p>
    <w:p>
      <w:pPr>
        <w:spacing w:after="0" w:line="102"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b w:val="1"/>
          <w:bCs w:val="1"/>
          <w:i w:val="1"/>
          <w:iCs w:val="1"/>
          <w:color w:val="0066CC"/>
        </w:rPr>
        <w:t>If we underestimate the scope of work or the costs entailed in performing our contracts, or if we do not fully perform our contracts, our results of operations and financial condition could be materially adversely affected.</w:t>
      </w:r>
    </w:p>
    <w:p>
      <w:pPr>
        <w:spacing w:after="0" w:line="66"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To stay competitive in our industry, we must keep pace with changing technologies and customer preferences. Many of our contracts require us to design, develop and implement new technological and operating systems for our customers. Many of these systems involve detailed and complex computer source code which must be created and integrated into a working system that meets contract specifications. The accounting for these contracts requires judgment relative to assessing risks, estimating costs to fulfill the contract and making assumptions for schedule and technical issues. To varying degrees, each contract type involves some risk that we could underestimate the costs and resources necessary to fulfill the contract. In each case, our failure to accurately estimate costs or the resources and technology needed to perform our contracts or to effectively manage and control our costs during the performance of our work could result, and in some instances has resulted, in reduced profits or in losses. In addition, many of our contracts contain complicated performance obligations, including, without limitation, designing and building new integrated computer systems. These contracts carry potential financial penalties or could result in financial damages or exposures if we fail to properly perform those obligations and have in the past resulted in and in the future could result in our results of operations and financial condition being materially adversely affected.</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right="260"/>
        <w:spacing w:after="0" w:line="291" w:lineRule="auto"/>
        <w:rPr>
          <w:sz w:val="20"/>
          <w:szCs w:val="20"/>
          <w:color w:val="auto"/>
        </w:rPr>
      </w:pPr>
      <w:r>
        <w:rPr>
          <w:rFonts w:ascii="Arial" w:cs="Arial" w:eastAsia="Arial" w:hAnsi="Arial"/>
          <w:sz w:val="14"/>
          <w:szCs w:val="14"/>
          <w:b w:val="1"/>
          <w:bCs w:val="1"/>
          <w:i w:val="1"/>
          <w:iCs w:val="1"/>
          <w:color w:val="0066CC"/>
        </w:rPr>
        <w:t>The loss of key senior management or the failure to attract and retain necessary technical personnel and qualified subcontractors could materially adversely affect our results of operations and financial condition.</w:t>
      </w:r>
    </w:p>
    <w:p>
      <w:pPr>
        <w:spacing w:after="0" w:line="66" w:lineRule="exact"/>
        <w:rPr>
          <w:sz w:val="20"/>
          <w:szCs w:val="20"/>
          <w:color w:val="auto"/>
        </w:rPr>
      </w:pPr>
    </w:p>
    <w:p>
      <w:pPr>
        <w:ind w:right="40"/>
        <w:spacing w:after="0" w:line="294" w:lineRule="auto"/>
        <w:rPr>
          <w:sz w:val="20"/>
          <w:szCs w:val="20"/>
          <w:color w:val="auto"/>
        </w:rPr>
      </w:pPr>
      <w:r>
        <w:rPr>
          <w:rFonts w:ascii="Arial" w:cs="Arial" w:eastAsia="Arial" w:hAnsi="Arial"/>
          <w:sz w:val="13"/>
          <w:szCs w:val="13"/>
          <w:color w:val="auto"/>
        </w:rPr>
        <w:t>Our success depends, in part, upon key managerial and technical personnel, including our ability to attract and retain additional qualified personnel, as well as qualified subcontractors. The loss of certain key personnel, such as our Chief Executive Officer ("CEO"), members of our executive team and other highly skilled employees, could materially adversely affect our results of operations and financial condition. There is no assurance that we can retain our key managerial personnel, or that we can attract similar employees, in the future.</w:t>
      </w:r>
    </w:p>
    <w:p>
      <w:pPr>
        <w:spacing w:after="0" w:line="76"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In addition, because we operate in intensely competitive markets, our success depends to a significant extent upon our ability to attract, retain and motivate highly skilled and qualified technical personnel and to subcontract with qualified, competent subcontractors. If we fail to attract, train and retain sufficient numbers of qualified engineers, technical staff and sales and marketing representatives, or if we are unable to contract with qualified, competent subcontractors, our results of operations and financial condition could be materially adversely affected. Experienced and capable personnel in the services industry remain in high demand, and there is continual competition for their talents. Our ability to renegotiate certain of our legacy third-party contracts which we view as unfavorable, or to improve the service levels we expect from these contracts and third-party providers, is key to our ability to timely, efficiently and profitably deliver our services to our customers. Additionally, we have increased and expect to continue to increase our hiring in geographic areas outside of the United States, which could subject us to increased geopolitical and exchange rate risk. The loss of any key technical employee, the loss of a key subcontractor relationship or our inability to renegotiate or obtain required service levels from legacy and other third-party providers, could materially adversely affect our results of operations and financial condition.</w:t>
      </w:r>
    </w:p>
    <w:p>
      <w:pPr>
        <w:spacing w:after="0" w:line="103" w:lineRule="exact"/>
        <w:rPr>
          <w:sz w:val="20"/>
          <w:szCs w:val="20"/>
          <w:color w:val="auto"/>
        </w:rPr>
      </w:pPr>
    </w:p>
    <w:p>
      <w:pPr>
        <w:ind w:right="280"/>
        <w:spacing w:after="0" w:line="291" w:lineRule="auto"/>
        <w:rPr>
          <w:sz w:val="20"/>
          <w:szCs w:val="20"/>
          <w:color w:val="auto"/>
        </w:rPr>
      </w:pPr>
      <w:r>
        <w:rPr>
          <w:rFonts w:ascii="Arial" w:cs="Arial" w:eastAsia="Arial" w:hAnsi="Arial"/>
          <w:sz w:val="14"/>
          <w:szCs w:val="14"/>
          <w:b w:val="1"/>
          <w:bCs w:val="1"/>
          <w:i w:val="1"/>
          <w:iCs w:val="1"/>
          <w:color w:val="0066CC"/>
        </w:rPr>
        <w:t>If we fail to successfully develop new service offerings, including new technology components, and protect our intellectual property rights, we may be unable to retain current customers and gain new customers and our revenues would decline.</w:t>
      </w:r>
    </w:p>
    <w:p>
      <w:pPr>
        <w:spacing w:after="0" w:line="66"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The process of developing new service offerings, including new technology components, is inherently complex and uncertain. It requires accurate anticipation of customers’ changing needs and emerging technological trends. We must make long-term investments and commit significant resources before knowing whether these investments will eventually result in service offerings that achieve customer acceptance and generate the revenues required to provide desired returns. For example, establishing internal automation processes to help us develop new service offerings will require significant up-front costs and resources, which, if not monetized effectively, could materially adversely affect our revenues. In addition, some of our service offerings rely on technologies developed by and licensed from third-parties. We may not be able to obtain or continue to obtain licenses and technologies from these third-parties at all or on reasonable terms, or such third-parties may demand cross-licenses to our intellectual property. It is also possible that our intellectual property rights could be challenged, invalidated or circumvented, allowing others to use our intellectual property to our competitive detriment. We also must ensure that all of our service offerings comply with both existing and newly enacted regulatory requirements in the countries in which they are sold. If we fail to accurately anticipate and meet our customers’ needs through the development of new service offerings (including technology components) or if we fail to adequately protect our intellectual property rights or if our new service offerings are not widely accepted or if our current or future service offerings fail to meet applicable worldwide regulatory requirements, we could lose market share and customers to our competitors and that could materially adversely affect our results of operations and financial condition.</w:t>
      </w:r>
    </w:p>
    <w:p>
      <w:pPr>
        <w:spacing w:after="0" w:line="108" w:lineRule="exact"/>
        <w:rPr>
          <w:sz w:val="20"/>
          <w:szCs w:val="20"/>
          <w:color w:val="auto"/>
        </w:rPr>
      </w:pPr>
    </w:p>
    <w:p>
      <w:pPr>
        <w:ind w:right="500"/>
        <w:spacing w:after="0" w:line="291" w:lineRule="auto"/>
        <w:rPr>
          <w:sz w:val="20"/>
          <w:szCs w:val="20"/>
          <w:color w:val="auto"/>
        </w:rPr>
      </w:pPr>
      <w:r>
        <w:rPr>
          <w:rFonts w:ascii="Arial" w:cs="Arial" w:eastAsia="Arial" w:hAnsi="Arial"/>
          <w:sz w:val="14"/>
          <w:szCs w:val="14"/>
          <w:b w:val="1"/>
          <w:bCs w:val="1"/>
          <w:i w:val="1"/>
          <w:iCs w:val="1"/>
          <w:color w:val="0066CC"/>
        </w:rPr>
        <w:t>The Company’s business, operating results and reputation may be negatively impacted by failures or delays in our efforts to modernize our information technology infrastructure and to consolidate to fewer data centers.</w:t>
      </w:r>
    </w:p>
    <w:p>
      <w:pPr>
        <w:spacing w:after="0" w:line="66" w:lineRule="exact"/>
        <w:rPr>
          <w:sz w:val="20"/>
          <w:szCs w:val="20"/>
          <w:color w:val="auto"/>
        </w:rPr>
      </w:pPr>
    </w:p>
    <w:p>
      <w:pPr>
        <w:ind w:right="120"/>
        <w:spacing w:after="0" w:line="254" w:lineRule="auto"/>
        <w:rPr>
          <w:sz w:val="20"/>
          <w:szCs w:val="20"/>
          <w:color w:val="auto"/>
        </w:rPr>
      </w:pPr>
      <w:r>
        <w:rPr>
          <w:rFonts w:ascii="Arial" w:cs="Arial" w:eastAsia="Arial" w:hAnsi="Arial"/>
          <w:sz w:val="14"/>
          <w:szCs w:val="14"/>
          <w:color w:val="auto"/>
        </w:rPr>
        <w:t>We have experienced certain disruptions in our operations and service delivery performance issues because of some of our information technology infrastructure that is outdated and that needs to be enhanced and updated, which disruptions have adversely impacted client and delivery performance. As a result, we embarked on a long-term project to modernize a significant portion of our information technology infrastructure with new systems and processes and to consolidate our data centers. There is a risk, however, that our modernization efforts and data center consolidations could materially and adversely disrupt our operations and our service delivery to customers, could result in contractual penalties or damage claims from customers, could occur over a period longer than planned, and could require greater than expected investment and other internal and external resources. It may also take longer to realize the intended favorable benefits from an enhanced technology infrastructure than we expected, or disruptions may continue to occur while we enhance this infrastructure. Future service disruptions could hinder</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360"/>
        <w:spacing w:after="0" w:line="282" w:lineRule="auto"/>
        <w:rPr>
          <w:sz w:val="20"/>
          <w:szCs w:val="20"/>
          <w:color w:val="auto"/>
        </w:rPr>
      </w:pPr>
      <w:r>
        <w:rPr>
          <w:rFonts w:ascii="Arial" w:cs="Arial" w:eastAsia="Arial" w:hAnsi="Arial"/>
          <w:sz w:val="14"/>
          <w:szCs w:val="14"/>
          <w:color w:val="auto"/>
        </w:rPr>
        <w:t>our ability to attract new customers, cause us to incur legal liability, contractual penalties or issue service credits to our customers and cause us to lose current customers, each of which could have a material adverse effect on our business, results of operations and financial condition.</w:t>
      </w:r>
    </w:p>
    <w:p>
      <w:pPr>
        <w:spacing w:after="0" w:line="82" w:lineRule="exact"/>
        <w:rPr>
          <w:sz w:val="20"/>
          <w:szCs w:val="20"/>
          <w:color w:val="auto"/>
        </w:rPr>
      </w:pPr>
    </w:p>
    <w:p>
      <w:pPr>
        <w:ind w:right="180"/>
        <w:spacing w:after="0" w:line="291" w:lineRule="auto"/>
        <w:rPr>
          <w:sz w:val="20"/>
          <w:szCs w:val="20"/>
          <w:color w:val="auto"/>
        </w:rPr>
      </w:pPr>
      <w:r>
        <w:rPr>
          <w:rFonts w:ascii="Arial" w:cs="Arial" w:eastAsia="Arial" w:hAnsi="Arial"/>
          <w:sz w:val="14"/>
          <w:szCs w:val="14"/>
          <w:b w:val="1"/>
          <w:bCs w:val="1"/>
          <w:i w:val="1"/>
          <w:iCs w:val="1"/>
          <w:color w:val="0066CC"/>
        </w:rPr>
        <w:t>Expectations relating to environmental, social and governance considerations expose the Company to potential liabilities, increased costs, reputational harm, and other adverse effects on the Company’s business.</w:t>
      </w:r>
    </w:p>
    <w:p>
      <w:pPr>
        <w:spacing w:after="0" w:line="66"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Although there has been a recent shift in U.S. federal policy under the new presidential administration, many governments, regulators, investors, associates, clients and other stakeholders have been and/or remain focused on environmental, social and governance considerations relating to businesses, including climate change and greenhouse gas emissions, human rights, and diversity, equity and inclusion. In addition, the Company makes statements about its environmental, social and governance goals and initiatives through its corporate social responsibility report, its other non-financial reports, information provided on its website, press releases and other communications.</w:t>
      </w:r>
    </w:p>
    <w:p>
      <w:pPr>
        <w:spacing w:after="0" w:line="97" w:lineRule="exact"/>
        <w:rPr>
          <w:sz w:val="20"/>
          <w:szCs w:val="20"/>
          <w:color w:val="auto"/>
        </w:rPr>
      </w:pPr>
    </w:p>
    <w:p>
      <w:pPr>
        <w:ind w:right="280"/>
        <w:spacing w:after="0" w:line="254" w:lineRule="auto"/>
        <w:rPr>
          <w:sz w:val="20"/>
          <w:szCs w:val="20"/>
          <w:color w:val="auto"/>
        </w:rPr>
      </w:pPr>
      <w:r>
        <w:rPr>
          <w:rFonts w:ascii="Arial" w:cs="Arial" w:eastAsia="Arial" w:hAnsi="Arial"/>
          <w:sz w:val="14"/>
          <w:szCs w:val="14"/>
          <w:color w:val="auto"/>
        </w:rPr>
        <w:t>Responding to these environmental, social and governance considerations and implementation of these goals and initiatives involves risks and uncertainties, requires capital and operating investments, and depends in part on third-party performance, or data and changing regulatory schemes that are outside the Company’s control. The Company cannot guarantee that it will achieve its announced environmental, social and governance goals and initiatives. In addition, some stakeholders may disagree with the Company’s goals and initiatives. Any failure, or perceived failure, by the Company to achieve its goals, further its initiatives, adhere to its public statements, comply with federal, state or international environmental, social and governance laws and regulations, or meet evolving and varied stakeholder expectations and standards could result in legal and regulatory proceedings against the Company and could materially adversely affect the Company’s business, ability to recruit and retain associates, reputation, results of operations, financial condition and stock price.</w:t>
      </w:r>
    </w:p>
    <w:p>
      <w:pPr>
        <w:spacing w:after="0" w:line="101" w:lineRule="exact"/>
        <w:rPr>
          <w:sz w:val="20"/>
          <w:szCs w:val="20"/>
          <w:color w:val="auto"/>
        </w:rPr>
      </w:pPr>
    </w:p>
    <w:p>
      <w:pPr>
        <w:ind w:right="140"/>
        <w:spacing w:after="0" w:line="291" w:lineRule="auto"/>
        <w:rPr>
          <w:sz w:val="20"/>
          <w:szCs w:val="20"/>
          <w:color w:val="auto"/>
        </w:rPr>
      </w:pPr>
      <w:r>
        <w:rPr>
          <w:rFonts w:ascii="Arial" w:cs="Arial" w:eastAsia="Arial" w:hAnsi="Arial"/>
          <w:sz w:val="14"/>
          <w:szCs w:val="14"/>
          <w:b w:val="1"/>
          <w:bCs w:val="1"/>
          <w:i w:val="1"/>
          <w:iCs w:val="1"/>
          <w:color w:val="0066CC"/>
        </w:rPr>
        <w:t>We cannot guarantee that our stock repurchase program, although fully utilized to the full value approved, will enhance long-term stockholder value. Repurchases could increase the volatility of the price of our common stock and could have a negative impact on our available cash balance.</w:t>
      </w:r>
    </w:p>
    <w:p>
      <w:pPr>
        <w:spacing w:after="0" w:line="66" w:lineRule="exact"/>
        <w:rPr>
          <w:sz w:val="20"/>
          <w:szCs w:val="20"/>
          <w:color w:val="auto"/>
        </w:rPr>
      </w:pPr>
    </w:p>
    <w:p>
      <w:pPr>
        <w:ind w:right="20"/>
        <w:spacing w:after="0" w:line="294" w:lineRule="auto"/>
        <w:rPr>
          <w:sz w:val="20"/>
          <w:szCs w:val="20"/>
          <w:color w:val="auto"/>
        </w:rPr>
      </w:pPr>
      <w:r>
        <w:rPr>
          <w:rFonts w:ascii="Arial" w:cs="Arial" w:eastAsia="Arial" w:hAnsi="Arial"/>
          <w:sz w:val="13"/>
          <w:szCs w:val="13"/>
          <w:color w:val="auto"/>
        </w:rPr>
        <w:t>In May 2023, our Board of Directors authorized a three-year stock repurchase program for up to $75 million of our common stock. This program was completed in September 2024. Stock repurchases could have an impact on our common stock trading prices, increase the volatility of the price of our common stock, or reduce our available cash balance such that we will be required to seek financing to support our operations. There is no guarantee that the repurchase program, even though fully utilized, will enhance long-term stockholder value.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use of artificial intelligence involves risks such as potential liability, regulatory issues, competition, and reputational damage.</w:t>
      </w:r>
    </w:p>
    <w:p>
      <w:pPr>
        <w:spacing w:after="0" w:line="129" w:lineRule="exact"/>
        <w:rPr>
          <w:sz w:val="20"/>
          <w:szCs w:val="20"/>
          <w:color w:val="auto"/>
        </w:rPr>
      </w:pPr>
    </w:p>
    <w:p>
      <w:pPr>
        <w:ind w:right="40"/>
        <w:spacing w:after="0" w:line="272" w:lineRule="auto"/>
        <w:rPr>
          <w:sz w:val="20"/>
          <w:szCs w:val="20"/>
          <w:color w:val="auto"/>
        </w:rPr>
      </w:pPr>
      <w:r>
        <w:rPr>
          <w:rFonts w:ascii="Arial" w:cs="Arial" w:eastAsia="Arial" w:hAnsi="Arial"/>
          <w:sz w:val="13"/>
          <w:szCs w:val="13"/>
          <w:color w:val="auto"/>
        </w:rPr>
        <w:t>Artificial intelligence (“AI”) technologies create specific risks that require tailored governance and review. Insufficient oversight could lead to legal liability, financial loss, and reputational harm. We use AI to sort, organize, analyze, and generate data for business purposes. AI encompasses machine learning, generative AI, and other data processing techniques. The utilization of AI, whether implemented directly by us or in collaboration with third parties, will necessitate ongoing investment in governance and security resources to help ensure our responsible use of AI and to safeguard against potential risks and vulnerabilities. As these technologies evolve, some services and tasks currently performed by our associates may be replaced by automation, including AI-enabled solutions, which could lead to reduced demand for our services and/or reduce the required headcount for us to provide services. The use of AI carries considerable risks, and we cannot guarantee the achievement of intended outcomes. While we aim to develop and use AI responsibly and attempt to identify and mitigate ethical and legal issues presented by its use, we may be unsuccessful in identifying or resolving issues before they arise. As an evolving technology, AI may occasionally produce incomplete or misleading results. Despite training and risk management efforts, there is a possibility that employees might misuse AI, either intentionally or unintentionally. Should our AI generate suboptimal or contentious outcomes, or if public perception of AI shifts negatively due to perceived risks, we may encounter operational challenges, competitive disadvantages, legal liabilities, reputational harm, or other business impacts. AI-related legal and regulatory frameworks are evolving due to concerns about bias, discrimination, transparency, and security. The use of AI technologies involves issues associated with intellectual property, data privacy, consumer protection, competition, and equal opportunity, with potential for new regulations. Several jurisdictions where we operate are considering or have proposed or enacted legislation and policies regulating AI and non-personal data,</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1" w:name="page22"/>
    <w:bookmarkEnd w:id="2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such as the European Union’s AI Act and the U.S.’s Executive Order on AI, and the recent elections may influence the regulatory landscape in the United States. New or expanded AI laws could raise compliance costs and pose unpredictable risks, which could materially adversely affect our results of operations and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Compliance and Data Security Risks</w:t>
      </w:r>
    </w:p>
    <w:p>
      <w:pPr>
        <w:spacing w:after="0" w:line="125"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b w:val="1"/>
          <w:bCs w:val="1"/>
          <w:i w:val="1"/>
          <w:iCs w:val="1"/>
          <w:color w:val="0066CC"/>
        </w:rPr>
        <w:t>We are subject to laws of the United States and foreign jurisdictions relating to individually identifiable information and personal health information, and failure to comply with those laws, whether or not inadvertent, could subject us to legal actions and negatively impact our operations.</w:t>
      </w:r>
    </w:p>
    <w:p>
      <w:pPr>
        <w:spacing w:after="0" w:line="66"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color w:val="auto"/>
        </w:rPr>
        <w:t>We receive, process, transmit and store information relating to identifiable individuals, both in our role as a service provider and as an employer. As a result, we are subject to numerous laws and regulations in the United States (both federal and state) and foreign laws and regulations designed to protect both individually identifiable information and personal health information, including the Health Insurance Portability and Accountability Act of 1996, as amended ("HIPAA"), and the regulations promulgated under HIPPA governing, among other things, the privacy, security and electronic transmission of individually identifiable health information, and the European Union General Data Protection Regulation ("GDPR"), which imposes stringent data protection requirements and significant penalties for non-compliance and has had a significant impact on how we process and handle certain data.</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Additional laws of the United States and foreign jurisdictions apply to our processing of individually identifiable information. These laws have been subject to frequent changes, and new legislation in this area may be enacted at any time. For example, the GDPR and the invalidation of the U.S.-EU Safe Harbor regime have required us to implement alternative mechanisms for some of our data flows from Europe to the United States to comply with applicable law. Changes to existing laws, the introduction of new laws in this area or our failure to comply with existing laws that are applicable to us may subject us to, among other things, additional costs or changes to our business practices, liability for monetary damages, fines and/or criminal prosecution, unfavorable publicity, restrictions on our ability to obtain and process information and allegations by our customers and clients that we have not performed our contractual obligations, any of which could materially adversely affect our results of operations and financial condition.</w:t>
      </w:r>
    </w:p>
    <w:p>
      <w:pPr>
        <w:spacing w:after="0" w:line="101" w:lineRule="exact"/>
        <w:rPr>
          <w:sz w:val="20"/>
          <w:szCs w:val="20"/>
          <w:color w:val="auto"/>
        </w:rPr>
      </w:pPr>
    </w:p>
    <w:p>
      <w:pPr>
        <w:spacing w:after="0" w:line="269" w:lineRule="auto"/>
        <w:rPr>
          <w:sz w:val="20"/>
          <w:szCs w:val="20"/>
          <w:color w:val="auto"/>
        </w:rPr>
      </w:pPr>
      <w:r>
        <w:rPr>
          <w:rFonts w:ascii="Arial" w:cs="Arial" w:eastAsia="Arial" w:hAnsi="Arial"/>
          <w:sz w:val="14"/>
          <w:szCs w:val="14"/>
          <w:b w:val="1"/>
          <w:bCs w:val="1"/>
          <w:i w:val="1"/>
          <w:iCs w:val="1"/>
          <w:color w:val="0066CC"/>
        </w:rPr>
        <w:t>We are subject to laws of the United States and foreign jurisdictions relating to processing certain financial transactions, including payment card transactions and debit or credit card transactions, and failure to comply with those laws, whether or not inadvertent, could subject us to legal actions and materially adversely affect our results of operations and financial condition.</w:t>
      </w:r>
    </w:p>
    <w:p>
      <w:pPr>
        <w:spacing w:after="0" w:line="82"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We process, support and execute financial transactions, and disburse funds, on behalf of both government and commercial customers, often in partnership with financial institutions. This activity includes receiving debit and credit card information, processing payments for and due to our customers and disbursing funds on payment or debit cards to payees of our customers. As a result, we are subject to numerous laws and regulations in the United States (both federal and state) and in foreign jurisdictions, including the Electronic Fund Transfer Act, as amended, the Currency and Foreign Transactions Reporting Act of 1970 (commonly known as the "Bank Secrecy Act"), as amended, the Dodd-Frank Wall Street Reform and Consumer Protection Act of 2010 (including the so-called Durbin Amendment), as amended, the Gramm-Leach-Bliley Act (also known as the "Financial Modernization Act of 1999"), as amended, and the Uniting and Strengthening America by Providing Appropriate Tools Required to Intercept and Obstruct Terrorism Act of 2001 ("USA PATRIOT ACT"), as amended. Other United States (both federal and state) and foreign jurisdiction laws apply to our processing of certain financial transactions and related support services. These laws are subject to frequent changes, and new statutes and regulations in this area may be enacted at any time. Changes to existing laws, the introduction of new laws in this area or our failure to comply with existing laws that are applicable to us may subject us to, among other things, additional costs or changes to our business practices, liability for monetary damages, fines and civil and/or criminal prosecution, unfavorable publicity, restrictions on our ability to process and support financial transactions and allegations by our customers, partners and clients that we have not performed our contractual obligations. Any of these could materially adversely affect our results of operations and financial condition.</w:t>
      </w:r>
    </w:p>
    <w:p>
      <w:pPr>
        <w:spacing w:after="0" w:line="200" w:lineRule="exact"/>
        <w:rPr>
          <w:sz w:val="20"/>
          <w:szCs w:val="20"/>
          <w:color w:val="auto"/>
        </w:rPr>
      </w:pPr>
    </w:p>
    <w:p>
      <w:pPr>
        <w:spacing w:after="0" w:line="26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2" w:name="page23"/>
    <w:bookmarkEnd w:id="2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right="140"/>
        <w:spacing w:after="0" w:line="291" w:lineRule="auto"/>
        <w:rPr>
          <w:sz w:val="20"/>
          <w:szCs w:val="20"/>
          <w:color w:val="auto"/>
        </w:rPr>
      </w:pPr>
      <w:r>
        <w:rPr>
          <w:rFonts w:ascii="Arial" w:cs="Arial" w:eastAsia="Arial" w:hAnsi="Arial"/>
          <w:sz w:val="14"/>
          <w:szCs w:val="14"/>
          <w:b w:val="1"/>
          <w:bCs w:val="1"/>
          <w:i w:val="1"/>
          <w:iCs w:val="1"/>
          <w:color w:val="0066CC"/>
        </w:rPr>
        <w:t>Our data systems, information systems and network infrastructure may be subject to hacking or other cybersecurity threats and other service interruptions, which could expose us to liability, impair our reputation or temporarily render us unable to fulfill our service obligations under our contracts.</w:t>
      </w:r>
    </w:p>
    <w:p>
      <w:pPr>
        <w:spacing w:after="0" w:line="56"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As a leader in business process solutions, we leverage cloud computing, AI, machine learning and advanced analytics. We act as a trusted business partner in both front-office and back-office platforms, providing interactions on a substantial scale with our customers and other third-parties. Our customers include global commercial clients and government clients who depend upon our operational efficiency, non-interruption of service, and accuracy and security of information. We also use third-party providers such as subcontractors, software vendors, utility providers and network providers, upon whom we rely to support our business process solutions, to deliver uninterrupted, secure service. As part of our business process solutions, we also develop system software platforms necessary to support our customers’ needs, with significant ongoing investment in developing and operating customer-appropriate operating systems, databases and system software solutions. We also receive, process, transmit and store substantial volumes of information relating to identifiable</w:t>
      </w:r>
    </w:p>
    <w:p>
      <w:pPr>
        <w:spacing w:after="0" w:line="2" w:lineRule="exact"/>
        <w:rPr>
          <w:sz w:val="20"/>
          <w:szCs w:val="20"/>
          <w:color w:val="auto"/>
        </w:rPr>
      </w:pPr>
    </w:p>
    <w:p>
      <w:pPr>
        <w:ind w:right="100"/>
        <w:spacing w:after="0" w:line="242" w:lineRule="auto"/>
        <w:rPr>
          <w:sz w:val="20"/>
          <w:szCs w:val="20"/>
          <w:color w:val="auto"/>
        </w:rPr>
      </w:pPr>
      <w:r>
        <w:rPr>
          <w:rFonts w:ascii="Arial" w:cs="Arial" w:eastAsia="Arial" w:hAnsi="Arial"/>
          <w:sz w:val="13"/>
          <w:szCs w:val="13"/>
          <w:color w:val="auto"/>
        </w:rPr>
        <w:t>individuals, both in our role as a solution provider and as an employer, and we are subject to numerous laws, rules and regulations in the United States (both federal and state) and foreign jurisdictions designed to protect both individually identifiable information as well as personal health information. We also receive, process and implement financial transactions,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and disburse funds, on behalf of both commercial and government customers, which activity includes receiving debit and credit card information to process payments due to our customers as well as disbursing funds to payees of our customers. As a result of these and other business process solutions, the integrity, security, accuracy and non-interruption of our systems and information technology and that of our third-party providers and our interfaces with our customers are extremely important to our business, operating results, growth, prospects and reputation.</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We have in the past been, and remain, susceptible to breach of security systems which may result and has resulted in unauthorized access to our facilities and those of our customers and/or the information we and our customers are trying to protect. Cybersecurity failure might be caused by computer hacking, compromised credentials, malware, computer viruses, worms, trojans, ransomware and other destructive software, “cyber-attacks” and other malicious activity, as well as natural disasters, power outages, terrorist attacks and similar events. Operational or business delays may also result from the disruption of network or information systems and subsequent remediation activities.</w:t>
      </w:r>
    </w:p>
    <w:p>
      <w:pPr>
        <w:spacing w:after="0" w:line="97"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Because the techniques used to obtain unauthorized access are constantly changing and becoming increasingly more sophisticated and often are not recognized until launched against a target, we or our third-party service providers may be unable to anticipate these techniques or implement sufficient preventative measures. Unauthorized access, hacking, malware, phishing, viruses, worms, trojans, ransomware and other “cyber-attacks” have become more prevalent, have occurred in our systems in the past, and may occur in our systems in the future. Our cyber practices and cybersecurity systems may prove to be inadequate and result in the disruption, failure, misappropriation or corruption of our network and information systems and it may not be possible for us to fully or timely know if or when such incidents arise, or the full business impact of any cybersecurity breach.</w:t>
      </w:r>
    </w:p>
    <w:p>
      <w:pPr>
        <w:spacing w:after="0" w:line="100"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Additionally, with advances in computer capabilities and data protection requirements to address ongoing threats, we may be required to expend significant capital and other resources to protect against potential security breaches or to alleviate problems caused by security breaches. Moreover, employee error or malfeasance, faulty password management or other irregularities may result in a defeat of our or our third-party service providers’ security measures and a breach of our or our third-party service providers’ information systems (whether digital, cloud-based or otherwise). In addition, the increased use of employee-owned devices for communications as well as work-from-home arrangements, present additional operational risks to our information technology systems, including, but not limited to, increased risks of cyber-attacks.</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We have in the past experienced, and in the future could experience, an unauthorized party gaining physical access to one of our or one of our third-party service providers’ facilities or gain electronic access to our or one of our third-party service providers’ information systems. Such access could result in, among other things, unfavorable publicity and significant damage to our brand, governmental inquiry, oversight and possible regulatory action, difficulty in marketing our services, loss of existing and potential customers, allegations by our customers that we have not performed our contractual obligations, litigation by affected parties and possible financial obligations for substantial damages related to the theft or misuse of such information, any of which could materially adversely affect our results of operations and financial condition. Similar consequences may arise if sensitive or confidential information is misdirected, lost or stolen during transmission or transport, or is stolen or misused. Moreover, security breaches have and could require us to devote significant management resources to address the problems created by the security breach and to expend significant additional resources to upgrade further the security measures that we employ to guard such personal information against "cyber-attacks" and to maintain various systems and data</w:t>
      </w:r>
    </w:p>
    <w:p>
      <w:pPr>
        <w:spacing w:after="0" w:line="200" w:lineRule="exact"/>
        <w:rPr>
          <w:sz w:val="20"/>
          <w:szCs w:val="20"/>
          <w:color w:val="auto"/>
        </w:rPr>
      </w:pPr>
    </w:p>
    <w:p>
      <w:pPr>
        <w:spacing w:after="0" w:line="24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3" w:name="page24"/>
    <w:bookmarkEnd w:id="2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centers for our customers. Often these systems and data centers must be maintained worldwide and on a 24/7 basis. We have in the past experienced and in the future could experience service interruptions that could result in curtailed operations and loss of existing and potential customers, which could significantly reduce our revenues and profits in addition to significantly impairing our reputation. If our information systems and our back-up systems are damaged, breached or cease to function properly, we may have to make a significant investment to repair or replace them, and we may suffer interruptions in our operations in the interim, each of which could materially adversely affect our results of operations and financial condition.</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addition, our and our customers’ systems and networks are subject to continued threats of terrorism, which could disrupt our operations as well as disrupt the utilities and telecommunications infrastructure on which our business depends. To the extent any such disruptions were to occur, our business, operating results and financial condition could be materially adversely affected. In addition, our liability insurance, which includes cyber insurance, might not be sufficient in type or amount to cover us, or the carrier may decline to cover us, against claims related to security incidents, cyberattacks and other related incidents.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66CC"/>
        </w:rPr>
        <w:t>If we fail to meet industry data security standards, our ability to meet contractual obligations may be impaired and result in contractual damage or contract breach claims.</w:t>
      </w:r>
    </w:p>
    <w:p>
      <w:pPr>
        <w:spacing w:after="0" w:line="171"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In some of our services lines, we are contractually subject to industry data security standards. These industry data security standards include Card Brand (Visa, Mastercard, American Express, Discover and JCB) operating rules, certification requirements and rules governing electronic funds transfers, including the Payment Card Industry Data Security Standard ("PCI DSS"), a data security standard applicable to companies that collect, store or transmit payment card data. Another industry standard is the Health Information Trust Alliance ("HITRUST") which applies to aspects of the healthcare industry in addition to other industries. In the future we may not be able to maintain compliance with PCI DSS, HITRUST and other applicable industry standards. Any failure to comply fully or materially with PCI DSS, HITRUST and other applicable industry standards now or at any point in the future may provide customers the right to terminate contracts with us or to enforce provisions obligating us to reimburse them for any penalties or costs incurred by them as a result of our non-compliance, or subject us to other fines, penalties, damages or civil liability, each of which could have a material adverse effect on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results of operations and financial condition could be materially adversely affected by legal and regulatory matters.</w:t>
      </w:r>
    </w:p>
    <w:p>
      <w:pPr>
        <w:spacing w:after="0" w:line="129"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We are potentially subject to various contingent liabilities that are not reflected on our balance sheet, including those arising as a result of being involved in a variety of claims, lawsuits, investigations and proceedings concerning: securities laws; governmental and non-governmental entity contracting, servicing and governmental entity procurement laws; intellectual property laws; environmental laws; employment laws; the Employee Retirement Income Security Act of 1974 ("ERISA"); and other laws, regulations and contractual undertakings, as discussed under Note 15 – Contingencies and Litigation to the Consolidated Financial Statements. If developments in any of these matters cause a change in our determination as to an unfavorable outcome and result in the need to recognize a material accrual or materially increase an existing accrual, or if any of these matters result in an adverse judgment or are settled for significant amounts above any existing accruals, it could materially adversely affect our results of operations and financial condition in the period or periods in which such change in determination, judgment or settlement occurs. There can be no assurances as to the favorable outcome of any claim, lawsuit, investigation or proceeding. It is possible that a resolution of one or more such proceedings, through judgment, settlement or otherwise, could require us to make substantial payments to satisfy judgments, fines or penalties or settlement amounts, any of which could materially adversely affect our results of operations and financial condition. Additionally, the terms of dismissal, settlement, release or other resolution may permit certain claims to be reopened under certain conditions. Claims, lawsuits investigations and proceedings involving the Company could also result in reputational harm, criminal sanctions, consent decrees or orders preventing us from offering certain services, requiring a change in our business practices in costly ways or requiring development of non-infringing or otherwise altered products or technologies, or make it more difficult to obtain adequate insurance in the future. In addition, it can be very costly to defend litigation and these costs could materially adversely affect our results of operations and financial condition. Refer to Note 15 – Contingencies and Litigation to the Consolidated Financial Statements.</w:t>
      </w:r>
    </w:p>
    <w:p>
      <w:pPr>
        <w:spacing w:after="0" w:line="101" w:lineRule="exact"/>
        <w:rPr>
          <w:sz w:val="20"/>
          <w:szCs w:val="20"/>
          <w:color w:val="auto"/>
        </w:rPr>
      </w:pPr>
    </w:p>
    <w:p>
      <w:pPr>
        <w:ind w:right="240"/>
        <w:spacing w:after="0" w:line="282" w:lineRule="auto"/>
        <w:rPr>
          <w:sz w:val="20"/>
          <w:szCs w:val="20"/>
          <w:color w:val="auto"/>
        </w:rPr>
      </w:pPr>
      <w:r>
        <w:rPr>
          <w:rFonts w:ascii="Arial" w:cs="Arial" w:eastAsia="Arial" w:hAnsi="Arial"/>
          <w:sz w:val="14"/>
          <w:szCs w:val="14"/>
          <w:color w:val="auto"/>
        </w:rPr>
        <w:t>Our insurance does not cover all types and amounts of potential liabilities and is subject to various exclusions as well as caps on amounts recoverable. Even if we believe a claim is covered by insurance, insurers may dispute our</w:t>
      </w:r>
    </w:p>
    <w:p>
      <w:pPr>
        <w:spacing w:after="0" w:line="200" w:lineRule="exact"/>
        <w:rPr>
          <w:sz w:val="20"/>
          <w:szCs w:val="20"/>
          <w:color w:val="auto"/>
        </w:rPr>
      </w:pPr>
    </w:p>
    <w:p>
      <w:pPr>
        <w:spacing w:after="0" w:line="23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4" w:name="page25"/>
    <w:bookmarkEnd w:id="2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entitlement to recovery for a variety of potential reasons, which may affect the timing and, if they prevail, the amount of our recovery.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have made and may continue to make divestitures, as well as acquisitions, investments and joint ventures, all of which involve numerous risks and uncertainties.</w:t>
      </w:r>
    </w:p>
    <w:p>
      <w:pPr>
        <w:spacing w:after="0" w:line="129" w:lineRule="exact"/>
        <w:rPr>
          <w:sz w:val="20"/>
          <w:szCs w:val="20"/>
          <w:color w:val="auto"/>
        </w:rPr>
      </w:pPr>
    </w:p>
    <w:p>
      <w:pPr>
        <w:ind w:right="580"/>
        <w:spacing w:after="0" w:line="282" w:lineRule="auto"/>
        <w:rPr>
          <w:sz w:val="20"/>
          <w:szCs w:val="20"/>
          <w:color w:val="auto"/>
        </w:rPr>
      </w:pPr>
      <w:r>
        <w:rPr>
          <w:rFonts w:ascii="Arial" w:cs="Arial" w:eastAsia="Arial" w:hAnsi="Arial"/>
          <w:sz w:val="14"/>
          <w:szCs w:val="14"/>
          <w:color w:val="auto"/>
        </w:rPr>
        <w:t>We have divested and may in the future divest certain assets or businesses, including businesses that are no longer a part of our ongoing strategic plan. Divestitures require a significant investment of time and resources and involve significant risks and uncertainties, including:</w:t>
      </w:r>
    </w:p>
    <w:p>
      <w:pPr>
        <w:spacing w:after="0" w:line="80" w:lineRule="exact"/>
        <w:rPr>
          <w:sz w:val="20"/>
          <w:szCs w:val="20"/>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inability to find potential buyers on favorable terms;</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failure to effectively transfer liabilities, contracts, facilities and employees to buyers;</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requirements that we retain or indemnify buyers against certain liabilities and obligations;</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possibility that we will become subject to third-party claims arising out of such divestiture;</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challenges in identifying and separating the intellectual property, systems and data to be divested from the intellectual property, systems and data that we wish to retain;</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inability to reduce fixed costs previously associated with the divested assets or business;</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challenges in collecting the proceeds from any divestiture;</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disruption of our ongoing business and distraction of management;</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loss of key employees who leave us as a result of a divestiture; and</w:t>
      </w:r>
    </w:p>
    <w:p>
      <w:pPr>
        <w:spacing w:after="0" w:line="47" w:lineRule="exact"/>
        <w:rPr>
          <w:rFonts w:ascii="Arial" w:cs="Arial" w:eastAsia="Arial" w:hAnsi="Arial"/>
          <w:sz w:val="14"/>
          <w:szCs w:val="14"/>
          <w:color w:val="auto"/>
        </w:rPr>
      </w:pPr>
    </w:p>
    <w:p>
      <w:pPr>
        <w:ind w:left="500" w:right="240" w:hanging="247"/>
        <w:spacing w:after="0" w:line="265" w:lineRule="auto"/>
        <w:tabs>
          <w:tab w:leader="none" w:pos="4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if customers or partners of the divested business do not receive the same level of service from the new owners, or the new owners do not handle the customer data with the same level of care, our other businesses may be adversely affected, to the extent that these customers or partners also purchase other products offered by us or otherwise conduct business with our retained business.</w:t>
      </w:r>
    </w:p>
    <w:p>
      <w:pPr>
        <w:spacing w:after="0" w:line="92"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Divestitures may result in losses on disposal or continued financial involvement in the divested business, including through indemnification, guarantee or other financial arrangements, for a period of time following the transaction, which would adversely affect our financial results. Refer to Note 4 – Divestitures and Assets/Liabilities Held for Sale to our Consolidated Financial Statements for additional information about our divestitures.</w:t>
      </w:r>
    </w:p>
    <w:p>
      <w:pPr>
        <w:spacing w:after="0" w:line="92"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Additionally, we may selectively pursue strategic acquisitions, investments and joint ventures. We also may enter into relationships with other businesses to expand our products or our ability to provide services. Acquisitions, investments and joint ventures similarly pose a number of risks and potential disruptions that could adversely affect our reputation, operations or financial results, including: expansion into new markets and business ventures; the diversion of management’s attention to the acquisition and integration of acquired operations and personnel; being bound by acquired customer or vendor contracts with unfavorable terms; and potential adverse effects on a company’s operating results for various reasons, including, but not limited to, the following items: the inability to achieve financial targets; the inability to achieve certain integration expectations, operating goals, and synergies; costs incurred to exit current or acquired contracts or restructuring activities; costs incurred to service acquisition debt, if any; and the amortization or impairment of acquired intangible assets.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Risks</w:t>
      </w:r>
    </w:p>
    <w:p>
      <w:pPr>
        <w:spacing w:after="0" w:line="125" w:lineRule="exact"/>
        <w:rPr>
          <w:sz w:val="20"/>
          <w:szCs w:val="20"/>
          <w:color w:val="auto"/>
        </w:rPr>
      </w:pPr>
    </w:p>
    <w:p>
      <w:pPr>
        <w:ind w:right="540"/>
        <w:spacing w:after="0" w:line="291" w:lineRule="auto"/>
        <w:rPr>
          <w:sz w:val="20"/>
          <w:szCs w:val="20"/>
          <w:color w:val="auto"/>
        </w:rPr>
      </w:pPr>
      <w:r>
        <w:rPr>
          <w:rFonts w:ascii="Arial" w:cs="Arial" w:eastAsia="Arial" w:hAnsi="Arial"/>
          <w:sz w:val="14"/>
          <w:szCs w:val="14"/>
          <w:b w:val="1"/>
          <w:bCs w:val="1"/>
          <w:i w:val="1"/>
          <w:iCs w:val="1"/>
          <w:color w:val="0066CC"/>
        </w:rPr>
        <w:t>We have recorded significant goodwill impairment charges and may be required to record additional charges to future earnings if our goodwill or intangible assets become impaired.</w:t>
      </w:r>
    </w:p>
    <w:p>
      <w:pPr>
        <w:spacing w:after="0" w:line="66"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are required under generally accepted accounting principles to review our intangible assets for impairment when events or changes in circumstances indicate the carrying value may not be recoverable. Goodwill is required to be tested for impairment at least annually. Factors that may be considered a change in circumstances indicating that the carrying value of our intangible assets and/or goodwill may not be recoverable include a decline in stock price and market capitalization, slower growth rates in our industry or our own operations, and/or other materially adverse events that have implications on the profitability of our business or business segments. We may be required to record additional charges to earnings during the period in which any impairment of our goodwill or other intangible assets is determined which could adversely impact our results of operations. As of December 31, 2024, our goodwill balance was $609 million, which represented 23.4% of total consolidated assets.</w:t>
      </w:r>
    </w:p>
    <w:p>
      <w:pPr>
        <w:spacing w:after="0" w:line="200" w:lineRule="exact"/>
        <w:rPr>
          <w:sz w:val="20"/>
          <w:szCs w:val="20"/>
          <w:color w:val="auto"/>
        </w:rPr>
      </w:pPr>
    </w:p>
    <w:p>
      <w:pPr>
        <w:spacing w:after="0" w:line="25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5" w:name="page26"/>
    <w:bookmarkEnd w:id="2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7 – Goodwill and Intangible Assets, Net to our Consolidated Financial Statements for additional information about our goodwill impairments.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significant indebtedness could materially adversely affect our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We have and will continue to have a significant amount of debt and other obligations. Our substantial debt and other obligations could have important consequences.</w:t>
      </w:r>
    </w:p>
    <w:p>
      <w:pPr>
        <w:spacing w:after="0" w:line="13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For example, it could (i) increase our vulnerability to general adverse economic and industry conditions; (ii) limit our ability to obtain additional financing for future working capital, capital expenditures, acquisitions and other general corporate requirements; (iii) require us to dedicate a substantial portion of our cash flows from operations to service debt and other obligations thereby reducing the availability of our cash flows from operations for other purposes; (iv) limit our flexibility in planning for, or reacting to, changes in our businesses and the industries in which we operate; (v) place us at a competitive disadvantage compared to our competitors that have less debt; and (vi) become due and payable upon a change in control. If new debt is added to our current debt levels, these related risks could increase.</w:t>
      </w:r>
    </w:p>
    <w:p>
      <w:pPr>
        <w:spacing w:after="0" w:line="100"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Our ability to make payments on and to refinance our indebtedness,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w:t>
      </w:r>
    </w:p>
    <w:p>
      <w:pPr>
        <w:spacing w:after="0" w:line="94" w:lineRule="exact"/>
        <w:rPr>
          <w:sz w:val="20"/>
          <w:szCs w:val="20"/>
          <w:color w:val="auto"/>
        </w:rPr>
      </w:pPr>
    </w:p>
    <w:p>
      <w:pPr>
        <w:ind w:right="400"/>
        <w:spacing w:after="0" w:line="291" w:lineRule="auto"/>
        <w:rPr>
          <w:sz w:val="20"/>
          <w:szCs w:val="20"/>
          <w:color w:val="auto"/>
        </w:rPr>
      </w:pPr>
      <w:r>
        <w:rPr>
          <w:rFonts w:ascii="Arial" w:cs="Arial" w:eastAsia="Arial" w:hAnsi="Arial"/>
          <w:sz w:val="14"/>
          <w:szCs w:val="14"/>
          <w:b w:val="1"/>
          <w:bCs w:val="1"/>
          <w:i w:val="1"/>
          <w:iCs w:val="1"/>
          <w:color w:val="0066CC"/>
        </w:rPr>
        <w:t>The terms of our indebtedness may restrict our current and future operations, particularly our ability to incur debt that we may need to fund initiatives in response to changes in our business, the industries in which we operate, the economy and governmental regulations.</w:t>
      </w:r>
    </w:p>
    <w:p>
      <w:pPr>
        <w:spacing w:after="0" w:line="66"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The terms of our indebtedness include several restrictive covenants that impose significant operating and financial restrictions on us and our subsidiaries and limit our ability to engage in actions that may be in our long-term best interests. These may restrict our and our subsidiaries’ ability to take some or all of the following actions:</w:t>
      </w:r>
    </w:p>
    <w:p>
      <w:pPr>
        <w:spacing w:after="0" w:line="90" w:lineRule="exact"/>
        <w:rPr>
          <w:sz w:val="20"/>
          <w:szCs w:val="20"/>
          <w:color w:val="auto"/>
        </w:rPr>
      </w:pPr>
    </w:p>
    <w:p>
      <w:pPr>
        <w:ind w:left="500" w:hanging="247"/>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incur or guarantee additional indebtedness or sell disqualified or preferred stock;</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pay dividends on, make distributions in respect of, repurchase or redeem capital stock;</w:t>
      </w:r>
    </w:p>
    <w:p>
      <w:pPr>
        <w:spacing w:after="0" w:line="87" w:lineRule="exact"/>
        <w:rPr>
          <w:rFonts w:ascii="Arial" w:cs="Arial" w:eastAsia="Arial" w:hAnsi="Arial"/>
          <w:sz w:val="15"/>
          <w:szCs w:val="15"/>
          <w:color w:val="auto"/>
        </w:rPr>
      </w:pPr>
    </w:p>
    <w:p>
      <w:pPr>
        <w:ind w:left="500" w:hanging="247"/>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make investments or acquisitions;</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sell, transfer or otherwise dispose of certain assets;</w:t>
      </w:r>
    </w:p>
    <w:p>
      <w:pPr>
        <w:spacing w:after="0" w:line="87" w:lineRule="exact"/>
        <w:rPr>
          <w:rFonts w:ascii="Arial" w:cs="Arial" w:eastAsia="Arial" w:hAnsi="Arial"/>
          <w:sz w:val="15"/>
          <w:szCs w:val="15"/>
          <w:color w:val="auto"/>
        </w:rPr>
      </w:pPr>
    </w:p>
    <w:p>
      <w:pPr>
        <w:ind w:left="500" w:hanging="247"/>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create liens;</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enter into sale/leaseback transactions;</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enter into agreements restricting the ability to pay dividends or make other intercompany transfers;</w:t>
      </w:r>
    </w:p>
    <w:p>
      <w:pPr>
        <w:spacing w:after="0" w:line="87" w:lineRule="exact"/>
        <w:rPr>
          <w:rFonts w:ascii="Arial" w:cs="Arial" w:eastAsia="Arial" w:hAnsi="Arial"/>
          <w:sz w:val="15"/>
          <w:szCs w:val="15"/>
          <w:color w:val="auto"/>
        </w:rPr>
      </w:pPr>
    </w:p>
    <w:p>
      <w:pPr>
        <w:ind w:left="500" w:hanging="247"/>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consolidate, merge, sell or otherwise dispose of all or substantially all of our or our subsidiaries’ assets;</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enter into transactions with affiliates;</w:t>
      </w:r>
    </w:p>
    <w:p>
      <w:pPr>
        <w:spacing w:after="0" w:line="87" w:lineRule="exact"/>
        <w:rPr>
          <w:rFonts w:ascii="Arial" w:cs="Arial" w:eastAsia="Arial" w:hAnsi="Arial"/>
          <w:sz w:val="15"/>
          <w:szCs w:val="15"/>
          <w:color w:val="auto"/>
        </w:rPr>
      </w:pPr>
    </w:p>
    <w:p>
      <w:pPr>
        <w:ind w:left="500" w:hanging="247"/>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prepay, repurchase or redeem certain kinds of indebtedness;</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issue or sell stock of our subsidiaries; and/or</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significantly change the nature of our business.</w:t>
      </w:r>
    </w:p>
    <w:p>
      <w:pPr>
        <w:spacing w:after="0" w:line="200" w:lineRule="exact"/>
        <w:rPr>
          <w:sz w:val="20"/>
          <w:szCs w:val="20"/>
          <w:color w:val="auto"/>
        </w:rPr>
      </w:pPr>
    </w:p>
    <w:p>
      <w:pPr>
        <w:spacing w:after="0" w:line="221" w:lineRule="exact"/>
        <w:rPr>
          <w:sz w:val="20"/>
          <w:szCs w:val="20"/>
          <w:color w:val="auto"/>
        </w:rPr>
      </w:pPr>
    </w:p>
    <w:p>
      <w:pPr>
        <w:ind w:left="500" w:hanging="247"/>
        <w:spacing w:after="0"/>
        <w:tabs>
          <w:tab w:leader="none" w:pos="500" w:val="left"/>
        </w:tabs>
        <w:numPr>
          <w:ilvl w:val="0"/>
          <w:numId w:val="20"/>
        </w:numPr>
        <w:rPr>
          <w:rFonts w:ascii="Arial" w:cs="Arial" w:eastAsia="Arial" w:hAnsi="Arial"/>
          <w:sz w:val="15"/>
          <w:szCs w:val="15"/>
          <w:color w:val="auto"/>
        </w:rPr>
      </w:pPr>
      <w:r>
        <w:rPr>
          <w:rFonts w:ascii="Arial" w:cs="Arial" w:eastAsia="Arial" w:hAnsi="Arial"/>
          <w:sz w:val="14"/>
          <w:szCs w:val="14"/>
          <w:color w:val="auto"/>
        </w:rPr>
        <w:t>limited in how we conduct our business and pursue our strategy;</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0"/>
        </w:numPr>
        <w:rPr>
          <w:rFonts w:ascii="Arial" w:cs="Arial" w:eastAsia="Arial" w:hAnsi="Arial"/>
          <w:sz w:val="15"/>
          <w:szCs w:val="15"/>
          <w:color w:val="auto"/>
        </w:rPr>
      </w:pPr>
      <w:r>
        <w:rPr>
          <w:rFonts w:ascii="Arial" w:cs="Arial" w:eastAsia="Arial" w:hAnsi="Arial"/>
          <w:sz w:val="14"/>
          <w:szCs w:val="14"/>
          <w:color w:val="auto"/>
        </w:rPr>
        <w:t>unable to raise additional debt financing to operate during general economic or business downturns; or</w:t>
      </w:r>
    </w:p>
    <w:p>
      <w:pPr>
        <w:spacing w:after="0" w:line="87" w:lineRule="exact"/>
        <w:rPr>
          <w:rFonts w:ascii="Arial" w:cs="Arial" w:eastAsia="Arial" w:hAnsi="Arial"/>
          <w:sz w:val="15"/>
          <w:szCs w:val="15"/>
          <w:color w:val="auto"/>
        </w:rPr>
      </w:pPr>
    </w:p>
    <w:p>
      <w:pPr>
        <w:ind w:left="500" w:hanging="247"/>
        <w:spacing w:after="0"/>
        <w:tabs>
          <w:tab w:leader="none" w:pos="500" w:val="left"/>
        </w:tabs>
        <w:numPr>
          <w:ilvl w:val="0"/>
          <w:numId w:val="20"/>
        </w:numPr>
        <w:rPr>
          <w:rFonts w:ascii="Arial" w:cs="Arial" w:eastAsia="Arial" w:hAnsi="Arial"/>
          <w:sz w:val="15"/>
          <w:szCs w:val="15"/>
          <w:color w:val="auto"/>
        </w:rPr>
      </w:pPr>
      <w:r>
        <w:rPr>
          <w:rFonts w:ascii="Arial" w:cs="Arial" w:eastAsia="Arial" w:hAnsi="Arial"/>
          <w:sz w:val="14"/>
          <w:szCs w:val="14"/>
          <w:color w:val="auto"/>
        </w:rPr>
        <w:t>unable to compete effectively or to take advantage of new business opportunities.</w:t>
      </w:r>
    </w:p>
    <w:p>
      <w:pPr>
        <w:spacing w:after="0" w:line="130"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A breach of any of the restrictive covenants, if applicable, could result in an event of default under the terms of this indebtedness. If an event of default occurs, the lenders would have the right to accelerate the repayment of such</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6" w:name="page27"/>
    <w:bookmarkEnd w:id="2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debt and the event of default or acceleration may result in the acceleration of the repayment of any other of our debt to which a cross-default or cross-acceleration provision applies. Furthermore, under this indebtedness we have pledged our assets as collateral as security for our repayment obligations. If we were unable to repay any amount of this indebtedness when due and payable, the lenders could proceed against the collateral that secures this indebtedness. In the event our creditors accelerate the repayment of our borrowings, we may not have sufficient assets to repay such indebtedness, which could materially adversely affect our results of operations and financial condition.</w:t>
      </w:r>
    </w:p>
    <w:p>
      <w:pPr>
        <w:spacing w:after="0" w:line="99" w:lineRule="exact"/>
        <w:rPr>
          <w:sz w:val="20"/>
          <w:szCs w:val="20"/>
          <w:color w:val="auto"/>
        </w:rPr>
      </w:pPr>
    </w:p>
    <w:p>
      <w:pPr>
        <w:ind w:right="340"/>
        <w:spacing w:after="0" w:line="291" w:lineRule="auto"/>
        <w:rPr>
          <w:sz w:val="20"/>
          <w:szCs w:val="20"/>
          <w:color w:val="auto"/>
        </w:rPr>
      </w:pPr>
      <w:r>
        <w:rPr>
          <w:rFonts w:ascii="Arial" w:cs="Arial" w:eastAsia="Arial" w:hAnsi="Arial"/>
          <w:sz w:val="14"/>
          <w:szCs w:val="14"/>
          <w:b w:val="1"/>
          <w:bCs w:val="1"/>
          <w:i w:val="1"/>
          <w:iCs w:val="1"/>
          <w:color w:val="0066CC"/>
        </w:rPr>
        <w:t>The failure to obtain or maintain a satisfactory credit rating and financial performance could adversely affect our liquidity, capital position, borrowing costs, access to capital markets and our need or ability to post surety or performance bonds to support clients’ contracts.</w:t>
      </w:r>
    </w:p>
    <w:p>
      <w:pPr>
        <w:spacing w:after="0" w:line="66"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Any future downgrades to our credit rating or perceived or actual weakness in our financial performance could negatively impact our ability to renew contracts with our existing clients and vendors, limit our ability to compete for new clients, result in increased premiums for surety or performance bonds and letters of credit to support our clients’ contracts, reduce our ability to obtain surety bonds, performance bonds and letters of credit and/or result in a requirement that we provide collateral to secure our surety or performance bonds and letters of credit. Further, certain of our commercial outsourcing contracts provide that, in the event our credit ratings are downgraded to specified levels, the client may elect to terminate its contract with us and either pay a reduced termination fee or, in some limited instances, no termination fee. Such a credit rating downgrade or perceived or actual weakness in our financial performance could adversely affect these client relationships.</w:t>
      </w:r>
    </w:p>
    <w:p>
      <w:pPr>
        <w:spacing w:after="0" w:line="99" w:lineRule="exact"/>
        <w:rPr>
          <w:sz w:val="20"/>
          <w:szCs w:val="20"/>
          <w:color w:val="auto"/>
        </w:rPr>
      </w:pPr>
    </w:p>
    <w:p>
      <w:pPr>
        <w:jc w:val="both"/>
        <w:ind w:right="160"/>
        <w:spacing w:after="0" w:line="265" w:lineRule="auto"/>
        <w:rPr>
          <w:sz w:val="20"/>
          <w:szCs w:val="20"/>
          <w:color w:val="auto"/>
        </w:rPr>
      </w:pPr>
      <w:r>
        <w:rPr>
          <w:rFonts w:ascii="Arial" w:cs="Arial" w:eastAsia="Arial" w:hAnsi="Arial"/>
          <w:sz w:val="14"/>
          <w:szCs w:val="14"/>
          <w:color w:val="auto"/>
        </w:rPr>
        <w:t>There can be no assurance that we will be able to maintain our credit ratings or financial performance. Any additional actual or anticipated downgrades of our credit ratings, including any announcement that our ratings are under review for a downgrade, or perceived or actual weak financial performance may have a negative impact on our liquidity, capital position, access to capital markets and ability to obtain surety bonds, performance bonds and letters of credit sufficient to support our existing and future business needs.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profitability is dependent upon our ability to obtain adequate pricing for our services and to improve our cost structure.</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Our success depends on our ability to obtain adequate pricing for our services that will provide a reasonable return to our shareholders. Depending on competitive market factors, future prices we obtain for our services may decline from previous levels. If we are unable to obtain adequate pricing for our services, it could materially adversely affect our results of operations and financial condition. In addition, our contracts are increasingly requiring tighter timelines for implementation as well as more stringent service level metrics. This makes the bidding process for new contracts much more difficult and requires us to adequately consider these requirements in the pricing of our services.</w:t>
      </w:r>
    </w:p>
    <w:p>
      <w:pPr>
        <w:spacing w:after="0" w:line="97"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To meet the service requirements of our customers, which often includes 24/7 service, and to optimize our employee cost base, including our back-office support, we often locate our delivery service and back-office support centers in lower-cost locations, including several developing countries. Concentrating our centers in these locations presents several operational risks, many of which are beyond our control, including the risks of political instability, natural disasters, safety and security risks, labor disruptions, excessive employee turnover and rising labor rates. Additionally, a change in the political environment in the United States or the adoption and enforcement of legislation and regulations curbing the use of such centers outside of the United States could materially adversely affect our results of operations and financial condition. These risks could impair our ability to effectively provide services to our customers and keep our costs aligned to our associated revenues and market requirements.</w:t>
      </w:r>
    </w:p>
    <w:p>
      <w:pPr>
        <w:spacing w:after="0" w:line="99"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Our ability to sustain and improve profit margins is dependent on a number of factors, including our ability to continue to improve the cost efficiency of our operations through such programs as robotic process automation, to absorb the level of pricing pressures on our services through cost improvements, our ability to hire and retain employees in the current global labor markets and to successfully complete information technology initiatives. If any of these factors adversely materialize or if we are unable to achieve and maintain productivity improvements through restructuring actions or information technology initiatives, our ability to offset labor cost inflation and competitive price pressures would be impaired, each of which could materially adversely affect our results of operations and financial condition.</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7" w:name="page28"/>
    <w:bookmarkEnd w:id="2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If we are unable to collect our receivables for billed or unbilled services, our results of operations and financial condition could be materially adversely affected.</w:t>
      </w:r>
    </w:p>
    <w:p>
      <w:pPr>
        <w:spacing w:after="0" w:line="129" w:lineRule="exact"/>
        <w:rPr>
          <w:sz w:val="20"/>
          <w:szCs w:val="20"/>
          <w:color w:val="auto"/>
        </w:rPr>
      </w:pPr>
    </w:p>
    <w:p>
      <w:pPr>
        <w:ind w:right="20"/>
        <w:spacing w:after="0" w:line="274" w:lineRule="auto"/>
        <w:rPr>
          <w:sz w:val="20"/>
          <w:szCs w:val="20"/>
          <w:color w:val="auto"/>
        </w:rPr>
      </w:pPr>
      <w:r>
        <w:rPr>
          <w:rFonts w:ascii="Arial" w:cs="Arial" w:eastAsia="Arial" w:hAnsi="Arial"/>
          <w:sz w:val="13"/>
          <w:szCs w:val="13"/>
          <w:color w:val="auto"/>
        </w:rPr>
        <w:t>The profitability of certain of our large contracts depends on our ability to successfully obtain payment from our clients of the amounts they owe us for work performed. Actual losses on client balances could differ from current estimates and, as a result, may require adjustment of our receivables for unbilled services. Our receivables include long-term contracts. Over the course of a long-term contract, our customers’ financial condition may change such that their ability to pay their obligations, and our ability to collect our fees for services rendered, is adversely affected. Additionally, we may perform work for the federal, state and local governments, with respect to which we must file requests for equitable adjustment or claims with the proper agency to seek recovery in whole or in part, for out-of-scope work directed or caused by the government customer in support of its project, and the amounts of such recoveries may not meet our expectations or cover our costs. Timely collection of client balances also depends on our ability to complete our contractual commitments (such as our ability to achieve specified milestones in percentage-of-completion contracts) and bill and collect our contracted revenues. If we are unable to meet our contractual requirements, we might experience delays in collection of and/or be unable to collect our client balances, and if this occurs, our results of operations and financial condition could be adversely affected. In addition, if we experience an increase in the time to bill and collect for our services, our results of operations and financial condition could be materially adversely affected.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A decline in revenues from or a loss or failure of significant clients could materially adversely affect our results of operations and financial condition.</w:t>
      </w:r>
    </w:p>
    <w:p>
      <w:pPr>
        <w:spacing w:after="0" w:line="129"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Our results of operations and financial condition could be materially adversely affected by the loss or failure of significant clients or any significant reduction in revenue volumes from our significant clients, which has occurred in the past and could occur in the future. Some of our clients are in business sectors which have experienced significant financial difficulties or consolidation, and/or the reduction of volumes or their inability to make payments to us, as a result of, among other things, their merger or acquisition, divestiture of assets or businesses, contract expiration, nonrenewal or early termination (including termination for convenience) or business or financial failure or deterioration. Economic and political conditions could affect our clients’ businesses and the markets they serve. The loss of significant clients or a significant reduction in volume from our significant clients as a result of these or other reasons would materially adversely affect our results of operations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have non-recurring revenue, which subjects us to a risk that our revenues and cash flows from operations may fluctuate from period to period.</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Revenue generated from our non-recurring services may fluctuate due to factors both within and outside of our control. Our mix of non-recurring and recurring revenues is impacted by acquisitions as well as growth in our non-recurring lines of business, as well as our strategic decisions to exit or reduce our services in particular service areas. There is less predictability and certainty in the timing and amount of revenues generated by our non-recurring services and, accordingly, our results of operations and financial condition could be materially adversely affected by the timing and amount of revenues generated from our non-recurring services.</w:t>
      </w:r>
    </w:p>
    <w:p>
      <w:pPr>
        <w:spacing w:after="0" w:line="99" w:lineRule="exact"/>
        <w:rPr>
          <w:sz w:val="20"/>
          <w:szCs w:val="20"/>
          <w:color w:val="auto"/>
        </w:rPr>
      </w:pPr>
    </w:p>
    <w:p>
      <w:pPr>
        <w:ind w:right="460"/>
        <w:spacing w:after="0" w:line="291" w:lineRule="auto"/>
        <w:rPr>
          <w:sz w:val="20"/>
          <w:szCs w:val="20"/>
          <w:color w:val="auto"/>
        </w:rPr>
      </w:pPr>
      <w:r>
        <w:rPr>
          <w:rFonts w:ascii="Arial" w:cs="Arial" w:eastAsia="Arial" w:hAnsi="Arial"/>
          <w:sz w:val="14"/>
          <w:szCs w:val="14"/>
          <w:b w:val="1"/>
          <w:bCs w:val="1"/>
          <w:i w:val="1"/>
          <w:iCs w:val="1"/>
          <w:color w:val="0066CC"/>
        </w:rPr>
        <w:t>Increases in the cost of voice and data services or significant interruptions in such services could materially adversely affect our results of operations and financial condition.</w:t>
      </w:r>
    </w:p>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Our business is significantly dependent on voice and data services provided by various communication and data service providers around the world. Accordingly, any disruption of these services could materially adversely affect our results of operations and financial condition. Any inability to obtain voice or data services at favorable rates could materially adversely affect our results of operations and financial condition. Where possible, we have entered into long term contracts with various providers to have price certainty and avoid short term rate increases and fluctuations. There is no obligation for our vendors to renew their long-term contracts with us, or to offer the same or lower rates in the future, and such contracts are subject to termination or modification for various reasons outside of our control. A significant increase in the cost of voice or data services that is not recoverable through an increase in the price of our services could materially adversely affect our results of operations and financial condition. In addition, a number of our facilities are located in jurisdictions outside of the United States where the provision of utility services, including electricity and water, may not be consistently reliable, and an extended outage of utility or network services could materially adversely affect our results of operations and financial condition.</w:t>
      </w:r>
    </w:p>
    <w:p>
      <w:pPr>
        <w:spacing w:after="0" w:line="200" w:lineRule="exact"/>
        <w:rPr>
          <w:sz w:val="20"/>
          <w:szCs w:val="20"/>
          <w:color w:val="auto"/>
        </w:rPr>
      </w:pPr>
    </w:p>
    <w:p>
      <w:pPr>
        <w:spacing w:after="0" w:line="24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8" w:name="page29"/>
    <w:bookmarkEnd w:id="2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are a holding company and, therefore, may not be able to receive dividends or other payments in needed amounts from our subsidiaries.</w:t>
      </w:r>
    </w:p>
    <w:p>
      <w:pPr>
        <w:spacing w:after="0" w:line="129"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Our principal assets are the shares of capital stock and indebtedness of our subsidiaries. We rely on dividends, interest and other payments from these subsidiaries to meet our obligations for paying principal and interest on outstanding debt obligations, paying corporate expenses and, if determined by our Board of Directors, paying dividends to shareholders and repurchasing common shares. Certain of our subsidiaries are subject to regulatory requirements of the jurisdictions in which they operate or other restrictions that may limit the amounts that these subsidiaries can pay in dividends or other payments to us. No assurance can be given that there will not be further changes in law, regulatory actions or other circumstances that could restrict the ability of our subsidiaries to pay dividends to us. In addition, due to differences in tax rates, repatriation of funds from certain countries into the United States could have unfavorable tax ramifications for us.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operate globally and changes in tax laws could adversely affect our results.</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monitor U.S. and non-U.S. tax law changes that may adversely impact our overall tax costs. From time to time, proposals have been made and/or legislation has been introduced to change tax rates, as well as related tax laws, regulations or interpretations thereof, by various jurisdictions, or to limit tax treaty benefits which, if enacted or implemented, could materially increase our tax costs and/or our effective tax rate and could have a material adverse impact on our financial condition and results of operations. In addition, we are subject to the examination of our income tax returns by the United States Internal Revenue Service and other tax authorities around the world. We regularly assess the likelihood of adverse outcomes resulting from these examinations to determine the adequacy of its provision for income taxes. There can be no assurance that the outcomes from these examinations will not have an adverse effect on our provision for income taxes and cash tax liability.</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1B. UNRESOLVED STAFF COMMENTS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1C. CYBERSECURITY MATTERS</w:t>
      </w:r>
    </w:p>
    <w:p>
      <w:pPr>
        <w:spacing w:after="0" w:line="123"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As a leader in business process solutions, we leverage cloud computing, AI, machine learning, automation and advanced analytics, our systems and information technology, and that of our third-party providers, and our interfaces with our customers are critical to our business, operating results, growth, prospects and reputation.</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act as a trusted business partner in providing both front-office and back-office platforms. As part of our business process outsourcing solutions, we develop system software platforms necessary to support our customers’ needs, with significant ongoing investment in developing and operating customer-appropriate operating systems, databases, and system software solutions. We also receive, process, transmit, and store substantial volumes of personal information relating to identifiable individuals. Additionally, we receive, process, and implement financial transactions and disburse funds on behalf of both commercial and government customers.</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We devote significant resources to cybersecurity and cybersecurity risk management processes to adapt to the changing cybersecurity landscape and to respond to emerging threats. We maintain a cybersecurity risk management program to assess, identify, manage, mitigate, and respond to material risks from cybersecurity threats to both our corporate information technology environment and to customer-facing products. These processes are integrated into our overall Enterprise Risk Management (“ERM”) program, which is designed to strengthen our risk management capabilities by developing and implementing a governance structure, risk management framework, and processes that enable the identification, assessment, monitoring, and management of risks.</w:t>
      </w:r>
    </w:p>
    <w:p>
      <w:pPr>
        <w:spacing w:after="0" w:line="100"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auto"/>
        </w:rPr>
        <w:t>The underlying controls of our cybersecurity risk management program are based upon industry standards for cybersecurity and information technology. Our corporate information technology environment aligns with the Center for Internet Security ("CIS") Critical Security Controls (“CSC”). Our systems that manage customer-facing products, where appropriate and contractually required, are certified/attested to applicable security standards, including, without limitation, National Institute of Standards and Technology ("NIST") (NIST Special Publication 800-53 rev 5 moderate baseline), Payment Card Industry Data Security Standard ("PCI-DSS"), Health Insurance Portability and Accountability Act ("HIPAA"), International Organization for Standardization ("ISO"), and the International Electrotechnical Commission ("IEC") Standard (ISO/IEC 27001:2013 &amp; ISO 9001:2015). Our policies and</w:t>
      </w:r>
    </w:p>
    <w:p>
      <w:pPr>
        <w:spacing w:after="0" w:line="200" w:lineRule="exact"/>
        <w:rPr>
          <w:sz w:val="20"/>
          <w:szCs w:val="20"/>
          <w:color w:val="auto"/>
        </w:rPr>
      </w:pPr>
    </w:p>
    <w:p>
      <w:pPr>
        <w:spacing w:after="0" w:line="23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9" w:name="page30"/>
    <w:bookmarkEnd w:id="2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procedures concerning cybersecurity matters include processes to safeguard our information systems, monitor these systems, protect the confidentiality and integrity of our data, train and raise awareness of cybersecurity threats among employees, detect intrusions into our systems, and respond to cybersecurity incidents.</w:t>
      </w:r>
    </w:p>
    <w:p>
      <w:pPr>
        <w:spacing w:after="0" w:line="80"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As part of our overall risk management strategy, we leverage a defense in depth philosophy, which includes, but is not limited to, additional end-user training, layered technology defenses, identifying and protecting critical assets, strengthening monitoring and warning systems, and engaging industry and subject matter experts. We regularly test defenses by performing simulations and exercises at both a technical level and by reviewing our operational policies and procedures with third-party experts. At the management level, our cybersecurity team regularly monitors alerts and meets to discuss industry threats, trends, and remediation tactics. The cybersecurity team also regularly prepares a cyber report that includes metrics and compliance performance, collects data on cybersecurity threats and risks and conducts an annual risk assessment, which it uses to assess and refine Conduent's overall security posture. Furthermore, we receive cybersecurity alerts and threat intelligence from our peers, government agencies, information sharing and analysis centers and cybersecurity associations, as well as conduct periodic external penetration tests and gap testing to assess our processes and procedures and the ever-changing threat landscape. We have created and continually update, as required, a detailed incident response plan, which outlines the steps to be followed from incident detection to eradication, recovery and notification, and which we implement in the event of a cybersecurity incident.</w:t>
      </w:r>
    </w:p>
    <w:p>
      <w:pPr>
        <w:spacing w:after="0" w:line="104" w:lineRule="exact"/>
        <w:rPr>
          <w:sz w:val="20"/>
          <w:szCs w:val="20"/>
          <w:color w:val="auto"/>
        </w:rPr>
      </w:pPr>
    </w:p>
    <w:p>
      <w:pPr>
        <w:ind w:right="160"/>
        <w:spacing w:after="0" w:line="294" w:lineRule="auto"/>
        <w:rPr>
          <w:sz w:val="20"/>
          <w:szCs w:val="20"/>
          <w:color w:val="auto"/>
        </w:rPr>
      </w:pPr>
      <w:r>
        <w:rPr>
          <w:rFonts w:ascii="Arial" w:cs="Arial" w:eastAsia="Arial" w:hAnsi="Arial"/>
          <w:sz w:val="13"/>
          <w:szCs w:val="13"/>
          <w:color w:val="auto"/>
        </w:rPr>
        <w:t>We also engage third parties and cybersecurity consultants on a regular basis to assess, test, and assist with the implementation of our risk management strategies, policies and procedures to enhance our detection, response and management of cybersecurity risks and compliance frameworks, including but not limited to, consultants who assist with risk assessment, third parties who assist with our PCI-DSS compliance assessments, and auditors who audit our systems to ensure adherence to the relevant standard under evaluation.</w:t>
      </w:r>
    </w:p>
    <w:p>
      <w:pPr>
        <w:spacing w:after="0" w:line="76"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We rely on a variety of security software, including cloud-based technology to scan and analyze for vulnerable software or misconfigurations, for our operations and our business processing solutions. These systems are either developed by us or licensed from or maintained by third-party providers. We assess key third-party cybersecurity controls through a cybersecurity questionnaire, require the implementation of certain security controls in our contracts where applicable, monitor the third party, and maintain the ability to discontinue our engagement with a key vendor if its cybersecurity posture fails to meet pre-established standards.</w:t>
      </w:r>
    </w:p>
    <w:p>
      <w:pPr>
        <w:spacing w:after="0" w:line="97"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Our Board of Directors (the “Board”) maintains oversight responsibility for our ERM program. This oversight is facilitated primarily through the Risk Oversight Committee of the Board (the “Risk Committee”), which reviews the ERM program, related assessments and remediation activities for subsequent review by the Board. As part of its ERM oversight responsibilities, the Risk Committee is responsible for oversight of the Company’s cybersecurity risk management, including the Company’s material programs, policies and safeguards for information security, cybersecurity and data security. At least quarterly (and more frequently as required), the Risk Committee and Audit Committee meet with management, including the Chief Information Security Officer (the “CISO”), to discuss, assess and determine the allocation of resources to risk matters, including cybersecurity risks, which enables effective integration of risk practices into strategic planning and enterprise decision-making.</w:t>
      </w:r>
    </w:p>
    <w:p>
      <w:pPr>
        <w:spacing w:after="0" w:line="99"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The Risk Committee works with the CISO and the Company’s senior executives in reviewing the cybersecurity risks and strategy, provides guidance on the Company’s cybersecurity goals and objectives, and monitors the information it receives from management regarding the assessment and management of cybersecurity risk. The Risk Committee also conducts an annual review that includes a survey of enhancements to the Company’s defenses and a cyber trend report, as well as management’s progress in implementing the Company’s cybersecurity strategic roadmap and compliance initiatives.</w:t>
      </w:r>
    </w:p>
    <w:p>
      <w:pPr>
        <w:spacing w:after="0" w:line="97" w:lineRule="exact"/>
        <w:rPr>
          <w:sz w:val="20"/>
          <w:szCs w:val="20"/>
          <w:color w:val="auto"/>
        </w:rPr>
      </w:pPr>
    </w:p>
    <w:p>
      <w:pPr>
        <w:ind w:right="160"/>
        <w:spacing w:after="0" w:line="254" w:lineRule="auto"/>
        <w:rPr>
          <w:sz w:val="20"/>
          <w:szCs w:val="20"/>
          <w:color w:val="auto"/>
        </w:rPr>
      </w:pPr>
      <w:r>
        <w:rPr>
          <w:rFonts w:ascii="Arial" w:cs="Arial" w:eastAsia="Arial" w:hAnsi="Arial"/>
          <w:sz w:val="14"/>
          <w:szCs w:val="14"/>
          <w:color w:val="auto"/>
        </w:rPr>
        <w:t>The Company’s CISO, a Certified Information Systems Professional with over 15 years of technical and cybersecurity leadership in large multinational organizations, reports to our Executive Vice President, Chief Information Officer and is responsible for assessing, implementing, and managing the Company’s cybersecurity risk management program, informing senior management regarding the prevention, detection, mitigation and remediation of cybersecurity incidents, as well as supervising such efforts. The CISO approves the cybersecurity policies and procedures, implementation of controls, monitoring and detection programs and employee training on cybersecurity risks. The CISO also reports cybersecurity risks and strategies directly to executive leadership. In addition, the Company has implemented an Incident Response Materiality Assessment Committee (“IRMAC”), which consists of members from the Senior Leadership Team and is responsible for assessing the materiality of a cybersecurity incident referred to it by the Cybersecurity Incident Response Team (“CSIRT”). Procedures exist to</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0" w:name="page31"/>
    <w:bookmarkEnd w:id="3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ensure the Risk Committee of the Board of Directors, and if appropriate, the full Board of Directors are notified about cybersecurity incidents being assessed by the IRMAC.</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As noted above, we face a number of cybersecurity risks in connection with our business and, from time to time, experience or are subject to a variety of cybersecurity incidents that arise during the ordinary course of our business. As of the date of this report, we do not believe that any risks from cybersecurity threats, including as a result of any known cybersecurity incidents, have materially affected, or are reasonably likely to materially affect, the Company. New information concerning any known cybersecurity incidents that have occurred prior to the date of this report, however, could change our current belief and could result in a material adverse effect on our business strategy, results of operations, reputation or financial condition. In addition, future cybersecurity incidents could materially affect our strategy, results of operations, reputation or financial condition. See Item 1A. Risk Factors for additional information on how risks could materially affect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2. PROPERTIES</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lease and own numerous facilities worldwide with larger concentrations of space in Kentucky, New Jersey, Texas, Guatemala, India, the Philippines, Jamaica and the Netherlands. Our owned and leased facilities house general offices, sales offices, service locations, call centers and distribution centers. The size of our property portfolio as of December 31, 2024 was approximately 4.6 million square feet at an annual operating cost (lease costs and expenses) of approximately $118 million and was composed of 158 leased properties and 3 owned properties. We believe that our current facilities are suitable and adequate for our current business. Because of the interrelation of our business segments, each of the segments uses substantially all of these properties at least in part.</w:t>
      </w:r>
    </w:p>
    <w:p>
      <w:pPr>
        <w:spacing w:after="0" w:line="100"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We have aggressively pursued portfolio reduction opportunities through lease terminations, subleases and consolidation of properties. Partially offsetting these reductions, in 2024, we executed strategic portfolio expansions in the Philippines and Guatemala. As a result, the portfolio net reduction was approximately 0.3 million square feet during the year ended December 31, 2024. We will continue efforts to optimize our workforce location strategy.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3. LEGAL PROCEEDINGS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set forth under Note 15 – Contingencies and Litigation to the Consolidated Financial Statements in Part II, Item 8 to this 10-K is incorporated herein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4. MINE SAFETY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3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1" w:name="page32"/>
    <w:bookmarkEnd w:id="3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II</w:t>
      </w:r>
    </w:p>
    <w:p>
      <w:pPr>
        <w:spacing w:after="0" w:line="127"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b w:val="1"/>
          <w:bCs w:val="1"/>
          <w:color w:val="0066CC"/>
        </w:rPr>
        <w:t>ITEM 5. MARKET FOR THE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Stock Exchange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common stock of Conduent trades on Nasdaq under the ticker "CNDT".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Common Shareholders of Record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There were 12,008 shareholders of record as of January 31, 2025.</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Common Stock Dividends</w:t>
      </w:r>
    </w:p>
    <w:p>
      <w:pPr>
        <w:spacing w:after="0" w:line="131"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We did not pay any dividends on our common stock in 2024. We intend to retain future earnings for use in the operation of our business and to fund future growth. We do not anticipate paying any dividends on our common stock for the foreseeable future.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4524375" cy="24009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2437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Historically, we have presented the S&amp;P 500 as our published market index and the S&amp;P 500 Data Processing and Outsourced Services index as our published industry index. In 2024, we reevaluated our market and industry indices and determined that, as we are a component of the Russell 2000 and S&amp;P 1500 Data Processing and Outsourced Services indices, these would be more appropriate indices for comparative purposes. For this fiscal year only, we are presenting both market and industry indices in the graph above for comparative purposes to prior fiscal year graphs.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Purchases of Equity Securities by the Issuer and Affiliated Purchasers</w:t>
      </w:r>
    </w:p>
    <w:p>
      <w:pPr>
        <w:spacing w:after="0" w:line="13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On May 16, 2023, the Board of Directors authorized a three-year share repurchase program, granting approval for the Company to repurchase up to $75 million of its common stock from time to time as market and business conditions warrant, including through open market purchases or Rule 10b5-1 trading plans. This program was completed in September 2024. There were no share repurchases during the three months ended December 31, 2024.</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2" w:name="page33"/>
    <w:bookmarkEnd w:id="3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70C0"/>
        </w:rPr>
        <w:t>Securities Authorized for Issuance Under Existing Equity Compensation Plans</w:t>
      </w:r>
    </w:p>
    <w:p>
      <w:pPr>
        <w:spacing w:after="0" w:line="131" w:lineRule="exact"/>
        <w:rPr>
          <w:sz w:val="20"/>
          <w:szCs w:val="20"/>
          <w:color w:val="auto"/>
        </w:rPr>
      </w:pPr>
    </w:p>
    <w:p>
      <w:pPr>
        <w:ind w:right="320"/>
        <w:spacing w:after="0" w:line="282" w:lineRule="auto"/>
        <w:rPr>
          <w:sz w:val="20"/>
          <w:szCs w:val="20"/>
          <w:color w:val="auto"/>
        </w:rPr>
      </w:pPr>
      <w:r>
        <w:rPr>
          <w:rFonts w:ascii="Arial" w:cs="Arial" w:eastAsia="Arial" w:hAnsi="Arial"/>
          <w:sz w:val="14"/>
          <w:szCs w:val="14"/>
          <w:color w:val="auto"/>
        </w:rPr>
        <w:t>Information about securities authorized for issuance under existing equity compensation plans is incorporated by reference from Item 12—Security Ownership of Certain Beneficial Owners and Management and Related Stockholder Matters.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6. [RESERVED]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7. MANAGEMENT'S DISCUSSION AND ANALYSIS OF FINANCIAL CONDITION AND RESULTS OF OPERATIONS</w:t>
      </w:r>
    </w:p>
    <w:p>
      <w:pPr>
        <w:spacing w:after="0" w:line="12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seven sections:</w:t>
      </w:r>
    </w:p>
    <w:p>
      <w:pPr>
        <w:spacing w:after="0" w:line="102" w:lineRule="exact"/>
        <w:rPr>
          <w:sz w:val="20"/>
          <w:szCs w:val="20"/>
          <w:color w:val="auto"/>
        </w:rPr>
      </w:pPr>
    </w:p>
    <w:p>
      <w:pPr>
        <w:ind w:left="500" w:hanging="247"/>
        <w:spacing w:after="0"/>
        <w:tabs>
          <w:tab w:leader="none" w:pos="500" w:val="left"/>
        </w:tabs>
        <w:numPr>
          <w:ilvl w:val="0"/>
          <w:numId w:val="21"/>
        </w:numPr>
        <w:rPr>
          <w:rFonts w:ascii="Arial" w:cs="Arial" w:eastAsia="Arial" w:hAnsi="Arial"/>
          <w:sz w:val="15"/>
          <w:szCs w:val="15"/>
          <w:color w:val="auto"/>
        </w:rPr>
      </w:pPr>
      <w:r>
        <w:rPr>
          <w:rFonts w:ascii="Arial" w:cs="Arial" w:eastAsia="Arial" w:hAnsi="Arial"/>
          <w:sz w:val="14"/>
          <w:szCs w:val="14"/>
          <w:color w:val="auto"/>
        </w:rPr>
        <w:t>Overview;</w:t>
      </w:r>
    </w:p>
    <w:p>
      <w:pPr>
        <w:spacing w:after="0" w:line="15" w:lineRule="exact"/>
        <w:rPr>
          <w:rFonts w:ascii="Arial" w:cs="Arial" w:eastAsia="Arial" w:hAnsi="Arial"/>
          <w:sz w:val="15"/>
          <w:szCs w:val="15"/>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Financial Information;</w:t>
      </w:r>
    </w:p>
    <w:p>
      <w:pPr>
        <w:spacing w:after="0" w:line="9" w:lineRule="exact"/>
        <w:rPr>
          <w:rFonts w:ascii="Arial" w:cs="Arial" w:eastAsia="Arial" w:hAnsi="Arial"/>
          <w:sz w:val="14"/>
          <w:szCs w:val="14"/>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Metrics;</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Capital Resources and Liquidity;</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Critical Accounting Estimates and Policies;</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Recent Accounting Changes; and</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Non-GAAP Financial Measures.</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This MD&amp;A is provided as a supplement to, and should be read in conjunction with, our Consolidated Financial Statements and the accompanying notes in this Form 10-K for the year ended December 31, 2024. This MD&amp;A provides additional information about our operations, current developments, financial condition, cash flows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year-over-year comparisons in this MD&amp;A are as of and for the years ended December 31, 2024 and 2023, unless stated otherwise.</w:t>
      </w:r>
    </w:p>
    <w:p>
      <w:pPr>
        <w:spacing w:after="0" w:line="131" w:lineRule="exact"/>
        <w:rPr>
          <w:sz w:val="20"/>
          <w:szCs w:val="20"/>
          <w:color w:val="auto"/>
        </w:rPr>
      </w:pPr>
    </w:p>
    <w:p>
      <w:pPr>
        <w:ind w:right="280"/>
        <w:spacing w:after="0" w:line="282" w:lineRule="auto"/>
        <w:rPr>
          <w:sz w:val="20"/>
          <w:szCs w:val="20"/>
          <w:color w:val="auto"/>
        </w:rPr>
      </w:pPr>
      <w:r>
        <w:rPr>
          <w:rFonts w:ascii="Arial" w:cs="Arial" w:eastAsia="Arial" w:hAnsi="Arial"/>
          <w:sz w:val="14"/>
          <w:szCs w:val="14"/>
          <w:color w:val="auto"/>
        </w:rPr>
        <w:t>Throughout the MD&amp;A, we refer to various notes to our Consolidated Financial Statements which appear in Item 8 of this Form 10-K, and the information contained in such notes is incorporated by reference into the MD&amp;A in the places where such references are made.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Overview</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We deliver digital business solutions and services spanning the commercial, government and transportation spectrum – creating valuable outcomes for our clients and the millions of people who count on them. We leverage cloud computing, artificial intelligence ("AI"), machine learning, automation and advanced analytics to deliver mission-critical solutions. Through a dedicated global team of approximately 56,000 associates, process expertise and advanced technologies, our solutions and services digitally transform our clients’ operations to enhance customer experiences, improve performance, increase efficiencies and reduce costs.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Headquartered in Florham Park, New Jersey, we have operations in 24 countries as of December 31, 2024. In 2024, approximately 14% of our revenue was generated outside the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Our reportable segments correspond to how we organize and manage the business and are aligned to the industries in which our clients operate. These three segments are:</w:t>
      </w:r>
    </w:p>
    <w:p>
      <w:pPr>
        <w:spacing w:after="0" w:line="131" w:lineRule="exact"/>
        <w:rPr>
          <w:sz w:val="20"/>
          <w:szCs w:val="20"/>
          <w:color w:val="auto"/>
        </w:rPr>
      </w:pPr>
    </w:p>
    <w:p>
      <w:pPr>
        <w:ind w:left="260" w:right="360" w:hanging="257"/>
        <w:spacing w:after="0" w:line="259" w:lineRule="auto"/>
        <w:tabs>
          <w:tab w:leader="none" w:pos="256"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Commercial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Commercial segment provides business process services that span our clients' business processes end-to-end from the front-office to the back-office for a</w:t>
      </w:r>
      <w:r>
        <w:rPr>
          <w:rFonts w:ascii="Arial" w:cs="Arial" w:eastAsia="Arial" w:hAnsi="Arial"/>
          <w:sz w:val="14"/>
          <w:szCs w:val="14"/>
          <w:b w:val="1"/>
          <w:bCs w:val="1"/>
          <w:color w:val="0066CC"/>
        </w:rPr>
        <w:t xml:space="preserve"> </w:t>
      </w:r>
      <w:r>
        <w:rPr>
          <w:rFonts w:ascii="Arial" w:cs="Arial" w:eastAsia="Arial" w:hAnsi="Arial"/>
          <w:sz w:val="14"/>
          <w:szCs w:val="14"/>
          <w:color w:val="000000"/>
        </w:rPr>
        <w:t>variety of commercial industries. These solutions are both cross-industry and industry-specific in nature. Across the Commercial segment, we operate on our clients’ behalf to deliver mission-critical solutions and services to reduce costs, improve efficiencies and enable revenue growth for our clients and better experiences for their consumers and employees.</w:t>
      </w:r>
    </w:p>
    <w:p>
      <w:pPr>
        <w:spacing w:after="0" w:line="96" w:lineRule="exact"/>
        <w:rPr>
          <w:rFonts w:ascii="Arial" w:cs="Arial" w:eastAsia="Arial" w:hAnsi="Arial"/>
          <w:sz w:val="14"/>
          <w:szCs w:val="14"/>
          <w:b w:val="1"/>
          <w:bCs w:val="1"/>
          <w:color w:val="auto"/>
        </w:rPr>
      </w:pPr>
    </w:p>
    <w:p>
      <w:pPr>
        <w:ind w:left="260" w:right="680" w:hanging="257"/>
        <w:spacing w:after="0" w:line="282" w:lineRule="auto"/>
        <w:tabs>
          <w:tab w:leader="none" w:pos="256"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Government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Government segment provides government-centric services and solutions to U.S. federal, state, local and foreign governments for public assistance,</w:t>
      </w:r>
      <w:r>
        <w:rPr>
          <w:rFonts w:ascii="Arial" w:cs="Arial" w:eastAsia="Arial" w:hAnsi="Arial"/>
          <w:sz w:val="14"/>
          <w:szCs w:val="14"/>
          <w:b w:val="1"/>
          <w:bCs w:val="1"/>
          <w:color w:val="0066CC"/>
        </w:rPr>
        <w:t xml:space="preserve"> </w:t>
      </w:r>
      <w:r>
        <w:rPr>
          <w:rFonts w:ascii="Arial" w:cs="Arial" w:eastAsia="Arial" w:hAnsi="Arial"/>
          <w:sz w:val="14"/>
          <w:szCs w:val="14"/>
          <w:color w:val="000000"/>
        </w:rPr>
        <w:t>healthcare programs and administration, transaction</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3" w:name="page34"/>
    <w:bookmarkEnd w:id="3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260" w:right="20"/>
        <w:spacing w:after="0" w:line="282" w:lineRule="auto"/>
        <w:rPr>
          <w:sz w:val="20"/>
          <w:szCs w:val="20"/>
          <w:color w:val="auto"/>
        </w:rPr>
      </w:pPr>
      <w:r>
        <w:rPr>
          <w:rFonts w:ascii="Arial" w:cs="Arial" w:eastAsia="Arial" w:hAnsi="Arial"/>
          <w:sz w:val="14"/>
          <w:szCs w:val="14"/>
          <w:color w:val="auto"/>
        </w:rPr>
        <w:t>processing, payment services and case management. In this segment, we help governments respond to changing rules for eligibility and increasing citizen expectations, modernize legacy technology systems, combat benefits fraud and shift in response to an evolving regulatory environment.</w:t>
      </w:r>
    </w:p>
    <w:p>
      <w:pPr>
        <w:spacing w:after="0" w:line="80" w:lineRule="exact"/>
        <w:rPr>
          <w:sz w:val="20"/>
          <w:szCs w:val="20"/>
          <w:color w:val="auto"/>
        </w:rPr>
      </w:pPr>
    </w:p>
    <w:p>
      <w:pPr>
        <w:ind w:left="260" w:right="40" w:hanging="257"/>
        <w:spacing w:after="0" w:line="265" w:lineRule="auto"/>
        <w:tabs>
          <w:tab w:leader="none" w:pos="256" w:val="left"/>
        </w:tabs>
        <w:numPr>
          <w:ilvl w:val="0"/>
          <w:numId w:val="23"/>
        </w:numPr>
        <w:rPr>
          <w:rFonts w:ascii="Arial" w:cs="Arial" w:eastAsia="Arial" w:hAnsi="Arial"/>
          <w:sz w:val="14"/>
          <w:szCs w:val="14"/>
          <w:color w:val="auto"/>
        </w:rPr>
      </w:pPr>
      <w:r>
        <w:rPr>
          <w:rFonts w:ascii="Arial" w:cs="Arial" w:eastAsia="Arial" w:hAnsi="Arial"/>
          <w:sz w:val="14"/>
          <w:szCs w:val="14"/>
          <w:b w:val="1"/>
          <w:bCs w:val="1"/>
          <w:color w:val="0066CC"/>
        </w:rPr>
        <w:t xml:space="preserve">Transportation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Transportation segment provides systems, support, and revenue-generating solutions to government transportation agency clients. We deliver mission-critical tolling, transit and digital payment solutions that streamline operations, increase revenue and reduce congestion while creating safe, seamless experiences for travelers. We help transportation agencies contend with rising urbanization and mobility, the need for system efficiency and an increased focus on transportation infrastructure.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Executive Summary</w:t>
      </w:r>
    </w:p>
    <w:p>
      <w:pPr>
        <w:spacing w:after="0" w:line="131"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Our intense emphasis on growth, quality, and efficiency, beginning in the first quarter of 2020, resulted in a strengthened foundation. Building on this solid foundation, during 2023, we held an investor briefing outlining our three-year strategy. We continue to execute on this strategy and remain focused on accelerating growth and enhancing value for our stakeholders. We intend to achieve this by doubling down on key themes outlined in the 2023 investor briefing including focusing on key growth areas within each of our businesses, continuing our portfolio rationalization strategy, divesting certain solutions which have either scarcity value outside of Conduent or are capital intensive relative to their growth opportunity, and taking a balanced approach to allocating capital including internal investments in our solutions, pre-paying debt and repurchasing common shares.</w:t>
      </w:r>
    </w:p>
    <w:p>
      <w:pPr>
        <w:spacing w:after="0" w:line="100"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We believe this strategy has resulted and will continue to result in a more nimble and faster growing Conduent with modest levels of net leverage, enhanced valuation, and a stronger balance sheet.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Significant 2024 Actions</w:t>
      </w:r>
    </w:p>
    <w:p>
      <w:pPr>
        <w:spacing w:after="0" w:line="131" w:lineRule="exact"/>
        <w:rPr>
          <w:sz w:val="20"/>
          <w:szCs w:val="20"/>
          <w:color w:val="auto"/>
        </w:rPr>
      </w:pPr>
    </w:p>
    <w:p>
      <w:pPr>
        <w:ind w:left="260" w:right="200" w:hanging="257"/>
        <w:spacing w:after="0" w:line="259" w:lineRule="auto"/>
        <w:tabs>
          <w:tab w:leader="none" w:pos="256" w:val="left"/>
        </w:tabs>
        <w:numPr>
          <w:ilvl w:val="0"/>
          <w:numId w:val="24"/>
        </w:numPr>
        <w:rPr>
          <w:rFonts w:ascii="Arial" w:cs="Arial" w:eastAsia="Arial" w:hAnsi="Arial"/>
          <w:sz w:val="14"/>
          <w:szCs w:val="14"/>
          <w:color w:val="0066CC"/>
        </w:rPr>
      </w:pPr>
      <w:r>
        <w:rPr>
          <w:rFonts w:ascii="Arial" w:cs="Arial" w:eastAsia="Arial" w:hAnsi="Arial"/>
          <w:sz w:val="14"/>
          <w:szCs w:val="14"/>
          <w:b w:val="1"/>
          <w:bCs w:val="1"/>
          <w:color w:val="0066CC"/>
        </w:rPr>
        <w:t xml:space="preserve">Divestitures </w:t>
      </w:r>
      <w:r>
        <w:rPr>
          <w:rFonts w:ascii="Arial" w:cs="Arial" w:eastAsia="Arial" w:hAnsi="Arial"/>
          <w:sz w:val="14"/>
          <w:szCs w:val="14"/>
          <w:color w:val="000000"/>
        </w:rPr>
        <w:t>– In 2024, we completed three divestitures as part of our portfolio rationalization strategy. During the second quarter, we completed the transfer of the BenefitWallet</w:t>
      </w:r>
      <w:r>
        <w:rPr>
          <w:rFonts w:ascii="Arial" w:cs="Arial" w:eastAsia="Arial" w:hAnsi="Arial"/>
          <w:sz w:val="14"/>
          <w:szCs w:val="14"/>
          <w:b w:val="1"/>
          <w:bCs w:val="1"/>
          <w:color w:val="0066CC"/>
        </w:rPr>
        <w:t xml:space="preserve"> </w:t>
      </w:r>
      <w:r>
        <w:rPr>
          <w:rFonts w:ascii="Arial" w:cs="Arial" w:eastAsia="Arial" w:hAnsi="Arial"/>
          <w:sz w:val="14"/>
          <w:szCs w:val="14"/>
          <w:color w:val="000000"/>
        </w:rPr>
        <w:t>Portfolio for a total purchase price of $425 million and completed the sale of the Curbside Management and Public Safety businesses with a purchase price of $230 million, $50 million of which is deferred to the first half of 2025. During the third quarter, we completed the sale of the Casualty Claims Solutions Businesses with a purchase price of $224 million. Refer to Note 4 – Divestitures and Assets/Liabilities Held for Sale in the Consolidated Financial Statements for additional information.</w:t>
      </w:r>
    </w:p>
    <w:p>
      <w:pPr>
        <w:spacing w:after="0" w:line="96" w:lineRule="exact"/>
        <w:rPr>
          <w:rFonts w:ascii="Arial" w:cs="Arial" w:eastAsia="Arial" w:hAnsi="Arial"/>
          <w:sz w:val="14"/>
          <w:szCs w:val="14"/>
          <w:color w:val="0066CC"/>
        </w:rPr>
      </w:pPr>
    </w:p>
    <w:p>
      <w:pPr>
        <w:ind w:left="260" w:right="60" w:hanging="257"/>
        <w:spacing w:after="0" w:line="281" w:lineRule="auto"/>
        <w:tabs>
          <w:tab w:leader="none" w:pos="256" w:val="left"/>
        </w:tabs>
        <w:numPr>
          <w:ilvl w:val="0"/>
          <w:numId w:val="24"/>
        </w:numPr>
        <w:rPr>
          <w:rFonts w:ascii="Arial" w:cs="Arial" w:eastAsia="Arial" w:hAnsi="Arial"/>
          <w:sz w:val="14"/>
          <w:szCs w:val="14"/>
          <w:b w:val="1"/>
          <w:bCs w:val="1"/>
          <w:color w:val="0066CC"/>
        </w:rPr>
      </w:pPr>
      <w:r>
        <w:rPr>
          <w:rFonts w:ascii="Arial" w:cs="Arial" w:eastAsia="Arial" w:hAnsi="Arial"/>
          <w:sz w:val="14"/>
          <w:szCs w:val="14"/>
          <w:b w:val="1"/>
          <w:bCs w:val="1"/>
          <w:color w:val="0066CC"/>
        </w:rPr>
        <w:t xml:space="preserve">Debt Prepayment </w:t>
      </w:r>
      <w:r>
        <w:rPr>
          <w:rFonts w:ascii="Arial" w:cs="Arial" w:eastAsia="Arial" w:hAnsi="Arial"/>
          <w:sz w:val="14"/>
          <w:szCs w:val="14"/>
          <w:color w:val="000000"/>
        </w:rPr>
        <w:t>– In 2024, we utilized a portion of the proceeds from the closing of our divestitures to voluntarily prepay all of the principal ($502 million</w:t>
      </w:r>
      <w:r>
        <w:rPr>
          <w:rFonts w:ascii="Times New Roman" w:cs="Times New Roman" w:eastAsia="Times New Roman" w:hAnsi="Times New Roman"/>
          <w:sz w:val="14"/>
          <w:szCs w:val="14"/>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of the Term Loan B and</w:t>
      </w:r>
      <w:r>
        <w:rPr>
          <w:rFonts w:ascii="Arial" w:cs="Arial" w:eastAsia="Arial" w:hAnsi="Arial"/>
          <w:sz w:val="14"/>
          <w:szCs w:val="14"/>
          <w:b w:val="1"/>
          <w:bCs w:val="1"/>
          <w:color w:val="0066CC"/>
        </w:rPr>
        <w:t xml:space="preserve"> </w:t>
      </w:r>
      <w:r>
        <w:rPr>
          <w:rFonts w:ascii="Arial" w:cs="Arial" w:eastAsia="Arial" w:hAnsi="Arial"/>
          <w:sz w:val="14"/>
          <w:szCs w:val="14"/>
          <w:color w:val="000000"/>
        </w:rPr>
        <w:t>$137 million of the Term Loan A. Refer to Note 10 – Debt in the Consolidated Financial Statements for additional information.</w:t>
      </w:r>
    </w:p>
    <w:p>
      <w:pPr>
        <w:spacing w:after="0" w:line="80" w:lineRule="exact"/>
        <w:rPr>
          <w:rFonts w:ascii="Arial" w:cs="Arial" w:eastAsia="Arial" w:hAnsi="Arial"/>
          <w:sz w:val="14"/>
          <w:szCs w:val="14"/>
          <w:b w:val="1"/>
          <w:bCs w:val="1"/>
          <w:color w:val="0066CC"/>
        </w:rPr>
      </w:pPr>
    </w:p>
    <w:p>
      <w:pPr>
        <w:ind w:left="260" w:right="80" w:hanging="257"/>
        <w:spacing w:after="0" w:line="259" w:lineRule="auto"/>
        <w:tabs>
          <w:tab w:leader="none" w:pos="256"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0066CC"/>
        </w:rPr>
        <w:t xml:space="preserve">Icahn Share Repurchase </w:t>
      </w:r>
      <w:r>
        <w:rPr>
          <w:rFonts w:ascii="Arial" w:cs="Arial" w:eastAsia="Arial" w:hAnsi="Arial"/>
          <w:sz w:val="14"/>
          <w:szCs w:val="14"/>
          <w:color w:val="000000"/>
        </w:rPr>
        <w:t>– During the second quarter of 2024, we entered into a purchase agreement with Carl C. Icahn and certain of his affiliates pursuant to which we</w:t>
      </w:r>
      <w:r>
        <w:rPr>
          <w:rFonts w:ascii="Arial" w:cs="Arial" w:eastAsia="Arial" w:hAnsi="Arial"/>
          <w:sz w:val="14"/>
          <w:szCs w:val="14"/>
          <w:b w:val="1"/>
          <w:bCs w:val="1"/>
          <w:color w:val="0066CC"/>
        </w:rPr>
        <w:t xml:space="preserve"> </w:t>
      </w:r>
      <w:r>
        <w:rPr>
          <w:rFonts w:ascii="Arial" w:cs="Arial" w:eastAsia="Arial" w:hAnsi="Arial"/>
          <w:sz w:val="14"/>
          <w:szCs w:val="14"/>
          <w:color w:val="000000"/>
        </w:rPr>
        <w:t>purchased an aggregate of approximately 38 million shares of our common stock, at a price of $3.47 per share, for an aggregate purchase price of approximately $132 million. We utilized a portion of the proceeds from the closing of our divestitures to fund the purchase. Refer to Note 16 – Common Stock and Preferred Stock in the Consolidated Financial Statements for additional information.</w:t>
      </w:r>
    </w:p>
    <w:p>
      <w:pPr>
        <w:spacing w:after="0" w:line="96" w:lineRule="exact"/>
        <w:rPr>
          <w:rFonts w:ascii="Arial" w:cs="Arial" w:eastAsia="Arial" w:hAnsi="Arial"/>
          <w:sz w:val="14"/>
          <w:szCs w:val="14"/>
          <w:color w:val="auto"/>
        </w:rPr>
      </w:pPr>
    </w:p>
    <w:p>
      <w:pPr>
        <w:ind w:left="240" w:hanging="237"/>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0066CC"/>
        </w:rPr>
        <w:t xml:space="preserve">Share Repurchases </w:t>
      </w:r>
      <w:r>
        <w:rPr>
          <w:rFonts w:ascii="Arial" w:cs="Arial" w:eastAsia="Arial" w:hAnsi="Arial"/>
          <w:sz w:val="14"/>
          <w:szCs w:val="14"/>
          <w:color w:val="000000"/>
        </w:rPr>
        <w:t>– In 2024, we completed our previously approved $75 million share repurchase program and bought back a total of 14 million shares of common stock.</w:t>
      </w:r>
    </w:p>
    <w:p>
      <w:pPr>
        <w:spacing w:after="0" w:line="130" w:lineRule="exact"/>
        <w:rPr>
          <w:rFonts w:ascii="Arial" w:cs="Arial" w:eastAsia="Arial" w:hAnsi="Arial"/>
          <w:sz w:val="14"/>
          <w:szCs w:val="14"/>
          <w:color w:val="auto"/>
        </w:rPr>
      </w:pPr>
    </w:p>
    <w:p>
      <w:pPr>
        <w:ind w:left="260" w:right="80" w:hanging="257"/>
        <w:spacing w:after="0" w:line="282" w:lineRule="auto"/>
        <w:tabs>
          <w:tab w:leader="none" w:pos="256"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0066CC"/>
        </w:rPr>
        <w:t xml:space="preserve">Leadership Updates </w:t>
      </w:r>
      <w:r>
        <w:rPr>
          <w:rFonts w:ascii="Arial" w:cs="Arial" w:eastAsia="Arial" w:hAnsi="Arial"/>
          <w:sz w:val="14"/>
          <w:szCs w:val="14"/>
          <w:color w:val="000000"/>
        </w:rPr>
        <w:t>– In 2024, we continued to enhance our leadership team and appointed a new Group President of the Commercial segment and a new Head of Government</w:t>
      </w:r>
      <w:r>
        <w:rPr>
          <w:rFonts w:ascii="Arial" w:cs="Arial" w:eastAsia="Arial" w:hAnsi="Arial"/>
          <w:sz w:val="14"/>
          <w:szCs w:val="14"/>
          <w:b w:val="1"/>
          <w:bCs w:val="1"/>
          <w:color w:val="0066CC"/>
        </w:rPr>
        <w:t xml:space="preserve"> </w:t>
      </w:r>
      <w:r>
        <w:rPr>
          <w:rFonts w:ascii="Arial" w:cs="Arial" w:eastAsia="Arial" w:hAnsi="Arial"/>
          <w:sz w:val="14"/>
          <w:szCs w:val="14"/>
          <w:color w:val="000000"/>
        </w:rPr>
        <w:t>Solutions.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Significant 2023 Actions</w:t>
      </w:r>
    </w:p>
    <w:p>
      <w:pPr>
        <w:spacing w:after="0" w:line="131" w:lineRule="exact"/>
        <w:rPr>
          <w:sz w:val="20"/>
          <w:szCs w:val="20"/>
          <w:color w:val="auto"/>
        </w:rPr>
      </w:pPr>
    </w:p>
    <w:p>
      <w:pPr>
        <w:ind w:left="260" w:right="220" w:hanging="257"/>
        <w:spacing w:after="0" w:line="259" w:lineRule="auto"/>
        <w:tabs>
          <w:tab w:leader="none" w:pos="256"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0066CC"/>
        </w:rPr>
        <w:t xml:space="preserve">Strategic Growth Efforts </w:t>
      </w:r>
      <w:r>
        <w:rPr>
          <w:rFonts w:ascii="Arial" w:cs="Arial" w:eastAsia="Arial" w:hAnsi="Arial"/>
          <w:sz w:val="14"/>
          <w:szCs w:val="14"/>
          <w:color w:val="000000"/>
        </w:rPr>
        <w:t>– During 2023, we continued to see opportunities in our Government Healthcare segment, particularly with our cloud-native Medicaid Claims solution,</w:t>
      </w:r>
      <w:r>
        <w:rPr>
          <w:rFonts w:ascii="Arial" w:cs="Arial" w:eastAsia="Arial" w:hAnsi="Arial"/>
          <w:sz w:val="14"/>
          <w:szCs w:val="14"/>
          <w:b w:val="1"/>
          <w:bCs w:val="1"/>
          <w:color w:val="0066CC"/>
        </w:rPr>
        <w:t xml:space="preserve"> </w:t>
      </w:r>
      <w:r>
        <w:rPr>
          <w:rFonts w:ascii="Arial" w:cs="Arial" w:eastAsia="Arial" w:hAnsi="Arial"/>
          <w:sz w:val="14"/>
          <w:szCs w:val="14"/>
          <w:color w:val="000000"/>
        </w:rPr>
        <w:t>and we now have a number of significant implementations underway in the space. Our pipeline of opportunities remains strong in this area. We also continued to make progress with our Immediate Payments offering, laying the marketing and educational foundation with our existing clients, and enhancing our partnership strategy. We were the first organization to</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4" w:name="page35"/>
    <w:bookmarkEnd w:id="3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execute transactions over the newly implemented FedNow capability and we anticipate an acceleration of new business signings to occur in 2024.</w:t>
      </w:r>
    </w:p>
    <w:p>
      <w:pPr>
        <w:spacing w:after="0" w:line="131" w:lineRule="exact"/>
        <w:rPr>
          <w:sz w:val="20"/>
          <w:szCs w:val="20"/>
          <w:color w:val="auto"/>
        </w:rPr>
      </w:pPr>
    </w:p>
    <w:p>
      <w:pPr>
        <w:jc w:val="both"/>
        <w:ind w:left="260" w:right="300" w:hanging="257"/>
        <w:spacing w:after="0" w:line="265" w:lineRule="auto"/>
        <w:tabs>
          <w:tab w:leader="none" w:pos="256"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0066CC"/>
        </w:rPr>
        <w:t xml:space="preserve">New Business Signings </w:t>
      </w:r>
      <w:r>
        <w:rPr>
          <w:rFonts w:ascii="Arial" w:cs="Arial" w:eastAsia="Arial" w:hAnsi="Arial"/>
          <w:sz w:val="14"/>
          <w:szCs w:val="14"/>
          <w:color w:val="000000"/>
        </w:rPr>
        <w:t>– Successfully attained the highest Total Contract Value ("TCV" as defined in Metrics section below) in several years, with an increase of 20% versus</w:t>
      </w:r>
      <w:r>
        <w:rPr>
          <w:rFonts w:ascii="Arial" w:cs="Arial" w:eastAsia="Arial" w:hAnsi="Arial"/>
          <w:sz w:val="14"/>
          <w:szCs w:val="14"/>
          <w:b w:val="1"/>
          <w:bCs w:val="1"/>
          <w:color w:val="0066CC"/>
        </w:rPr>
        <w:t xml:space="preserve"> </w:t>
      </w:r>
      <w:r>
        <w:rPr>
          <w:rFonts w:ascii="Arial" w:cs="Arial" w:eastAsia="Arial" w:hAnsi="Arial"/>
          <w:sz w:val="14"/>
          <w:szCs w:val="14"/>
          <w:color w:val="000000"/>
        </w:rPr>
        <w:t>2022. This was predominantly driven by the $1 billion TCV deal in our Transportation segment, with the State of Victoria, Australia. This is our largest TCV deal in the history of Conduent and continues to grow our international presence.</w:t>
      </w:r>
    </w:p>
    <w:p>
      <w:pPr>
        <w:spacing w:after="0" w:line="91" w:lineRule="exact"/>
        <w:rPr>
          <w:rFonts w:ascii="Arial" w:cs="Arial" w:eastAsia="Arial" w:hAnsi="Arial"/>
          <w:sz w:val="14"/>
          <w:szCs w:val="14"/>
          <w:color w:val="auto"/>
        </w:rPr>
      </w:pPr>
    </w:p>
    <w:p>
      <w:pPr>
        <w:ind w:left="260" w:right="60" w:hanging="257"/>
        <w:spacing w:after="0" w:line="282" w:lineRule="auto"/>
        <w:tabs>
          <w:tab w:leader="none" w:pos="256"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0066CC"/>
        </w:rPr>
        <w:t xml:space="preserve">Share Repurchases </w:t>
      </w:r>
      <w:r>
        <w:rPr>
          <w:rFonts w:ascii="Arial" w:cs="Arial" w:eastAsia="Arial" w:hAnsi="Arial"/>
          <w:sz w:val="14"/>
          <w:szCs w:val="14"/>
          <w:color w:val="000000"/>
        </w:rPr>
        <w:t>– The Board of Directors authorized a share repurchase program, granting approval for us to repurchase up to $75 million of our common stock over the next</w:t>
      </w:r>
      <w:r>
        <w:rPr>
          <w:rFonts w:ascii="Arial" w:cs="Arial" w:eastAsia="Arial" w:hAnsi="Arial"/>
          <w:sz w:val="14"/>
          <w:szCs w:val="14"/>
          <w:b w:val="1"/>
          <w:bCs w:val="1"/>
          <w:color w:val="0066CC"/>
        </w:rPr>
        <w:t xml:space="preserve"> </w:t>
      </w:r>
      <w:r>
        <w:rPr>
          <w:rFonts w:ascii="Arial" w:cs="Arial" w:eastAsia="Arial" w:hAnsi="Arial"/>
          <w:sz w:val="14"/>
          <w:szCs w:val="14"/>
          <w:color w:val="000000"/>
        </w:rPr>
        <w:t>three years. In 2023, 9 million shares were repurchased under this program. This program was completed in September 2024.</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Macroeconomic and Geopolitical Uncertainty</w:t>
      </w:r>
    </w:p>
    <w:p>
      <w:pPr>
        <w:spacing w:after="0" w:line="120" w:lineRule="exact"/>
        <w:rPr>
          <w:sz w:val="20"/>
          <w:szCs w:val="20"/>
          <w:color w:val="auto"/>
        </w:rPr>
      </w:pPr>
    </w:p>
    <w:p>
      <w:pPr>
        <w:ind w:right="220"/>
        <w:spacing w:after="0" w:line="282" w:lineRule="auto"/>
        <w:rPr>
          <w:sz w:val="20"/>
          <w:szCs w:val="20"/>
          <w:color w:val="auto"/>
        </w:rPr>
      </w:pPr>
      <w:r>
        <w:rPr>
          <w:rFonts w:ascii="Arial" w:cs="Arial" w:eastAsia="Arial" w:hAnsi="Arial"/>
          <w:sz w:val="14"/>
          <w:szCs w:val="14"/>
          <w:color w:val="auto"/>
        </w:rPr>
        <w:t>Given the nature of our business and our global operations, the effects of global macroeconomic and geopolitical uncertainty could have a materially adverse effect on our business, results of operations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Financial Information</w:t>
      </w:r>
    </w:p>
    <w:p>
      <w:pPr>
        <w:spacing w:after="0" w:line="89" w:lineRule="exact"/>
        <w:rPr>
          <w:sz w:val="20"/>
          <w:szCs w:val="20"/>
          <w:color w:val="auto"/>
        </w:rPr>
      </w:pPr>
    </w:p>
    <w:p>
      <w:pPr>
        <w:ind w:right="60"/>
        <w:spacing w:after="0" w:line="299" w:lineRule="auto"/>
        <w:rPr>
          <w:sz w:val="20"/>
          <w:szCs w:val="20"/>
          <w:color w:val="auto"/>
        </w:rPr>
      </w:pPr>
      <w:r>
        <w:rPr>
          <w:rFonts w:ascii="Arial" w:cs="Arial" w:eastAsia="Arial" w:hAnsi="Arial"/>
          <w:sz w:val="13"/>
          <w:szCs w:val="13"/>
          <w:color w:val="auto"/>
        </w:rPr>
        <w:t>The section below provides a comparative discussion of our consolidated results of operations for the year ended December 31, 2024 and 2023. See Item 7. MD&amp;A – Financial Information in our Annual Report on Form 10-K for the year ended December 31, 2023, for a comparative discussion of our consolidated results of operations between 2023 and 2022.</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60" w:type="dxa"/>
            <w:vAlign w:val="bottom"/>
            <w:tcBorders>
              <w:bottom w:val="single" w:sz="8" w:color="auto"/>
            </w:tcBorders>
            <w:gridSpan w:val="4"/>
          </w:tcPr>
          <w:p>
            <w:pPr>
              <w:jc w:val="right"/>
              <w:ind w:right="204"/>
              <w:spacing w:after="0"/>
              <w:rPr>
                <w:sz w:val="20"/>
                <w:szCs w:val="20"/>
                <w:color w:val="auto"/>
              </w:rPr>
            </w:pPr>
            <w:r>
              <w:rPr>
                <w:rFonts w:ascii="Arial" w:cs="Arial" w:eastAsia="Arial" w:hAnsi="Arial"/>
                <w:sz w:val="11"/>
                <w:szCs w:val="11"/>
                <w:color w:val="auto"/>
              </w:rPr>
              <w:t>Year Ended December 31,</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color w:val="auto"/>
              </w:rPr>
              <w:t>2024 vs. 2023</w:t>
            </w:r>
          </w:p>
        </w:tc>
        <w:tc>
          <w:tcPr>
            <w:tcW w:w="10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5680" w:type="dxa"/>
            <w:vAlign w:val="bottom"/>
            <w:gridSpan w:val="3"/>
          </w:tcPr>
          <w:p>
            <w:pPr>
              <w:spacing w:after="0"/>
              <w:rPr>
                <w:sz w:val="20"/>
                <w:szCs w:val="20"/>
                <w:color w:val="auto"/>
              </w:rPr>
            </w:pPr>
            <w:r>
              <w:rPr>
                <w:rFonts w:ascii="Arial" w:cs="Arial" w:eastAsia="Arial" w:hAnsi="Arial"/>
                <w:sz w:val="8"/>
                <w:szCs w:val="8"/>
                <w:color w:val="auto"/>
              </w:rPr>
              <w:t>(in millions)</w:t>
            </w:r>
          </w:p>
        </w:tc>
        <w:tc>
          <w:tcPr>
            <w:tcW w:w="860" w:type="dxa"/>
            <w:vAlign w:val="bottom"/>
          </w:tcPr>
          <w:p>
            <w:pPr>
              <w:jc w:val="right"/>
              <w:ind w:right="47"/>
              <w:spacing w:after="0" w:line="120" w:lineRule="exact"/>
              <w:rPr>
                <w:sz w:val="20"/>
                <w:szCs w:val="20"/>
                <w:color w:val="auto"/>
              </w:rPr>
            </w:pPr>
            <w:r>
              <w:rPr>
                <w:rFonts w:ascii="Arial" w:cs="Arial" w:eastAsia="Arial" w:hAnsi="Arial"/>
                <w:sz w:val="11"/>
                <w:szCs w:val="11"/>
                <w:color w:val="auto"/>
              </w:rPr>
              <w:t>2024</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ind w:right="44"/>
              <w:spacing w:after="0" w:line="120" w:lineRule="exact"/>
              <w:rPr>
                <w:sz w:val="20"/>
                <w:szCs w:val="20"/>
                <w:color w:val="auto"/>
              </w:rPr>
            </w:pPr>
            <w:r>
              <w:rPr>
                <w:rFonts w:ascii="Arial" w:cs="Arial" w:eastAsia="Arial" w:hAnsi="Arial"/>
                <w:sz w:val="11"/>
                <w:szCs w:val="11"/>
                <w:color w:val="auto"/>
              </w:rPr>
              <w:t>2023</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spacing w:after="0" w:line="120" w:lineRule="exact"/>
              <w:rPr>
                <w:sz w:val="20"/>
                <w:szCs w:val="20"/>
                <w:color w:val="auto"/>
              </w:rPr>
            </w:pPr>
            <w:r>
              <w:rPr>
                <w:rFonts w:ascii="Arial" w:cs="Arial" w:eastAsia="Arial" w:hAnsi="Arial"/>
                <w:sz w:val="11"/>
                <w:szCs w:val="11"/>
                <w:color w:val="auto"/>
              </w:rPr>
              <w:t>$ Change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jc w:val="right"/>
              <w:ind w:right="384"/>
              <w:spacing w:after="0" w:line="120" w:lineRule="exact"/>
              <w:rPr>
                <w:sz w:val="20"/>
                <w:szCs w:val="20"/>
                <w:color w:val="auto"/>
              </w:rPr>
            </w:pPr>
            <w:r>
              <w:rPr>
                <w:rFonts w:ascii="Arial" w:cs="Arial" w:eastAsia="Arial" w:hAnsi="Arial"/>
                <w:sz w:val="11"/>
                <w:szCs w:val="1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Revenue</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3,356</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44"/>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3,722</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784"/>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(366)</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98"/>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36"/>
        </w:trPr>
        <w:tc>
          <w:tcPr>
            <w:tcW w:w="2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auto"/>
            </w:tcBorders>
            <w:gridSpan w:val="2"/>
            <w:shd w:val="clear" w:color="auto" w:fill="CCEEFF"/>
          </w:tcPr>
          <w:p>
            <w:pPr>
              <w:spacing w:after="0" w:line="125" w:lineRule="exact"/>
              <w:rPr>
                <w:sz w:val="20"/>
                <w:szCs w:val="20"/>
                <w:color w:val="auto"/>
              </w:rPr>
            </w:pPr>
            <w:r>
              <w:rPr>
                <w:rFonts w:ascii="Arial" w:cs="Arial" w:eastAsia="Arial" w:hAnsi="Arial"/>
                <w:sz w:val="11"/>
                <w:szCs w:val="11"/>
                <w:b w:val="1"/>
                <w:bCs w:val="1"/>
                <w:color w:val="auto"/>
                <w:w w:val="99"/>
              </w:rPr>
              <w:t>Operating Costs and Expenses</w:t>
            </w:r>
          </w:p>
        </w:tc>
        <w:tc>
          <w:tcPr>
            <w:tcW w:w="404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Cost of services (excluding depreciation and amortization)</w:t>
            </w:r>
          </w:p>
        </w:tc>
        <w:tc>
          <w:tcPr>
            <w:tcW w:w="860" w:type="dxa"/>
            <w:vAlign w:val="bottom"/>
          </w:tcPr>
          <w:p>
            <w:pPr>
              <w:spacing w:after="0"/>
              <w:rPr>
                <w:sz w:val="13"/>
                <w:szCs w:val="13"/>
                <w:color w:val="auto"/>
              </w:rPr>
            </w:pPr>
          </w:p>
        </w:tc>
        <w:tc>
          <w:tcPr>
            <w:tcW w:w="440" w:type="dxa"/>
            <w:vAlign w:val="bottom"/>
          </w:tcPr>
          <w:p>
            <w:pPr>
              <w:jc w:val="right"/>
              <w:ind w:right="4"/>
              <w:spacing w:after="0"/>
              <w:rPr>
                <w:sz w:val="20"/>
                <w:szCs w:val="20"/>
                <w:color w:val="auto"/>
              </w:rPr>
            </w:pPr>
            <w:r>
              <w:rPr>
                <w:rFonts w:ascii="Arial" w:cs="Arial" w:eastAsia="Arial" w:hAnsi="Arial"/>
                <w:sz w:val="11"/>
                <w:szCs w:val="11"/>
                <w:color w:val="auto"/>
              </w:rPr>
              <w:t>2,730</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2,888</w:t>
            </w:r>
          </w:p>
        </w:tc>
        <w:tc>
          <w:tcPr>
            <w:tcW w:w="100" w:type="dxa"/>
            <w:vAlign w:val="bottom"/>
          </w:tcPr>
          <w:p>
            <w:pPr>
              <w:spacing w:after="0"/>
              <w:rPr>
                <w:sz w:val="13"/>
                <w:szCs w:val="13"/>
                <w:color w:val="auto"/>
              </w:rPr>
            </w:pPr>
          </w:p>
        </w:tc>
        <w:tc>
          <w:tcPr>
            <w:tcW w:w="920" w:type="dxa"/>
            <w:vAlign w:val="bottom"/>
          </w:tcPr>
          <w:p>
            <w:pPr>
              <w:jc w:val="right"/>
              <w:ind w:right="784"/>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(158)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Selling, general and administrative (excluding depreciation and amortization)</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455</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458</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784"/>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Research and development (excluding depreciation and amortization)</w:t>
            </w:r>
          </w:p>
        </w:tc>
        <w:tc>
          <w:tcPr>
            <w:tcW w:w="860" w:type="dxa"/>
            <w:vAlign w:val="bottom"/>
          </w:tcPr>
          <w:p>
            <w:pPr>
              <w:spacing w:after="0"/>
              <w:rPr>
                <w:sz w:val="13"/>
                <w:szCs w:val="13"/>
                <w:color w:val="auto"/>
              </w:rPr>
            </w:pPr>
          </w:p>
        </w:tc>
        <w:tc>
          <w:tcPr>
            <w:tcW w:w="440" w:type="dxa"/>
            <w:vAlign w:val="bottom"/>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Depreciation and amortization</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204</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Restructuring and related costs</w:t>
            </w:r>
          </w:p>
        </w:tc>
        <w:tc>
          <w:tcPr>
            <w:tcW w:w="860" w:type="dxa"/>
            <w:vAlign w:val="bottom"/>
          </w:tcPr>
          <w:p>
            <w:pPr>
              <w:spacing w:after="0"/>
              <w:rPr>
                <w:sz w:val="13"/>
                <w:szCs w:val="13"/>
                <w:color w:val="auto"/>
              </w:rPr>
            </w:pPr>
          </w:p>
        </w:tc>
        <w:tc>
          <w:tcPr>
            <w:tcW w:w="440" w:type="dxa"/>
            <w:vAlign w:val="bottom"/>
          </w:tcPr>
          <w:p>
            <w:pPr>
              <w:jc w:val="right"/>
              <w:ind w:right="4"/>
              <w:spacing w:after="0"/>
              <w:rPr>
                <w:sz w:val="20"/>
                <w:szCs w:val="20"/>
                <w:color w:val="auto"/>
              </w:rPr>
            </w:pPr>
            <w:r>
              <w:rPr>
                <w:rFonts w:ascii="Arial" w:cs="Arial" w:eastAsia="Arial" w:hAnsi="Arial"/>
                <w:sz w:val="11"/>
                <w:szCs w:val="11"/>
                <w:color w:val="auto"/>
              </w:rPr>
              <w:t>46</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(26)%</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Interest expense</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75</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Loss on extinguishment of debt</w:t>
            </w:r>
          </w:p>
        </w:tc>
        <w:tc>
          <w:tcPr>
            <w:tcW w:w="860" w:type="dxa"/>
            <w:vAlign w:val="bottom"/>
          </w:tcPr>
          <w:p>
            <w:pPr>
              <w:spacing w:after="0"/>
              <w:rPr>
                <w:sz w:val="13"/>
                <w:szCs w:val="13"/>
                <w:color w:val="auto"/>
              </w:rPr>
            </w:pPr>
          </w:p>
        </w:tc>
        <w:tc>
          <w:tcPr>
            <w:tcW w:w="440" w:type="dxa"/>
            <w:vAlign w:val="bottom"/>
          </w:tcPr>
          <w:p>
            <w:pPr>
              <w:jc w:val="right"/>
              <w:ind w:right="4"/>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Goodwill impairment</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w:t>
            </w: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(Gain) loss on divestitures and transaction costs, net</w:t>
            </w:r>
          </w:p>
        </w:tc>
        <w:tc>
          <w:tcPr>
            <w:tcW w:w="8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(696)</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(706)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Litigation settlements (recoveries), net</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w:t>
            </w:r>
          </w:p>
        </w:tc>
      </w:tr>
      <w:tr>
        <w:trPr>
          <w:trHeight w:val="152"/>
        </w:trPr>
        <w:tc>
          <w:tcPr>
            <w:tcW w:w="20" w:type="dxa"/>
            <w:vAlign w:val="bottom"/>
            <w:tcBorders>
              <w:bottom w:val="single" w:sz="8" w:color="CCEEFF"/>
            </w:tcBorders>
          </w:tcPr>
          <w:p>
            <w:pPr>
              <w:spacing w:after="0"/>
              <w:rPr>
                <w:sz w:val="13"/>
                <w:szCs w:val="13"/>
                <w:color w:val="auto"/>
              </w:rPr>
            </w:pPr>
          </w:p>
        </w:tc>
        <w:tc>
          <w:tcPr>
            <w:tcW w:w="568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Other (income) expenses, net</w:t>
            </w:r>
          </w:p>
        </w:tc>
        <w:tc>
          <w:tcPr>
            <w:tcW w:w="8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333 %</w:t>
            </w:r>
          </w:p>
        </w:tc>
      </w:tr>
      <w:tr>
        <w:trPr>
          <w:trHeight w:val="151"/>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 Operating Costs and Expenses</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2,852</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4,054</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(1,202)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73"/>
        </w:trPr>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156"/>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Income (Loss) Before Income Taxes</w:t>
            </w:r>
          </w:p>
        </w:tc>
        <w:tc>
          <w:tcPr>
            <w:tcW w:w="8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504</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568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Income tax expense (benefit)</w:t>
            </w:r>
          </w:p>
        </w:tc>
        <w:tc>
          <w:tcPr>
            <w:tcW w:w="8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78</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Net Income (Loss)</w:t>
            </w:r>
          </w:p>
        </w:tc>
        <w:tc>
          <w:tcPr>
            <w:tcW w:w="860" w:type="dxa"/>
            <w:vAlign w:val="bottom"/>
            <w:tcBorders>
              <w:bottom w:val="single" w:sz="8" w:color="auto"/>
            </w:tcBorders>
            <w:shd w:val="clear" w:color="auto" w:fill="CCEEFF"/>
          </w:tcPr>
          <w:p>
            <w:pPr>
              <w:jc w:val="right"/>
              <w:ind w:right="747"/>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426</w:t>
            </w: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(296)</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1"/>
                <w:szCs w:val="11"/>
                <w:b w:val="1"/>
                <w:bCs w:val="1"/>
                <w:color w:val="auto"/>
                <w:w w:val="97"/>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722</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w:t>
      </w:r>
    </w:p>
    <w:p>
      <w:pPr>
        <w:spacing w:after="0" w:line="131"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Revenue for 2024 decreased 10%, compared to the prior year, over half of which was due to the impact of the BenefitWallet Portfolio transfer and the sales of the Curbside Management and Public Safety Solutions and Casualty Claims Solutions businesses. In addition to the divestitures impact, lost business across our three segments was partially offset by new business ramp.</w:t>
      </w:r>
    </w:p>
    <w:p>
      <w:pPr>
        <w:spacing w:after="0" w:line="200" w:lineRule="exact"/>
        <w:rPr>
          <w:sz w:val="20"/>
          <w:szCs w:val="20"/>
          <w:color w:val="auto"/>
        </w:rPr>
      </w:pP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5" w:name="page36"/>
    <w:bookmarkEnd w:id="3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Cost of Services (excluding depreciation and amortization)</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Cost of services for 2024 decreased 5%, compared to the prior year, approximately three quarters of which was primarily driven by the impact of the transfer of the BenefitWallet Portfolio and the sales of the Curbside Management and Public Safety Solutions and Casualty Claims Solutions businesses. In addition to the divestitures impact, lower expenses on lower revenues and cost optimizations contributed to the decrease and were partially offset by the absence of a $17 million benefit from reversal of liabilities due to the settlement of the Cognizant matter in the prior year. We expect Cost of services to decline in 2025 as a result of cost actions to be implemented throughout the year.</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Selling, General and Administrative ("SG&amp;A") (excluding depreciation and amortization)</w:t>
      </w:r>
    </w:p>
    <w:p>
      <w:pPr>
        <w:spacing w:after="0" w:line="131" w:lineRule="exact"/>
        <w:rPr>
          <w:sz w:val="20"/>
          <w:szCs w:val="20"/>
          <w:color w:val="auto"/>
        </w:rPr>
      </w:pPr>
    </w:p>
    <w:p>
      <w:pPr>
        <w:jc w:val="both"/>
        <w:ind w:right="160"/>
        <w:spacing w:after="0" w:line="265" w:lineRule="auto"/>
        <w:rPr>
          <w:sz w:val="20"/>
          <w:szCs w:val="20"/>
          <w:color w:val="auto"/>
        </w:rPr>
      </w:pPr>
      <w:r>
        <w:rPr>
          <w:rFonts w:ascii="Arial" w:cs="Arial" w:eastAsia="Arial" w:hAnsi="Arial"/>
          <w:sz w:val="14"/>
          <w:szCs w:val="14"/>
          <w:color w:val="auto"/>
        </w:rPr>
        <w:t>SG&amp;A for 2024 decreased 1%, compared to the prior year, primarily driven by the impact of the sales of the Curbside Management and Public Safety Solutions and Casualty Claims Solutions businesses. Cost efficiencies were partially offset by costs to transition away from a technology vendor. We expect SG&amp;A to decline in 2025 as a result of cost actions to be implemented throughout the year.</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Depreciation and Amortization</w:t>
      </w:r>
    </w:p>
    <w:p>
      <w:pPr>
        <w:spacing w:after="0" w:line="131" w:lineRule="exact"/>
        <w:rPr>
          <w:sz w:val="20"/>
          <w:szCs w:val="20"/>
          <w:color w:val="auto"/>
        </w:rPr>
      </w:pPr>
    </w:p>
    <w:p>
      <w:pPr>
        <w:jc w:val="both"/>
        <w:ind w:right="300"/>
        <w:spacing w:after="0" w:line="265" w:lineRule="auto"/>
        <w:rPr>
          <w:sz w:val="20"/>
          <w:szCs w:val="20"/>
          <w:color w:val="auto"/>
        </w:rPr>
      </w:pPr>
      <w:r>
        <w:rPr>
          <w:rFonts w:ascii="Arial" w:cs="Arial" w:eastAsia="Arial" w:hAnsi="Arial"/>
          <w:sz w:val="14"/>
          <w:szCs w:val="14"/>
          <w:color w:val="auto"/>
        </w:rPr>
        <w:t>Depreciation and amortization for 2024 decreased 23% compared to the prior year. This decrease was primarily driven by the impact of the sales of the Curbside Management and Public Safety Solutions and Casualty Claims Solutions businesses, a prior year write-off of capitalized software costs in our Commercial segment totaling $25 million, older assets becoming fully depreciated and planned lower capital investments in the past few years.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Restructuring and Related Costs</w:t>
      </w:r>
    </w:p>
    <w:p>
      <w:pPr>
        <w:spacing w:after="0" w:line="131" w:lineRule="exact"/>
        <w:rPr>
          <w:sz w:val="20"/>
          <w:szCs w:val="20"/>
          <w:color w:val="auto"/>
        </w:rPr>
      </w:pPr>
    </w:p>
    <w:p>
      <w:pPr>
        <w:ind w:right="420"/>
        <w:spacing w:after="0" w:line="265" w:lineRule="auto"/>
        <w:rPr>
          <w:sz w:val="20"/>
          <w:szCs w:val="20"/>
          <w:color w:val="auto"/>
        </w:rPr>
      </w:pPr>
      <w:r>
        <w:rPr>
          <w:rFonts w:ascii="Arial" w:cs="Arial" w:eastAsia="Arial" w:hAnsi="Arial"/>
          <w:sz w:val="14"/>
          <w:szCs w:val="14"/>
          <w:color w:val="auto"/>
        </w:rPr>
        <w:t>We engage in a series of restructuring programs related to downsizing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1"/>
                <w:szCs w:val="11"/>
                <w:color w:val="auto"/>
              </w:rPr>
              <w:t>Year Ended December 31,</w:t>
            </w:r>
          </w:p>
        </w:tc>
        <w:tc>
          <w:tcPr>
            <w:tcW w:w="11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7600" w:type="dxa"/>
            <w:vAlign w:val="bottom"/>
            <w:gridSpan w:val="2"/>
          </w:tcPr>
          <w:p>
            <w:pPr>
              <w:spacing w:after="0"/>
              <w:rPr>
                <w:sz w:val="20"/>
                <w:szCs w:val="20"/>
                <w:color w:val="auto"/>
              </w:rPr>
            </w:pPr>
            <w:r>
              <w:rPr>
                <w:rFonts w:ascii="Arial" w:cs="Arial" w:eastAsia="Arial" w:hAnsi="Arial"/>
                <w:sz w:val="10"/>
                <w:szCs w:val="10"/>
                <w:color w:val="auto"/>
              </w:rPr>
              <w:t>(in millions, except headcount in whole numbers)</w:t>
            </w:r>
          </w:p>
        </w:tc>
        <w:tc>
          <w:tcPr>
            <w:tcW w:w="420" w:type="dxa"/>
            <w:vAlign w:val="bottom"/>
          </w:tcPr>
          <w:p>
            <w:pPr>
              <w:spacing w:after="0"/>
              <w:rPr>
                <w:sz w:val="10"/>
                <w:szCs w:val="10"/>
                <w:color w:val="auto"/>
              </w:rPr>
            </w:pPr>
          </w:p>
        </w:tc>
        <w:tc>
          <w:tcPr>
            <w:tcW w:w="136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760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Severance and related costs</w:t>
            </w:r>
            <w:r>
              <w:rPr>
                <w:rFonts w:ascii="Arial" w:cs="Arial" w:eastAsia="Arial" w:hAnsi="Arial"/>
                <w:sz w:val="14"/>
                <w:szCs w:val="14"/>
                <w:color w:val="auto"/>
                <w:vertAlign w:val="superscript"/>
              </w:rPr>
              <w:t>(1)</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44"/>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r>
      <w:tr>
        <w:trPr>
          <w:trHeight w:val="152"/>
        </w:trPr>
        <w:tc>
          <w:tcPr>
            <w:tcW w:w="20" w:type="dxa"/>
            <w:vAlign w:val="bottom"/>
          </w:tcPr>
          <w:p>
            <w:pPr>
              <w:spacing w:after="0"/>
              <w:rPr>
                <w:sz w:val="13"/>
                <w:szCs w:val="13"/>
                <w:color w:val="auto"/>
              </w:rPr>
            </w:pPr>
          </w:p>
        </w:tc>
        <w:tc>
          <w:tcPr>
            <w:tcW w:w="7600" w:type="dxa"/>
            <w:vAlign w:val="bottom"/>
            <w:gridSpan w:val="2"/>
          </w:tcPr>
          <w:p>
            <w:pPr>
              <w:spacing w:after="0"/>
              <w:rPr>
                <w:sz w:val="20"/>
                <w:szCs w:val="20"/>
                <w:color w:val="auto"/>
              </w:rPr>
            </w:pPr>
            <w:r>
              <w:rPr>
                <w:rFonts w:ascii="Arial" w:cs="Arial" w:eastAsia="Arial" w:hAnsi="Arial"/>
                <w:sz w:val="11"/>
                <w:szCs w:val="11"/>
                <w:color w:val="auto"/>
              </w:rPr>
              <w:t>Data center consolidation costs</w:t>
            </w: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w:t>
            </w:r>
          </w:p>
        </w:tc>
      </w:tr>
      <w:tr>
        <w:trPr>
          <w:trHeight w:val="160"/>
        </w:trPr>
        <w:tc>
          <w:tcPr>
            <w:tcW w:w="20" w:type="dxa"/>
            <w:vAlign w:val="bottom"/>
            <w:shd w:val="clear" w:color="auto" w:fill="CCEEFF"/>
          </w:tcPr>
          <w:p>
            <w:pPr>
              <w:spacing w:after="0"/>
              <w:rPr>
                <w:sz w:val="13"/>
                <w:szCs w:val="13"/>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Termination, insourcing and asset impairment costs</w:t>
            </w:r>
            <w:r>
              <w:rPr>
                <w:rFonts w:ascii="Arial" w:cs="Arial" w:eastAsia="Arial" w:hAnsi="Arial"/>
                <w:sz w:val="14"/>
                <w:szCs w:val="14"/>
                <w:color w:val="auto"/>
                <w:vertAlign w:val="superscript"/>
              </w:rPr>
              <w:t>(2)</w:t>
            </w:r>
          </w:p>
        </w:tc>
        <w:tc>
          <w:tcPr>
            <w:tcW w:w="42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w:t>
            </w:r>
          </w:p>
        </w:tc>
      </w:tr>
      <w:tr>
        <w:trPr>
          <w:trHeight w:val="146"/>
        </w:trPr>
        <w:tc>
          <w:tcPr>
            <w:tcW w:w="20" w:type="dxa"/>
            <w:vAlign w:val="bottom"/>
          </w:tcPr>
          <w:p>
            <w:pPr>
              <w:spacing w:after="0"/>
              <w:rPr>
                <w:sz w:val="12"/>
                <w:szCs w:val="12"/>
                <w:color w:val="auto"/>
              </w:rPr>
            </w:pPr>
          </w:p>
        </w:tc>
        <w:tc>
          <w:tcPr>
            <w:tcW w:w="7600" w:type="dxa"/>
            <w:vAlign w:val="bottom"/>
            <w:gridSpan w:val="2"/>
          </w:tcPr>
          <w:p>
            <w:pPr>
              <w:spacing w:after="0"/>
              <w:rPr>
                <w:sz w:val="20"/>
                <w:szCs w:val="20"/>
                <w:color w:val="auto"/>
              </w:rPr>
            </w:pPr>
            <w:r>
              <w:rPr>
                <w:rFonts w:ascii="Arial" w:cs="Arial" w:eastAsia="Arial" w:hAnsi="Arial"/>
                <w:sz w:val="11"/>
                <w:szCs w:val="11"/>
                <w:b w:val="1"/>
                <w:bCs w:val="1"/>
                <w:color w:val="auto"/>
              </w:rPr>
              <w:t>Total Net Current Period Charges</w:t>
            </w:r>
          </w:p>
        </w:tc>
        <w:tc>
          <w:tcPr>
            <w:tcW w:w="4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62</w:t>
            </w:r>
          </w:p>
        </w:tc>
      </w:tr>
      <w:tr>
        <w:trPr>
          <w:trHeight w:val="153"/>
        </w:trPr>
        <w:tc>
          <w:tcPr>
            <w:tcW w:w="20" w:type="dxa"/>
            <w:vAlign w:val="bottom"/>
            <w:shd w:val="clear" w:color="auto" w:fill="CCEEFF"/>
          </w:tcPr>
          <w:p>
            <w:pPr>
              <w:spacing w:after="0"/>
              <w:rPr>
                <w:sz w:val="13"/>
                <w:szCs w:val="13"/>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Consulting and other costs</w:t>
            </w:r>
          </w:p>
        </w:tc>
        <w:tc>
          <w:tcPr>
            <w:tcW w:w="42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1"/>
        </w:trPr>
        <w:tc>
          <w:tcPr>
            <w:tcW w:w="20" w:type="dxa"/>
            <w:vAlign w:val="bottom"/>
          </w:tcPr>
          <w:p>
            <w:pPr>
              <w:spacing w:after="0"/>
              <w:rPr>
                <w:sz w:val="13"/>
                <w:szCs w:val="13"/>
                <w:color w:val="auto"/>
              </w:rPr>
            </w:pPr>
          </w:p>
        </w:tc>
        <w:tc>
          <w:tcPr>
            <w:tcW w:w="7600" w:type="dxa"/>
            <w:vAlign w:val="bottom"/>
            <w:gridSpan w:val="2"/>
          </w:tcPr>
          <w:p>
            <w:pPr>
              <w:spacing w:after="0"/>
              <w:rPr>
                <w:sz w:val="20"/>
                <w:szCs w:val="20"/>
                <w:color w:val="auto"/>
              </w:rPr>
            </w:pPr>
            <w:r>
              <w:rPr>
                <w:rFonts w:ascii="Arial" w:cs="Arial" w:eastAsia="Arial" w:hAnsi="Arial"/>
                <w:sz w:val="11"/>
                <w:szCs w:val="11"/>
                <w:b w:val="1"/>
                <w:bCs w:val="1"/>
                <w:color w:val="auto"/>
              </w:rPr>
              <w:t>Restructuring and Related Costs</w:t>
            </w:r>
          </w:p>
        </w:tc>
        <w:tc>
          <w:tcPr>
            <w:tcW w:w="4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54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760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Reduction in headcount</w:t>
            </w:r>
            <w:r>
              <w:rPr>
                <w:rFonts w:ascii="Arial" w:cs="Arial" w:eastAsia="Arial" w:hAnsi="Arial"/>
                <w:sz w:val="14"/>
                <w:szCs w:val="14"/>
                <w:color w:val="auto"/>
                <w:vertAlign w:val="superscript"/>
              </w:rPr>
              <w:t>(3)</w:t>
            </w:r>
          </w:p>
        </w:tc>
        <w:tc>
          <w:tcPr>
            <w:tcW w:w="42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600</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w:t>
            </w:r>
          </w:p>
        </w:tc>
      </w:tr>
      <w:tr>
        <w:trPr>
          <w:trHeight w:val="211"/>
        </w:trPr>
        <w:tc>
          <w:tcPr>
            <w:tcW w:w="2120" w:type="dxa"/>
            <w:vAlign w:val="bottom"/>
            <w:gridSpan w:val="2"/>
          </w:tcPr>
          <w:p>
            <w:pPr>
              <w:jc w:val="right"/>
              <w:ind w:right="1445"/>
              <w:spacing w:after="0"/>
              <w:rPr>
                <w:sz w:val="20"/>
                <w:szCs w:val="20"/>
                <w:color w:val="auto"/>
              </w:rPr>
            </w:pPr>
            <w:r>
              <w:rPr>
                <w:rFonts w:ascii="Arial" w:cs="Arial" w:eastAsia="Arial" w:hAnsi="Arial"/>
                <w:sz w:val="11"/>
                <w:szCs w:val="11"/>
                <w:color w:val="auto"/>
                <w:w w:val="98"/>
              </w:rPr>
              <w:t>__________</w:t>
            </w:r>
          </w:p>
        </w:tc>
        <w:tc>
          <w:tcPr>
            <w:tcW w:w="5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68" w:lineRule="exact"/>
        <w:rPr>
          <w:sz w:val="20"/>
          <w:szCs w:val="20"/>
          <w:color w:val="auto"/>
        </w:rPr>
      </w:pPr>
    </w:p>
    <w:p>
      <w:pPr>
        <w:ind w:left="240" w:hanging="237"/>
        <w:spacing w:after="0"/>
        <w:tabs>
          <w:tab w:leader="none" w:pos="240" w:val="left"/>
        </w:tabs>
        <w:numPr>
          <w:ilvl w:val="0"/>
          <w:numId w:val="27"/>
        </w:numPr>
        <w:rPr>
          <w:rFonts w:ascii="Arial" w:cs="Arial" w:eastAsia="Arial" w:hAnsi="Arial"/>
          <w:sz w:val="11"/>
          <w:szCs w:val="11"/>
          <w:i w:val="1"/>
          <w:iCs w:val="1"/>
          <w:color w:val="auto"/>
        </w:rPr>
      </w:pPr>
      <w:r>
        <w:rPr>
          <w:rFonts w:ascii="Arial" w:cs="Arial" w:eastAsia="Arial" w:hAnsi="Arial"/>
          <w:sz w:val="11"/>
          <w:szCs w:val="11"/>
          <w:i w:val="1"/>
          <w:iCs w:val="1"/>
          <w:color w:val="auto"/>
        </w:rPr>
        <w:t>2023 includes costs related to the closure of one of our Commercial segment operations in Europe.</w:t>
      </w:r>
    </w:p>
    <w:p>
      <w:pPr>
        <w:spacing w:after="0" w:line="18" w:lineRule="exact"/>
        <w:rPr>
          <w:rFonts w:ascii="Arial" w:cs="Arial" w:eastAsia="Arial" w:hAnsi="Arial"/>
          <w:sz w:val="11"/>
          <w:szCs w:val="11"/>
          <w:i w:val="1"/>
          <w:iCs w:val="1"/>
          <w:color w:val="auto"/>
        </w:rPr>
      </w:pPr>
    </w:p>
    <w:p>
      <w:pPr>
        <w:ind w:left="240" w:hanging="237"/>
        <w:spacing w:after="0"/>
        <w:tabs>
          <w:tab w:leader="none" w:pos="240" w:val="left"/>
        </w:tabs>
        <w:numPr>
          <w:ilvl w:val="0"/>
          <w:numId w:val="27"/>
        </w:numPr>
        <w:rPr>
          <w:rFonts w:ascii="Arial" w:cs="Arial" w:eastAsia="Arial" w:hAnsi="Arial"/>
          <w:sz w:val="11"/>
          <w:szCs w:val="11"/>
          <w:i w:val="1"/>
          <w:iCs w:val="1"/>
          <w:color w:val="auto"/>
        </w:rPr>
      </w:pPr>
      <w:r>
        <w:rPr>
          <w:rFonts w:ascii="Arial" w:cs="Arial" w:eastAsia="Arial" w:hAnsi="Arial"/>
          <w:sz w:val="11"/>
          <w:szCs w:val="11"/>
          <w:i w:val="1"/>
          <w:iCs w:val="1"/>
          <w:color w:val="auto"/>
        </w:rPr>
        <w:t>Includes costs in 2024 and 2023 incurred for disengagement from a significant IT outsourcing provider.</w:t>
      </w:r>
    </w:p>
    <w:p>
      <w:pPr>
        <w:ind w:left="240" w:hanging="237"/>
        <w:spacing w:after="0"/>
        <w:tabs>
          <w:tab w:leader="none" w:pos="240" w:val="left"/>
        </w:tabs>
        <w:numPr>
          <w:ilvl w:val="0"/>
          <w:numId w:val="27"/>
        </w:numPr>
        <w:rPr>
          <w:rFonts w:ascii="Arial" w:cs="Arial" w:eastAsia="Arial" w:hAnsi="Arial"/>
          <w:sz w:val="11"/>
          <w:szCs w:val="11"/>
          <w:i w:val="1"/>
          <w:iCs w:val="1"/>
          <w:color w:val="auto"/>
        </w:rPr>
      </w:pPr>
      <w:r>
        <w:rPr>
          <w:rFonts w:ascii="Arial" w:cs="Arial" w:eastAsia="Arial" w:hAnsi="Arial"/>
          <w:sz w:val="11"/>
          <w:szCs w:val="11"/>
          <w:i w:val="1"/>
          <w:iCs w:val="1"/>
          <w:color w:val="auto"/>
        </w:rPr>
        <w:t>Relates to approximate headcount reductions worldwide associated with Severance and related costs.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Refer to Note 8 – Restructuring Programs and Related Costs to the Consolidated Financial Statements for additional information regarding our restructuring programs.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 Expense</w:t>
      </w:r>
    </w:p>
    <w:p>
      <w:pPr>
        <w:spacing w:after="0" w:line="131"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Interest expense represents interest on long-term debt and the amortization of debt issuance costs. The decrease in Interest expense for 2024, compared to the prior year, was driven primarily by lower debt balances as we utilized proceeds from divestitures closed in 2024 to voluntarily prepay all of our Term Loan B and a portion of our Term Loan A. Refer to Note 10 – Debt to the Consolidated Financial Statements for additional information.</w:t>
      </w:r>
    </w:p>
    <w:p>
      <w:pPr>
        <w:spacing w:after="0" w:line="200" w:lineRule="exact"/>
        <w:rPr>
          <w:sz w:val="20"/>
          <w:szCs w:val="20"/>
          <w:color w:val="auto"/>
        </w:rPr>
      </w:pPr>
    </w:p>
    <w:p>
      <w:pPr>
        <w:spacing w:after="0" w:line="24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6" w:name="page37"/>
    <w:bookmarkEnd w:id="3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 Impairment</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goodwill impairment for 2024 is related to the write-down of the Transportation reporting unit's goodwill arising from the annual goodwill impairment test. The impairment in 2023 is related to the write-down of the carrying value of the Commercial reporting unit. This resulted from the evaluation of goodwill triggered by entering into the Custodial Transfer and Asset Purchase Agreement to transfer our BenefitWallet Portfolio. Refer to Note 7 – Goodwill and Intangible Assets, Net to the Consolidated Financial Statements for additional information on these impairments.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(Gain) Loss on Divestitures and Transaction Costs</w:t>
      </w:r>
    </w:p>
    <w:p>
      <w:pPr>
        <w:spacing w:after="0" w:line="131" w:lineRule="exact"/>
        <w:rPr>
          <w:sz w:val="20"/>
          <w:szCs w:val="20"/>
          <w:color w:val="auto"/>
        </w:rPr>
      </w:pPr>
    </w:p>
    <w:p>
      <w:pPr>
        <w:ind w:right="200"/>
        <w:spacing w:after="0" w:line="256" w:lineRule="auto"/>
        <w:rPr>
          <w:sz w:val="20"/>
          <w:szCs w:val="20"/>
          <w:color w:val="auto"/>
        </w:rPr>
      </w:pPr>
      <w:r>
        <w:rPr>
          <w:rFonts w:ascii="Arial" w:cs="Arial" w:eastAsia="Arial" w:hAnsi="Arial"/>
          <w:sz w:val="14"/>
          <w:szCs w:val="14"/>
          <w:color w:val="auto"/>
        </w:rPr>
        <w:t>Our 2024 divestitures resulted in gains of $721 million. Additionally, we recorded a $3 million gain adjustment related to a prior year divestiture following the partial settlement of the Skyview matter. This financial statement line also includes professional fees and other costs associated with both consummated and non-consummated transactions totaling $30 million and $10 million in 2024 and 2023, respectively. The 2024 amount also includes a $ 2 million reimbursement of previously incurred legal fees related to the partial settlement of the Skyview matter. Refer to Note 4 – Divestitures and Assets/Liabilities Held for Sale and Note 15 – Contingencies and Litigation to the Consolidated Financial Statements for additional information on these matters.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Litigation Settlements (Recoveries), Net</w:t>
      </w:r>
    </w:p>
    <w:p>
      <w:pPr>
        <w:spacing w:after="0" w:line="13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Litigation settlements (recoveries), net for 2023 primarily consisted of a $26 million reversal of reserves due to the settlement of the Cognizant matter and an $8 million reversal of reserves related to our former student loan business. There were no individually significant items in 2024. Refer to Note 15 – Contingencies and Litigation to the Consolidated Financial Statements for additional information on these matters.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(Income) Expenses, Net</w:t>
      </w:r>
    </w:p>
    <w:p>
      <w:pPr>
        <w:spacing w:after="0" w:line="131"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Other (income) expenses, net for 2024 and 2023 primarily includes interest income on cash investments, accounts receivable factoring fees and foreign currency transaction losses (gains). The increase in 2024 is primarily due to interest income of $8 million related to the partial settlement of the Skyview matter. Refer to Note 15 – Contingencies and Litigation in the Consolidated Financial Statements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131"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In the fourth quarter of 2024, we implemented an internal reorganization in which we sold a portion of our top tier foreign holding company to a lower tier subsidiary. This transaction and a subsequent tax election to treat the holding company as a partnership resulted in recognition of a built-in capital loss for tax purposes that offset capital gains from divestitures resulting in net tax savings of $ 59 million. The determination of the tax characteristic of this transaction requires management to make judgments about the application of tax laws and regulations. The United States Internal Revenue Service could determine a different tax treatment that would have an adverse impact on the Company. However, the Company has obtained advice from its third-party advisor concluding that the current tax treatment should prevail on its merits.</w:t>
      </w:r>
    </w:p>
    <w:p>
      <w:pPr>
        <w:spacing w:after="0" w:line="10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2024 effective tax rate was 15.5%, compared to 10.7% for 2023. The 2024 rate was lower than the U.S. statutory rate of 21% due to favorable permanent adjustments from the internal reorganization and outside basis on a stock sale partially offset by the non-deductible Transportation reporting unit goodwill impairment, tax reserves and geographic mix of income. The 2023 rate was lower than the U.S. statutory rate of 21%, primarily due to the non-deductible Commercial reporting unit goodwill impairment, geographic mix of income and return to provision adjustments, partially offset by tax benefits related to tax settlements and reversal of reserves.</w:t>
      </w:r>
    </w:p>
    <w:p>
      <w:pPr>
        <w:spacing w:after="0" w:line="9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Excluding the impact of the internal reorganization, divestitures, goodwill impairment, amortization of intangible assets, restructuring costs and certain discrete tax items, the normalized effective tax rate for 2024 was 21.2%. The 2023 rate was 107.3% excluding the impact of goodwill impairment, amortization of intangible assets, restructuring, litigation reserve releases and certain discrete tax items. The rate was anomalous due to small adjusted pre-tax loss and tax which is a result of geographic mix of income and valuation allowances against losses in certain jurisdictions resulting in no tax benefit.</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7" w:name="page38"/>
    <w:bookmarkEnd w:id="3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360"/>
        <w:spacing w:after="0" w:line="265" w:lineRule="auto"/>
        <w:rPr>
          <w:sz w:val="20"/>
          <w:szCs w:val="20"/>
          <w:color w:val="auto"/>
        </w:rPr>
      </w:pPr>
      <w:r>
        <w:rPr>
          <w:rFonts w:ascii="Arial" w:cs="Arial" w:eastAsia="Arial" w:hAnsi="Arial"/>
          <w:sz w:val="14"/>
          <w:szCs w:val="14"/>
          <w:color w:val="auto"/>
        </w:rPr>
        <w:t>In 2021, the Organization for Economic Cooperation and Development released model rules for a 15% global minimum tax, known as Pillar Two. This alternative minimum tax is treated as a period cost beginning in 2024 and does not have a material impact on the Company's financial results of operations for the current period. The Company continues to monitor legislative developments, as well as additional guidance from countries that have enacted legislation.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Operations Review of Segments</w:t>
      </w:r>
    </w:p>
    <w:p>
      <w:pPr>
        <w:spacing w:after="0" w:line="131" w:lineRule="exact"/>
        <w:rPr>
          <w:sz w:val="20"/>
          <w:szCs w:val="20"/>
          <w:color w:val="auto"/>
        </w:rPr>
      </w:pPr>
    </w:p>
    <w:p>
      <w:pPr>
        <w:ind w:right="460"/>
        <w:spacing w:after="0" w:line="282" w:lineRule="auto"/>
        <w:rPr>
          <w:sz w:val="20"/>
          <w:szCs w:val="20"/>
          <w:color w:val="auto"/>
        </w:rPr>
      </w:pPr>
      <w:r>
        <w:rPr>
          <w:rFonts w:ascii="Arial" w:cs="Arial" w:eastAsia="Arial" w:hAnsi="Arial"/>
          <w:sz w:val="14"/>
          <w:szCs w:val="14"/>
          <w:color w:val="auto"/>
        </w:rPr>
        <w:t>Our financial performance is based on Segment Profit (Loss) and Segment Adjusted Earnings before Interest, Taxes, Depreciation and Amortization ("Adjusted EBITDA") for the following three segments:</w:t>
      </w:r>
    </w:p>
    <w:p>
      <w:pPr>
        <w:spacing w:after="0" w:line="80" w:lineRule="exact"/>
        <w:rPr>
          <w:sz w:val="20"/>
          <w:szCs w:val="20"/>
          <w:color w:val="auto"/>
        </w:rPr>
      </w:pPr>
    </w:p>
    <w:p>
      <w:pPr>
        <w:ind w:left="240" w:hanging="237"/>
        <w:spacing w:after="0"/>
        <w:tabs>
          <w:tab w:leader="none" w:pos="2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Commercial,</w:t>
      </w:r>
    </w:p>
    <w:p>
      <w:pPr>
        <w:spacing w:after="0" w:line="19" w:lineRule="exact"/>
        <w:rPr>
          <w:rFonts w:ascii="Arial" w:cs="Arial" w:eastAsia="Arial" w:hAnsi="Arial"/>
          <w:sz w:val="14"/>
          <w:szCs w:val="14"/>
          <w:color w:val="auto"/>
        </w:rPr>
      </w:pPr>
    </w:p>
    <w:p>
      <w:pPr>
        <w:ind w:left="240" w:hanging="237"/>
        <w:spacing w:after="0"/>
        <w:tabs>
          <w:tab w:leader="none" w:pos="2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Government, and</w:t>
      </w:r>
    </w:p>
    <w:p>
      <w:pPr>
        <w:spacing w:after="0" w:line="5" w:lineRule="exact"/>
        <w:rPr>
          <w:rFonts w:ascii="Arial" w:cs="Arial" w:eastAsia="Arial" w:hAnsi="Arial"/>
          <w:sz w:val="14"/>
          <w:szCs w:val="14"/>
          <w:color w:val="auto"/>
        </w:rPr>
      </w:pPr>
    </w:p>
    <w:p>
      <w:pPr>
        <w:ind w:left="240" w:hanging="237"/>
        <w:spacing w:after="0"/>
        <w:tabs>
          <w:tab w:leader="none" w:pos="240" w:val="left"/>
        </w:tabs>
        <w:numPr>
          <w:ilvl w:val="0"/>
          <w:numId w:val="28"/>
        </w:numPr>
        <w:rPr>
          <w:rFonts w:ascii="Times New Roman" w:cs="Times New Roman" w:eastAsia="Times New Roman" w:hAnsi="Times New Roman"/>
          <w:sz w:val="14"/>
          <w:szCs w:val="14"/>
          <w:color w:val="auto"/>
        </w:rPr>
      </w:pPr>
      <w:r>
        <w:rPr>
          <w:rFonts w:ascii="Arial" w:cs="Arial" w:eastAsia="Arial" w:hAnsi="Arial"/>
          <w:sz w:val="14"/>
          <w:szCs w:val="14"/>
          <w:color w:val="auto"/>
        </w:rPr>
        <w:t>Transportation.</w:t>
      </w:r>
    </w:p>
    <w:p>
      <w:pPr>
        <w:spacing w:after="0" w:line="116"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Divestitures include our BenefitWallet Portfolio and our Casualty Claims Solutions businesses (both of which were reclassified from our Commercial segment) and our Curbside Management and Public Safety Solutions businesses (which was reclassified from our Transportation segment). For the year ended December 31, 2022, Divestitures also includes our Midas business, which was sold in the first quarter of 2022.</w:t>
      </w:r>
    </w:p>
    <w:p>
      <w:pPr>
        <w:spacing w:after="0" w:line="92"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80"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section below provides a comparative discussion of our financial performance by segment between the years ended December 31, 2024 and 2023. The comparative discussion of our financial performance by segment between the years ended December 31, 2023 and 2022 is also included to reflect the impact of reclassifying divested businesses from our Commercial and Transportation segments as described above.</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8" w:name="page39"/>
    <w:bookmarkEnd w:id="3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Segment Performance Review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304"/>
              <w:spacing w:after="0"/>
              <w:rPr>
                <w:sz w:val="20"/>
                <w:szCs w:val="20"/>
                <w:color w:val="auto"/>
              </w:rPr>
            </w:pPr>
            <w:r>
              <w:rPr>
                <w:rFonts w:ascii="Arial" w:cs="Arial" w:eastAsia="Arial" w:hAnsi="Arial"/>
                <w:sz w:val="11"/>
                <w:szCs w:val="11"/>
                <w:color w:val="auto"/>
              </w:rPr>
              <w:t>Commercial</w:t>
            </w:r>
          </w:p>
        </w:tc>
        <w:tc>
          <w:tcPr>
            <w:tcW w:w="160" w:type="dxa"/>
            <w:vAlign w:val="bottom"/>
          </w:tcPr>
          <w:p>
            <w:pPr>
              <w:spacing w:after="0"/>
              <w:rPr>
                <w:sz w:val="12"/>
                <w:szCs w:val="12"/>
                <w:color w:val="auto"/>
              </w:rPr>
            </w:pPr>
          </w:p>
        </w:tc>
        <w:tc>
          <w:tcPr>
            <w:tcW w:w="1160" w:type="dxa"/>
            <w:vAlign w:val="bottom"/>
          </w:tcPr>
          <w:p>
            <w:pPr>
              <w:jc w:val="right"/>
              <w:ind w:right="304"/>
              <w:spacing w:after="0"/>
              <w:rPr>
                <w:sz w:val="20"/>
                <w:szCs w:val="20"/>
                <w:color w:val="auto"/>
              </w:rPr>
            </w:pPr>
            <w:r>
              <w:rPr>
                <w:rFonts w:ascii="Arial" w:cs="Arial" w:eastAsia="Arial" w:hAnsi="Arial"/>
                <w:sz w:val="11"/>
                <w:szCs w:val="11"/>
                <w:color w:val="auto"/>
              </w:rPr>
              <w:t>Government</w:t>
            </w:r>
          </w:p>
        </w:tc>
        <w:tc>
          <w:tcPr>
            <w:tcW w:w="240" w:type="dxa"/>
            <w:vAlign w:val="bottom"/>
          </w:tcPr>
          <w:p>
            <w:pPr>
              <w:spacing w:after="0"/>
              <w:rPr>
                <w:sz w:val="12"/>
                <w:szCs w:val="12"/>
                <w:color w:val="auto"/>
              </w:rPr>
            </w:pPr>
          </w:p>
        </w:tc>
        <w:tc>
          <w:tcPr>
            <w:tcW w:w="1160" w:type="dxa"/>
            <w:vAlign w:val="bottom"/>
          </w:tcPr>
          <w:p>
            <w:pPr>
              <w:jc w:val="right"/>
              <w:ind w:right="284"/>
              <w:spacing w:after="0"/>
              <w:rPr>
                <w:sz w:val="20"/>
                <w:szCs w:val="20"/>
                <w:color w:val="auto"/>
              </w:rPr>
            </w:pPr>
            <w:r>
              <w:rPr>
                <w:rFonts w:ascii="Arial" w:cs="Arial" w:eastAsia="Arial" w:hAnsi="Arial"/>
                <w:sz w:val="11"/>
                <w:szCs w:val="11"/>
                <w:color w:val="auto"/>
              </w:rPr>
              <w:t>Transportation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284"/>
              <w:spacing w:after="0"/>
              <w:rPr>
                <w:sz w:val="20"/>
                <w:szCs w:val="20"/>
                <w:color w:val="auto"/>
              </w:rPr>
            </w:pPr>
            <w:r>
              <w:rPr>
                <w:rFonts w:ascii="Arial" w:cs="Arial" w:eastAsia="Arial" w:hAnsi="Arial"/>
                <w:sz w:val="11"/>
                <w:szCs w:val="11"/>
                <w:color w:val="auto"/>
              </w:rPr>
              <w:t>Divestitures</w:t>
            </w:r>
          </w:p>
        </w:tc>
        <w:tc>
          <w:tcPr>
            <w:tcW w:w="160" w:type="dxa"/>
            <w:vAlign w:val="bottom"/>
          </w:tcPr>
          <w:p>
            <w:pPr>
              <w:spacing w:after="0"/>
              <w:rPr>
                <w:sz w:val="12"/>
                <w:szCs w:val="12"/>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color w:val="auto"/>
              </w:rPr>
              <w:t>Unallocated Costs</w:t>
            </w:r>
          </w:p>
        </w:tc>
        <w:tc>
          <w:tcPr>
            <w:tcW w:w="280" w:type="dxa"/>
            <w:vAlign w:val="bottom"/>
          </w:tcPr>
          <w:p>
            <w:pPr>
              <w:spacing w:after="0"/>
              <w:rPr>
                <w:sz w:val="12"/>
                <w:szCs w:val="12"/>
                <w:color w:val="auto"/>
              </w:rPr>
            </w:pPr>
          </w:p>
        </w:tc>
        <w:tc>
          <w:tcPr>
            <w:tcW w:w="880" w:type="dxa"/>
            <w:vAlign w:val="bottom"/>
          </w:tcPr>
          <w:p>
            <w:pPr>
              <w:jc w:val="right"/>
              <w:ind w:right="404"/>
              <w:spacing w:after="0"/>
              <w:rPr>
                <w:sz w:val="20"/>
                <w:szCs w:val="20"/>
                <w:color w:val="auto"/>
              </w:rPr>
            </w:pPr>
            <w:r>
              <w:rPr>
                <w:rFonts w:ascii="Arial" w:cs="Arial" w:eastAsia="Arial" w:hAnsi="Arial"/>
                <w:sz w:val="11"/>
                <w:szCs w:val="11"/>
                <w:color w:val="auto"/>
              </w:rPr>
              <w:t>Total</w:t>
            </w:r>
          </w:p>
        </w:tc>
      </w:tr>
      <w:tr>
        <w:trPr>
          <w:trHeight w:val="147"/>
        </w:trPr>
        <w:tc>
          <w:tcPr>
            <w:tcW w:w="33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(in millions)</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Reportable Segments</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r>
      <w:tr>
        <w:trPr>
          <w:trHeight w:val="150"/>
        </w:trPr>
        <w:tc>
          <w:tcPr>
            <w:tcW w:w="346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 Ended Dec 31, 2024</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Revenue</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1,606</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984</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586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180</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3,356</w:t>
            </w:r>
          </w:p>
        </w:tc>
      </w:tr>
      <w:tr>
        <w:trPr>
          <w:trHeight w:val="152"/>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Segment profit (Loss)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77</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144"/>
              <w:spacing w:after="0"/>
              <w:rPr>
                <w:sz w:val="20"/>
                <w:szCs w:val="20"/>
                <w:color w:val="auto"/>
              </w:rPr>
            </w:pPr>
            <w:r>
              <w:rPr>
                <w:rFonts w:ascii="Arial" w:cs="Arial" w:eastAsia="Arial" w:hAnsi="Arial"/>
                <w:sz w:val="11"/>
                <w:szCs w:val="11"/>
                <w:color w:val="auto"/>
              </w:rPr>
              <w:t>166</w:t>
            </w:r>
          </w:p>
        </w:tc>
        <w:tc>
          <w:tcPr>
            <w:tcW w:w="2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64"/>
              <w:spacing w:after="0"/>
              <w:rPr>
                <w:sz w:val="20"/>
                <w:szCs w:val="20"/>
                <w:color w:val="auto"/>
              </w:rPr>
            </w:pPr>
            <w:r>
              <w:rPr>
                <w:rFonts w:ascii="Arial" w:cs="Arial" w:eastAsia="Arial" w:hAnsi="Arial"/>
                <w:sz w:val="11"/>
                <w:szCs w:val="11"/>
                <w:color w:val="auto"/>
              </w:rPr>
              <w:t>(25)</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144"/>
              <w:spacing w:after="0"/>
              <w:rPr>
                <w:sz w:val="20"/>
                <w:szCs w:val="20"/>
                <w:color w:val="auto"/>
              </w:rPr>
            </w:pPr>
            <w:r>
              <w:rPr>
                <w:rFonts w:ascii="Arial" w:cs="Arial" w:eastAsia="Arial" w:hAnsi="Arial"/>
                <w:sz w:val="11"/>
                <w:szCs w:val="11"/>
                <w:color w:val="auto"/>
              </w:rPr>
              <w:t>35</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4"/>
              <w:spacing w:after="0"/>
              <w:rPr>
                <w:sz w:val="20"/>
                <w:szCs w:val="20"/>
                <w:color w:val="auto"/>
              </w:rPr>
            </w:pPr>
            <w:r>
              <w:rPr>
                <w:rFonts w:ascii="Arial" w:cs="Arial" w:eastAsia="Arial" w:hAnsi="Arial"/>
                <w:sz w:val="11"/>
                <w:szCs w:val="11"/>
                <w:color w:val="auto"/>
              </w:rPr>
              <w:t>(287)</w:t>
            </w:r>
          </w:p>
        </w:tc>
        <w:tc>
          <w:tcPr>
            <w:tcW w:w="8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(34)</w:t>
            </w:r>
          </w:p>
        </w:tc>
      </w:tr>
      <w:tr>
        <w:trPr>
          <w:trHeight w:val="16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Segment depreciation and amortization</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92</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44</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25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202</w:t>
            </w:r>
          </w:p>
        </w:tc>
      </w:tr>
      <w:tr>
        <w:trPr>
          <w:trHeight w:val="156"/>
        </w:trPr>
        <w:tc>
          <w:tcPr>
            <w:tcW w:w="3460" w:type="dxa"/>
            <w:vAlign w:val="bottom"/>
            <w:gridSpan w:val="2"/>
          </w:tcPr>
          <w:p>
            <w:pPr>
              <w:ind w:left="20"/>
              <w:spacing w:after="0" w:line="156" w:lineRule="exact"/>
              <w:rPr>
                <w:sz w:val="20"/>
                <w:szCs w:val="20"/>
                <w:color w:val="auto"/>
              </w:rPr>
            </w:pPr>
            <w:r>
              <w:rPr>
                <w:rFonts w:ascii="Arial" w:cs="Arial" w:eastAsia="Arial" w:hAnsi="Arial"/>
                <w:sz w:val="11"/>
                <w:szCs w:val="11"/>
                <w:color w:val="auto"/>
              </w:rPr>
              <w:t>Adjusted EBITDA</w:t>
            </w:r>
            <w:r>
              <w:rPr>
                <w:rFonts w:ascii="Arial" w:cs="Arial" w:eastAsia="Arial" w:hAnsi="Arial"/>
                <w:sz w:val="14"/>
                <w:szCs w:val="14"/>
                <w:color w:val="auto"/>
                <w:vertAlign w:val="superscript"/>
              </w:rPr>
              <w:t>(1)</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169</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144"/>
              <w:spacing w:after="0"/>
              <w:rPr>
                <w:sz w:val="20"/>
                <w:szCs w:val="20"/>
                <w:color w:val="auto"/>
              </w:rPr>
            </w:pPr>
            <w:r>
              <w:rPr>
                <w:rFonts w:ascii="Arial" w:cs="Arial" w:eastAsia="Arial" w:hAnsi="Arial"/>
                <w:sz w:val="11"/>
                <w:szCs w:val="11"/>
                <w:color w:val="auto"/>
              </w:rPr>
              <w:t>210</w:t>
            </w:r>
          </w:p>
        </w:tc>
        <w:tc>
          <w:tcPr>
            <w:tcW w:w="2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104"/>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144"/>
              <w:spacing w:after="0"/>
              <w:rPr>
                <w:sz w:val="20"/>
                <w:szCs w:val="20"/>
                <w:color w:val="auto"/>
              </w:rPr>
            </w:pPr>
            <w:r>
              <w:rPr>
                <w:rFonts w:ascii="Arial" w:cs="Arial" w:eastAsia="Arial" w:hAnsi="Arial"/>
                <w:sz w:val="11"/>
                <w:szCs w:val="11"/>
                <w:color w:val="auto"/>
              </w:rPr>
              <w:t>48</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4"/>
              <w:spacing w:after="0"/>
              <w:rPr>
                <w:sz w:val="20"/>
                <w:szCs w:val="20"/>
                <w:color w:val="auto"/>
              </w:rPr>
            </w:pPr>
            <w:r>
              <w:rPr>
                <w:rFonts w:ascii="Arial" w:cs="Arial" w:eastAsia="Arial" w:hAnsi="Arial"/>
                <w:sz w:val="11"/>
                <w:szCs w:val="11"/>
                <w:color w:val="auto"/>
              </w:rPr>
              <w:t>(255)</w:t>
            </w:r>
          </w:p>
        </w:tc>
        <w:tc>
          <w:tcPr>
            <w:tcW w:w="8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4"/>
              <w:spacing w:after="0"/>
              <w:rPr>
                <w:sz w:val="20"/>
                <w:szCs w:val="20"/>
                <w:color w:val="auto"/>
              </w:rPr>
            </w:pPr>
            <w:r>
              <w:rPr>
                <w:rFonts w:ascii="Arial" w:cs="Arial" w:eastAsia="Arial" w:hAnsi="Arial"/>
                <w:sz w:val="11"/>
                <w:szCs w:val="11"/>
                <w:color w:val="auto"/>
              </w:rPr>
              <w:t>172</w:t>
            </w:r>
          </w:p>
        </w:tc>
      </w:tr>
      <w:tr>
        <w:trPr>
          <w:trHeight w:val="125"/>
        </w:trPr>
        <w:tc>
          <w:tcPr>
            <w:tcW w:w="3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52"/>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 of Total Revenue</w:t>
            </w:r>
          </w:p>
        </w:tc>
        <w:tc>
          <w:tcPr>
            <w:tcW w:w="180" w:type="dxa"/>
            <w:vAlign w:val="bottom"/>
          </w:tcPr>
          <w:p>
            <w:pPr>
              <w:spacing w:after="0"/>
              <w:rPr>
                <w:sz w:val="13"/>
                <w:szCs w:val="13"/>
                <w:color w:val="auto"/>
              </w:rPr>
            </w:pPr>
          </w:p>
        </w:tc>
        <w:tc>
          <w:tcPr>
            <w:tcW w:w="1080" w:type="dxa"/>
            <w:vAlign w:val="bottom"/>
          </w:tcPr>
          <w:p>
            <w:pPr>
              <w:jc w:val="right"/>
              <w:ind w:right="4"/>
              <w:spacing w:after="0"/>
              <w:rPr>
                <w:sz w:val="20"/>
                <w:szCs w:val="20"/>
                <w:color w:val="auto"/>
              </w:rPr>
            </w:pPr>
            <w:r>
              <w:rPr>
                <w:rFonts w:ascii="Arial" w:cs="Arial" w:eastAsia="Arial" w:hAnsi="Arial"/>
                <w:sz w:val="11"/>
                <w:szCs w:val="11"/>
                <w:color w:val="auto"/>
              </w:rPr>
              <w:t>47.9 %</w:t>
            </w:r>
          </w:p>
        </w:tc>
        <w:tc>
          <w:tcPr>
            <w:tcW w:w="160" w:type="dxa"/>
            <w:vAlign w:val="bottom"/>
          </w:tcPr>
          <w:p>
            <w:pPr>
              <w:spacing w:after="0"/>
              <w:rPr>
                <w:sz w:val="13"/>
                <w:szCs w:val="13"/>
                <w:color w:val="auto"/>
              </w:rPr>
            </w:pPr>
          </w:p>
        </w:tc>
        <w:tc>
          <w:tcPr>
            <w:tcW w:w="1160" w:type="dxa"/>
            <w:vAlign w:val="bottom"/>
          </w:tcPr>
          <w:p>
            <w:pPr>
              <w:jc w:val="right"/>
              <w:ind w:right="24"/>
              <w:spacing w:after="0"/>
              <w:rPr>
                <w:sz w:val="20"/>
                <w:szCs w:val="20"/>
                <w:color w:val="auto"/>
              </w:rPr>
            </w:pPr>
            <w:r>
              <w:rPr>
                <w:rFonts w:ascii="Arial" w:cs="Arial" w:eastAsia="Arial" w:hAnsi="Arial"/>
                <w:sz w:val="11"/>
                <w:szCs w:val="11"/>
                <w:color w:val="auto"/>
              </w:rPr>
              <w:t>29.3 %</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17.4 %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4"/>
              <w:spacing w:after="0"/>
              <w:rPr>
                <w:sz w:val="20"/>
                <w:szCs w:val="20"/>
                <w:color w:val="auto"/>
              </w:rPr>
            </w:pPr>
            <w:r>
              <w:rPr>
                <w:rFonts w:ascii="Arial" w:cs="Arial" w:eastAsia="Arial" w:hAnsi="Arial"/>
                <w:sz w:val="11"/>
                <w:szCs w:val="11"/>
                <w:color w:val="auto"/>
              </w:rPr>
              <w:t>5.4 %</w:t>
            </w:r>
          </w:p>
        </w:tc>
        <w:tc>
          <w:tcPr>
            <w:tcW w:w="160" w:type="dxa"/>
            <w:vAlign w:val="bottom"/>
          </w:tcPr>
          <w:p>
            <w:pPr>
              <w:spacing w:after="0"/>
              <w:rPr>
                <w:sz w:val="13"/>
                <w:szCs w:val="13"/>
                <w:color w:val="auto"/>
              </w:rPr>
            </w:pPr>
          </w:p>
        </w:tc>
        <w:tc>
          <w:tcPr>
            <w:tcW w:w="1220" w:type="dxa"/>
            <w:vAlign w:val="bottom"/>
            <w:gridSpan w:val="2"/>
          </w:tcPr>
          <w:p>
            <w:pPr>
              <w:ind w:left="880"/>
              <w:spacing w:after="0"/>
              <w:rPr>
                <w:sz w:val="20"/>
                <w:szCs w:val="20"/>
                <w:color w:val="auto"/>
              </w:rPr>
            </w:pPr>
            <w:r>
              <w:rPr>
                <w:rFonts w:ascii="Arial" w:cs="Arial" w:eastAsia="Arial" w:hAnsi="Arial"/>
                <w:sz w:val="11"/>
                <w:szCs w:val="11"/>
                <w:color w:val="auto"/>
              </w:rPr>
              <w:t>— %</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100.0 %</w:t>
            </w:r>
          </w:p>
        </w:tc>
      </w:tr>
      <w:tr>
        <w:trPr>
          <w:trHeight w:val="16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Adjusted EBITDA Margin</w:t>
            </w:r>
            <w:r>
              <w:rPr>
                <w:rFonts w:ascii="Arial" w:cs="Arial" w:eastAsia="Arial" w:hAnsi="Arial"/>
                <w:sz w:val="14"/>
                <w:szCs w:val="14"/>
                <w:color w:val="auto"/>
                <w:vertAlign w:val="superscript"/>
              </w:rPr>
              <w:t>(1)(2)</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10.5 %</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21.3 %</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26.7 %</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1"/>
                <w:szCs w:val="11"/>
                <w:color w:val="auto"/>
              </w:rPr>
              <w:t>— %</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5.1 %</w:t>
            </w:r>
          </w:p>
        </w:tc>
      </w:tr>
      <w:tr>
        <w:trPr>
          <w:trHeight w:val="125"/>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5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Year Ended Dec 31, 2023</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2"/>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Total Revenue</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1,668</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144"/>
              <w:spacing w:after="0"/>
              <w:rPr>
                <w:sz w:val="20"/>
                <w:szCs w:val="20"/>
                <w:color w:val="auto"/>
              </w:rPr>
            </w:pPr>
            <w:r>
              <w:rPr>
                <w:rFonts w:ascii="Arial" w:cs="Arial" w:eastAsia="Arial" w:hAnsi="Arial"/>
                <w:sz w:val="11"/>
                <w:szCs w:val="11"/>
                <w:color w:val="auto"/>
              </w:rPr>
              <w:t>1,094</w:t>
            </w:r>
          </w:p>
        </w:tc>
        <w:tc>
          <w:tcPr>
            <w:tcW w:w="2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104"/>
              <w:spacing w:after="0"/>
              <w:rPr>
                <w:sz w:val="20"/>
                <w:szCs w:val="20"/>
                <w:color w:val="auto"/>
              </w:rPr>
            </w:pPr>
            <w:r>
              <w:rPr>
                <w:rFonts w:ascii="Arial" w:cs="Arial" w:eastAsia="Arial" w:hAnsi="Arial"/>
                <w:sz w:val="11"/>
                <w:szCs w:val="11"/>
                <w:color w:val="auto"/>
              </w:rPr>
              <w:t>558</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144"/>
              <w:spacing w:after="0"/>
              <w:rPr>
                <w:sz w:val="20"/>
                <w:szCs w:val="20"/>
                <w:color w:val="auto"/>
              </w:rPr>
            </w:pPr>
            <w:r>
              <w:rPr>
                <w:rFonts w:ascii="Arial" w:cs="Arial" w:eastAsia="Arial" w:hAnsi="Arial"/>
                <w:sz w:val="11"/>
                <w:szCs w:val="11"/>
                <w:color w:val="auto"/>
              </w:rPr>
              <w:t>402</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4"/>
              <w:spacing w:after="0"/>
              <w:rPr>
                <w:sz w:val="20"/>
                <w:szCs w:val="20"/>
                <w:color w:val="auto"/>
              </w:rPr>
            </w:pPr>
            <w:r>
              <w:rPr>
                <w:rFonts w:ascii="Arial" w:cs="Arial" w:eastAsia="Arial" w:hAnsi="Arial"/>
                <w:sz w:val="11"/>
                <w:szCs w:val="11"/>
                <w:color w:val="auto"/>
              </w:rPr>
              <w:t>3,722</w:t>
            </w:r>
          </w:p>
        </w:tc>
      </w:tr>
      <w:tr>
        <w:trPr>
          <w:trHeight w:val="16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Segment profit (Loss)</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36</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284</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103</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(304)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112</w:t>
            </w:r>
          </w:p>
        </w:tc>
      </w:tr>
      <w:tr>
        <w:trPr>
          <w:trHeight w:val="152"/>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Segment depreciation and amortization</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129</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144"/>
              <w:spacing w:after="0"/>
              <w:rPr>
                <w:sz w:val="20"/>
                <w:szCs w:val="20"/>
                <w:color w:val="auto"/>
              </w:rPr>
            </w:pPr>
            <w:r>
              <w:rPr>
                <w:rFonts w:ascii="Arial" w:cs="Arial" w:eastAsia="Arial" w:hAnsi="Arial"/>
                <w:sz w:val="11"/>
                <w:szCs w:val="11"/>
                <w:color w:val="auto"/>
              </w:rPr>
              <w:t>41</w:t>
            </w:r>
          </w:p>
        </w:tc>
        <w:tc>
          <w:tcPr>
            <w:tcW w:w="2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104"/>
              <w:spacing w:after="0"/>
              <w:rPr>
                <w:sz w:val="20"/>
                <w:szCs w:val="20"/>
                <w:color w:val="auto"/>
              </w:rPr>
            </w:pPr>
            <w:r>
              <w:rPr>
                <w:rFonts w:ascii="Arial" w:cs="Arial" w:eastAsia="Arial" w:hAnsi="Arial"/>
                <w:sz w:val="11"/>
                <w:szCs w:val="11"/>
                <w:color w:val="auto"/>
              </w:rPr>
              <w:t>26</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144"/>
              <w:spacing w:after="0"/>
              <w:rPr>
                <w:sz w:val="20"/>
                <w:szCs w:val="20"/>
                <w:color w:val="auto"/>
              </w:rPr>
            </w:pPr>
            <w:r>
              <w:rPr>
                <w:rFonts w:ascii="Arial" w:cs="Arial" w:eastAsia="Arial" w:hAnsi="Arial"/>
                <w:sz w:val="11"/>
                <w:szCs w:val="11"/>
                <w:color w:val="auto"/>
              </w:rPr>
              <w:t>28</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104"/>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4"/>
              <w:spacing w:after="0"/>
              <w:rPr>
                <w:sz w:val="20"/>
                <w:szCs w:val="20"/>
                <w:color w:val="auto"/>
              </w:rPr>
            </w:pPr>
            <w:r>
              <w:rPr>
                <w:rFonts w:ascii="Arial" w:cs="Arial" w:eastAsia="Arial" w:hAnsi="Arial"/>
                <w:sz w:val="11"/>
                <w:szCs w:val="11"/>
                <w:color w:val="auto"/>
              </w:rPr>
              <w:t>260</w:t>
            </w:r>
          </w:p>
        </w:tc>
      </w:tr>
      <w:tr>
        <w:trPr>
          <w:trHeight w:val="16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Adjusted EBITDA</w:t>
            </w:r>
            <w:r>
              <w:rPr>
                <w:rFonts w:ascii="Arial" w:cs="Arial" w:eastAsia="Arial" w:hAnsi="Arial"/>
                <w:sz w:val="14"/>
                <w:szCs w:val="14"/>
                <w:color w:val="auto"/>
                <w:vertAlign w:val="superscript"/>
              </w:rPr>
              <w:t>(1)</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165</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325</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19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131</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(262)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378</w:t>
            </w:r>
          </w:p>
        </w:tc>
      </w:tr>
      <w:tr>
        <w:trPr>
          <w:trHeight w:val="125"/>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5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 of Total Revenue</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44.8 %</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29.4 %</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10.8 %</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1"/>
                <w:szCs w:val="11"/>
                <w:color w:val="auto"/>
              </w:rPr>
              <w:t>— %</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100.0 %</w:t>
            </w:r>
          </w:p>
        </w:tc>
      </w:tr>
      <w:tr>
        <w:trPr>
          <w:trHeight w:val="156"/>
        </w:trPr>
        <w:tc>
          <w:tcPr>
            <w:tcW w:w="3460" w:type="dxa"/>
            <w:vAlign w:val="bottom"/>
            <w:gridSpan w:val="2"/>
          </w:tcPr>
          <w:p>
            <w:pPr>
              <w:ind w:left="20"/>
              <w:spacing w:after="0" w:line="156" w:lineRule="exact"/>
              <w:rPr>
                <w:sz w:val="20"/>
                <w:szCs w:val="20"/>
                <w:color w:val="auto"/>
              </w:rPr>
            </w:pPr>
            <w:r>
              <w:rPr>
                <w:rFonts w:ascii="Arial" w:cs="Arial" w:eastAsia="Arial" w:hAnsi="Arial"/>
                <w:sz w:val="11"/>
                <w:szCs w:val="11"/>
                <w:color w:val="auto"/>
              </w:rPr>
              <w:t>Adjusted EBITDA Margin</w:t>
            </w:r>
            <w:r>
              <w:rPr>
                <w:rFonts w:ascii="Arial" w:cs="Arial" w:eastAsia="Arial" w:hAnsi="Arial"/>
                <w:sz w:val="14"/>
                <w:szCs w:val="14"/>
                <w:color w:val="auto"/>
                <w:vertAlign w:val="superscript"/>
              </w:rPr>
              <w:t>(1)(2)</w:t>
            </w:r>
          </w:p>
        </w:tc>
        <w:tc>
          <w:tcPr>
            <w:tcW w:w="180" w:type="dxa"/>
            <w:vAlign w:val="bottom"/>
          </w:tcPr>
          <w:p>
            <w:pPr>
              <w:spacing w:after="0"/>
              <w:rPr>
                <w:sz w:val="13"/>
                <w:szCs w:val="13"/>
                <w:color w:val="auto"/>
              </w:rPr>
            </w:pPr>
          </w:p>
        </w:tc>
        <w:tc>
          <w:tcPr>
            <w:tcW w:w="1080" w:type="dxa"/>
            <w:vAlign w:val="bottom"/>
          </w:tcPr>
          <w:p>
            <w:pPr>
              <w:jc w:val="right"/>
              <w:ind w:right="4"/>
              <w:spacing w:after="0"/>
              <w:rPr>
                <w:sz w:val="20"/>
                <w:szCs w:val="20"/>
                <w:color w:val="auto"/>
              </w:rPr>
            </w:pPr>
            <w:r>
              <w:rPr>
                <w:rFonts w:ascii="Arial" w:cs="Arial" w:eastAsia="Arial" w:hAnsi="Arial"/>
                <w:sz w:val="11"/>
                <w:szCs w:val="11"/>
                <w:color w:val="auto"/>
              </w:rPr>
              <w:t>9.9 %</w:t>
            </w:r>
          </w:p>
        </w:tc>
        <w:tc>
          <w:tcPr>
            <w:tcW w:w="160" w:type="dxa"/>
            <w:vAlign w:val="bottom"/>
          </w:tcPr>
          <w:p>
            <w:pPr>
              <w:spacing w:after="0"/>
              <w:rPr>
                <w:sz w:val="13"/>
                <w:szCs w:val="13"/>
                <w:color w:val="auto"/>
              </w:rPr>
            </w:pPr>
          </w:p>
        </w:tc>
        <w:tc>
          <w:tcPr>
            <w:tcW w:w="1160" w:type="dxa"/>
            <w:vAlign w:val="bottom"/>
          </w:tcPr>
          <w:p>
            <w:pPr>
              <w:jc w:val="right"/>
              <w:ind w:right="24"/>
              <w:spacing w:after="0"/>
              <w:rPr>
                <w:sz w:val="20"/>
                <w:szCs w:val="20"/>
                <w:color w:val="auto"/>
              </w:rPr>
            </w:pPr>
            <w:r>
              <w:rPr>
                <w:rFonts w:ascii="Arial" w:cs="Arial" w:eastAsia="Arial" w:hAnsi="Arial"/>
                <w:sz w:val="11"/>
                <w:szCs w:val="11"/>
                <w:color w:val="auto"/>
              </w:rPr>
              <w:t>29.7 %</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3.4 %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4"/>
              <w:spacing w:after="0"/>
              <w:rPr>
                <w:sz w:val="20"/>
                <w:szCs w:val="20"/>
                <w:color w:val="auto"/>
              </w:rPr>
            </w:pPr>
            <w:r>
              <w:rPr>
                <w:rFonts w:ascii="Arial" w:cs="Arial" w:eastAsia="Arial" w:hAnsi="Arial"/>
                <w:sz w:val="11"/>
                <w:szCs w:val="11"/>
                <w:color w:val="auto"/>
              </w:rPr>
              <w:t>32.6 %</w:t>
            </w:r>
          </w:p>
        </w:tc>
        <w:tc>
          <w:tcPr>
            <w:tcW w:w="160" w:type="dxa"/>
            <w:vAlign w:val="bottom"/>
          </w:tcPr>
          <w:p>
            <w:pPr>
              <w:spacing w:after="0"/>
              <w:rPr>
                <w:sz w:val="13"/>
                <w:szCs w:val="13"/>
                <w:color w:val="auto"/>
              </w:rPr>
            </w:pPr>
          </w:p>
        </w:tc>
        <w:tc>
          <w:tcPr>
            <w:tcW w:w="1220" w:type="dxa"/>
            <w:vAlign w:val="bottom"/>
            <w:gridSpan w:val="2"/>
          </w:tcPr>
          <w:p>
            <w:pPr>
              <w:ind w:left="880"/>
              <w:spacing w:after="0"/>
              <w:rPr>
                <w:sz w:val="20"/>
                <w:szCs w:val="20"/>
                <w:color w:val="auto"/>
              </w:rPr>
            </w:pPr>
            <w:r>
              <w:rPr>
                <w:rFonts w:ascii="Arial" w:cs="Arial" w:eastAsia="Arial" w:hAnsi="Arial"/>
                <w:sz w:val="11"/>
                <w:szCs w:val="11"/>
                <w:color w:val="auto"/>
              </w:rPr>
              <w:t>— %</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10.2 %</w:t>
            </w:r>
          </w:p>
        </w:tc>
      </w:tr>
      <w:tr>
        <w:trPr>
          <w:trHeight w:val="125"/>
        </w:trPr>
        <w:tc>
          <w:tcPr>
            <w:tcW w:w="3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55"/>
        </w:trPr>
        <w:tc>
          <w:tcPr>
            <w:tcW w:w="346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 Ended Dec 31, 2022</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Revenue</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1,769</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1,150</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562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377</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3,858</w:t>
            </w:r>
          </w:p>
        </w:tc>
      </w:tr>
      <w:tr>
        <w:trPr>
          <w:trHeight w:val="152"/>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Segment profit (Loss)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71</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144"/>
              <w:spacing w:after="0"/>
              <w:rPr>
                <w:sz w:val="20"/>
                <w:szCs w:val="20"/>
                <w:color w:val="auto"/>
              </w:rPr>
            </w:pPr>
            <w:r>
              <w:rPr>
                <w:rFonts w:ascii="Arial" w:cs="Arial" w:eastAsia="Arial" w:hAnsi="Arial"/>
                <w:sz w:val="11"/>
                <w:szCs w:val="11"/>
                <w:color w:val="auto"/>
              </w:rPr>
              <w:t>294</w:t>
            </w:r>
          </w:p>
        </w:tc>
        <w:tc>
          <w:tcPr>
            <w:tcW w:w="2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104"/>
              <w:spacing w:after="0"/>
              <w:rPr>
                <w:sz w:val="20"/>
                <w:szCs w:val="20"/>
                <w:color w:val="auto"/>
              </w:rPr>
            </w:pPr>
            <w:r>
              <w:rPr>
                <w:rFonts w:ascii="Arial" w:cs="Arial" w:eastAsia="Arial" w:hAnsi="Arial"/>
                <w:sz w:val="11"/>
                <w:szCs w:val="11"/>
                <w:color w:val="auto"/>
              </w:rPr>
              <w:t>34</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144"/>
              <w:spacing w:after="0"/>
              <w:rPr>
                <w:sz w:val="20"/>
                <w:szCs w:val="20"/>
                <w:color w:val="auto"/>
              </w:rPr>
            </w:pPr>
            <w:r>
              <w:rPr>
                <w:rFonts w:ascii="Arial" w:cs="Arial" w:eastAsia="Arial" w:hAnsi="Arial"/>
                <w:sz w:val="11"/>
                <w:szCs w:val="11"/>
                <w:color w:val="auto"/>
              </w:rPr>
              <w:t>70</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4"/>
              <w:spacing w:after="0"/>
              <w:rPr>
                <w:sz w:val="20"/>
                <w:szCs w:val="20"/>
                <w:color w:val="auto"/>
              </w:rPr>
            </w:pPr>
            <w:r>
              <w:rPr>
                <w:rFonts w:ascii="Arial" w:cs="Arial" w:eastAsia="Arial" w:hAnsi="Arial"/>
                <w:sz w:val="11"/>
                <w:szCs w:val="11"/>
                <w:color w:val="auto"/>
              </w:rPr>
              <w:t>(293)</w:t>
            </w:r>
          </w:p>
        </w:tc>
        <w:tc>
          <w:tcPr>
            <w:tcW w:w="8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4"/>
              <w:spacing w:after="0"/>
              <w:rPr>
                <w:sz w:val="20"/>
                <w:szCs w:val="20"/>
                <w:color w:val="auto"/>
              </w:rPr>
            </w:pPr>
            <w:r>
              <w:rPr>
                <w:rFonts w:ascii="Arial" w:cs="Arial" w:eastAsia="Arial" w:hAnsi="Arial"/>
                <w:sz w:val="11"/>
                <w:szCs w:val="11"/>
                <w:color w:val="auto"/>
              </w:rPr>
              <w:t>176</w:t>
            </w:r>
          </w:p>
        </w:tc>
      </w:tr>
      <w:tr>
        <w:trPr>
          <w:trHeight w:val="16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Segment depreciation and amortization</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94</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37</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21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22</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46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220</w:t>
            </w:r>
          </w:p>
        </w:tc>
      </w:tr>
      <w:tr>
        <w:trPr>
          <w:trHeight w:val="156"/>
        </w:trPr>
        <w:tc>
          <w:tcPr>
            <w:tcW w:w="3460" w:type="dxa"/>
            <w:vAlign w:val="bottom"/>
            <w:gridSpan w:val="2"/>
          </w:tcPr>
          <w:p>
            <w:pPr>
              <w:ind w:left="20"/>
              <w:spacing w:after="0" w:line="156" w:lineRule="exact"/>
              <w:rPr>
                <w:sz w:val="20"/>
                <w:szCs w:val="20"/>
                <w:color w:val="auto"/>
              </w:rPr>
            </w:pPr>
            <w:r>
              <w:rPr>
                <w:rFonts w:ascii="Arial" w:cs="Arial" w:eastAsia="Arial" w:hAnsi="Arial"/>
                <w:sz w:val="11"/>
                <w:szCs w:val="11"/>
                <w:color w:val="auto"/>
              </w:rPr>
              <w:t>Adjusted EBITDA</w:t>
            </w:r>
            <w:r>
              <w:rPr>
                <w:rFonts w:ascii="Arial" w:cs="Arial" w:eastAsia="Arial" w:hAnsi="Arial"/>
                <w:sz w:val="14"/>
                <w:szCs w:val="14"/>
                <w:color w:val="auto"/>
                <w:vertAlign w:val="superscript"/>
              </w:rPr>
              <w:t>(1)</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165</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144"/>
              <w:spacing w:after="0"/>
              <w:rPr>
                <w:sz w:val="20"/>
                <w:szCs w:val="20"/>
                <w:color w:val="auto"/>
              </w:rPr>
            </w:pPr>
            <w:r>
              <w:rPr>
                <w:rFonts w:ascii="Arial" w:cs="Arial" w:eastAsia="Arial" w:hAnsi="Arial"/>
                <w:sz w:val="11"/>
                <w:szCs w:val="11"/>
                <w:color w:val="auto"/>
              </w:rPr>
              <w:t>331</w:t>
            </w:r>
          </w:p>
        </w:tc>
        <w:tc>
          <w:tcPr>
            <w:tcW w:w="240" w:type="dxa"/>
            <w:vAlign w:val="bottom"/>
          </w:tcPr>
          <w:p>
            <w:pPr>
              <w:jc w:val="right"/>
              <w:ind w:right="64"/>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104"/>
              <w:spacing w:after="0"/>
              <w:rPr>
                <w:sz w:val="20"/>
                <w:szCs w:val="20"/>
                <w:color w:val="auto"/>
              </w:rPr>
            </w:pPr>
            <w:r>
              <w:rPr>
                <w:rFonts w:ascii="Arial" w:cs="Arial" w:eastAsia="Arial" w:hAnsi="Arial"/>
                <w:sz w:val="11"/>
                <w:szCs w:val="11"/>
                <w:color w:val="auto"/>
              </w:rPr>
              <w:t>55</w:t>
            </w:r>
          </w:p>
        </w:tc>
        <w:tc>
          <w:tcPr>
            <w:tcW w:w="2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144"/>
              <w:spacing w:after="0"/>
              <w:rPr>
                <w:sz w:val="20"/>
                <w:szCs w:val="20"/>
                <w:color w:val="auto"/>
              </w:rPr>
            </w:pPr>
            <w:r>
              <w:rPr>
                <w:rFonts w:ascii="Arial" w:cs="Arial" w:eastAsia="Arial" w:hAnsi="Arial"/>
                <w:sz w:val="11"/>
                <w:szCs w:val="11"/>
                <w:color w:val="auto"/>
              </w:rPr>
              <w:t>92</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64"/>
              <w:spacing w:after="0"/>
              <w:rPr>
                <w:sz w:val="20"/>
                <w:szCs w:val="20"/>
                <w:color w:val="auto"/>
              </w:rPr>
            </w:pPr>
            <w:r>
              <w:rPr>
                <w:rFonts w:ascii="Arial" w:cs="Arial" w:eastAsia="Arial" w:hAnsi="Arial"/>
                <w:sz w:val="11"/>
                <w:szCs w:val="11"/>
                <w:color w:val="auto"/>
              </w:rPr>
              <w:t>(247)</w:t>
            </w:r>
          </w:p>
        </w:tc>
        <w:tc>
          <w:tcPr>
            <w:tcW w:w="8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4"/>
              <w:spacing w:after="0"/>
              <w:rPr>
                <w:sz w:val="20"/>
                <w:szCs w:val="20"/>
                <w:color w:val="auto"/>
              </w:rPr>
            </w:pPr>
            <w:r>
              <w:rPr>
                <w:rFonts w:ascii="Arial" w:cs="Arial" w:eastAsia="Arial" w:hAnsi="Arial"/>
                <w:sz w:val="11"/>
                <w:szCs w:val="11"/>
                <w:color w:val="auto"/>
              </w:rPr>
              <w:t>396</w:t>
            </w:r>
          </w:p>
        </w:tc>
      </w:tr>
      <w:tr>
        <w:trPr>
          <w:trHeight w:val="125"/>
        </w:trPr>
        <w:tc>
          <w:tcPr>
            <w:tcW w:w="3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52"/>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 of Total Revenue</w:t>
            </w:r>
          </w:p>
        </w:tc>
        <w:tc>
          <w:tcPr>
            <w:tcW w:w="180" w:type="dxa"/>
            <w:vAlign w:val="bottom"/>
          </w:tcPr>
          <w:p>
            <w:pPr>
              <w:spacing w:after="0"/>
              <w:rPr>
                <w:sz w:val="13"/>
                <w:szCs w:val="13"/>
                <w:color w:val="auto"/>
              </w:rPr>
            </w:pPr>
          </w:p>
        </w:tc>
        <w:tc>
          <w:tcPr>
            <w:tcW w:w="1080" w:type="dxa"/>
            <w:vAlign w:val="bottom"/>
          </w:tcPr>
          <w:p>
            <w:pPr>
              <w:jc w:val="right"/>
              <w:ind w:right="4"/>
              <w:spacing w:after="0"/>
              <w:rPr>
                <w:sz w:val="20"/>
                <w:szCs w:val="20"/>
                <w:color w:val="auto"/>
              </w:rPr>
            </w:pPr>
            <w:r>
              <w:rPr>
                <w:rFonts w:ascii="Arial" w:cs="Arial" w:eastAsia="Arial" w:hAnsi="Arial"/>
                <w:sz w:val="11"/>
                <w:szCs w:val="11"/>
                <w:color w:val="auto"/>
              </w:rPr>
              <w:t>45.8 %</w:t>
            </w:r>
          </w:p>
        </w:tc>
        <w:tc>
          <w:tcPr>
            <w:tcW w:w="160" w:type="dxa"/>
            <w:vAlign w:val="bottom"/>
          </w:tcPr>
          <w:p>
            <w:pPr>
              <w:spacing w:after="0"/>
              <w:rPr>
                <w:sz w:val="13"/>
                <w:szCs w:val="13"/>
                <w:color w:val="auto"/>
              </w:rPr>
            </w:pPr>
          </w:p>
        </w:tc>
        <w:tc>
          <w:tcPr>
            <w:tcW w:w="1160" w:type="dxa"/>
            <w:vAlign w:val="bottom"/>
          </w:tcPr>
          <w:p>
            <w:pPr>
              <w:jc w:val="right"/>
              <w:ind w:right="24"/>
              <w:spacing w:after="0"/>
              <w:rPr>
                <w:sz w:val="20"/>
                <w:szCs w:val="20"/>
                <w:color w:val="auto"/>
              </w:rPr>
            </w:pPr>
            <w:r>
              <w:rPr>
                <w:rFonts w:ascii="Arial" w:cs="Arial" w:eastAsia="Arial" w:hAnsi="Arial"/>
                <w:sz w:val="11"/>
                <w:szCs w:val="11"/>
                <w:color w:val="auto"/>
              </w:rPr>
              <w:t>29.8 %</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14.6 %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4"/>
              <w:spacing w:after="0"/>
              <w:rPr>
                <w:sz w:val="20"/>
                <w:szCs w:val="20"/>
                <w:color w:val="auto"/>
              </w:rPr>
            </w:pPr>
            <w:r>
              <w:rPr>
                <w:rFonts w:ascii="Arial" w:cs="Arial" w:eastAsia="Arial" w:hAnsi="Arial"/>
                <w:sz w:val="11"/>
                <w:szCs w:val="11"/>
                <w:color w:val="auto"/>
              </w:rPr>
              <w:t>9.8 %</w:t>
            </w:r>
          </w:p>
        </w:tc>
        <w:tc>
          <w:tcPr>
            <w:tcW w:w="160" w:type="dxa"/>
            <w:vAlign w:val="bottom"/>
          </w:tcPr>
          <w:p>
            <w:pPr>
              <w:spacing w:after="0"/>
              <w:rPr>
                <w:sz w:val="13"/>
                <w:szCs w:val="13"/>
                <w:color w:val="auto"/>
              </w:rPr>
            </w:pPr>
          </w:p>
        </w:tc>
        <w:tc>
          <w:tcPr>
            <w:tcW w:w="1220" w:type="dxa"/>
            <w:vAlign w:val="bottom"/>
            <w:gridSpan w:val="2"/>
          </w:tcPr>
          <w:p>
            <w:pPr>
              <w:ind w:left="880"/>
              <w:spacing w:after="0"/>
              <w:rPr>
                <w:sz w:val="20"/>
                <w:szCs w:val="20"/>
                <w:color w:val="auto"/>
              </w:rPr>
            </w:pPr>
            <w:r>
              <w:rPr>
                <w:rFonts w:ascii="Arial" w:cs="Arial" w:eastAsia="Arial" w:hAnsi="Arial"/>
                <w:sz w:val="11"/>
                <w:szCs w:val="11"/>
                <w:color w:val="auto"/>
              </w:rPr>
              <w:t>— %</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100.0 %</w:t>
            </w:r>
          </w:p>
        </w:tc>
      </w:tr>
      <w:tr>
        <w:trPr>
          <w:trHeight w:val="16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Adjusted EBITDA Margin</w:t>
            </w:r>
            <w:r>
              <w:rPr>
                <w:rFonts w:ascii="Arial" w:cs="Arial" w:eastAsia="Arial" w:hAnsi="Arial"/>
                <w:sz w:val="14"/>
                <w:szCs w:val="14"/>
                <w:color w:val="auto"/>
                <w:vertAlign w:val="superscript"/>
              </w:rPr>
              <w:t>(1)(2)</w:t>
            </w: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9.3 %</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28.8 %</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24.4 %</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1"/>
                <w:szCs w:val="11"/>
                <w:color w:val="auto"/>
              </w:rPr>
              <w:t>— %</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10.3 %</w:t>
            </w:r>
          </w:p>
        </w:tc>
      </w:tr>
    </w:tbl>
    <w:p>
      <w:pPr>
        <w:spacing w:after="0" w:line="82" w:lineRule="exact"/>
        <w:rPr>
          <w:sz w:val="20"/>
          <w:szCs w:val="20"/>
          <w:color w:val="auto"/>
        </w:rPr>
      </w:pPr>
    </w:p>
    <w:p>
      <w:pPr>
        <w:ind w:left="120" w:hanging="117"/>
        <w:spacing w:after="0"/>
        <w:tabs>
          <w:tab w:leader="none" w:pos="120" w:val="left"/>
        </w:tabs>
        <w:numPr>
          <w:ilvl w:val="0"/>
          <w:numId w:val="29"/>
        </w:numPr>
        <w:rPr>
          <w:rFonts w:ascii="Arial" w:cs="Arial" w:eastAsia="Arial" w:hAnsi="Arial"/>
          <w:sz w:val="14"/>
          <w:szCs w:val="14"/>
          <w:color w:val="auto"/>
          <w:vertAlign w:val="superscript"/>
        </w:rPr>
      </w:pPr>
      <w:r>
        <w:rPr>
          <w:rFonts w:ascii="Arial" w:cs="Arial" w:eastAsia="Arial" w:hAnsi="Arial"/>
          <w:sz w:val="11"/>
          <w:szCs w:val="11"/>
          <w:color w:val="auto"/>
        </w:rPr>
        <w:t>Refer to "Non-GAAP Financial Measures" section for an explanation of the non-GAAP financial measure.</w:t>
      </w:r>
    </w:p>
    <w:p>
      <w:pPr>
        <w:ind w:left="120" w:hanging="117"/>
        <w:spacing w:after="0" w:line="200" w:lineRule="auto"/>
        <w:tabs>
          <w:tab w:leader="none" w:pos="120" w:val="left"/>
        </w:tabs>
        <w:numPr>
          <w:ilvl w:val="0"/>
          <w:numId w:val="29"/>
        </w:numPr>
        <w:rPr>
          <w:rFonts w:ascii="Arial" w:cs="Arial" w:eastAsia="Arial" w:hAnsi="Arial"/>
          <w:sz w:val="14"/>
          <w:szCs w:val="14"/>
          <w:color w:val="auto"/>
          <w:vertAlign w:val="superscript"/>
        </w:rPr>
      </w:pPr>
      <w:r>
        <w:rPr>
          <w:rFonts w:ascii="Arial" w:cs="Arial" w:eastAsia="Arial" w:hAnsi="Arial"/>
          <w:sz w:val="11"/>
          <w:szCs w:val="11"/>
          <w:color w:val="auto"/>
        </w:rPr>
        <w:t>Adjusted EBITDA Margin is calculated as Adjusted EBITDA divided by Total Revenue.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1"/>
                <w:szCs w:val="11"/>
                <w:color w:val="auto"/>
                <w:w w:val="97"/>
              </w:rPr>
              <w:t>(in millions)</w:t>
            </w:r>
          </w:p>
        </w:tc>
        <w:tc>
          <w:tcPr>
            <w:tcW w:w="5220" w:type="dxa"/>
            <w:vAlign w:val="bottom"/>
            <w:gridSpan w:val="2"/>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2"/>
          </w:tcPr>
          <w:p>
            <w:pPr>
              <w:ind w:left="80"/>
              <w:spacing w:after="0"/>
              <w:rPr>
                <w:sz w:val="20"/>
                <w:szCs w:val="20"/>
                <w:color w:val="auto"/>
              </w:rPr>
            </w:pPr>
            <w:r>
              <w:rPr>
                <w:rFonts w:ascii="Arial" w:cs="Arial" w:eastAsia="Arial" w:hAnsi="Arial"/>
                <w:sz w:val="11"/>
                <w:szCs w:val="11"/>
                <w:color w:val="auto"/>
              </w:rPr>
              <w:t>Year Ended December 31,</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Adjusted EBITDA and Segment Profit (Loss) Reconciliation to Income (Loss) Before Income Taxes</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CCEEFF"/>
            </w:tcBorders>
          </w:tcPr>
          <w:p>
            <w:pPr>
              <w:spacing w:after="0"/>
              <w:rPr>
                <w:sz w:val="11"/>
                <w:szCs w:val="11"/>
                <w:color w:val="auto"/>
              </w:rPr>
            </w:pPr>
          </w:p>
        </w:tc>
        <w:tc>
          <w:tcPr>
            <w:tcW w:w="5780" w:type="dxa"/>
            <w:vAlign w:val="bottom"/>
            <w:tcBorders>
              <w:bottom w:val="single" w:sz="8" w:color="CCEEFF"/>
            </w:tcBorders>
            <w:gridSpan w:val="3"/>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684"/>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Adjusted EBITDA</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378</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Borders>
              <w:bottom w:val="single" w:sz="8" w:color="auto"/>
            </w:tcBorders>
            <w:gridSpan w:val="2"/>
          </w:tcPr>
          <w:p>
            <w:pPr>
              <w:spacing w:after="0" w:line="125" w:lineRule="exact"/>
              <w:rPr>
                <w:sz w:val="20"/>
                <w:szCs w:val="20"/>
                <w:color w:val="auto"/>
              </w:rPr>
            </w:pPr>
            <w:r>
              <w:rPr>
                <w:rFonts w:ascii="Arial" w:cs="Arial" w:eastAsia="Arial" w:hAnsi="Arial"/>
                <w:sz w:val="11"/>
                <w:szCs w:val="11"/>
                <w:color w:val="auto"/>
                <w:w w:val="98"/>
              </w:rPr>
              <w:t>Reconciling items:</w:t>
            </w:r>
          </w:p>
        </w:tc>
        <w:tc>
          <w:tcPr>
            <w:tcW w:w="4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8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Segment depreciation and amortization</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5780" w:type="dxa"/>
            <w:vAlign w:val="bottom"/>
            <w:tcBorders>
              <w:bottom w:val="single" w:sz="8" w:color="CCEEFF"/>
            </w:tcBorders>
            <w:gridSpan w:val="3"/>
          </w:tcPr>
          <w:p>
            <w:pPr>
              <w:ind w:left="160"/>
              <w:spacing w:after="0" w:line="156" w:lineRule="exact"/>
              <w:rPr>
                <w:sz w:val="20"/>
                <w:szCs w:val="20"/>
                <w:color w:val="auto"/>
              </w:rPr>
            </w:pPr>
            <w:r>
              <w:rPr>
                <w:rFonts w:ascii="Arial" w:cs="Arial" w:eastAsia="Arial" w:hAnsi="Arial"/>
                <w:sz w:val="11"/>
                <w:szCs w:val="11"/>
                <w:color w:val="auto"/>
              </w:rPr>
              <w:t>Other adjustments</w:t>
            </w:r>
            <w:r>
              <w:rPr>
                <w:rFonts w:ascii="Arial" w:cs="Arial" w:eastAsia="Arial" w:hAnsi="Arial"/>
                <w:sz w:val="14"/>
                <w:szCs w:val="14"/>
                <w:color w:val="auto"/>
                <w:vertAlign w:val="superscript"/>
              </w:rPr>
              <w:t>(1)</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Segment Pre-Tax Income (Loss)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Borders>
              <w:bottom w:val="single" w:sz="8" w:color="auto"/>
            </w:tcBorders>
            <w:gridSpan w:val="2"/>
          </w:tcPr>
          <w:p>
            <w:pPr>
              <w:spacing w:after="0" w:line="125" w:lineRule="exact"/>
              <w:rPr>
                <w:sz w:val="20"/>
                <w:szCs w:val="20"/>
                <w:color w:val="auto"/>
              </w:rPr>
            </w:pPr>
            <w:r>
              <w:rPr>
                <w:rFonts w:ascii="Arial" w:cs="Arial" w:eastAsia="Arial" w:hAnsi="Arial"/>
                <w:sz w:val="11"/>
                <w:szCs w:val="11"/>
                <w:color w:val="auto"/>
                <w:w w:val="98"/>
              </w:rPr>
              <w:t>Reconciling items:</w:t>
            </w:r>
          </w:p>
        </w:tc>
        <w:tc>
          <w:tcPr>
            <w:tcW w:w="4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8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Amortization of acquired intangible assets</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gridSpan w:val="3"/>
          </w:tcPr>
          <w:p>
            <w:pPr>
              <w:ind w:left="160"/>
              <w:spacing w:after="0"/>
              <w:rPr>
                <w:sz w:val="20"/>
                <w:szCs w:val="20"/>
                <w:color w:val="auto"/>
              </w:rPr>
            </w:pPr>
            <w:r>
              <w:rPr>
                <w:rFonts w:ascii="Arial" w:cs="Arial" w:eastAsia="Arial" w:hAnsi="Arial"/>
                <w:sz w:val="11"/>
                <w:szCs w:val="11"/>
                <w:color w:val="auto"/>
              </w:rPr>
              <w:t>Restructuring and related costs</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Interest expense</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gridSpan w:val="3"/>
          </w:tcPr>
          <w:p>
            <w:pPr>
              <w:ind w:left="160"/>
              <w:spacing w:after="0"/>
              <w:rPr>
                <w:sz w:val="20"/>
                <w:szCs w:val="20"/>
                <w:color w:val="auto"/>
              </w:rPr>
            </w:pPr>
            <w:r>
              <w:rPr>
                <w:rFonts w:ascii="Arial" w:cs="Arial" w:eastAsia="Arial" w:hAnsi="Arial"/>
                <w:sz w:val="11"/>
                <w:szCs w:val="11"/>
                <w:color w:val="auto"/>
              </w:rPr>
              <w:t>Loss on extinguishment of debt</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Goodwill impairment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gridSpan w:val="3"/>
          </w:tcPr>
          <w:p>
            <w:pPr>
              <w:ind w:left="160"/>
              <w:spacing w:after="0"/>
              <w:rPr>
                <w:sz w:val="20"/>
                <w:szCs w:val="20"/>
                <w:color w:val="auto"/>
              </w:rPr>
            </w:pPr>
            <w:r>
              <w:rPr>
                <w:rFonts w:ascii="Arial" w:cs="Arial" w:eastAsia="Arial" w:hAnsi="Arial"/>
                <w:sz w:val="11"/>
                <w:szCs w:val="11"/>
                <w:color w:val="auto"/>
              </w:rPr>
              <w:t>(Gain) loss on divestitures and transaction costs, net</w:t>
            </w:r>
          </w:p>
        </w:tc>
        <w:tc>
          <w:tcPr>
            <w:tcW w:w="420" w:type="dxa"/>
            <w:vAlign w:val="bottom"/>
          </w:tcPr>
          <w:p>
            <w:pPr>
              <w:spacing w:after="0"/>
              <w:rPr>
                <w:sz w:val="13"/>
                <w:szCs w:val="13"/>
                <w:color w:val="auto"/>
              </w:rPr>
            </w:pPr>
          </w:p>
        </w:tc>
        <w:tc>
          <w:tcPr>
            <w:tcW w:w="1340" w:type="dxa"/>
            <w:vAlign w:val="bottom"/>
          </w:tcPr>
          <w:p>
            <w:pPr>
              <w:jc w:val="right"/>
              <w:ind w:right="4"/>
              <w:spacing w:after="0"/>
              <w:rPr>
                <w:sz w:val="20"/>
                <w:szCs w:val="20"/>
                <w:color w:val="auto"/>
              </w:rPr>
            </w:pPr>
            <w:r>
              <w:rPr>
                <w:rFonts w:ascii="Arial" w:cs="Arial" w:eastAsia="Arial" w:hAnsi="Arial"/>
                <w:sz w:val="11"/>
                <w:szCs w:val="11"/>
                <w:color w:val="auto"/>
              </w:rPr>
              <w:t>696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158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Litigation settlements (recoveries), net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5780" w:type="dxa"/>
            <w:vAlign w:val="bottom"/>
            <w:tcBorders>
              <w:bottom w:val="single" w:sz="8" w:color="CCEEFF"/>
            </w:tcBorders>
            <w:gridSpan w:val="3"/>
          </w:tcPr>
          <w:p>
            <w:pPr>
              <w:ind w:left="160"/>
              <w:spacing w:after="0"/>
              <w:rPr>
                <w:sz w:val="20"/>
                <w:szCs w:val="20"/>
                <w:color w:val="auto"/>
              </w:rPr>
            </w:pPr>
            <w:r>
              <w:rPr>
                <w:rFonts w:ascii="Arial" w:cs="Arial" w:eastAsia="Arial" w:hAnsi="Arial"/>
                <w:sz w:val="11"/>
                <w:szCs w:val="11"/>
                <w:color w:val="auto"/>
              </w:rPr>
              <w:t>Other (income) expenses, net</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5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Income (Loss) Before Income Taxes</w:t>
            </w: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504</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(332)</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40" w:firstLine="3"/>
        <w:spacing w:after="0" w:line="233" w:lineRule="auto"/>
        <w:tabs>
          <w:tab w:leader="none" w:pos="119" w:val="left"/>
        </w:tabs>
        <w:numPr>
          <w:ilvl w:val="0"/>
          <w:numId w:val="30"/>
        </w:numPr>
        <w:rPr>
          <w:rFonts w:ascii="Arial" w:cs="Arial" w:eastAsia="Arial" w:hAnsi="Arial"/>
          <w:sz w:val="14"/>
          <w:szCs w:val="14"/>
          <w:color w:val="auto"/>
          <w:vertAlign w:val="superscript"/>
        </w:rPr>
      </w:pPr>
      <w:r>
        <w:rPr>
          <w:rFonts w:ascii="Arial" w:cs="Arial" w:eastAsia="Arial" w:hAnsi="Arial"/>
          <w:sz w:val="11"/>
          <w:szCs w:val="11"/>
          <w:color w:val="auto"/>
        </w:rPr>
        <w:t>The 2024 amount represents a termination for convenience fee related to the termination of Convergint as a subcontractor for our State of Victoria contract. The 2023 amount represents a termination for convenience fee related to the termination of a contract with a significant IT outsourcing provider. Both the 2024 and 2023 items are reported in Cost of Services on the Consolidated Statements of Income.</w:t>
      </w:r>
    </w:p>
    <w:p>
      <w:pPr>
        <w:spacing w:after="0" w:line="32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9" w:name="page40"/>
    <w:bookmarkEnd w:id="3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Commercial Segment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29"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Commercial segment revenue for 2024 decreased, compared to the prior year, driven by lost business and lower volumes in certain industries within our client base, partially offset by new business ramp.</w:t>
      </w:r>
    </w:p>
    <w:p>
      <w:pPr>
        <w:spacing w:after="0" w:line="80" w:lineRule="exact"/>
        <w:rPr>
          <w:sz w:val="20"/>
          <w:szCs w:val="20"/>
          <w:color w:val="auto"/>
        </w:rPr>
      </w:pPr>
    </w:p>
    <w:p>
      <w:pPr>
        <w:ind w:right="320"/>
        <w:spacing w:after="0" w:line="282" w:lineRule="auto"/>
        <w:rPr>
          <w:sz w:val="20"/>
          <w:szCs w:val="20"/>
          <w:color w:val="auto"/>
        </w:rPr>
      </w:pPr>
      <w:r>
        <w:rPr>
          <w:rFonts w:ascii="Arial" w:cs="Arial" w:eastAsia="Arial" w:hAnsi="Arial"/>
          <w:sz w:val="14"/>
          <w:szCs w:val="14"/>
          <w:color w:val="auto"/>
        </w:rPr>
        <w:t>Commercial segment revenue for 2023 decreased, compared to the prior year, driven by lost business, lower volumes in certain industries within our client base and non-repeating items in the prior year, partially offset by new business ramp.</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129" w:lineRule="exact"/>
        <w:rPr>
          <w:sz w:val="20"/>
          <w:szCs w:val="20"/>
          <w:color w:val="auto"/>
        </w:rPr>
      </w:pPr>
    </w:p>
    <w:p>
      <w:pPr>
        <w:ind w:right="20"/>
        <w:spacing w:after="0" w:line="295" w:lineRule="auto"/>
        <w:rPr>
          <w:sz w:val="20"/>
          <w:szCs w:val="20"/>
          <w:color w:val="auto"/>
        </w:rPr>
      </w:pPr>
      <w:r>
        <w:rPr>
          <w:rFonts w:ascii="Arial" w:cs="Arial" w:eastAsia="Arial" w:hAnsi="Arial"/>
          <w:sz w:val="13"/>
          <w:szCs w:val="13"/>
          <w:color w:val="auto"/>
        </w:rPr>
        <w:t>Commercial segment profit and Adjusted EBITDA for 2024 increased compared to the prior year primarily due to new business ramp and cost efficiencies, partially offset the impact of lost business and lower volumes. Commercial segment profit also benefited from the absence of the prior year impact of a write-off of capitalized software totaling $25 million stemming from management’s decision to abandon an internal use software product and a decision by a customer to not implement a product software solution as well as fully amortized assets.</w:t>
      </w:r>
    </w:p>
    <w:p>
      <w:pPr>
        <w:spacing w:after="0" w:line="74" w:lineRule="exact"/>
        <w:rPr>
          <w:sz w:val="20"/>
          <w:szCs w:val="20"/>
          <w:color w:val="auto"/>
        </w:rPr>
      </w:pPr>
    </w:p>
    <w:p>
      <w:pPr>
        <w:ind w:right="420"/>
        <w:spacing w:after="0" w:line="282" w:lineRule="auto"/>
        <w:rPr>
          <w:sz w:val="20"/>
          <w:szCs w:val="20"/>
          <w:color w:val="auto"/>
        </w:rPr>
      </w:pPr>
      <w:r>
        <w:rPr>
          <w:rFonts w:ascii="Arial" w:cs="Arial" w:eastAsia="Arial" w:hAnsi="Arial"/>
          <w:sz w:val="14"/>
          <w:szCs w:val="14"/>
          <w:color w:val="auto"/>
        </w:rPr>
        <w:t>Commercial segment profit for 2023 decreased compared to the prior year driven by a write-off of capitalized software totaling $25 million described above. Commercial segment Adjusted EBITDA for 2023 was unchanged from the prior year.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Government Segment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29"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Government segment revenue for 2024 decreased, compared to the prior year, attributable to lost business, primarily in our Government Healthcare business, and lower volumes in our Government Services business due to the change in funding mechanism for the Electronic Benefits Transfer ("EBT") programs, partially offset by new business ramp.</w:t>
      </w:r>
    </w:p>
    <w:p>
      <w:pPr>
        <w:spacing w:after="0" w:line="80"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Government segment revenue for 2023 decreased, compared to the prior year, primarily driven by lost business from prior years, non-repeating federal stimulus revenue in the prior year and the impact of an out of period adjustment of $7 million in the first quarter of 2023. These were partially offset by the ramping of new business in Government Healthcare solutions, higher volumes in Government services solutions and a contractual change to a client implementation positively impacting revenue recognition.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129"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Government segment profit and Adjusted EBITDA for 2024 decreased compared to the prior year, primarily due to the impact of lost business and the lower volumes mentioned above and the absence of a $17 million reversal of liabilities due to the settlement of the Cognizant matter in the prior year, partially offset by cost efficiencies.</w:t>
      </w:r>
    </w:p>
    <w:p>
      <w:pPr>
        <w:spacing w:after="0" w:line="80"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Government segment profit for 2023 decreased slightly compared to the prior year and was impacted by lost business, the high margin non-repeating federal stimulus revenue in the prior year and the out of period adjustment in the first quarter of 2023 as well as by higher depreciation driven by the deployment of our new modularized CMdS platform in our Government Healthcare Solutions business.</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Government segment adjusted EBITDA for 2023 decreased slightly compared to the prior year due to the Government segment profit drivers, excluding depreciation, mentioned above. These were partially offset by the $17 million reversal of reserves due to the settlement of the Cognizant matter, a contractual change to a client implementation positively impacting revenue recognition and cost efficiency.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Transportation Segment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29" w:lineRule="exact"/>
        <w:rPr>
          <w:sz w:val="20"/>
          <w:szCs w:val="20"/>
          <w:color w:val="auto"/>
        </w:rPr>
      </w:pPr>
    </w:p>
    <w:p>
      <w:pPr>
        <w:ind w:right="340"/>
        <w:spacing w:after="0" w:line="282" w:lineRule="auto"/>
        <w:rPr>
          <w:sz w:val="20"/>
          <w:szCs w:val="20"/>
          <w:color w:val="auto"/>
        </w:rPr>
      </w:pPr>
      <w:r>
        <w:rPr>
          <w:rFonts w:ascii="Arial" w:cs="Arial" w:eastAsia="Arial" w:hAnsi="Arial"/>
          <w:sz w:val="14"/>
          <w:szCs w:val="14"/>
          <w:color w:val="auto"/>
        </w:rPr>
        <w:t>Transportation revenue for 2024 increased compared to the prior year, primarily driven by the ramp of new business and improved operational performance with fewer delays from extended completion timelines compared to the prior year, partially offset by lost business, a Tolling customer price decrease and lower volumes.</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0" w:name="page41"/>
    <w:bookmarkEnd w:id="4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ind w:right="220"/>
        <w:spacing w:after="0" w:line="265" w:lineRule="auto"/>
        <w:rPr>
          <w:sz w:val="20"/>
          <w:szCs w:val="20"/>
          <w:color w:val="auto"/>
        </w:rPr>
      </w:pPr>
      <w:r>
        <w:rPr>
          <w:rFonts w:ascii="Arial" w:cs="Arial" w:eastAsia="Arial" w:hAnsi="Arial"/>
          <w:sz w:val="14"/>
          <w:szCs w:val="14"/>
          <w:color w:val="auto"/>
        </w:rPr>
        <w:t>Transportation revenue for 2023 decreased compared to the prior year, primarily driven by extended completion timelines on our larger implementations to meet client requirements, which affected the recognition timeframe for revenue, the completion of smaller projects in our Transit solutions service offering and lost business from prior years, partially offset by new business and favorable exchange rate movement, particularly the Euro.</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129"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Transportation segment profit and adjusted EBITDA for 2024 decreased compared to the prior year. This was primarily due to a Tolling contract with decreased price and lower volumes attributable to a portion of the contract not being retained. This was partially offset by improved operational performance and reduced impact from extended implementation timelines compared to the prior year.</w:t>
      </w:r>
    </w:p>
    <w:p>
      <w:pPr>
        <w:spacing w:after="0" w:line="92"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Transportation segment profit, adjusted EBITDA and adjusted EBITDA margin for 2023 all decreased primarily due to extended completion timelines on our larger implementations to meet client requirements, which affected the recognition timeframe for revenue and the completion of smaller projects in our Transit solutions service offering.</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Divestitures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Segment Profit (Loss) and Adjusted EBITDA</w:t>
      </w:r>
    </w:p>
    <w:p>
      <w:pPr>
        <w:spacing w:after="0" w:line="129"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decrease in revenue, segment profit and Adjusted EBITDA for 2024 was due to the BenefitWallet Portfolio, the Curbside Management and Public Safety Solutions businesses and Casualty Claims Solutions businesses being included for a full year in the prior year period whereas their results were only included until the date of their transfer and sale, as applicable, in 2024.</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revenue, segment profit and Adjusted EBITDA for 2023 was primarily due to higher interest rates positively affecting the BenefitWallet business in 2023.</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Unallocated Costs</w:t>
      </w:r>
    </w:p>
    <w:p>
      <w:pPr>
        <w:spacing w:after="0" w:line="131"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Unallocated Costs for 2024 decreased compared to the prior year primarily due to cost savings from insourcing certain technology functions, lower networking and corporate IT costs and lower depreciation costs as certain data center assets became fully depreciated.</w:t>
      </w:r>
    </w:p>
    <w:p>
      <w:pPr>
        <w:spacing w:after="0" w:line="80" w:lineRule="exact"/>
        <w:rPr>
          <w:sz w:val="20"/>
          <w:szCs w:val="20"/>
          <w:color w:val="auto"/>
        </w:rPr>
      </w:pPr>
    </w:p>
    <w:p>
      <w:pPr>
        <w:ind w:right="320"/>
        <w:spacing w:after="0" w:line="282" w:lineRule="auto"/>
        <w:rPr>
          <w:sz w:val="20"/>
          <w:szCs w:val="20"/>
          <w:color w:val="auto"/>
        </w:rPr>
      </w:pPr>
      <w:r>
        <w:rPr>
          <w:rFonts w:ascii="Arial" w:cs="Arial" w:eastAsia="Arial" w:hAnsi="Arial"/>
          <w:sz w:val="14"/>
          <w:szCs w:val="14"/>
          <w:color w:val="auto"/>
        </w:rPr>
        <w:t>Unallocated Costs for 2023 increased compared to the prior year primarily due to the prior year reflecting the recovery of $14 million of defense costs as part of the settlement with insurance carriers relating to the previously disclosed State of Texas matter, and vendor credits earned in the prior year.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Metrics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Metrics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use metrics to evaluate our business, determine the allocation of our resources, make decisions regarding corporate strategies and evaluate forward-looking projections and trends affecting our business. We disclose these metrics to provide transparency in our performance trends. We present certain key metrics, including Signings and Net ARR Activity below. The metrics for all periods presented below have been recast to remove the activity related to the BenefitWallet Portfolio, the Casualty Claims Solutions business and the Curbside Management and Public Safety Solutions businesses.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Signings</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Signings are defined as estimated future revenues from contracts signed during the period, including renewals of existing contracts. Total Contract Value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Annual Contract Value ("ACV") is calculated as TCV divided by the contract term, in months, multiplied by 12 for an annual measure.</w:t>
      </w:r>
    </w:p>
    <w:p>
      <w:pPr>
        <w:spacing w:after="0" w:line="200" w:lineRule="exact"/>
        <w:rPr>
          <w:sz w:val="20"/>
          <w:szCs w:val="20"/>
          <w:color w:val="auto"/>
        </w:rPr>
      </w:pPr>
    </w:p>
    <w:p>
      <w:pPr>
        <w:spacing w:after="0" w:line="24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1" w:name="page42"/>
    <w:bookmarkEnd w:id="4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Signing information for the years ended December 31, 2024 and 2023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24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3"/>
                <w:szCs w:val="13"/>
                <w:color w:val="auto"/>
              </w:rPr>
              <w:t>Year Ended 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color w:val="auto"/>
                <w:w w:val="93"/>
              </w:rPr>
              <w:t>2024 vs. 2023</w:t>
            </w:r>
          </w:p>
        </w:tc>
        <w:tc>
          <w:tcPr>
            <w:tcW w:w="1000" w:type="dxa"/>
            <w:vAlign w:val="bottom"/>
            <w:tcBorders>
              <w:bottom w:val="single" w:sz="8" w:color="auto"/>
            </w:tcBorders>
          </w:tcPr>
          <w:p>
            <w:pPr>
              <w:spacing w:after="0"/>
              <w:rPr>
                <w:sz w:val="14"/>
                <w:szCs w:val="14"/>
                <w:color w:val="auto"/>
              </w:rPr>
            </w:pPr>
          </w:p>
        </w:tc>
      </w:tr>
      <w:tr>
        <w:trPr>
          <w:trHeight w:val="127"/>
        </w:trPr>
        <w:tc>
          <w:tcPr>
            <w:tcW w:w="20" w:type="dxa"/>
            <w:vAlign w:val="bottom"/>
          </w:tcPr>
          <w:p>
            <w:pPr>
              <w:spacing w:after="0"/>
              <w:rPr>
                <w:sz w:val="11"/>
                <w:szCs w:val="11"/>
                <w:color w:val="auto"/>
              </w:rPr>
            </w:pPr>
          </w:p>
        </w:tc>
        <w:tc>
          <w:tcPr>
            <w:tcW w:w="562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860" w:type="dxa"/>
            <w:vAlign w:val="bottom"/>
          </w:tcPr>
          <w:p>
            <w:pPr>
              <w:jc w:val="right"/>
              <w:spacing w:after="0" w:line="127" w:lineRule="exact"/>
              <w:rPr>
                <w:sz w:val="20"/>
                <w:szCs w:val="20"/>
                <w:color w:val="auto"/>
              </w:rPr>
            </w:pPr>
            <w:r>
              <w:rPr>
                <w:rFonts w:ascii="Arial" w:cs="Arial" w:eastAsia="Arial" w:hAnsi="Arial"/>
                <w:sz w:val="13"/>
                <w:szCs w:val="13"/>
                <w:color w:val="auto"/>
              </w:rPr>
              <w:t>2024</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27" w:lineRule="exact"/>
              <w:rPr>
                <w:sz w:val="20"/>
                <w:szCs w:val="20"/>
                <w:color w:val="auto"/>
              </w:rPr>
            </w:pPr>
            <w:r>
              <w:rPr>
                <w:rFonts w:ascii="Arial" w:cs="Arial" w:eastAsia="Arial" w:hAnsi="Arial"/>
                <w:sz w:val="13"/>
                <w:szCs w:val="13"/>
                <w:color w:val="auto"/>
              </w:rPr>
              <w:t>2023</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27" w:lineRule="exact"/>
              <w:rPr>
                <w:sz w:val="20"/>
                <w:szCs w:val="20"/>
                <w:color w:val="auto"/>
              </w:rPr>
            </w:pPr>
            <w:r>
              <w:rPr>
                <w:rFonts w:ascii="Arial" w:cs="Arial" w:eastAsia="Arial" w:hAnsi="Arial"/>
                <w:sz w:val="13"/>
                <w:szCs w:val="13"/>
                <w:color w:val="auto"/>
              </w:rPr>
              <w:t>$</w:t>
            </w:r>
          </w:p>
        </w:tc>
        <w:tc>
          <w:tcPr>
            <w:tcW w:w="1320" w:type="dxa"/>
            <w:vAlign w:val="bottom"/>
            <w:gridSpan w:val="3"/>
          </w:tcPr>
          <w:p>
            <w:pPr>
              <w:ind w:left="20"/>
              <w:spacing w:after="0" w:line="127" w:lineRule="exact"/>
              <w:rPr>
                <w:sz w:val="20"/>
                <w:szCs w:val="20"/>
                <w:color w:val="auto"/>
              </w:rPr>
            </w:pPr>
            <w:r>
              <w:rPr>
                <w:rFonts w:ascii="Arial" w:cs="Arial" w:eastAsia="Arial" w:hAnsi="Arial"/>
                <w:sz w:val="13"/>
                <w:szCs w:val="13"/>
                <w:color w:val="auto"/>
              </w:rPr>
              <w:t>Change</w:t>
            </w:r>
          </w:p>
        </w:tc>
        <w:tc>
          <w:tcPr>
            <w:tcW w:w="1000" w:type="dxa"/>
            <w:vAlign w:val="bottom"/>
          </w:tcPr>
          <w:p>
            <w:pPr>
              <w:jc w:val="right"/>
              <w:ind w:right="337"/>
              <w:spacing w:after="0" w:line="127" w:lineRule="exact"/>
              <w:rPr>
                <w:sz w:val="20"/>
                <w:szCs w:val="20"/>
                <w:color w:val="auto"/>
              </w:rPr>
            </w:pPr>
            <w:r>
              <w:rPr>
                <w:rFonts w:ascii="Arial" w:cs="Arial" w:eastAsia="Arial" w:hAnsi="Arial"/>
                <w:sz w:val="13"/>
                <w:szCs w:val="13"/>
                <w:color w:val="auto"/>
                <w:w w:val="95"/>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62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New business ACV</w:t>
            </w:r>
          </w:p>
        </w:tc>
        <w:tc>
          <w:tcPr>
            <w:tcW w:w="860" w:type="dxa"/>
            <w:vAlign w:val="bottom"/>
            <w:shd w:val="clear" w:color="auto" w:fill="CCEEFF"/>
          </w:tcPr>
          <w:p>
            <w:pPr>
              <w:jc w:val="right"/>
              <w:ind w:right="697"/>
              <w:spacing w:after="0" w:line="149"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485</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97"/>
              <w:spacing w:after="0" w:line="149"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605</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17"/>
              <w:spacing w:after="0" w:line="149"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(120)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(20)%</w:t>
            </w:r>
          </w:p>
        </w:tc>
      </w:tr>
      <w:tr>
        <w:trPr>
          <w:trHeight w:val="198"/>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67"/>
        </w:trPr>
        <w:tc>
          <w:tcPr>
            <w:tcW w:w="2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business TCV</w:t>
            </w:r>
          </w:p>
        </w:tc>
        <w:tc>
          <w:tcPr>
            <w:tcW w:w="86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166"/>
        </w:trPr>
        <w:tc>
          <w:tcPr>
            <w:tcW w:w="20" w:type="dxa"/>
            <w:vAlign w:val="bottom"/>
            <w:tcBorders>
              <w:bottom w:val="single" w:sz="8" w:color="CCEEFF"/>
            </w:tcBorders>
          </w:tcPr>
          <w:p>
            <w:pPr>
              <w:spacing w:after="0"/>
              <w:rPr>
                <w:sz w:val="14"/>
                <w:szCs w:val="14"/>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Renewals TCV</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1,657</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2,059</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(20)%</w:t>
            </w: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Signings</w:t>
            </w:r>
          </w:p>
        </w:tc>
        <w:tc>
          <w:tcPr>
            <w:tcW w:w="86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2,626</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4,163</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(1,537)</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spacing w:after="0" w:line="167" w:lineRule="exact"/>
              <w:rPr>
                <w:sz w:val="20"/>
                <w:szCs w:val="20"/>
                <w:color w:val="auto"/>
              </w:rPr>
            </w:pPr>
            <w:r>
              <w:rPr>
                <w:rFonts w:ascii="Arial" w:cs="Arial" w:eastAsia="Arial" w:hAnsi="Arial"/>
                <w:sz w:val="13"/>
                <w:szCs w:val="13"/>
                <w:color w:val="auto"/>
              </w:rPr>
              <w:t>New business annual recurring revenue (ARR) signings</w:t>
            </w:r>
            <w:r>
              <w:rPr>
                <w:rFonts w:ascii="Arial" w:cs="Arial" w:eastAsia="Arial" w:hAnsi="Arial"/>
                <w:sz w:val="16"/>
                <w:szCs w:val="16"/>
                <w:color w:val="auto"/>
                <w:vertAlign w:val="superscript"/>
              </w:rPr>
              <w:t>(1)</w:t>
            </w:r>
          </w:p>
        </w:tc>
        <w:tc>
          <w:tcPr>
            <w:tcW w:w="86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220"/>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New business non-recurring revenue (NRR) signings</w:t>
            </w:r>
            <w:r>
              <w:rPr>
                <w:rFonts w:ascii="Arial" w:cs="Arial" w:eastAsia="Arial" w:hAnsi="Arial"/>
                <w:sz w:val="16"/>
                <w:szCs w:val="16"/>
                <w:color w:val="auto"/>
                <w:vertAlign w:val="superscript"/>
              </w:rPr>
              <w:t>(2)</w:t>
            </w:r>
          </w:p>
        </w:tc>
        <w:tc>
          <w:tcPr>
            <w:tcW w:w="860" w:type="dxa"/>
            <w:vAlign w:val="bottom"/>
          </w:tcPr>
          <w:p>
            <w:pPr>
              <w:jc w:val="right"/>
              <w:ind w:right="69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9"/>
                <w:szCs w:val="19"/>
                <w:color w:val="auto"/>
              </w:rPr>
            </w:pPr>
          </w:p>
        </w:tc>
        <w:tc>
          <w:tcPr>
            <w:tcW w:w="840" w:type="dxa"/>
            <w:vAlign w:val="bottom"/>
          </w:tcPr>
          <w:p>
            <w:pPr>
              <w:jc w:val="right"/>
              <w:ind w:right="69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589</w:t>
            </w:r>
          </w:p>
        </w:tc>
        <w:tc>
          <w:tcPr>
            <w:tcW w:w="100" w:type="dxa"/>
            <w:vAlign w:val="bottom"/>
          </w:tcPr>
          <w:p>
            <w:pPr>
              <w:spacing w:after="0"/>
              <w:rPr>
                <w:sz w:val="19"/>
                <w:szCs w:val="19"/>
                <w:color w:val="auto"/>
              </w:rPr>
            </w:pP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___________</w:t>
      </w:r>
    </w:p>
    <w:p>
      <w:pPr>
        <w:spacing w:after="0" w:line="48" w:lineRule="exact"/>
        <w:rPr>
          <w:sz w:val="20"/>
          <w:szCs w:val="20"/>
          <w:color w:val="auto"/>
        </w:rPr>
      </w:pPr>
    </w:p>
    <w:p>
      <w:pPr>
        <w:ind w:left="240" w:hanging="237"/>
        <w:spacing w:after="0"/>
        <w:tabs>
          <w:tab w:leader="none" w:pos="240" w:val="left"/>
        </w:tabs>
        <w:numPr>
          <w:ilvl w:val="0"/>
          <w:numId w:val="31"/>
        </w:numPr>
        <w:rPr>
          <w:rFonts w:ascii="Arial" w:cs="Arial" w:eastAsia="Arial" w:hAnsi="Arial"/>
          <w:sz w:val="11"/>
          <w:szCs w:val="11"/>
          <w:i w:val="1"/>
          <w:iCs w:val="1"/>
          <w:color w:val="auto"/>
        </w:rPr>
      </w:pPr>
      <w:r>
        <w:rPr>
          <w:rFonts w:ascii="Arial" w:cs="Arial" w:eastAsia="Arial" w:hAnsi="Arial"/>
          <w:sz w:val="11"/>
          <w:szCs w:val="11"/>
          <w:i w:val="1"/>
          <w:iCs w:val="1"/>
          <w:color w:val="auto"/>
        </w:rPr>
        <w:t>Recurring revenue signings are for new business contracts longer than one year.</w:t>
      </w:r>
    </w:p>
    <w:p>
      <w:pPr>
        <w:spacing w:after="0" w:line="18" w:lineRule="exact"/>
        <w:rPr>
          <w:rFonts w:ascii="Arial" w:cs="Arial" w:eastAsia="Arial" w:hAnsi="Arial"/>
          <w:sz w:val="11"/>
          <w:szCs w:val="11"/>
          <w:i w:val="1"/>
          <w:iCs w:val="1"/>
          <w:color w:val="auto"/>
        </w:rPr>
      </w:pPr>
    </w:p>
    <w:p>
      <w:pPr>
        <w:ind w:left="240" w:hanging="237"/>
        <w:spacing w:after="0"/>
        <w:tabs>
          <w:tab w:leader="none" w:pos="240" w:val="left"/>
        </w:tabs>
        <w:numPr>
          <w:ilvl w:val="0"/>
          <w:numId w:val="31"/>
        </w:numPr>
        <w:rPr>
          <w:rFonts w:ascii="Arial" w:cs="Arial" w:eastAsia="Arial" w:hAnsi="Arial"/>
          <w:sz w:val="11"/>
          <w:szCs w:val="11"/>
          <w:i w:val="1"/>
          <w:iCs w:val="1"/>
          <w:color w:val="auto"/>
        </w:rPr>
      </w:pPr>
      <w:r>
        <w:rPr>
          <w:rFonts w:ascii="Arial" w:cs="Arial" w:eastAsia="Arial" w:hAnsi="Arial"/>
          <w:sz w:val="11"/>
          <w:szCs w:val="11"/>
          <w:i w:val="1"/>
          <w:iCs w:val="1"/>
          <w:color w:val="auto"/>
        </w:rPr>
        <w:t>Non-recurring revenue signings are for contacts shorter than one year.</w:t>
      </w:r>
    </w:p>
    <w:p>
      <w:pPr>
        <w:spacing w:after="0" w:line="117" w:lineRule="exact"/>
        <w:rPr>
          <w:sz w:val="20"/>
          <w:szCs w:val="20"/>
          <w:color w:val="auto"/>
        </w:rPr>
      </w:pPr>
    </w:p>
    <w:p>
      <w:pPr>
        <w:ind w:right="500"/>
        <w:spacing w:after="0" w:line="322" w:lineRule="auto"/>
        <w:rPr>
          <w:sz w:val="20"/>
          <w:szCs w:val="20"/>
          <w:color w:val="auto"/>
        </w:rPr>
      </w:pPr>
      <w:r>
        <w:rPr>
          <w:rFonts w:ascii="Arial" w:cs="Arial" w:eastAsia="Arial" w:hAnsi="Arial"/>
          <w:sz w:val="13"/>
          <w:szCs w:val="13"/>
          <w:color w:val="auto"/>
        </w:rPr>
        <w:t>The total new business pipeline at the end of December 31, 2024 and 2023 was $22.2 billion and $ 22.8 billion, respectively. Total new business pipeline is defined as total new business TCV pipeline of deals in all sell stages. This extends past the next twelve-month period to include total pipeline, excluding the impact of divested business as required.</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ARR Activity</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Net ARR Activity is a metric that is defined as Projected Annual Recurring Revenue ("ARR") for contracts signed in the prior 12 months, less the annualized impact of any client losses, contractual volume and price changes, and other known impacts for which the Company was notified 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non-recurring revenue signings. This metric is not indicative of any specific 12-month timeframe.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Net ARR Activity metric for the trailing twelve months for each of the prior five quarters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36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220" w:type="dxa"/>
            <w:vAlign w:val="bottom"/>
          </w:tcPr>
          <w:p>
            <w:pPr>
              <w:spacing w:after="0"/>
              <w:rPr>
                <w:sz w:val="10"/>
                <w:szCs w:val="10"/>
                <w:color w:val="auto"/>
              </w:rPr>
            </w:pPr>
          </w:p>
        </w:tc>
        <w:tc>
          <w:tcPr>
            <w:tcW w:w="1680" w:type="dxa"/>
            <w:vAlign w:val="bottom"/>
            <w:gridSpan w:val="3"/>
          </w:tcPr>
          <w:p>
            <w:pPr>
              <w:jc w:val="right"/>
              <w:ind w:right="380"/>
              <w:spacing w:after="0"/>
              <w:rPr>
                <w:sz w:val="20"/>
                <w:szCs w:val="20"/>
                <w:color w:val="auto"/>
              </w:rPr>
            </w:pPr>
            <w:r>
              <w:rPr>
                <w:rFonts w:ascii="Arial" w:cs="Arial" w:eastAsia="Arial" w:hAnsi="Arial"/>
                <w:sz w:val="11"/>
                <w:szCs w:val="11"/>
                <w:color w:val="auto"/>
              </w:rPr>
              <w:t>Net ARR activity metric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December 31, 2024</w:t>
            </w: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92</w:t>
            </w:r>
          </w:p>
        </w:tc>
      </w:tr>
      <w:tr>
        <w:trPr>
          <w:trHeight w:val="152"/>
        </w:trPr>
        <w:tc>
          <w:tcPr>
            <w:tcW w:w="20" w:type="dxa"/>
            <w:vAlign w:val="bottom"/>
          </w:tcPr>
          <w:p>
            <w:pPr>
              <w:spacing w:after="0"/>
              <w:rPr>
                <w:sz w:val="13"/>
                <w:szCs w:val="13"/>
                <w:color w:val="auto"/>
              </w:rPr>
            </w:pPr>
          </w:p>
        </w:tc>
        <w:tc>
          <w:tcPr>
            <w:tcW w:w="9360" w:type="dxa"/>
            <w:vAlign w:val="bottom"/>
            <w:gridSpan w:val="2"/>
          </w:tcPr>
          <w:p>
            <w:pPr>
              <w:spacing w:after="0"/>
              <w:rPr>
                <w:sz w:val="20"/>
                <w:szCs w:val="20"/>
                <w:color w:val="auto"/>
              </w:rPr>
            </w:pPr>
            <w:r>
              <w:rPr>
                <w:rFonts w:ascii="Arial" w:cs="Arial" w:eastAsia="Arial" w:hAnsi="Arial"/>
                <w:sz w:val="11"/>
                <w:szCs w:val="11"/>
                <w:color w:val="auto"/>
              </w:rPr>
              <w:t>September 30, 2024</w:t>
            </w:r>
          </w:p>
        </w:tc>
        <w:tc>
          <w:tcPr>
            <w:tcW w:w="220" w:type="dxa"/>
            <w:vAlign w:val="bottom"/>
          </w:tcPr>
          <w:p>
            <w:pPr>
              <w:spacing w:after="0"/>
              <w:rPr>
                <w:sz w:val="13"/>
                <w:szCs w:val="13"/>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1"/>
                <w:szCs w:val="11"/>
                <w:color w:val="auto"/>
              </w:rPr>
              <w:t>46</w:t>
            </w:r>
          </w:p>
        </w:tc>
      </w:tr>
      <w:tr>
        <w:trPr>
          <w:trHeight w:val="160"/>
        </w:trPr>
        <w:tc>
          <w:tcPr>
            <w:tcW w:w="20" w:type="dxa"/>
            <w:vAlign w:val="bottom"/>
            <w:shd w:val="clear" w:color="auto" w:fill="CCEEFF"/>
          </w:tcPr>
          <w:p>
            <w:pPr>
              <w:spacing w:after="0"/>
              <w:rPr>
                <w:sz w:val="13"/>
                <w:szCs w:val="13"/>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June 30, 2024</w:t>
            </w:r>
          </w:p>
        </w:tc>
        <w:tc>
          <w:tcPr>
            <w:tcW w:w="220" w:type="dxa"/>
            <w:vAlign w:val="bottom"/>
            <w:shd w:val="clear" w:color="auto" w:fill="CCEEFF"/>
          </w:tcPr>
          <w:p>
            <w:pPr>
              <w:spacing w:after="0"/>
              <w:rPr>
                <w:sz w:val="13"/>
                <w:szCs w:val="13"/>
                <w:color w:val="auto"/>
              </w:rPr>
            </w:pPr>
          </w:p>
        </w:tc>
        <w:tc>
          <w:tcPr>
            <w:tcW w:w="16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(47)</w:t>
            </w:r>
          </w:p>
        </w:tc>
      </w:tr>
      <w:tr>
        <w:trPr>
          <w:trHeight w:val="152"/>
        </w:trPr>
        <w:tc>
          <w:tcPr>
            <w:tcW w:w="20" w:type="dxa"/>
            <w:vAlign w:val="bottom"/>
          </w:tcPr>
          <w:p>
            <w:pPr>
              <w:spacing w:after="0"/>
              <w:rPr>
                <w:sz w:val="13"/>
                <w:szCs w:val="13"/>
                <w:color w:val="auto"/>
              </w:rPr>
            </w:pPr>
          </w:p>
        </w:tc>
        <w:tc>
          <w:tcPr>
            <w:tcW w:w="9360" w:type="dxa"/>
            <w:vAlign w:val="bottom"/>
            <w:gridSpan w:val="2"/>
          </w:tcPr>
          <w:p>
            <w:pPr>
              <w:spacing w:after="0"/>
              <w:rPr>
                <w:sz w:val="20"/>
                <w:szCs w:val="20"/>
                <w:color w:val="auto"/>
              </w:rPr>
            </w:pPr>
            <w:r>
              <w:rPr>
                <w:rFonts w:ascii="Arial" w:cs="Arial" w:eastAsia="Arial" w:hAnsi="Arial"/>
                <w:sz w:val="11"/>
                <w:szCs w:val="11"/>
                <w:color w:val="auto"/>
              </w:rPr>
              <w:t>March 31, 2024</w:t>
            </w:r>
          </w:p>
        </w:tc>
        <w:tc>
          <w:tcPr>
            <w:tcW w:w="220" w:type="dxa"/>
            <w:vAlign w:val="bottom"/>
          </w:tcPr>
          <w:p>
            <w:pPr>
              <w:spacing w:after="0"/>
              <w:rPr>
                <w:sz w:val="13"/>
                <w:szCs w:val="13"/>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1"/>
                <w:szCs w:val="11"/>
                <w:color w:val="auto"/>
              </w:rPr>
              <w:t>6</w:t>
            </w:r>
          </w:p>
        </w:tc>
      </w:tr>
      <w:tr>
        <w:trPr>
          <w:trHeight w:val="160"/>
        </w:trPr>
        <w:tc>
          <w:tcPr>
            <w:tcW w:w="20" w:type="dxa"/>
            <w:vAlign w:val="bottom"/>
            <w:shd w:val="clear" w:color="auto" w:fill="CCEEFF"/>
          </w:tcPr>
          <w:p>
            <w:pPr>
              <w:spacing w:after="0"/>
              <w:rPr>
                <w:sz w:val="13"/>
                <w:szCs w:val="13"/>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December 31, 2023</w:t>
            </w:r>
          </w:p>
        </w:tc>
        <w:tc>
          <w:tcPr>
            <w:tcW w:w="220" w:type="dxa"/>
            <w:vAlign w:val="bottom"/>
            <w:shd w:val="clear" w:color="auto" w:fill="CCEEFF"/>
          </w:tcPr>
          <w:p>
            <w:pPr>
              <w:spacing w:after="0"/>
              <w:rPr>
                <w:sz w:val="13"/>
                <w:szCs w:val="13"/>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49</w:t>
            </w:r>
          </w:p>
        </w:tc>
      </w:tr>
    </w:tbl>
    <w:p>
      <w:pPr>
        <w:spacing w:after="0" w:line="200" w:lineRule="exact"/>
        <w:rPr>
          <w:sz w:val="20"/>
          <w:szCs w:val="20"/>
          <w:color w:val="auto"/>
        </w:rPr>
      </w:pPr>
    </w:p>
    <w:p>
      <w:pPr>
        <w:spacing w:after="0" w:line="32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2" w:name="page43"/>
    <w:bookmarkEnd w:id="4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Capital Resources and Liquidity</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As of December 31, 2024 and 2023, total cash and cash equivalents were $366 million (of which approximately $140 million was cash in foreign locations) and $498 million (of which approximately $143 million was cash in foreign locations), respectively. We also have a $550 million Revolving Credit Facility for our various cash needs, of which none has been utilized for borrowings and $11 million has been utilized for letters of credit as of December 31, 2024. The amount of borrowings outstanding under the Revolving Credit Facility at each quarter-end may be limited by our leverage covenant. In February 2025, the Company borrowed $50 million under the Revolving Credit Facility for working capital purposes.</w:t>
      </w:r>
    </w:p>
    <w:p>
      <w:pPr>
        <w:spacing w:after="0" w:line="97"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color w:val="auto"/>
        </w:rPr>
        <w:t>As of December 31, 2024, there was a total of $608 million of outstanding borrowings under our Term Loan A and Senior Notes, of which $14 million was due within one year. Additionally, as of December 31, 2024, we had $10 million of finance lease and other debt due within one year. Refer to Note 10 – Debt to the Consolidated Financial Statements for additional information regarding our debt.</w:t>
      </w:r>
    </w:p>
    <w:p>
      <w:pPr>
        <w:spacing w:after="0" w:line="92"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To provide financial flexibility and finance certain investments and projects, we may continue to utilize external financing arrangements. However, we believe that our cash on hand, projected cash flow from operations, sound balance sheet and our Revolving Credit Facility will continue to provide sufficient financial resources to meet our expected business obligations for at least the next twelve months.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Cash Flow Analysis</w:t>
      </w:r>
    </w:p>
    <w:p>
      <w:pPr>
        <w:spacing w:after="0" w:line="131"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The following summarizes our cash flows for the two years ended December 31, 2024, as reported in our Consolidated Statements of Cash Flows in the accompanying Consolidated Financial Statements: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1"/>
                <w:szCs w:val="11"/>
                <w:color w:val="auto"/>
              </w:rPr>
              <w:t>Year Ended December 31,</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64"/>
              <w:spacing w:after="0"/>
              <w:rPr>
                <w:sz w:val="20"/>
                <w:szCs w:val="20"/>
                <w:color w:val="auto"/>
              </w:rPr>
            </w:pPr>
            <w:r>
              <w:rPr>
                <w:rFonts w:ascii="Arial" w:cs="Arial" w:eastAsia="Arial" w:hAnsi="Arial"/>
                <w:sz w:val="11"/>
                <w:szCs w:val="11"/>
                <w:color w:val="auto"/>
              </w:rPr>
              <w:t>Change</w:t>
            </w:r>
          </w:p>
        </w:tc>
      </w:tr>
      <w:tr>
        <w:trPr>
          <w:trHeight w:val="123"/>
        </w:trPr>
        <w:tc>
          <w:tcPr>
            <w:tcW w:w="20" w:type="dxa"/>
            <w:vAlign w:val="bottom"/>
          </w:tcPr>
          <w:p>
            <w:pPr>
              <w:spacing w:after="0"/>
              <w:rPr>
                <w:sz w:val="10"/>
                <w:szCs w:val="10"/>
                <w:color w:val="auto"/>
              </w:rPr>
            </w:pPr>
          </w:p>
        </w:tc>
        <w:tc>
          <w:tcPr>
            <w:tcW w:w="614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60" w:type="dxa"/>
            <w:vAlign w:val="bottom"/>
          </w:tcPr>
          <w:p>
            <w:pPr>
              <w:jc w:val="right"/>
              <w:ind w:right="644"/>
              <w:spacing w:after="0" w:line="123"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jc w:val="right"/>
              <w:ind w:right="644"/>
              <w:spacing w:after="0" w:line="123"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right"/>
              <w:ind w:right="404"/>
              <w:spacing w:after="0" w:line="123" w:lineRule="exact"/>
              <w:rPr>
                <w:sz w:val="20"/>
                <w:szCs w:val="20"/>
                <w:color w:val="auto"/>
              </w:rPr>
            </w:pPr>
            <w:r>
              <w:rPr>
                <w:rFonts w:ascii="Arial" w:cs="Arial" w:eastAsia="Arial" w:hAnsi="Arial"/>
                <w:sz w:val="11"/>
                <w:szCs w:val="11"/>
                <w:color w:val="auto"/>
              </w:rPr>
              <w:t>2024 vs.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cash provided by (used in) operating activities</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w:t>
            </w:r>
          </w:p>
        </w:tc>
      </w:tr>
      <w:tr>
        <w:trPr>
          <w:trHeight w:val="152"/>
        </w:trPr>
        <w:tc>
          <w:tcPr>
            <w:tcW w:w="20" w:type="dxa"/>
            <w:vAlign w:val="bottom"/>
          </w:tcPr>
          <w:p>
            <w:pPr>
              <w:spacing w:after="0"/>
              <w:rPr>
                <w:sz w:val="13"/>
                <w:szCs w:val="13"/>
                <w:color w:val="auto"/>
              </w:rPr>
            </w:pPr>
          </w:p>
        </w:tc>
        <w:tc>
          <w:tcPr>
            <w:tcW w:w="6140" w:type="dxa"/>
            <w:vAlign w:val="bottom"/>
            <w:gridSpan w:val="2"/>
          </w:tcPr>
          <w:p>
            <w:pPr>
              <w:spacing w:after="0"/>
              <w:rPr>
                <w:sz w:val="20"/>
                <w:szCs w:val="20"/>
                <w:color w:val="auto"/>
              </w:rPr>
            </w:pPr>
            <w:r>
              <w:rPr>
                <w:rFonts w:ascii="Arial" w:cs="Arial" w:eastAsia="Arial" w:hAnsi="Arial"/>
                <w:sz w:val="11"/>
                <w:szCs w:val="11"/>
                <w:color w:val="auto"/>
              </w:rPr>
              <w:t>Net cash provided by (used in) investing activities</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795</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888</w:t>
            </w:r>
          </w:p>
        </w:tc>
      </w:tr>
      <w:tr>
        <w:trPr>
          <w:trHeight w:val="160"/>
        </w:trPr>
        <w:tc>
          <w:tcPr>
            <w:tcW w:w="20" w:type="dxa"/>
            <w:vAlign w:val="bottom"/>
            <w:shd w:val="clear" w:color="auto" w:fill="CCEEFF"/>
          </w:tcPr>
          <w:p>
            <w:pPr>
              <w:spacing w:after="0"/>
              <w:rPr>
                <w:sz w:val="13"/>
                <w:szCs w:val="13"/>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cash provided by (used in) financing activities</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(877)</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Operating Activities</w:t>
      </w:r>
    </w:p>
    <w:p>
      <w:pPr>
        <w:spacing w:after="0" w:line="131"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The net decrease in cash flow provided by operating activities of $139 million was primarily related to lower Adjusted EBITDA due to divestitures and higher cash taxes, partially offset by improved accounts receivable Days Sales Outstanding and lower cash interest expense.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Investing Activities</w:t>
      </w:r>
    </w:p>
    <w:p>
      <w:pPr>
        <w:spacing w:after="0" w:line="131"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The increase in cash provided by investing activities of $888 million was primarily due to the proceeds from our 2024 divestitures of $830 million and proceeds from the settlement of the Skyview matter related to notes receivable of $21 million. In addition, there was a planned decrease in capital spending in the current year.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Financing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 increase in cash used in financing activities was mainly driven by the $642 million early repayment of Term Loan B and Term Loan A utilizing funds received from our divestitures.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In addition, $132 million was utilized to purchase all of the common shares owned by the Icahn Parties.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Sales of Accounts Receivable</w:t>
      </w:r>
    </w:p>
    <w:p>
      <w:pPr>
        <w:spacing w:after="0" w:line="131"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The net impact from the sales of accounts receivable on net cash provided by (used in) operating activities for the years ended December 31, 2024, 2023 and 2022 was $7 million, $(4) million and $54 million, respectively. The net impact from the sales of accounts receivable represents the difference between current and prior year fourth quarter accounts receivable sales adjusted for the effects of collections prior to the end of the year.</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Financial Instruments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11 – Financial Instruments to the Consolidated Financial Statements for additional information.</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3" w:name="page44"/>
    <w:bookmarkEnd w:id="4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Material Cash Requirements from Contractual Obligations</w:t>
      </w:r>
    </w:p>
    <w:p>
      <w:pPr>
        <w:spacing w:after="0" w:line="131" w:lineRule="exact"/>
        <w:rPr>
          <w:sz w:val="20"/>
          <w:szCs w:val="20"/>
          <w:color w:val="auto"/>
        </w:rPr>
      </w:pPr>
    </w:p>
    <w:p>
      <w:pPr>
        <w:ind w:right="460"/>
        <w:spacing w:after="0" w:line="282" w:lineRule="auto"/>
        <w:rPr>
          <w:sz w:val="20"/>
          <w:szCs w:val="20"/>
          <w:color w:val="auto"/>
        </w:rPr>
      </w:pPr>
      <w:r>
        <w:rPr>
          <w:rFonts w:ascii="Arial" w:cs="Arial" w:eastAsia="Arial" w:hAnsi="Arial"/>
          <w:sz w:val="14"/>
          <w:szCs w:val="14"/>
          <w:color w:val="auto"/>
        </w:rPr>
        <w:t>We believe our balances of cash and cash equivalents, which totaled $366 million as of December 31, 2024, along with cash generated by operations and amounts available for borrowing under our Revolving Credit Facility, will be sufficient to satisfy our cash requirements over the next 12 months and beyond.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2024, our material cash requirements include the following contractual and other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2024, we had total outstanding debt, including Finance leases, with floating and fixed rates totaling $646 million, of which $24 million was due within 12 months.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Future interest payments associated with this debt, which has maturities through 2029, are forecast to be $192 million, of which $43 million is due within 12 months. Refer to Note 10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Debt to the Consolidated Financial Statements for additional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Leases</w:t>
      </w:r>
    </w:p>
    <w:p>
      <w:pPr>
        <w:spacing w:after="0" w:line="129" w:lineRule="exact"/>
        <w:rPr>
          <w:sz w:val="20"/>
          <w:szCs w:val="20"/>
          <w:color w:val="auto"/>
        </w:rPr>
      </w:pPr>
    </w:p>
    <w:p>
      <w:pPr>
        <w:ind w:right="660"/>
        <w:spacing w:after="0" w:line="282" w:lineRule="auto"/>
        <w:rPr>
          <w:sz w:val="20"/>
          <w:szCs w:val="20"/>
          <w:color w:val="auto"/>
        </w:rPr>
      </w:pPr>
      <w:r>
        <w:rPr>
          <w:rFonts w:ascii="Arial" w:cs="Arial" w:eastAsia="Arial" w:hAnsi="Arial"/>
          <w:sz w:val="14"/>
          <w:szCs w:val="14"/>
          <w:color w:val="auto"/>
        </w:rPr>
        <w:t>In the ordinary course of business, we enter into operating lease arrangements for certain equipment and facilities. As of December 31, 2024, total fixed lease payables were $226 million, of which $65 million was due within 12 months. Refer to Note 6 – Leases to the Consolidated Financial Statements for additional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Estimated Purchase Commitments</w:t>
      </w:r>
    </w:p>
    <w:p>
      <w:pPr>
        <w:spacing w:after="0" w:line="129"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We have committed to purchasing certain materials and services to support our operations. The total of these commitments was $348 million as of December 31, 2024, of which $147 million is due within the next 12 months.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Contingencies and Commitments</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As more fully discussed in Note 15 – Contingencies and Litigation to the Consolidated Financial Statements, we are involved in a variety of claims, lawsuits, investigations and proceedings concerning: securities law; governmental entity contracting, servicing and procurement law; intellectual property law; employment law; the Employee Retirement Income Security Act ("ERISA"); and other laws and regulations. In addition, guarantees, indemnifications and claims may arise during the ordinary course of business from relationships with suppliers and customers. Nonperformance under a contract including a guarantee, indemnification or claim could trigger an obligation of the Company.</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We determine whether an estimated loss from a contingency should be accrued by assessing whether a loss is deemed probable and can be reasonably estimated. Should developments in any of these areas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 Refer to Note 15 – Contingencies and Litigation to the Consolidated Financial Statements for additional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Off-Balance Sheet Arrangements</w:t>
      </w:r>
    </w:p>
    <w:p>
      <w:pPr>
        <w:spacing w:after="0" w:line="131" w:lineRule="exact"/>
        <w:rPr>
          <w:sz w:val="20"/>
          <w:szCs w:val="20"/>
          <w:color w:val="auto"/>
        </w:rPr>
      </w:pPr>
    </w:p>
    <w:p>
      <w:pPr>
        <w:ind w:right="300"/>
        <w:spacing w:after="0" w:line="282" w:lineRule="auto"/>
        <w:rPr>
          <w:sz w:val="20"/>
          <w:szCs w:val="20"/>
          <w:color w:val="auto"/>
        </w:rPr>
      </w:pPr>
      <w:r>
        <w:rPr>
          <w:rFonts w:ascii="Arial" w:cs="Arial" w:eastAsia="Arial" w:hAnsi="Arial"/>
          <w:sz w:val="14"/>
          <w:szCs w:val="14"/>
          <w:color w:val="auto"/>
        </w:rPr>
        <w:t>As of December 31, 2024, we do not believe we have any off-balance sheet arrangements that have, or are reasonably likely to have, a material current or future effect on financial condition, changes in financial condition, revenues or expenses, results of operations, liquidity, capital expenditures or capital resources.</w:t>
      </w:r>
    </w:p>
    <w:p>
      <w:pPr>
        <w:spacing w:after="0" w:line="80" w:lineRule="exact"/>
        <w:rPr>
          <w:sz w:val="20"/>
          <w:szCs w:val="20"/>
          <w:color w:val="auto"/>
        </w:rPr>
      </w:pPr>
    </w:p>
    <w:p>
      <w:pPr>
        <w:ind w:right="360"/>
        <w:spacing w:after="0" w:line="282" w:lineRule="auto"/>
        <w:rPr>
          <w:sz w:val="20"/>
          <w:szCs w:val="20"/>
          <w:color w:val="auto"/>
        </w:rPr>
      </w:pPr>
      <w:r>
        <w:rPr>
          <w:rFonts w:ascii="Arial" w:cs="Arial" w:eastAsia="Arial" w:hAnsi="Arial"/>
          <w:sz w:val="14"/>
          <w:szCs w:val="14"/>
          <w:color w:val="auto"/>
        </w:rPr>
        <w:t>In addition, refer to the preceding discussion of the Company's contractual cash obligations and other commercial commitments and Note 15 – Contingencies and Litigation to the Consolidated Financial Statements for additional information regarding contingencies, guarantees and indemnifications.</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4" w:name="page45"/>
    <w:bookmarkEnd w:id="4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Critical Accounting Estimates and Policies</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of America ("U.S. GAAP") requires us to make estimates and assumptions in certain circumstances that affect amounts reported in the accompanying Consolidated Financial Statements and notes thereto. In preparing our Consolidated Financial Statements, we have made our best estimates and judgments of certain amounts included in the Consolidated Financial Statements giving due consideration to materiality. However, application of these accounting policies involves the exercise of judgment and use of assumptions as to future uncertainties and, as a result, actual results could differ from these estimates. Senior management has discussed the development and selection of the critical accounting policies, estimates and related disclosures included herein with the Audit Committee of the Board of Directors. We consider these as critical to understanding our Consolidated Financial Statements, as their application places the most significant demands on management's judgment, since financial reporting results rely on estimates of the effects of matters that are inherently uncertain. In instances where different estimates could have reasonably been used, we disclose the impact of these different estimates on our operations. In certain instances, the accounting rules are prescriptive; therefore, it would not have been possible to reasonably use different estimates. Changes in assumptions and estimates are reflected in the period in which they occur. The impact of such changes could be material to our results of operations and financial condition in any quarterly or annual period.</w:t>
      </w:r>
    </w:p>
    <w:p>
      <w:pPr>
        <w:spacing w:after="0" w:line="10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Specific risks associated with these critical accounting policies are discussed in MD&amp;A, where such policies affect our reported and expected financial results. For a detailed discussion of the application of these and other accounting policies, refer to Note 1 – Basis of Presentation and Summary of Significant Accounting Policies to the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 Recognition</w:t>
      </w:r>
    </w:p>
    <w:p>
      <w:pPr>
        <w:spacing w:after="0" w:line="131"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Application of the accounting principles in U.S. GAAP related to the measurement and recognition of revenue requires us to make judgments and estimates. Complex arrangements with nonstandard terms and conditions may require significant contract interpretation to determine the appropriate accounting. Refer to Note 1 – Basis of Presentation and Summary of Significant Accounting Policies and Note 2 – Revenue to the Consolidated Financial Statements for additional information regarding our revenue recognition policies.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Goodwill is not amortized but rather tested for impairment annually, or more frequently if an event or circumstance indicates that impairment may have been incurred. Events or circumstances that might indicate an interim evaluation is warranted include, among other things, unexpected adverse business conditions, macro and reporting unit specific economic factors, supply costs, unanticipated adverse events or conditions impacting revenues, cash flows or profitability, unanticipated competitive activities and acts by governments and courts. Refer to Note 1 – Basis of Presentation and Summary of Significant Accounting Policies and Note 7 – Goodwill and Intangible Assets, Net to the Consolidated Financial Statements for additional information regarding our goodwill policies.</w:t>
      </w:r>
    </w:p>
    <w:p>
      <w:pPr>
        <w:spacing w:after="0" w:line="100" w:lineRule="exact"/>
        <w:rPr>
          <w:sz w:val="20"/>
          <w:szCs w:val="20"/>
          <w:color w:val="auto"/>
        </w:rPr>
      </w:pPr>
    </w:p>
    <w:p>
      <w:pPr>
        <w:jc w:val="both"/>
        <w:ind w:right="280"/>
        <w:spacing w:after="0" w:line="265" w:lineRule="auto"/>
        <w:rPr>
          <w:sz w:val="20"/>
          <w:szCs w:val="20"/>
          <w:color w:val="auto"/>
        </w:rPr>
      </w:pPr>
      <w:r>
        <w:rPr>
          <w:rFonts w:ascii="Arial" w:cs="Arial" w:eastAsia="Arial" w:hAnsi="Arial"/>
          <w:sz w:val="14"/>
          <w:szCs w:val="14"/>
          <w:color w:val="auto"/>
        </w:rPr>
        <w:t>Application of the interim and annual goodwill impairment test requires judgment, including the identification of reporting units, assignment of assets and liabilities to reporting units, assignment of goodwill to reporting units and the assessment of the fair value of each reporting unit. We currently have three reporting units which correlate to our three reportable segments: Commercial, Government and Transportation.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Annual Goodwill Impairment Evaluation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Our annual quantitative impairment test of goodwill was performed as of October 1, 2024.</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Goodwill is tested for impairment using a qualitative assessment and/or a quantitative assessment. In our quantitative assessment, we estimate the fair value of each reporting unit by weighting the results from the Income Approach (discounted cash flow methodology) and Market Approach. The Income Approach utilizes a discounted cash flow analysis based upon the forecasted future business results of its reporting units. The Market Approach utilizes the guideline public company method. These valuation approaches require significant judgment and consider several factors that include, but are not limited to, expected future cash flows, growth rates and discount rates and comparable multiples from publicly traded companies in our industry. In addition, we are required to make certain assumptions and estimates regarding the current economic environment, industry factors and the future profitability of our businesses.</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5" w:name="page46"/>
    <w:bookmarkEnd w:id="4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When performing our discounted cash flow analysis for each reporting unit, we incorporate the use of projected financial information and discount rates that are developed using market participant-based assumptions. The cash-flow projections are based on three-year financial forecasts developed by management that include revenue and expense projections, restructuring activities, capital spending trends and investment in working capital to support anticipated revenue growth or other changes in the business. The selected discount rates consider the risk and nature of the respective reporting units' cash flows, appropriate capital structure and rates of return that market participants would require to invest their capital in our reporting units.</w:t>
      </w:r>
    </w:p>
    <w:p>
      <w:pPr>
        <w:spacing w:after="0" w:line="100"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We believe these assumptions are appropriate and reflect our forecasted long-term business model and consider our historical results as well as the current economic environment and markets that we serve. The most significant assumptions used in the goodwill analysis relate to discount rates and long-term organic growth rates.</w:t>
      </w:r>
    </w:p>
    <w:p>
      <w:pPr>
        <w:spacing w:after="0" w:line="80" w:lineRule="exact"/>
        <w:rPr>
          <w:sz w:val="20"/>
          <w:szCs w:val="20"/>
          <w:color w:val="auto"/>
        </w:rPr>
      </w:pPr>
    </w:p>
    <w:p>
      <w:pPr>
        <w:spacing w:after="0" w:line="275" w:lineRule="auto"/>
        <w:rPr>
          <w:sz w:val="20"/>
          <w:szCs w:val="20"/>
          <w:color w:val="auto"/>
        </w:rPr>
      </w:pPr>
      <w:r>
        <w:rPr>
          <w:rFonts w:ascii="Arial" w:cs="Arial" w:eastAsia="Arial" w:hAnsi="Arial"/>
          <w:sz w:val="13"/>
          <w:szCs w:val="13"/>
          <w:color w:val="auto"/>
        </w:rPr>
        <w:t>Based on our quantitative assessments, we concluded that the fair value of our Government reporting unit exceeded its carrying value and, accordingly, we did not record any goodwill impairment charge as a result of our annual quantitative impairment test of goodwill for this reporting unit. If we used different assumptions for discount rates or long-term organic growth rates in this annual assessment, our calculated fair values of our Government reporting unit could be higher or lower which could result in a goodwill impairment. Refer to Note 7</w:t>
      </w:r>
    </w:p>
    <w:p>
      <w:pPr>
        <w:ind w:right="220"/>
        <w:spacing w:after="0" w:line="261" w:lineRule="auto"/>
        <w:rPr>
          <w:sz w:val="20"/>
          <w:szCs w:val="20"/>
          <w:color w:val="auto"/>
        </w:rPr>
      </w:pPr>
      <w:r>
        <w:rPr>
          <w:rFonts w:ascii="Arial" w:cs="Arial" w:eastAsia="Arial" w:hAnsi="Arial"/>
          <w:sz w:val="14"/>
          <w:szCs w:val="14"/>
          <w:color w:val="auto"/>
        </w:rPr>
        <w:t>– Goodwill and Intangible Assets, Net to the Consolidated Financial Statements for additional information on the impairment of the remaining goodwill in our Transportation reporting unit.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131" w:lineRule="exact"/>
        <w:rPr>
          <w:sz w:val="20"/>
          <w:szCs w:val="20"/>
          <w:color w:val="auto"/>
        </w:rPr>
      </w:pPr>
    </w:p>
    <w:p>
      <w:pPr>
        <w:ind w:right="200"/>
        <w:spacing w:after="0" w:line="256" w:lineRule="auto"/>
        <w:rPr>
          <w:sz w:val="20"/>
          <w:szCs w:val="20"/>
          <w:color w:val="auto"/>
        </w:rPr>
      </w:pPr>
      <w:r>
        <w:rPr>
          <w:rFonts w:ascii="Arial" w:cs="Arial" w:eastAsia="Arial" w:hAnsi="Arial"/>
          <w:sz w:val="14"/>
          <w:szCs w:val="14"/>
          <w:color w:val="auto"/>
        </w:rPr>
        <w:t>We are subject to income taxes in the United States and numerous foreign jurisdictions. The determination of our provision for income taxes requires significant judgment, the use of estimates and the interpretation and application of complex tax laws. Our provision is based on nonrecurring events as well as recurring factors, including the taxation of foreign income. In addition, our provision will change based on discrete or other nonrecurring events such as audit settlements, tax law changes, changes in valuation allowances and other factors, that may not be predictable. In the event there is a significant unusual or one-time item recognized in our operating results, the taxes attributable to that item would be separately calculated and recorded at the same time as the unusual or one-time item.</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record the estimated future tax effects of temporary differences between the tax bases of assets and liabilities and amounts reported in our Consolidated Balance Sheets, as well as operating loss and tax credit carryforwards. We follow very specific and detailed guidelines in each tax jurisdiction regarding the recoverability of any tax assets recorded in our Consolidated Balance Sheets and provide valuation allowances as required. We regularly review our deferred tax assets for recoverability considering historical profitability, projected future taxable income, the expected timing of the reversals of existing temporary differences and tax planning strategies. Gross deferred tax assets of $241 million and $253 million had valuation allowances of $95 million and $100 million at December 31, 2024 and 2023, respectively.</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are subject to ongoing tax examinations and assessments in various jurisdictions. Accordingly, we may incur additional tax expense based upon our assessment of the more-likely-than-not outcomes of such matters. In addition, when applicable, we adjust previously recorded tax expense to reflect examination results. Our ongoing assessments of the more-likely-than-not outcomes of examinations and related tax positions require judgment and can materially increase or decrease our effective tax rate, as well as impact our operating results. Unrecognized tax benefits were $19 million, $10 million and $12 million at December 31, 2024, 2023 and 2022,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14 – Income Taxes to the Consolidated Financial Statements for additional information regarding deferred income taxes and unrecognized tax benefits.</w:t>
      </w:r>
    </w:p>
    <w:p>
      <w:pPr>
        <w:spacing w:after="0" w:line="200" w:lineRule="exact"/>
        <w:rPr>
          <w:sz w:val="20"/>
          <w:szCs w:val="20"/>
          <w:color w:val="auto"/>
        </w:rPr>
      </w:pPr>
    </w:p>
    <w:p>
      <w:pPr>
        <w:spacing w:after="0" w:line="27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6" w:name="page47"/>
    <w:bookmarkEnd w:id="4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Loss Contingencies</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We are currently involved in various claims and legal proceedings. At least quarterly, we review the status of each significant matter and assess its potential financial exposure considering all available information including, but not limited to, the impact of negotiations, settlements, rulings, advice of legal counsel and other updated information and events pertaining to a particular matter. If the potential loss from any claim or legal proceeding is considered probable and the amount can be reasonably estimated, we accrue a liability for the estimated loss. The estimated losses are recorded within Litigation settlements (recoveries), net in the Company's income statement.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revise estimates. These revisions in the estimates of the potential liabilities could have a material impact on the results of operations and financial position. Our policy is to expense legal defense costs related to such matters as incurred. These costs are recorded within Selling, general and administrative expenses in the Company's income statement. Any insurance recoveries for litigation settlements and defense costs are recorded when such recoveries are deemed probable and collectability is reasonably assured. Such recoveries are recorded in the same financial statement line as the related costs to which the recoveries relate.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15 – Contingencies and Litigation to the Consolidated Financial Statements for additional information regarding loss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Recent Accounting Changes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See Note 1 – Basis of Presentation and Summary of Significant Accounting Policies for information on accounting standards adopted during the current year, as well as recently issued accounting standards not yet required to be adopted and the expected impact of the adoption of these accounting standards. To the extent we believe the adoption of new accounting standards has had or will have a material impact on our consolidated results of operations, financial condition or liquidity, we also discuss the impact in the applicable section(s) of this MD&amp;A.</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Non-GAAP Financial Measures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We report our financial results in accordance with U.S. GAAP. In addition, within this Form 10-K Part II Item 7 we have discussed our financial results using non-GAAP measures.</w:t>
      </w:r>
    </w:p>
    <w:p>
      <w:pPr>
        <w:spacing w:after="0" w:line="131"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compared to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and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spacing w:after="0" w:line="104"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A reconciliation of the non-GAAP financial measures Adjusted EBITDA and EBITDA Margin to the most directly comparable financial measures calculated and presented in accordance with U.S. GAAP are provided in the Segment Performance Review above.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Adjusted EBITDA and Adjusted EBITDA Margin</w:t>
      </w:r>
    </w:p>
    <w:p>
      <w:pPr>
        <w:spacing w:after="0" w:line="131" w:lineRule="exact"/>
        <w:rPr>
          <w:sz w:val="20"/>
          <w:szCs w:val="20"/>
          <w:color w:val="auto"/>
        </w:rPr>
      </w:pPr>
    </w:p>
    <w:p>
      <w:pPr>
        <w:ind w:right="320"/>
        <w:spacing w:after="0" w:line="282" w:lineRule="auto"/>
        <w:rPr>
          <w:sz w:val="20"/>
          <w:szCs w:val="20"/>
          <w:color w:val="auto"/>
        </w:rPr>
      </w:pPr>
      <w:r>
        <w:rPr>
          <w:rFonts w:ascii="Arial" w:cs="Arial" w:eastAsia="Arial" w:hAnsi="Arial"/>
          <w:sz w:val="14"/>
          <w:szCs w:val="14"/>
          <w:color w:val="auto"/>
        </w:rPr>
        <w:t>We use Adjusted EBITDA and Adjusted EBITDA Margin as an additional way of assessing certain aspects of our operations that, when viewed with the U.S. GAAP results and the accompanying reconciliations to corresponding U.S. GAAP financial measures, provide a more complete understanding of our on-going business. Adjusted EBITDA</w:t>
      </w:r>
    </w:p>
    <w:p>
      <w:pPr>
        <w:spacing w:after="0" w:line="34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7" w:name="page48"/>
    <w:bookmarkEnd w:id="4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400"/>
        <w:spacing w:after="0" w:line="279" w:lineRule="auto"/>
        <w:rPr>
          <w:sz w:val="20"/>
          <w:szCs w:val="20"/>
          <w:color w:val="auto"/>
        </w:rPr>
      </w:pPr>
      <w:r>
        <w:rPr>
          <w:rFonts w:ascii="Arial" w:cs="Arial" w:eastAsia="Arial" w:hAnsi="Arial"/>
          <w:sz w:val="14"/>
          <w:szCs w:val="14"/>
          <w:color w:val="auto"/>
        </w:rPr>
        <w:t>Margin is Adjusted EBITDA divided by revenue. Adjusted EBITDA represents income (loss) before interest, income taxes, depreciation and amortization and contract inducement amortization adjusted for the following items:</w:t>
      </w:r>
    </w:p>
    <w:p>
      <w:pPr>
        <w:spacing w:after="0" w:line="1" w:lineRule="exact"/>
        <w:rPr>
          <w:sz w:val="20"/>
          <w:szCs w:val="20"/>
          <w:color w:val="auto"/>
        </w:rPr>
      </w:pPr>
    </w:p>
    <w:p>
      <w:pPr>
        <w:ind w:left="500" w:right="660" w:hanging="247"/>
        <w:spacing w:after="0" w:line="279" w:lineRule="auto"/>
        <w:tabs>
          <w:tab w:leader="none" w:pos="496" w:val="left"/>
        </w:tabs>
        <w:numPr>
          <w:ilvl w:val="0"/>
          <w:numId w:val="33"/>
        </w:numPr>
        <w:rPr>
          <w:rFonts w:ascii="Arial" w:cs="Arial" w:eastAsia="Arial" w:hAnsi="Arial"/>
          <w:sz w:val="14"/>
          <w:szCs w:val="14"/>
          <w:color w:val="auto"/>
        </w:rPr>
      </w:pPr>
      <w:r>
        <w:rPr>
          <w:rFonts w:ascii="Arial" w:cs="Arial" w:eastAsia="Arial" w:hAnsi="Arial"/>
          <w:sz w:val="14"/>
          <w:szCs w:val="14"/>
          <w:color w:val="auto"/>
        </w:rPr>
        <w:t>Amortization of acquired intangible assets. The amortization of acquired intangible assets is driven by acquisition activity, which can vary in size, nature and timing as compared to other companies within our industry and from period to period.</w:t>
      </w:r>
    </w:p>
    <w:p>
      <w:pPr>
        <w:ind w:left="500" w:right="880" w:hanging="247"/>
        <w:spacing w:after="0" w:line="279" w:lineRule="auto"/>
        <w:tabs>
          <w:tab w:leader="none" w:pos="496"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Restructuring and related costs. Restructuring and related costs include restructuring and asset impairment charges as well as costs associated with our strategic transformation program.</w:t>
      </w:r>
    </w:p>
    <w:p>
      <w:pPr>
        <w:ind w:left="500" w:hanging="247"/>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Goodwill impairment. This represents goodwill impairment charges arising from annual or interim goodwill testing.</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(Gain) loss on divestitures and transaction costs. Represents (gain) loss on divested businesses and transaction costs.</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Litigation settlements (recoveries), net represents settlements or recoveries for various matters subject to litigation.</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Loss on extinguishment of debt. This represents write-off of debt issuance costs related to prepayments of debt.</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 charges (credits). This includes Other (income) expenses, net on the Consolidated Statements of Income (loss) and other adjustments.</w:t>
      </w:r>
    </w:p>
    <w:p>
      <w:pPr>
        <w:spacing w:after="0" w:line="131"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Adjusted EBITDA is not intended to represent cash flows from operations, operating income (loss) or net income (loss) as defined by U.S. GAAP as indicators of operating performance. Management cautions that amounts presented in accordance with Conduent's definition of Adjusted EBITDA and Adjusted EBITDA Margin may not be comparable to similar measures disclosed by other companies because not all companies calculate Adjusted EBITDA and Adjusted EBITDA Margin in the same manner.</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8" w:name="page49"/>
    <w:bookmarkEnd w:id="4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66CC"/>
        </w:rPr>
        <w:t>ITEM 7A. QUANTITATIVE AND QUALITATIVE DISCLOSURES ABOUT MARKET RISK</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Market Risk</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We are exposed to market risk from foreign currency exchange rates, which could affect operating results, financial position and cash flows. We manage our exposure to this market risk through our regular operating and financing activities and, when appropriate, using derivative financial instruments. We utilized derivative financial instruments to hedge economic exposures, as well as reduce earnings and cash flow volatility resulting from shifts in market rates. We also hedge the cost to fund material non-dollar entities by buying currencies periodically in advance of the funding date. This is accounted for using derivative accounting.</w:t>
      </w:r>
    </w:p>
    <w:p>
      <w:pPr>
        <w:spacing w:after="0" w:line="97"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Recent market events have not caused us to materially modify or change our financial risk management strategies with respect to our exposures to foreign currency risk. Refer to Note 11 – Financial Instruments to the Consolidated Financial Statements for additional discussion on our financial risk management.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Foreign Exchange Risk Management</w:t>
      </w:r>
    </w:p>
    <w:p>
      <w:pPr>
        <w:spacing w:after="0" w:line="131"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Assuming a 10% appreciation or depreciation in foreign currency exchange rates from the quoted foreign currency exchange rates at December 31, 2024, the potential change in the fair value of foreign currency-denominated assets and liabilities in each entity would not be significant because all material currency asset and liability exposures were economically hedged as of December 31, 2024. A 10% appreciation or depreciation of the U.S. Dollar against all currencies from the quoted foreign currency exchange rates at December 31, 2024 would have an impact on our cumulative translation adjustment portion of equity of approximately $53 million. The net amount invested in foreign subsidiaries and affiliates, primarily in the U.K. and Europe, and translated into U.S. Dollars using the year-end exchange rates, was approximately $525 million at December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 Rate Risk Management</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The consolidated weighted-average interest rates related to our total debt for 2024 approximated 9.37% for Term Loan A, 6.20% for the Senior Notes and 8.70% for finance lease obligations. As of December 31, 2024, we did not have any borrowings outstanding under our 2021 Revolving Credit Facility maturing 2026. As of December 31, 2024, $88 million of our total debt of $646 million carried variable interest rates. The fair values of our fixed rate financial instruments are sensitive to changes in interest rates and at December 31, 2024, a 10% increase in market interest rates would decrease the fair values of such financial instruments by approximately $15 million. A 10% decrease in market interest rates would increase the fair values of such financial instruments by approximately $15 million.</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9" w:name="page50"/>
    <w:bookmarkEnd w:id="4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8. FINANCIAL STATEMENTS AND SUPPLEMENTARY DATA</w:t>
      </w:r>
    </w:p>
    <w:p>
      <w:pPr>
        <w:spacing w:after="0" w:line="186" w:lineRule="exact"/>
        <w:rPr>
          <w:sz w:val="20"/>
          <w:szCs w:val="20"/>
          <w:color w:val="auto"/>
        </w:rPr>
      </w:pPr>
    </w:p>
    <w:p>
      <w:pPr>
        <w:ind w:left="37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Conduent Incorporated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129"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auto"/>
        </w:rPr>
        <w:t xml:space="preserve">We have audited the accompanying consolidated balance sheets of Conduent Incorporated and its subsidiaries (the "Company") as of December 31, 2024 and 2023, and the related consolidated statements of income (loss), of comprehensive income (loss), of shareholders' equity and of cash flows for each of the three years in the period ended December 31, 2024, including the related notes and schedule of valuation and qualifying accounts for each of the three years in the period ended December 31, 2024 appearing under Item 15(a)(2) (collectively referred to as the "consolidated financial statements"). We also have audited the Company's internal control over financial reporting as of December 31, 2024,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(2013) issued by the Committee of Sponsoring Organizations of the Treadway Commission (COSO).</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2"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0" w:name="page51"/>
    <w:bookmarkEnd w:id="5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0" w:lineRule="exact"/>
        <w:rPr>
          <w:sz w:val="20"/>
          <w:szCs w:val="20"/>
          <w:color w:val="auto"/>
        </w:rPr>
      </w:pPr>
    </w:p>
    <w:p>
      <w:pPr>
        <w:spacing w:after="0" w:line="322"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129" w:lineRule="exact"/>
        <w:rPr>
          <w:sz w:val="20"/>
          <w:szCs w:val="20"/>
          <w:color w:val="auto"/>
        </w:rPr>
      </w:pPr>
    </w:p>
    <w:p>
      <w:pPr>
        <w:ind w:right="200"/>
        <w:spacing w:after="0" w:line="285"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Recognition of a Built-in Capital Loss Related to the Internal Reorganization of the Top Tier Foreign Holding Company</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As described in Note 14 to the consolidated financial statements, the Company recorded a tax provision of $78 million for the year ended December 31, 2024. In the fourth quarter of 2024, the Company implemented an internal reorganization in which it sold a portion of its top tier foreign holding company to a lower tier subsidiary. This transaction and a subsequent tax election to treat the holding company as a partnership resulted in recognition of a built-in capital loss for tax purposes that offset capital gains from divestitures, resulting in net tax savings of $59 million. The determination of the tax characteristic of this transaction requires management to make judgments about the application of tax laws and regulations. The United States Internal Revenue Service could determine a different tax treatment that would have an adverse impact on the Company.</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principal considerations for our determination that performing procedures relating to the recognition of a built-in capital loss related to the internal reorganization of the top tier foreign holding company is a critical audit matter are (i) the significant judgment by management in applying tax laws and regulations in determining the built-in capital loss to be recognized related to the internal reorganization; (ii) a high degree of auditor judgment, subjectivity, and effort in performing procedures and evaluating audit evidence related to the built-in capital loss recognized related to the internal reorganization based on management’s application of tax laws and regulations; and (iii) the audit effort involved the use of professionals with specialized skill and knowledge.</w:t>
      </w:r>
    </w:p>
    <w:p>
      <w:pPr>
        <w:spacing w:after="0" w:line="100"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Addressing the matter involved performing procedures and evaluating audit evidence in connection with forming our overall opinion on the consolidated financial statements. These procedures included testing the effectiveness of controls relating to accounting for income taxes, including management’s judgments in applying tax laws and regulations in determining the built-in capital loss to be recognized related to the internal reorganization. These procedures also included among others (i) evaluating the step-plan for the internal reorganization;</w:t>
      </w:r>
    </w:p>
    <w:p>
      <w:pPr>
        <w:ind w:right="60" w:firstLine="3"/>
        <w:spacing w:after="0" w:line="254" w:lineRule="auto"/>
        <w:tabs>
          <w:tab w:leader="none" w:pos="193" w:val="left"/>
        </w:tabs>
        <w:numPr>
          <w:ilvl w:val="0"/>
          <w:numId w:val="34"/>
        </w:numPr>
        <w:rPr>
          <w:rFonts w:ascii="Arial" w:cs="Arial" w:eastAsia="Arial" w:hAnsi="Arial"/>
          <w:sz w:val="14"/>
          <w:szCs w:val="14"/>
          <w:color w:val="auto"/>
        </w:rPr>
      </w:pPr>
      <w:r>
        <w:rPr>
          <w:rFonts w:ascii="Arial" w:cs="Arial" w:eastAsia="Arial" w:hAnsi="Arial"/>
          <w:sz w:val="14"/>
          <w:szCs w:val="14"/>
          <w:color w:val="auto"/>
        </w:rPr>
        <w:t>evaluating management’s assessment of whether the internal reorganization qualifies for recognition of a built-in capital loss; and (iii) evaluating third-party opinions used by management to support recognition of the built-in capital loss related to the internal reorganization. Professionals with specialized skill and knowledge were used to assist in evaluating management’s judgments in applying relevant tax laws and regulations in determining the built-in capital loss to be recognized related to the internal reorganization.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409448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94480" cy="63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Florham Park, New Jersey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19, 2025</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2016.</w:t>
      </w:r>
    </w:p>
    <w:p>
      <w:pPr>
        <w:spacing w:after="0" w:line="349"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1" w:name="page52"/>
    <w:bookmarkEnd w:id="5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REPORTS OF MANAGEMENT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Management's Responsibility for Financial Statements</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Our management is responsible for the integrity and objectivity of all information presented in this annual report.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w:t>
      </w:r>
    </w:p>
    <w:p>
      <w:pPr>
        <w:spacing w:after="0" w:line="159" w:lineRule="exact"/>
        <w:rPr>
          <w:sz w:val="20"/>
          <w:szCs w:val="20"/>
          <w:color w:val="auto"/>
        </w:rPr>
      </w:pPr>
    </w:p>
    <w:p>
      <w:pPr>
        <w:ind w:right="400"/>
        <w:spacing w:after="0" w:line="259" w:lineRule="auto"/>
        <w:rPr>
          <w:sz w:val="20"/>
          <w:szCs w:val="20"/>
          <w:color w:val="auto"/>
        </w:rPr>
      </w:pPr>
      <w:r>
        <w:rPr>
          <w:rFonts w:ascii="Arial" w:cs="Arial" w:eastAsia="Arial" w:hAnsi="Arial"/>
          <w:sz w:val="14"/>
          <w:szCs w:val="14"/>
          <w:color w:val="auto"/>
        </w:rPr>
        <w:t>The Audit Committee of the Board of Directors, which is composed solely of independent directors, meets regularly with the independent registered public accountants,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registered public accountants. The independent registered public accountants and internal auditors have free access to the Audit Committee.</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1960" w:type="dxa"/>
            <w:vAlign w:val="bottom"/>
          </w:tcPr>
          <w:p>
            <w:pPr>
              <w:ind w:left="1680"/>
              <w:spacing w:after="0"/>
              <w:rPr>
                <w:sz w:val="20"/>
                <w:szCs w:val="20"/>
                <w:color w:val="auto"/>
              </w:rPr>
            </w:pPr>
            <w:r>
              <w:rPr>
                <w:rFonts w:ascii="Arial" w:cs="Arial" w:eastAsia="Arial" w:hAnsi="Arial"/>
                <w:sz w:val="14"/>
                <w:szCs w:val="14"/>
                <w:color w:val="auto"/>
              </w:rPr>
              <w:t>/s/</w:t>
            </w:r>
          </w:p>
        </w:tc>
        <w:tc>
          <w:tcPr>
            <w:tcW w:w="3140" w:type="dxa"/>
            <w:vAlign w:val="bottom"/>
            <w:gridSpan w:val="2"/>
          </w:tcPr>
          <w:p>
            <w:pPr>
              <w:jc w:val="center"/>
              <w:ind w:right="1740"/>
              <w:spacing w:after="0"/>
              <w:rPr>
                <w:sz w:val="20"/>
                <w:szCs w:val="20"/>
                <w:color w:val="auto"/>
              </w:rPr>
            </w:pPr>
            <w:r>
              <w:rPr>
                <w:rFonts w:ascii="Arial" w:cs="Arial" w:eastAsia="Arial" w:hAnsi="Arial"/>
                <w:sz w:val="14"/>
                <w:szCs w:val="14"/>
                <w:color w:val="auto"/>
                <w:w w:val="97"/>
              </w:rPr>
              <w:t>CLIFFORD SKELTON</w:t>
            </w:r>
          </w:p>
        </w:tc>
        <w:tc>
          <w:tcPr>
            <w:tcW w:w="5040" w:type="dxa"/>
            <w:vAlign w:val="bottom"/>
          </w:tcPr>
          <w:p>
            <w:pPr>
              <w:jc w:val="center"/>
              <w:spacing w:after="0"/>
              <w:rPr>
                <w:sz w:val="20"/>
                <w:szCs w:val="20"/>
                <w:color w:val="auto"/>
              </w:rPr>
            </w:pPr>
            <w:r>
              <w:rPr>
                <w:rFonts w:ascii="Arial" w:cs="Arial" w:eastAsia="Arial" w:hAnsi="Arial"/>
                <w:sz w:val="14"/>
                <w:szCs w:val="14"/>
                <w:color w:val="auto"/>
              </w:rPr>
              <w:t>/s/  STEPHEN WOOD</w:t>
            </w:r>
          </w:p>
        </w:tc>
      </w:tr>
      <w:tr>
        <w:trPr>
          <w:trHeight w:val="124"/>
        </w:trPr>
        <w:tc>
          <w:tcPr>
            <w:tcW w:w="5020" w:type="dxa"/>
            <w:vAlign w:val="bottom"/>
            <w:tcBorders>
              <w:top w:val="single" w:sz="8" w:color="auto"/>
            </w:tcBorders>
            <w:gridSpan w:val="2"/>
          </w:tcPr>
          <w:p>
            <w:pPr>
              <w:ind w:left="1640"/>
              <w:spacing w:after="0"/>
              <w:rPr>
                <w:sz w:val="20"/>
                <w:szCs w:val="20"/>
                <w:color w:val="auto"/>
              </w:rPr>
            </w:pPr>
            <w:r>
              <w:rPr>
                <w:rFonts w:ascii="Arial" w:cs="Arial" w:eastAsia="Arial" w:hAnsi="Arial"/>
                <w:sz w:val="10"/>
                <w:szCs w:val="10"/>
                <w:b w:val="1"/>
                <w:bCs w:val="1"/>
                <w:color w:val="auto"/>
              </w:rPr>
              <w:t>President and Chief Executive Officer</w:t>
            </w:r>
          </w:p>
        </w:tc>
        <w:tc>
          <w:tcPr>
            <w:tcW w:w="80" w:type="dxa"/>
            <w:vAlign w:val="bottom"/>
          </w:tcPr>
          <w:p>
            <w:pPr>
              <w:spacing w:after="0"/>
              <w:rPr>
                <w:sz w:val="10"/>
                <w:szCs w:val="10"/>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Executive Vice President and Chief Financial Officer</w:t>
            </w:r>
          </w:p>
        </w:tc>
      </w:tr>
      <w:tr>
        <w:trPr>
          <w:trHeight w:val="389"/>
        </w:trPr>
        <w:tc>
          <w:tcPr>
            <w:tcW w:w="1960" w:type="dxa"/>
            <w:vAlign w:val="bottom"/>
          </w:tcPr>
          <w:p>
            <w:pPr>
              <w:ind w:left="1820"/>
              <w:spacing w:after="0"/>
              <w:rPr>
                <w:sz w:val="20"/>
                <w:szCs w:val="20"/>
                <w:color w:val="auto"/>
              </w:rPr>
            </w:pPr>
            <w:r>
              <w:rPr>
                <w:rFonts w:ascii="Arial" w:cs="Arial" w:eastAsia="Arial" w:hAnsi="Arial"/>
                <w:sz w:val="14"/>
                <w:szCs w:val="14"/>
                <w:color w:val="auto"/>
                <w:w w:val="80"/>
              </w:rPr>
              <w:t>/s/</w:t>
            </w:r>
          </w:p>
        </w:tc>
        <w:tc>
          <w:tcPr>
            <w:tcW w:w="3140" w:type="dxa"/>
            <w:vAlign w:val="bottom"/>
            <w:gridSpan w:val="2"/>
          </w:tcPr>
          <w:p>
            <w:pPr>
              <w:jc w:val="center"/>
              <w:ind w:right="1740"/>
              <w:spacing w:after="0"/>
              <w:rPr>
                <w:sz w:val="20"/>
                <w:szCs w:val="20"/>
                <w:color w:val="auto"/>
              </w:rPr>
            </w:pPr>
            <w:r>
              <w:rPr>
                <w:rFonts w:ascii="Arial" w:cs="Arial" w:eastAsia="Arial" w:hAnsi="Arial"/>
                <w:sz w:val="14"/>
                <w:szCs w:val="14"/>
                <w:color w:val="auto"/>
                <w:w w:val="97"/>
              </w:rPr>
              <w:t>GEORGE ABATE</w:t>
            </w:r>
          </w:p>
        </w:tc>
        <w:tc>
          <w:tcPr>
            <w:tcW w:w="5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wp:posOffset>
            </wp:positionV>
            <wp:extent cx="318833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88335" cy="635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0"/>
          <w:szCs w:val="10"/>
          <w:b w:val="1"/>
          <w:bCs w:val="1"/>
          <w:color w:val="auto"/>
        </w:rPr>
        <w:t>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2" w:name="page53"/>
    <w:bookmarkEnd w:id="5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INCOME (LOSS)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5980" w:type="dxa"/>
            <w:vAlign w:val="bottom"/>
            <w:gridSpan w:val="2"/>
          </w:tcPr>
          <w:p>
            <w:pPr>
              <w:spacing w:after="0"/>
              <w:rPr>
                <w:sz w:val="20"/>
                <w:szCs w:val="20"/>
                <w:color w:val="auto"/>
              </w:rPr>
            </w:pPr>
            <w:r>
              <w:rPr>
                <w:rFonts w:ascii="Arial" w:cs="Arial" w:eastAsia="Arial" w:hAnsi="Arial"/>
                <w:sz w:val="10"/>
                <w:szCs w:val="10"/>
                <w:color w:val="auto"/>
              </w:rPr>
              <w:t>(in millions, except per-share data)</w:t>
            </w:r>
          </w:p>
        </w:tc>
        <w:tc>
          <w:tcPr>
            <w:tcW w:w="400" w:type="dxa"/>
            <w:vAlign w:val="bottom"/>
          </w:tcPr>
          <w:p>
            <w:pPr>
              <w:spacing w:after="0"/>
              <w:rPr>
                <w:sz w:val="10"/>
                <w:szCs w:val="10"/>
                <w:color w:val="auto"/>
              </w:rPr>
            </w:pPr>
          </w:p>
        </w:tc>
        <w:tc>
          <w:tcPr>
            <w:tcW w:w="1300" w:type="dxa"/>
            <w:vAlign w:val="bottom"/>
          </w:tcPr>
          <w:p>
            <w:pPr>
              <w:jc w:val="right"/>
              <w:ind w:right="664"/>
              <w:spacing w:after="0" w:line="120"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jc w:val="right"/>
              <w:ind w:right="684"/>
              <w:spacing w:after="0" w:line="120" w:lineRule="exact"/>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jc w:val="right"/>
              <w:ind w:right="664"/>
              <w:spacing w:after="0" w:line="120"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Revenue</w:t>
            </w: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3,356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3,722</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3,858</w:t>
            </w:r>
          </w:p>
        </w:tc>
      </w:tr>
      <w:tr>
        <w:trPr>
          <w:trHeight w:val="155"/>
        </w:trPr>
        <w:tc>
          <w:tcPr>
            <w:tcW w:w="20" w:type="dxa"/>
            <w:vAlign w:val="bottom"/>
          </w:tcPr>
          <w:p>
            <w:pPr>
              <w:spacing w:after="0"/>
              <w:rPr>
                <w:sz w:val="13"/>
                <w:szCs w:val="13"/>
                <w:color w:val="auto"/>
              </w:rPr>
            </w:pPr>
          </w:p>
        </w:tc>
        <w:tc>
          <w:tcPr>
            <w:tcW w:w="5980" w:type="dxa"/>
            <w:vAlign w:val="bottom"/>
            <w:gridSpan w:val="2"/>
          </w:tcPr>
          <w:p>
            <w:pPr>
              <w:spacing w:after="0"/>
              <w:rPr>
                <w:sz w:val="20"/>
                <w:szCs w:val="20"/>
                <w:color w:val="auto"/>
              </w:rPr>
            </w:pPr>
            <w:r>
              <w:rPr>
                <w:rFonts w:ascii="Arial" w:cs="Arial" w:eastAsia="Arial" w:hAnsi="Arial"/>
                <w:sz w:val="11"/>
                <w:szCs w:val="11"/>
                <w:b w:val="1"/>
                <w:bCs w:val="1"/>
                <w:color w:val="auto"/>
              </w:rPr>
              <w:t>Operating Costs and Expenses</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7"/>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Cost of services (excluding depreciation and amortization)</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2,730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2,888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3,018</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Selling, general and administrative (excluding depreciation and amortization)</w:t>
            </w: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455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458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440</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Research and development (excluding depreciation and amortization)</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Depreciation and amortization</w:t>
            </w: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204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264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230</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Restructuring and related costs</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Interest expense</w:t>
            </w: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75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111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84</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Loss on extinguishment of debt</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Goodwill impairment</w:t>
            </w: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287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358</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(Gain) loss on divestitures and transaction costs, net</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Litigation settlements (recoveries), net</w:t>
            </w: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Other (income) expenses, net</w:t>
            </w: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6"/>
        </w:trPr>
        <w:tc>
          <w:tcPr>
            <w:tcW w:w="20" w:type="dxa"/>
            <w:vAlign w:val="bottom"/>
            <w:tcBorders>
              <w:bottom w:val="single" w:sz="8" w:color="CCEEFF"/>
            </w:tcBorders>
          </w:tcPr>
          <w:p>
            <w:pPr>
              <w:spacing w:after="0"/>
              <w:rPr>
                <w:sz w:val="12"/>
                <w:szCs w:val="12"/>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Total Operating Costs and Expenses</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2,852</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4,054</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3,985</w:t>
            </w:r>
          </w:p>
        </w:tc>
      </w:tr>
      <w:tr>
        <w:trPr>
          <w:trHeight w:val="148"/>
        </w:trPr>
        <w:tc>
          <w:tcPr>
            <w:tcW w:w="20" w:type="dxa"/>
            <w:vAlign w:val="bottom"/>
            <w:shd w:val="clear" w:color="auto" w:fill="CCEEFF"/>
          </w:tcPr>
          <w:p>
            <w:pPr>
              <w:spacing w:after="0"/>
              <w:rPr>
                <w:sz w:val="12"/>
                <w:szCs w:val="12"/>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Income (Loss) Before Income Taxes</w:t>
            </w: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r>
      <w:tr>
        <w:trPr>
          <w:trHeight w:val="152"/>
        </w:trPr>
        <w:tc>
          <w:tcPr>
            <w:tcW w:w="20" w:type="dxa"/>
            <w:vAlign w:val="bottom"/>
            <w:tcBorders>
              <w:bottom w:val="single" w:sz="8" w:color="CCEEFF"/>
            </w:tcBorders>
          </w:tcPr>
          <w:p>
            <w:pPr>
              <w:spacing w:after="0"/>
              <w:rPr>
                <w:sz w:val="13"/>
                <w:szCs w:val="13"/>
                <w:color w:val="auto"/>
              </w:rPr>
            </w:pPr>
          </w:p>
        </w:tc>
        <w:tc>
          <w:tcPr>
            <w:tcW w:w="5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Income tax expense (benefit)</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78</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w:t>
            </w: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w:t>
            </w:r>
          </w:p>
        </w:tc>
        <w:tc>
          <w:tcPr>
            <w:tcW w:w="40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426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56"/>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 per Share:</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980" w:type="dxa"/>
            <w:vAlign w:val="bottom"/>
            <w:gridSpan w:val="2"/>
          </w:tcPr>
          <w:p>
            <w:pPr>
              <w:ind w:left="160"/>
              <w:spacing w:after="0"/>
              <w:rPr>
                <w:sz w:val="20"/>
                <w:szCs w:val="20"/>
                <w:color w:val="auto"/>
              </w:rPr>
            </w:pPr>
            <w:r>
              <w:rPr>
                <w:rFonts w:ascii="Arial" w:cs="Arial" w:eastAsia="Arial" w:hAnsi="Arial"/>
                <w:sz w:val="11"/>
                <w:szCs w:val="11"/>
                <w:color w:val="auto"/>
              </w:rPr>
              <w:t>Basic</w:t>
            </w:r>
          </w:p>
        </w:tc>
        <w:tc>
          <w:tcPr>
            <w:tcW w:w="400" w:type="dxa"/>
            <w:vAlign w:val="bottom"/>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2.28</w:t>
            </w:r>
          </w:p>
        </w:tc>
        <w:tc>
          <w:tcPr>
            <w:tcW w:w="100" w:type="dxa"/>
            <w:vAlign w:val="bottom"/>
          </w:tcPr>
          <w:p>
            <w:pPr>
              <w:spacing w:after="0"/>
              <w:rPr>
                <w:sz w:val="13"/>
                <w:szCs w:val="13"/>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(1.41)</w:t>
            </w:r>
          </w:p>
        </w:tc>
        <w:tc>
          <w:tcPr>
            <w:tcW w:w="80" w:type="dxa"/>
            <w:vAlign w:val="bottom"/>
          </w:tcPr>
          <w:p>
            <w:pPr>
              <w:spacing w:after="0"/>
              <w:rPr>
                <w:sz w:val="13"/>
                <w:szCs w:val="13"/>
                <w:color w:val="auto"/>
              </w:rPr>
            </w:pPr>
          </w:p>
        </w:tc>
        <w:tc>
          <w:tcPr>
            <w:tcW w:w="400" w:type="dxa"/>
            <w:vAlign w:val="bottom"/>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(0.89)</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Diluted</w:t>
            </w: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(0.89)</w:t>
            </w:r>
          </w:p>
        </w:tc>
      </w:tr>
    </w:tbl>
    <w:p>
      <w:pPr>
        <w:spacing w:after="0" w:line="254"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34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3" w:name="page54"/>
    <w:bookmarkEnd w:id="5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COMPREHENSIVE INCOME (LOSS)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400" w:type="dxa"/>
            <w:vAlign w:val="bottom"/>
          </w:tcPr>
          <w:p>
            <w:pPr>
              <w:spacing w:after="0"/>
              <w:rPr>
                <w:sz w:val="10"/>
                <w:szCs w:val="10"/>
                <w:color w:val="auto"/>
              </w:rPr>
            </w:pPr>
          </w:p>
        </w:tc>
        <w:tc>
          <w:tcPr>
            <w:tcW w:w="1300" w:type="dxa"/>
            <w:vAlign w:val="bottom"/>
          </w:tcPr>
          <w:p>
            <w:pPr>
              <w:jc w:val="right"/>
              <w:ind w:right="684"/>
              <w:spacing w:after="0" w:line="120" w:lineRule="exact"/>
              <w:rPr>
                <w:sz w:val="20"/>
                <w:szCs w:val="20"/>
                <w:color w:val="auto"/>
              </w:rPr>
            </w:pPr>
            <w:r>
              <w:rPr>
                <w:rFonts w:ascii="Arial" w:cs="Arial" w:eastAsia="Arial" w:hAnsi="Arial"/>
                <w:sz w:val="11"/>
                <w:szCs w:val="11"/>
                <w:color w:val="auto"/>
              </w:rPr>
              <w:t>2024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jc w:val="right"/>
              <w:ind w:right="664"/>
              <w:spacing w:after="0" w:line="120"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jc w:val="right"/>
              <w:ind w:right="684"/>
              <w:spacing w:after="0" w:line="120" w:lineRule="exact"/>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426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Other Comprehensive Income (Loss), Net</w:t>
            </w:r>
            <w:r>
              <w:rPr>
                <w:rFonts w:ascii="Arial" w:cs="Arial" w:eastAsia="Arial" w:hAnsi="Arial"/>
                <w:sz w:val="14"/>
                <w:szCs w:val="14"/>
                <w:b w:val="1"/>
                <w:bCs w:val="1"/>
                <w:color w:val="auto"/>
                <w:vertAlign w:val="superscript"/>
              </w:rPr>
              <w:t>(1)</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Currency translation adjustments, net</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980" w:type="dxa"/>
            <w:vAlign w:val="bottom"/>
            <w:gridSpan w:val="2"/>
          </w:tcPr>
          <w:p>
            <w:pPr>
              <w:ind w:left="160"/>
              <w:spacing w:after="0"/>
              <w:rPr>
                <w:sz w:val="20"/>
                <w:szCs w:val="20"/>
                <w:color w:val="auto"/>
              </w:rPr>
            </w:pPr>
            <w:r>
              <w:rPr>
                <w:rFonts w:ascii="Arial" w:cs="Arial" w:eastAsia="Arial" w:hAnsi="Arial"/>
                <w:sz w:val="11"/>
                <w:szCs w:val="11"/>
                <w:color w:val="auto"/>
              </w:rPr>
              <w:t>Unrecognized gains (losses), net</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Changes in benefit plans, net</w:t>
            </w: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gridSpan w:val="2"/>
          </w:tcPr>
          <w:p>
            <w:pPr>
              <w:spacing w:after="0"/>
              <w:rPr>
                <w:sz w:val="20"/>
                <w:szCs w:val="20"/>
                <w:color w:val="auto"/>
              </w:rPr>
            </w:pPr>
            <w:r>
              <w:rPr>
                <w:rFonts w:ascii="Arial" w:cs="Arial" w:eastAsia="Arial" w:hAnsi="Arial"/>
                <w:sz w:val="11"/>
                <w:szCs w:val="11"/>
                <w:b w:val="1"/>
                <w:bCs w:val="1"/>
                <w:color w:val="auto"/>
              </w:rPr>
              <w:t>Other Comprehensive Income (Loss), Net</w:t>
            </w: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980" w:type="dxa"/>
            <w:vAlign w:val="bottom"/>
            <w:gridSpan w:val="2"/>
          </w:tcPr>
          <w:p>
            <w:pPr>
              <w:spacing w:after="0"/>
              <w:rPr>
                <w:sz w:val="20"/>
                <w:szCs w:val="20"/>
                <w:color w:val="auto"/>
              </w:rPr>
            </w:pPr>
            <w:r>
              <w:rPr>
                <w:rFonts w:ascii="Arial" w:cs="Arial" w:eastAsia="Arial" w:hAnsi="Arial"/>
                <w:sz w:val="11"/>
                <w:szCs w:val="11"/>
                <w:b w:val="1"/>
                <w:bCs w:val="1"/>
                <w:color w:val="auto"/>
              </w:rPr>
              <w:t>Comprehensive Income (Loss), Net</w:t>
            </w: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389</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w:t>
            </w: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w w:val="91"/>
              </w:rPr>
              <w:t>__________</w:t>
            </w:r>
          </w:p>
        </w:tc>
        <w:tc>
          <w:tcPr>
            <w:tcW w:w="5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 w:type="dxa"/>
            <w:vAlign w:val="bottom"/>
            <w:gridSpan w:val="2"/>
            <w:vMerge w:val="continue"/>
          </w:tcPr>
          <w:p>
            <w:pPr>
              <w:spacing w:after="0"/>
              <w:rPr>
                <w:sz w:val="14"/>
                <w:szCs w:val="14"/>
                <w:color w:val="auto"/>
              </w:rPr>
            </w:pPr>
          </w:p>
        </w:tc>
        <w:tc>
          <w:tcPr>
            <w:tcW w:w="5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440" w:right="3440" w:hanging="3437"/>
        <w:spacing w:after="0" w:line="646" w:lineRule="auto"/>
        <w:tabs>
          <w:tab w:leader="none" w:pos="242" w:val="left"/>
        </w:tabs>
        <w:numPr>
          <w:ilvl w:val="0"/>
          <w:numId w:val="35"/>
        </w:numPr>
        <w:rPr>
          <w:rFonts w:ascii="Arial" w:cs="Arial" w:eastAsia="Arial" w:hAnsi="Arial"/>
          <w:sz w:val="11"/>
          <w:szCs w:val="11"/>
          <w:i w:val="1"/>
          <w:iCs w:val="1"/>
          <w:color w:val="auto"/>
        </w:rPr>
      </w:pPr>
      <w:r>
        <w:rPr>
          <w:rFonts w:ascii="Arial" w:cs="Arial" w:eastAsia="Arial" w:hAnsi="Arial"/>
          <w:sz w:val="11"/>
          <w:szCs w:val="11"/>
          <w:i w:val="1"/>
          <w:iCs w:val="1"/>
          <w:color w:val="auto"/>
        </w:rPr>
        <w:t>All amounts are net of tax. Tax effects were immaterial. Refer to Note 18 – Other Comprehensive Income (Loss) for information about pre-tax amounts. The accompanying notes are an integral part of these Consolidated Financial Statements.</w:t>
      </w:r>
    </w:p>
    <w:p>
      <w:pPr>
        <w:spacing w:after="0" w:line="11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4" w:name="page55"/>
    <w:bookmarkEnd w:id="5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BALANCE SHEETS</w:t>
      </w:r>
    </w:p>
    <w:p>
      <w:pPr>
        <w:spacing w:after="0" w:line="31" w:lineRule="exact"/>
        <w:rPr>
          <w:sz w:val="20"/>
          <w:szCs w:val="20"/>
          <w:color w:val="auto"/>
        </w:rPr>
      </w:pPr>
    </w:p>
    <w:p>
      <w:pPr>
        <w:ind w:left="9440"/>
        <w:spacing w:after="0"/>
        <w:rPr>
          <w:sz w:val="20"/>
          <w:szCs w:val="20"/>
          <w:color w:val="auto"/>
        </w:rPr>
      </w:pPr>
      <w:r>
        <w:rPr>
          <w:rFonts w:ascii="Arial" w:cs="Arial" w:eastAsia="Arial" w:hAnsi="Arial"/>
          <w:sz w:val="11"/>
          <w:szCs w:val="11"/>
          <w:color w:val="auto"/>
        </w:rPr>
        <w:t>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300" w:type="dxa"/>
            <w:vAlign w:val="bottom"/>
            <w:gridSpan w:val="2"/>
          </w:tcPr>
          <w:p>
            <w:pPr>
              <w:spacing w:after="0"/>
              <w:rPr>
                <w:sz w:val="20"/>
                <w:szCs w:val="20"/>
                <w:color w:val="auto"/>
              </w:rPr>
            </w:pPr>
            <w:r>
              <w:rPr>
                <w:rFonts w:ascii="Arial" w:cs="Arial" w:eastAsia="Arial" w:hAnsi="Arial"/>
                <w:sz w:val="10"/>
                <w:szCs w:val="10"/>
                <w:color w:val="auto"/>
              </w:rPr>
              <w:t>(in millions, except share data in thousands)</w:t>
            </w:r>
          </w:p>
        </w:tc>
        <w:tc>
          <w:tcPr>
            <w:tcW w:w="3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524"/>
              <w:spacing w:after="0" w:line="123" w:lineRule="exact"/>
              <w:rPr>
                <w:sz w:val="20"/>
                <w:szCs w:val="20"/>
                <w:color w:val="auto"/>
              </w:rPr>
            </w:pPr>
            <w:r>
              <w:rPr>
                <w:rFonts w:ascii="Arial" w:cs="Arial" w:eastAsia="Arial" w:hAnsi="Arial"/>
                <w:sz w:val="11"/>
                <w:szCs w:val="11"/>
                <w:color w:val="auto"/>
              </w:rPr>
              <w:t>2024</w:t>
            </w: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524"/>
              <w:spacing w:after="0" w:line="123" w:lineRule="exact"/>
              <w:rPr>
                <w:sz w:val="20"/>
                <w:szCs w:val="20"/>
                <w:color w:val="auto"/>
              </w:rPr>
            </w:pPr>
            <w:r>
              <w:rPr>
                <w:rFonts w:ascii="Arial" w:cs="Arial" w:eastAsia="Arial" w:hAnsi="Arial"/>
                <w:sz w:val="11"/>
                <w:szCs w:val="11"/>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Cash and cash equivalents</w:t>
            </w:r>
          </w:p>
        </w:tc>
        <w:tc>
          <w:tcPr>
            <w:tcW w:w="320" w:type="dxa"/>
            <w:vAlign w:val="bottom"/>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366</w:t>
            </w:r>
          </w:p>
        </w:tc>
        <w:tc>
          <w:tcPr>
            <w:tcW w:w="100" w:type="dxa"/>
            <w:vAlign w:val="bottom"/>
          </w:tcPr>
          <w:p>
            <w:pPr>
              <w:spacing w:after="0"/>
              <w:rPr>
                <w:sz w:val="13"/>
                <w:szCs w:val="13"/>
                <w:color w:val="auto"/>
              </w:rPr>
            </w:pPr>
          </w:p>
        </w:tc>
        <w:tc>
          <w:tcPr>
            <w:tcW w:w="320" w:type="dxa"/>
            <w:vAlign w:val="bottom"/>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498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Accounts receivable, net</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Assets held for sale</w:t>
            </w:r>
          </w:p>
        </w:tc>
        <w:tc>
          <w:tcPr>
            <w:tcW w:w="32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180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Contract assets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83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 current assets</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240</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Total current assets</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1,252</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Land, buildings and equipment, net</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167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197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lease right-of-use assets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Intangible assets, net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Goodwill</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651</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83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 long-term assets</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436</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b w:val="1"/>
                <w:bCs w:val="1"/>
                <w:color w:val="auto"/>
              </w:rPr>
              <w:t>Total Assets</w:t>
            </w:r>
          </w:p>
        </w:tc>
        <w:tc>
          <w:tcPr>
            <w:tcW w:w="3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2,599</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b w:val="1"/>
                <w:bCs w:val="1"/>
                <w:color w:val="auto"/>
              </w:rPr>
              <w:t>Liabilities and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vMerge w:val="continue"/>
          </w:tcPr>
          <w:p>
            <w:pPr>
              <w:spacing w:after="0"/>
              <w:rPr>
                <w:sz w:val="8"/>
                <w:szCs w:val="8"/>
                <w:color w:val="auto"/>
              </w:rPr>
            </w:pPr>
          </w:p>
        </w:tc>
        <w:tc>
          <w:tcPr>
            <w:tcW w:w="83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portion of long-term debt</w:t>
            </w:r>
          </w:p>
        </w:tc>
        <w:tc>
          <w:tcPr>
            <w:tcW w:w="32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Accounts payable</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Accrued compensation and benefits costs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Unearned income</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Liabilities held for sale</w:t>
            </w:r>
          </w:p>
        </w:tc>
        <w:tc>
          <w:tcPr>
            <w:tcW w:w="3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83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 current liabilities</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328</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Total current liabilities</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744</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Long-term debt</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615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1,248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taxes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Operating lease liabilities</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138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long-term liabilities</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830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b w:val="1"/>
                <w:bCs w:val="1"/>
                <w:color w:val="auto"/>
              </w:rPr>
              <w:t>Total Liabilities</w:t>
            </w: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1,614</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2,387</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6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Contingencies (See Note 15)</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Series A convertible preferred stock</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Common stock</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Treasury stock, at cost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(210)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Additional paid-in capital</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Retained earnings (deficit)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(2,433)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(2,849)</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Accumulated other comprehensive loss</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(472)</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300" w:type="dxa"/>
            <w:vAlign w:val="bottom"/>
            <w:gridSpan w:val="2"/>
          </w:tcPr>
          <w:p>
            <w:pPr>
              <w:ind w:left="240"/>
              <w:spacing w:after="0"/>
              <w:rPr>
                <w:sz w:val="20"/>
                <w:szCs w:val="20"/>
                <w:color w:val="auto"/>
              </w:rPr>
            </w:pPr>
            <w:r>
              <w:rPr>
                <w:rFonts w:ascii="Arial" w:cs="Arial" w:eastAsia="Arial" w:hAnsi="Arial"/>
                <w:sz w:val="11"/>
                <w:szCs w:val="11"/>
                <w:b w:val="1"/>
                <w:bCs w:val="1"/>
                <w:color w:val="auto"/>
              </w:rPr>
              <w:t>Total Conduent Inc. Equity</w:t>
            </w: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839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629</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Non-controlling Interest</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830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b w:val="1"/>
                <w:bCs w:val="1"/>
                <w:color w:val="auto"/>
              </w:rPr>
              <w:t>Total Equity</w:t>
            </w: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843</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633</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shd w:val="clear" w:color="auto" w:fill="CCEEFF"/>
          </w:tcPr>
          <w:p>
            <w:pPr>
              <w:spacing w:after="0"/>
              <w:rPr>
                <w:sz w:val="14"/>
                <w:szCs w:val="14"/>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b w:val="1"/>
                <w:bCs w:val="1"/>
                <w:color w:val="auto"/>
              </w:rPr>
              <w:t>Total Liabilities and Equity</w:t>
            </w:r>
          </w:p>
        </w:tc>
        <w:tc>
          <w:tcPr>
            <w:tcW w:w="3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2,599</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Shares of common stock issued and outstanding</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161,829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211,509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1"/>
                <w:szCs w:val="11"/>
                <w:color w:val="auto"/>
              </w:rPr>
              <w:t>Shares of series A convertible preferred stock issued and outstanding</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Shares of common stock held in treasury</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60,868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8,841</w:t>
            </w:r>
          </w:p>
        </w:tc>
        <w:tc>
          <w:tcPr>
            <w:tcW w:w="0" w:type="dxa"/>
            <w:vAlign w:val="bottom"/>
          </w:tcPr>
          <w:p>
            <w:pPr>
              <w:spacing w:after="0"/>
              <w:rPr>
                <w:sz w:val="1"/>
                <w:szCs w:val="1"/>
                <w:color w:val="auto"/>
              </w:rPr>
            </w:pPr>
          </w:p>
        </w:tc>
      </w:tr>
    </w:tbl>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5" w:name="page56"/>
    <w:bookmarkEnd w:id="5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3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80" w:type="dxa"/>
            <w:vAlign w:val="bottom"/>
          </w:tcPr>
          <w:p>
            <w:pPr>
              <w:spacing w:after="0"/>
              <w:rPr>
                <w:sz w:val="10"/>
                <w:szCs w:val="10"/>
                <w:color w:val="auto"/>
              </w:rPr>
            </w:pPr>
          </w:p>
        </w:tc>
        <w:tc>
          <w:tcPr>
            <w:tcW w:w="12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Net income (loss)</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426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13"/>
                <w:szCs w:val="13"/>
                <w:color w:val="auto"/>
              </w:rPr>
            </w:pPr>
          </w:p>
        </w:tc>
        <w:tc>
          <w:tcPr>
            <w:tcW w:w="360" w:type="dxa"/>
            <w:vAlign w:val="bottom"/>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(182)</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Adjustments required to reconcile net loss to cash flows from operating activities: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Depreciation and amortization</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204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264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230</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Contract inducement amortization</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Goodwill impairment</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287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358</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Deferred income taxes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Amortization of debt financing costs</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Loss on extinguishment of debt</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(Gain) loss on divestitures and sales of fixed assets, net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(165)</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Changes in operating assets and liabilities: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Accounts receivable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240"/>
              <w:spacing w:after="0"/>
              <w:rPr>
                <w:sz w:val="20"/>
                <w:szCs w:val="20"/>
                <w:color w:val="auto"/>
              </w:rPr>
            </w:pPr>
            <w:r>
              <w:rPr>
                <w:rFonts w:ascii="Arial" w:cs="Arial" w:eastAsia="Arial" w:hAnsi="Arial"/>
                <w:sz w:val="11"/>
                <w:szCs w:val="11"/>
                <w:color w:val="auto"/>
              </w:rPr>
              <w:t>Other current and long-term assets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(111)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(123)</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Accounts payable and accrued compensation and benefits costs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240"/>
              <w:spacing w:after="0"/>
              <w:rPr>
                <w:sz w:val="20"/>
                <w:szCs w:val="20"/>
                <w:color w:val="auto"/>
              </w:rPr>
            </w:pPr>
            <w:r>
              <w:rPr>
                <w:rFonts w:ascii="Arial" w:cs="Arial" w:eastAsia="Arial" w:hAnsi="Arial"/>
                <w:sz w:val="11"/>
                <w:szCs w:val="11"/>
                <w:color w:val="auto"/>
              </w:rPr>
              <w:t>Other current and long-term liabilities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(44)</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Net change in income tax assets and liabilities</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39</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r>
      <w:tr>
        <w:trPr>
          <w:trHeight w:val="143"/>
        </w:trPr>
        <w:tc>
          <w:tcPr>
            <w:tcW w:w="20" w:type="dxa"/>
            <w:vAlign w:val="bottom"/>
            <w:tcBorders>
              <w:bottom w:val="single" w:sz="8" w:color="CCEEFF"/>
            </w:tcBorders>
          </w:tcPr>
          <w:p>
            <w:pPr>
              <w:spacing w:after="0"/>
              <w:rPr>
                <w:sz w:val="12"/>
                <w:szCs w:val="12"/>
                <w:color w:val="auto"/>
              </w:rPr>
            </w:pPr>
          </w:p>
        </w:tc>
        <w:tc>
          <w:tcPr>
            <w:tcW w:w="638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color w:val="auto"/>
              </w:rPr>
              <w:t>Net cash provided by (used in) operating activities</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w:t>
            </w:r>
          </w:p>
        </w:tc>
      </w:tr>
      <w:tr>
        <w:trPr>
          <w:trHeight w:val="140"/>
        </w:trPr>
        <w:tc>
          <w:tcPr>
            <w:tcW w:w="20" w:type="dxa"/>
            <w:vAlign w:val="bottom"/>
            <w:shd w:val="clear" w:color="auto" w:fill="CCEEFF"/>
          </w:tcPr>
          <w:p>
            <w:pPr>
              <w:spacing w:after="0"/>
              <w:rPr>
                <w:sz w:val="12"/>
                <w:szCs w:val="12"/>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Cost of additions to land, buildings and equipment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(51)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(92)</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Cost of additions to internal use software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Proceeds from divestitures</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851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326</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38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Net cash provided by (used in) investing activities</w:t>
            </w: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795</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173</w:t>
            </w:r>
          </w:p>
        </w:tc>
      </w:tr>
      <w:tr>
        <w:trPr>
          <w:trHeight w:val="135"/>
        </w:trPr>
        <w:tc>
          <w:tcPr>
            <w:tcW w:w="20" w:type="dxa"/>
            <w:vAlign w:val="bottom"/>
          </w:tcPr>
          <w:p>
            <w:pPr>
              <w:spacing w:after="0"/>
              <w:rPr>
                <w:sz w:val="11"/>
                <w:szCs w:val="11"/>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Proceeds from revolving credit facility</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Payments on revolving credit facility</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(100)</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Proceeds from the issuance of debt, net</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Payments on debt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(33)</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Treasury stock purchases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Taxes paid for settlement of stock-based compensation</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Dividends paid on preferred stock</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Contribution from noncontrolling interest</w:t>
            </w: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638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Net cash provided by (used in) financing activities</w:t>
            </w: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w:t>
            </w:r>
          </w:p>
        </w:tc>
      </w:tr>
      <w:tr>
        <w:trPr>
          <w:trHeight w:val="143"/>
        </w:trPr>
        <w:tc>
          <w:tcPr>
            <w:tcW w:w="20" w:type="dxa"/>
            <w:vAlign w:val="bottom"/>
          </w:tcPr>
          <w:p>
            <w:pPr>
              <w:spacing w:after="0"/>
              <w:rPr>
                <w:sz w:val="12"/>
                <w:szCs w:val="12"/>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Effect of exchange rate changes on cash, cash equivalents and restricted cash</w:t>
            </w: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Increase (decrease) in cash, cash equivalents and restricted cash</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w:t>
            </w: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Cash, Cash Equivalents and Restricted Cash at Beginning of Period</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519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420</w:t>
            </w: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6380" w:type="dxa"/>
            <w:vAlign w:val="bottom"/>
            <w:tcBorders>
              <w:bottom w:val="single" w:sz="8" w:color="CCEEFF"/>
            </w:tcBorders>
            <w:gridSpan w:val="2"/>
            <w:shd w:val="clear" w:color="auto" w:fill="CCEEFF"/>
          </w:tcPr>
          <w:p>
            <w:pPr>
              <w:spacing w:after="0" w:line="151" w:lineRule="exact"/>
              <w:rPr>
                <w:sz w:val="20"/>
                <w:szCs w:val="20"/>
                <w:color w:val="auto"/>
              </w:rPr>
            </w:pPr>
            <w:r>
              <w:rPr>
                <w:rFonts w:ascii="Arial" w:cs="Arial" w:eastAsia="Arial" w:hAnsi="Arial"/>
                <w:sz w:val="11"/>
                <w:szCs w:val="11"/>
                <w:b w:val="1"/>
                <w:bCs w:val="1"/>
                <w:color w:val="auto"/>
              </w:rPr>
              <w:t>Cash, Cash Equivalents and Restricted Cash at End of period</w:t>
            </w:r>
            <w:r>
              <w:rPr>
                <w:rFonts w:ascii="Arial" w:cs="Arial" w:eastAsia="Arial" w:hAnsi="Arial"/>
                <w:sz w:val="14"/>
                <w:szCs w:val="14"/>
                <w:b w:val="1"/>
                <w:bCs w:val="1"/>
                <w:color w:val="auto"/>
                <w:vertAlign w:val="superscript"/>
              </w:rPr>
              <w:t>(1)</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377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519</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___________</w:t>
      </w:r>
    </w:p>
    <w:p>
      <w:pPr>
        <w:spacing w:after="0" w:line="48" w:lineRule="exact"/>
        <w:rPr>
          <w:sz w:val="20"/>
          <w:szCs w:val="20"/>
          <w:color w:val="auto"/>
        </w:rPr>
      </w:pPr>
    </w:p>
    <w:p>
      <w:pPr>
        <w:ind w:left="260" w:right="160" w:hanging="257"/>
        <w:spacing w:after="0" w:line="291" w:lineRule="auto"/>
        <w:tabs>
          <w:tab w:leader="none" w:pos="250" w:val="left"/>
        </w:tabs>
        <w:numPr>
          <w:ilvl w:val="0"/>
          <w:numId w:val="36"/>
        </w:numPr>
        <w:rPr>
          <w:rFonts w:ascii="Arial" w:cs="Arial" w:eastAsia="Arial" w:hAnsi="Arial"/>
          <w:sz w:val="11"/>
          <w:szCs w:val="11"/>
          <w:i w:val="1"/>
          <w:iCs w:val="1"/>
          <w:color w:val="auto"/>
        </w:rPr>
      </w:pPr>
      <w:r>
        <w:rPr>
          <w:rFonts w:ascii="Arial" w:cs="Arial" w:eastAsia="Arial" w:hAnsi="Arial"/>
          <w:sz w:val="11"/>
          <w:szCs w:val="11"/>
          <w:i w:val="1"/>
          <w:iCs w:val="1"/>
          <w:color w:val="auto"/>
        </w:rPr>
        <w:t>Includes $11 million, $21 million and $16 million of restricted cash as of the years ended December 31, 2024, 2023 and 2022, respectively, that was included in Other current assets on their respective Consolidated Balance Sheets.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16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6" w:name="page57"/>
    <w:bookmarkEnd w:id="5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SHAREHOLDERS' EQUITY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0"/>
                <w:szCs w:val="10"/>
                <w:color w:val="auto"/>
              </w:rPr>
              <w:t>Additional</w:t>
            </w:r>
          </w:p>
        </w:tc>
        <w:tc>
          <w:tcPr>
            <w:tcW w:w="180" w:type="dxa"/>
            <w:vAlign w:val="bottom"/>
          </w:tcPr>
          <w:p>
            <w:pPr>
              <w:spacing w:after="0"/>
              <w:rPr>
                <w:sz w:val="10"/>
                <w:szCs w:val="10"/>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0"/>
                <w:szCs w:val="10"/>
                <w:color w:val="auto"/>
              </w:rPr>
              <w:t>Retained</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0"/>
                <w:szCs w:val="10"/>
                <w:color w:val="auto"/>
                <w:w w:val="95"/>
              </w:rPr>
              <w:t>Non-controlling</w:t>
            </w:r>
          </w:p>
        </w:tc>
        <w:tc>
          <w:tcPr>
            <w:tcW w:w="200" w:type="dxa"/>
            <w:vAlign w:val="bottom"/>
          </w:tcPr>
          <w:p>
            <w:pPr>
              <w:spacing w:after="0"/>
              <w:rPr>
                <w:sz w:val="10"/>
                <w:szCs w:val="10"/>
                <w:color w:val="auto"/>
              </w:rPr>
            </w:pPr>
          </w:p>
        </w:tc>
        <w:tc>
          <w:tcPr>
            <w:tcW w:w="1000" w:type="dxa"/>
            <w:vAlign w:val="bottom"/>
            <w:vMerge w:val="restart"/>
          </w:tcPr>
          <w:p>
            <w:pPr>
              <w:jc w:val="right"/>
              <w:ind w:right="251"/>
              <w:spacing w:after="0"/>
              <w:rPr>
                <w:sz w:val="20"/>
                <w:szCs w:val="20"/>
                <w:color w:val="auto"/>
              </w:rPr>
            </w:pPr>
            <w:r>
              <w:rPr>
                <w:rFonts w:ascii="Arial" w:cs="Arial" w:eastAsia="Arial" w:hAnsi="Arial"/>
                <w:sz w:val="10"/>
                <w:szCs w:val="10"/>
                <w:color w:val="auto"/>
              </w:rPr>
              <w:t>Shareholders’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gridSpan w:val="2"/>
          </w:tcPr>
          <w:p>
            <w:pPr>
              <w:jc w:val="center"/>
              <w:ind w:right="280"/>
              <w:spacing w:after="0" w:line="94" w:lineRule="exact"/>
              <w:rPr>
                <w:sz w:val="20"/>
                <w:szCs w:val="20"/>
                <w:color w:val="auto"/>
              </w:rPr>
            </w:pPr>
            <w:r>
              <w:rPr>
                <w:rFonts w:ascii="Arial" w:cs="Arial" w:eastAsia="Arial" w:hAnsi="Arial"/>
                <w:sz w:val="10"/>
                <w:szCs w:val="10"/>
                <w:color w:val="auto"/>
                <w:w w:val="96"/>
              </w:rPr>
              <w:t>Paid-in</w:t>
            </w: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32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120" w:type="dxa"/>
            <w:vAlign w:val="bottom"/>
          </w:tcPr>
          <w:p>
            <w:pPr>
              <w:spacing w:after="0"/>
              <w:rPr>
                <w:sz w:val="9"/>
                <w:szCs w:val="9"/>
                <w:color w:val="auto"/>
              </w:rPr>
            </w:pPr>
          </w:p>
        </w:tc>
        <w:tc>
          <w:tcPr>
            <w:tcW w:w="1000" w:type="dxa"/>
            <w:vAlign w:val="bottom"/>
            <w:gridSpan w:val="2"/>
          </w:tcPr>
          <w:p>
            <w:pPr>
              <w:ind w:left="60"/>
              <w:spacing w:after="0"/>
              <w:rPr>
                <w:sz w:val="20"/>
                <w:szCs w:val="20"/>
                <w:color w:val="auto"/>
              </w:rPr>
            </w:pPr>
            <w:r>
              <w:rPr>
                <w:rFonts w:ascii="Arial" w:cs="Arial" w:eastAsia="Arial" w:hAnsi="Arial"/>
                <w:sz w:val="10"/>
                <w:szCs w:val="10"/>
                <w:color w:val="auto"/>
              </w:rPr>
              <w:t>Common Stock</w:t>
            </w:r>
          </w:p>
        </w:tc>
        <w:tc>
          <w:tcPr>
            <w:tcW w:w="140" w:type="dxa"/>
            <w:vAlign w:val="bottom"/>
          </w:tcPr>
          <w:p>
            <w:pPr>
              <w:spacing w:after="0"/>
              <w:rPr>
                <w:sz w:val="9"/>
                <w:szCs w:val="9"/>
                <w:color w:val="auto"/>
              </w:rPr>
            </w:pPr>
          </w:p>
        </w:tc>
        <w:tc>
          <w:tcPr>
            <w:tcW w:w="980" w:type="dxa"/>
            <w:vAlign w:val="bottom"/>
            <w:gridSpan w:val="2"/>
          </w:tcPr>
          <w:p>
            <w:pPr>
              <w:ind w:left="60"/>
              <w:spacing w:after="0"/>
              <w:rPr>
                <w:sz w:val="20"/>
                <w:szCs w:val="20"/>
                <w:color w:val="auto"/>
              </w:rPr>
            </w:pPr>
            <w:r>
              <w:rPr>
                <w:rFonts w:ascii="Arial" w:cs="Arial" w:eastAsia="Arial" w:hAnsi="Arial"/>
                <w:sz w:val="10"/>
                <w:szCs w:val="10"/>
                <w:color w:val="auto"/>
              </w:rPr>
              <w:t>Treasury Stock</w:t>
            </w:r>
          </w:p>
        </w:tc>
        <w:tc>
          <w:tcPr>
            <w:tcW w:w="200" w:type="dxa"/>
            <w:vAlign w:val="bottom"/>
          </w:tcPr>
          <w:p>
            <w:pPr>
              <w:spacing w:after="0"/>
              <w:rPr>
                <w:sz w:val="9"/>
                <w:szCs w:val="9"/>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0"/>
                <w:szCs w:val="10"/>
                <w:color w:val="auto"/>
                <w:w w:val="96"/>
              </w:rPr>
              <w:t>Capital</w:t>
            </w:r>
          </w:p>
        </w:tc>
        <w:tc>
          <w:tcPr>
            <w:tcW w:w="180" w:type="dxa"/>
            <w:vAlign w:val="bottom"/>
          </w:tcPr>
          <w:p>
            <w:pPr>
              <w:spacing w:after="0"/>
              <w:rPr>
                <w:sz w:val="9"/>
                <w:szCs w:val="9"/>
                <w:color w:val="auto"/>
              </w:rPr>
            </w:pPr>
          </w:p>
        </w:tc>
        <w:tc>
          <w:tcPr>
            <w:tcW w:w="940" w:type="dxa"/>
            <w:vAlign w:val="bottom"/>
            <w:gridSpan w:val="2"/>
          </w:tcPr>
          <w:p>
            <w:pPr>
              <w:ind w:left="140"/>
              <w:spacing w:after="0"/>
              <w:rPr>
                <w:sz w:val="20"/>
                <w:szCs w:val="20"/>
                <w:color w:val="auto"/>
              </w:rPr>
            </w:pPr>
            <w:r>
              <w:rPr>
                <w:rFonts w:ascii="Arial" w:cs="Arial" w:eastAsia="Arial" w:hAnsi="Arial"/>
                <w:sz w:val="10"/>
                <w:szCs w:val="10"/>
                <w:color w:val="auto"/>
              </w:rPr>
              <w:t>Earnings</w:t>
            </w:r>
          </w:p>
        </w:tc>
        <w:tc>
          <w:tcPr>
            <w:tcW w:w="200" w:type="dxa"/>
            <w:vAlign w:val="bottom"/>
          </w:tcPr>
          <w:p>
            <w:pPr>
              <w:spacing w:after="0"/>
              <w:rPr>
                <w:sz w:val="9"/>
                <w:szCs w:val="9"/>
                <w:color w:val="auto"/>
              </w:rPr>
            </w:pPr>
          </w:p>
        </w:tc>
        <w:tc>
          <w:tcPr>
            <w:tcW w:w="920" w:type="dxa"/>
            <w:vAlign w:val="bottom"/>
            <w:gridSpan w:val="2"/>
          </w:tcPr>
          <w:p>
            <w:pPr>
              <w:ind w:left="140"/>
              <w:spacing w:after="0" w:line="115" w:lineRule="exact"/>
              <w:rPr>
                <w:sz w:val="20"/>
                <w:szCs w:val="20"/>
                <w:color w:val="auto"/>
              </w:rPr>
            </w:pPr>
            <w:r>
              <w:rPr>
                <w:rFonts w:ascii="Arial" w:cs="Arial" w:eastAsia="Arial" w:hAnsi="Arial"/>
                <w:sz w:val="10"/>
                <w:szCs w:val="10"/>
                <w:color w:val="auto"/>
              </w:rPr>
              <w:t>AOCL</w:t>
            </w:r>
            <w:r>
              <w:rPr>
                <w:rFonts w:ascii="Arial" w:cs="Arial" w:eastAsia="Arial" w:hAnsi="Arial"/>
                <w:sz w:val="12"/>
                <w:szCs w:val="12"/>
                <w:color w:val="auto"/>
                <w:vertAlign w:val="superscript"/>
              </w:rPr>
              <w:t>(1)</w:t>
            </w:r>
          </w:p>
        </w:tc>
        <w:tc>
          <w:tcPr>
            <w:tcW w:w="160" w:type="dxa"/>
            <w:vAlign w:val="bottom"/>
          </w:tcPr>
          <w:p>
            <w:pPr>
              <w:spacing w:after="0"/>
              <w:rPr>
                <w:sz w:val="9"/>
                <w:szCs w:val="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0"/>
                <w:szCs w:val="10"/>
                <w:color w:val="auto"/>
                <w:w w:val="95"/>
              </w:rPr>
              <w:t>Interest</w:t>
            </w:r>
          </w:p>
        </w:tc>
        <w:tc>
          <w:tcPr>
            <w:tcW w:w="200" w:type="dxa"/>
            <w:vAlign w:val="bottom"/>
          </w:tcPr>
          <w:p>
            <w:pPr>
              <w:spacing w:after="0"/>
              <w:rPr>
                <w:sz w:val="9"/>
                <w:szCs w:val="9"/>
                <w:color w:val="auto"/>
              </w:rPr>
            </w:pPr>
          </w:p>
        </w:tc>
        <w:tc>
          <w:tcPr>
            <w:tcW w:w="1000" w:type="dxa"/>
            <w:vAlign w:val="bottom"/>
          </w:tcPr>
          <w:p>
            <w:pPr>
              <w:jc w:val="right"/>
              <w:ind w:right="411"/>
              <w:spacing w:after="0"/>
              <w:rPr>
                <w:sz w:val="20"/>
                <w:szCs w:val="20"/>
                <w:color w:val="auto"/>
              </w:rPr>
            </w:pPr>
            <w:r>
              <w:rPr>
                <w:rFonts w:ascii="Arial" w:cs="Arial" w:eastAsia="Arial" w:hAnsi="Arial"/>
                <w:sz w:val="10"/>
                <w:szCs w:val="10"/>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3320" w:type="dxa"/>
            <w:vAlign w:val="bottom"/>
            <w:gridSpan w:val="2"/>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Balance at December 31, 2021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3,910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(2,351)</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spacing w:after="0"/>
              <w:rPr>
                <w:sz w:val="20"/>
                <w:szCs w:val="20"/>
                <w:color w:val="auto"/>
              </w:rPr>
            </w:pPr>
            <w:r>
              <w:rPr>
                <w:rFonts w:ascii="Arial" w:cs="Arial" w:eastAsia="Arial" w:hAnsi="Arial"/>
                <w:sz w:val="10"/>
                <w:szCs w:val="10"/>
                <w:color w:val="auto"/>
              </w:rPr>
              <w:t>Dividend - preferred stock, $80/per share</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Stock incentive plans, net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spacing w:after="0"/>
              <w:rPr>
                <w:sz w:val="20"/>
                <w:szCs w:val="20"/>
                <w:color w:val="auto"/>
              </w:rPr>
            </w:pPr>
            <w:r>
              <w:rPr>
                <w:rFonts w:ascii="Arial" w:cs="Arial" w:eastAsia="Arial" w:hAnsi="Arial"/>
                <w:sz w:val="10"/>
                <w:szCs w:val="10"/>
                <w:color w:val="auto"/>
              </w:rPr>
              <w:t>Comprehensive Income (Loss):</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Net Loss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ind w:left="280"/>
              <w:spacing w:after="0"/>
              <w:rPr>
                <w:sz w:val="20"/>
                <w:szCs w:val="20"/>
                <w:color w:val="auto"/>
              </w:rPr>
            </w:pPr>
            <w:r>
              <w:rPr>
                <w:rFonts w:ascii="Arial" w:cs="Arial" w:eastAsia="Arial" w:hAnsi="Arial"/>
                <w:sz w:val="10"/>
                <w:szCs w:val="10"/>
                <w:color w:val="auto"/>
              </w:rPr>
              <w:t>Other comprehensive income (loss), net</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(37)</w:t>
            </w:r>
          </w:p>
        </w:tc>
        <w:tc>
          <w:tcPr>
            <w:tcW w:w="10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(37)</w:t>
            </w:r>
          </w:p>
        </w:tc>
        <w:tc>
          <w:tcPr>
            <w:tcW w:w="0" w:type="dxa"/>
            <w:vAlign w:val="bottom"/>
          </w:tcPr>
          <w:p>
            <w:pPr>
              <w:spacing w:after="0"/>
              <w:rPr>
                <w:sz w:val="1"/>
                <w:szCs w:val="1"/>
                <w:color w:val="auto"/>
              </w:rPr>
            </w:pPr>
          </w:p>
        </w:tc>
      </w:tr>
      <w:tr>
        <w:trPr>
          <w:trHeight w:val="131"/>
        </w:trPr>
        <w:tc>
          <w:tcPr>
            <w:tcW w:w="20" w:type="dxa"/>
            <w:vAlign w:val="bottom"/>
            <w:tcBorders>
              <w:top w:val="single" w:sz="8" w:color="CCEEFF"/>
            </w:tcBorders>
            <w:shd w:val="clear" w:color="auto" w:fill="CCEEFF"/>
          </w:tcPr>
          <w:p>
            <w:pPr>
              <w:spacing w:after="0"/>
              <w:rPr>
                <w:sz w:val="11"/>
                <w:szCs w:val="11"/>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Total Comprehensive Income (Loss), Net</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(182)</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20" w:type="dxa"/>
            <w:vAlign w:val="bottom"/>
            <w:gridSpan w:val="2"/>
          </w:tcPr>
          <w:p>
            <w:pPr>
              <w:spacing w:after="0"/>
              <w:rPr>
                <w:sz w:val="20"/>
                <w:szCs w:val="20"/>
                <w:color w:val="auto"/>
              </w:rPr>
            </w:pPr>
            <w:r>
              <w:rPr>
                <w:rFonts w:ascii="Arial" w:cs="Arial" w:eastAsia="Arial" w:hAnsi="Arial"/>
                <w:sz w:val="10"/>
                <w:szCs w:val="10"/>
                <w:b w:val="1"/>
                <w:bCs w:val="1"/>
                <w:color w:val="auto"/>
              </w:rPr>
              <w:t>Balance at December 31, 2022</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2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3,924</w:t>
            </w:r>
          </w:p>
        </w:tc>
        <w:tc>
          <w:tcPr>
            <w:tcW w:w="100" w:type="dxa"/>
            <w:vAlign w:val="bottom"/>
          </w:tcPr>
          <w:p>
            <w:pPr>
              <w:spacing w:after="0"/>
              <w:rPr>
                <w:sz w:val="10"/>
                <w:szCs w:val="10"/>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(2,543)</w:t>
            </w:r>
          </w:p>
        </w:tc>
        <w:tc>
          <w:tcPr>
            <w:tcW w:w="100" w:type="dxa"/>
            <w:vAlign w:val="bottom"/>
          </w:tcPr>
          <w:p>
            <w:pPr>
              <w:spacing w:after="0"/>
              <w:rPr>
                <w:sz w:val="10"/>
                <w:szCs w:val="10"/>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(466)</w:t>
            </w:r>
          </w:p>
        </w:tc>
        <w:tc>
          <w:tcPr>
            <w:tcW w:w="100" w:type="dxa"/>
            <w:vAlign w:val="bottom"/>
          </w:tcPr>
          <w:p>
            <w:pPr>
              <w:spacing w:after="0"/>
              <w:rPr>
                <w:sz w:val="10"/>
                <w:szCs w:val="1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2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332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color w:val="auto"/>
              </w:rPr>
              <w:t>Dividend - preferred stock, $80/per share</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spacing w:after="0"/>
              <w:rPr>
                <w:sz w:val="20"/>
                <w:szCs w:val="20"/>
                <w:color w:val="auto"/>
              </w:rPr>
            </w:pPr>
            <w:r>
              <w:rPr>
                <w:rFonts w:ascii="Arial" w:cs="Arial" w:eastAsia="Arial" w:hAnsi="Arial"/>
                <w:sz w:val="10"/>
                <w:szCs w:val="10"/>
                <w:color w:val="auto"/>
              </w:rPr>
              <w:t>Stock incentive plans, net</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Treasury stock purchases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spacing w:after="0"/>
              <w:rPr>
                <w:sz w:val="20"/>
                <w:szCs w:val="20"/>
                <w:color w:val="auto"/>
              </w:rPr>
            </w:pPr>
            <w:r>
              <w:rPr>
                <w:rFonts w:ascii="Arial" w:cs="Arial" w:eastAsia="Arial" w:hAnsi="Arial"/>
                <w:sz w:val="10"/>
                <w:szCs w:val="10"/>
                <w:color w:val="auto"/>
              </w:rPr>
              <w:t>Contribution from noncontrolling interest</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880" w:type="dxa"/>
            <w:vAlign w:val="bottom"/>
          </w:tcPr>
          <w:p>
            <w:pPr>
              <w:jc w:val="right"/>
              <w:ind w:right="11"/>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Comprehensive Income (Loss):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ind w:left="160"/>
              <w:spacing w:after="0"/>
              <w:rPr>
                <w:sz w:val="20"/>
                <w:szCs w:val="20"/>
                <w:color w:val="auto"/>
              </w:rPr>
            </w:pPr>
            <w:r>
              <w:rPr>
                <w:rFonts w:ascii="Arial" w:cs="Arial" w:eastAsia="Arial" w:hAnsi="Arial"/>
                <w:sz w:val="10"/>
                <w:szCs w:val="10"/>
                <w:color w:val="auto"/>
              </w:rPr>
              <w:t>Net Loss</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(296)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(296)</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Other comprehensive income (loss), net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21"/>
        </w:trPr>
        <w:tc>
          <w:tcPr>
            <w:tcW w:w="20" w:type="dxa"/>
            <w:vAlign w:val="bottom"/>
            <w:tcBorders>
              <w:bottom w:val="single" w:sz="8" w:color="CCEEFF"/>
            </w:tcBorders>
          </w:tcPr>
          <w:p>
            <w:pPr>
              <w:spacing w:after="0"/>
              <w:rPr>
                <w:sz w:val="10"/>
                <w:szCs w:val="10"/>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Total Comprehensive Income (Loss), Net</w:t>
            </w: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(296)</w:t>
            </w:r>
          </w:p>
        </w:tc>
        <w:tc>
          <w:tcPr>
            <w:tcW w:w="10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31</w:t>
            </w:r>
          </w:p>
        </w:tc>
        <w:tc>
          <w:tcPr>
            <w:tcW w:w="10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(265)</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Balance at December 31, 2023</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3,938</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(2,849)</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(435)</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0"/>
                <w:szCs w:val="10"/>
                <w:color w:val="auto"/>
              </w:rPr>
              <w:t>Dividend - preferred stock, $80/per share</w:t>
            </w: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8"/>
                <w:szCs w:val="8"/>
                <w:color w:val="auto"/>
              </w:rPr>
            </w:pPr>
          </w:p>
        </w:tc>
        <w:tc>
          <w:tcPr>
            <w:tcW w:w="3320" w:type="dxa"/>
            <w:vAlign w:val="bottom"/>
            <w:tcBorders>
              <w:top w:val="single" w:sz="8" w:color="CCEEFF"/>
            </w:tcBorders>
            <w:gridSpan w:val="2"/>
            <w:vMerge w:val="continue"/>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9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ind w:right="11"/>
              <w:spacing w:after="0" w:line="9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spacing w:after="0" w:line="9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spacing w:after="0" w:line="92" w:lineRule="exact"/>
              <w:rPr>
                <w:sz w:val="20"/>
                <w:szCs w:val="20"/>
                <w:color w:val="auto"/>
              </w:rPr>
            </w:pPr>
            <w:r>
              <w:rPr>
                <w:rFonts w:ascii="Arial" w:cs="Arial" w:eastAsia="Arial" w:hAnsi="Arial"/>
                <w:sz w:val="10"/>
                <w:szCs w:val="10"/>
                <w:color w:val="auto"/>
              </w:rPr>
              <w:t>(10)</w:t>
            </w: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spacing w:after="0" w:line="9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11"/>
              <w:spacing w:after="0" w:line="9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spacing w:after="0" w:line="92" w:lineRule="exact"/>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Stock incentive plans, net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spacing w:after="0"/>
              <w:rPr>
                <w:sz w:val="20"/>
                <w:szCs w:val="20"/>
                <w:color w:val="auto"/>
              </w:rPr>
            </w:pPr>
            <w:r>
              <w:rPr>
                <w:rFonts w:ascii="Arial" w:cs="Arial" w:eastAsia="Arial" w:hAnsi="Arial"/>
                <w:sz w:val="10"/>
                <w:szCs w:val="10"/>
                <w:color w:val="auto"/>
              </w:rPr>
              <w:t>Treasury stock purchases</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(183)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(183)</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Comprehensive Income (Loss):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ind w:left="160"/>
              <w:spacing w:after="0"/>
              <w:rPr>
                <w:sz w:val="20"/>
                <w:szCs w:val="20"/>
                <w:color w:val="auto"/>
              </w:rPr>
            </w:pPr>
            <w:r>
              <w:rPr>
                <w:rFonts w:ascii="Arial" w:cs="Arial" w:eastAsia="Arial" w:hAnsi="Arial"/>
                <w:sz w:val="10"/>
                <w:szCs w:val="10"/>
                <w:color w:val="auto"/>
              </w:rPr>
              <w:t>Net Income</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426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426</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Other comprehensive income (loss), net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0" w:type="dxa"/>
            <w:vAlign w:val="bottom"/>
          </w:tcPr>
          <w:p>
            <w:pPr>
              <w:spacing w:after="0"/>
              <w:rPr>
                <w:sz w:val="1"/>
                <w:szCs w:val="1"/>
                <w:color w:val="auto"/>
              </w:rPr>
            </w:pPr>
          </w:p>
        </w:tc>
      </w:tr>
      <w:tr>
        <w:trPr>
          <w:trHeight w:val="121"/>
        </w:trPr>
        <w:tc>
          <w:tcPr>
            <w:tcW w:w="20" w:type="dxa"/>
            <w:vAlign w:val="bottom"/>
            <w:tcBorders>
              <w:bottom w:val="single" w:sz="8" w:color="CCEEFF"/>
            </w:tcBorders>
          </w:tcPr>
          <w:p>
            <w:pPr>
              <w:spacing w:after="0"/>
              <w:rPr>
                <w:sz w:val="10"/>
                <w:szCs w:val="10"/>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Total Comprehensive Income (Loss), Net</w:t>
            </w: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426</w:t>
            </w:r>
          </w:p>
        </w:tc>
        <w:tc>
          <w:tcPr>
            <w:tcW w:w="10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(37)</w:t>
            </w:r>
          </w:p>
        </w:tc>
        <w:tc>
          <w:tcPr>
            <w:tcW w:w="10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389</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Balance at December 31, 2024</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(210)</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3,952</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(2,433)</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(472)</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w:t>
      </w:r>
    </w:p>
    <w:p>
      <w:pPr>
        <w:spacing w:after="0" w:line="48"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AOCL - Accumulated other comprehensive loss.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332"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7" w:name="page58"/>
    <w:bookmarkEnd w:id="5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NOTES TO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 – Basis of Presentation and Summary of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References herein to “we,” “us,” “our,” the “Company” and “Conduent” refer to Conduent Incorporated and its consolidated subsidiaries unless the context suggests otherwise.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Description of Business</w:t>
      </w:r>
    </w:p>
    <w:p>
      <w:pPr>
        <w:spacing w:after="0" w:line="131"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Conduent Incorporated is a New York corporation, organized in 2016. Conduent delivers digital business solutions and services spanning the commercial, government and transportation spectrum – creating valuable outcomes for its clients and the millions of people who count on them. The Company leverages cloud computing, artificial intelligence ("AI"), machine learning, automation and advanced analytics to deliver mission-critical solutions. Through a dedicated global team of approximately 56,000 associates, as well as process expertise and advanced technologies, Conduent's solutions and services digitally transform its clients’ operations to enhance customer experiences, improve performance, increase efficiencies and reduce costs.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Basis of Presentation</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The Company's Consolidated Financial Statements included the historical basis of assets, liabilities, revenues and expenses of the individual businesses of the Company, including joint ventures and partnerships over which the Company has a controlling financial interest. The Company has prepared the Consolidated Financial Statements pursuant to the rules and regulations of the SEC. Certain reclassifications have been made to prior years' amounts to conform to the current year presentation. All intercompany transactions and balances have been eliminated.</w:t>
      </w:r>
    </w:p>
    <w:p>
      <w:pPr>
        <w:spacing w:after="0" w:line="97" w:lineRule="exact"/>
        <w:rPr>
          <w:sz w:val="20"/>
          <w:szCs w:val="20"/>
          <w:color w:val="auto"/>
        </w:rPr>
      </w:pPr>
    </w:p>
    <w:p>
      <w:pPr>
        <w:ind w:right="320"/>
        <w:spacing w:after="0" w:line="278" w:lineRule="auto"/>
        <w:rPr>
          <w:sz w:val="20"/>
          <w:szCs w:val="20"/>
          <w:color w:val="auto"/>
        </w:rPr>
      </w:pPr>
      <w:r>
        <w:rPr>
          <w:rFonts w:ascii="Arial" w:cs="Arial" w:eastAsia="Arial" w:hAnsi="Arial"/>
          <w:sz w:val="13"/>
          <w:szCs w:val="13"/>
          <w:color w:val="auto"/>
        </w:rPr>
        <w:t>In the first quarter of 2023, the Company identified an error and recorded an out-of-period adjustment to correct the recognition of revenue on a Government segment contract that originated in 2020 and impacted all quarterly periods through December 31, 2022. This adjustment resulted in a reduction to revenue and income (loss) before income taxes of</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$7 million and a corresponding decrease to accounts receivable of $1 million and an increase to other current liabilities of $6 million in the first quarter of 2023. The Company evaluated the impact of the out-of-period adjustment and concluded it was not material to any previously issued interim or annual consolidated financial statements and the adjustment was not material to the year ending December 31, 2023.</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evaluated subsequent events through February 19, 2025.</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common stock of Conduent trades on the Nasdaq Global Select Market ("Nasdaq") under the ticker "CNDT".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Use of Estimates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The Company prepared the Consolidated Financial Statements using financial information available at the time of preparation, which requires it to make estimates and assumptions that affect the amounts reported. The Company's most significant estimates pertain to valuation of goodwill, contingencies and litigation and income taxes. These estimates are based on management's best knowledge of current events, historical experience, and on various other assumptions that are believed to be reasonable under the circumstances. As a result, actual results may be different from these estimates.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New Accounting Standards</w:t>
      </w:r>
    </w:p>
    <w:p>
      <w:pPr>
        <w:spacing w:after="0" w:line="131" w:lineRule="exact"/>
        <w:rPr>
          <w:sz w:val="20"/>
          <w:szCs w:val="20"/>
          <w:color w:val="auto"/>
        </w:rPr>
      </w:pPr>
    </w:p>
    <w:p>
      <w:pPr>
        <w:ind w:right="280"/>
        <w:spacing w:after="0" w:line="256" w:lineRule="auto"/>
        <w:rPr>
          <w:sz w:val="20"/>
          <w:szCs w:val="20"/>
          <w:color w:val="auto"/>
        </w:rPr>
      </w:pP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In December 2023, the Financial Accounting Standards Board ("FASB") issued final guidance designed to improve income tax disclosures, particularly disclosures</w:t>
      </w:r>
      <w:r>
        <w:rPr>
          <w:rFonts w:ascii="Arial" w:cs="Arial" w:eastAsia="Arial" w:hAnsi="Arial"/>
          <w:sz w:val="14"/>
          <w:szCs w:val="14"/>
          <w:b w:val="1"/>
          <w:bCs w:val="1"/>
          <w:color w:val="auto"/>
        </w:rPr>
        <w:t xml:space="preserve"> </w:t>
      </w:r>
      <w:r>
        <w:rPr>
          <w:rFonts w:ascii="Arial" w:cs="Arial" w:eastAsia="Arial" w:hAnsi="Arial"/>
          <w:sz w:val="14"/>
          <w:szCs w:val="14"/>
          <w:color w:val="auto"/>
        </w:rPr>
        <w:t>around business entities' income tax rate reconciliation and income taxes paid. The guidance requires consistent categories and greater disaggregation of information in the reconciliation of an entity's statutory tax rate to its effective tax rate and information about income taxes paid disaggregated by jurisdiction. This guidance is effective for fiscal years beginning after December 15, 2024. The Company is not early adopting this guidance. The Company is currently in the process of gathering the data required to be disclosed upon adoption. As the guidance is disclosure related, adoption will not have any impact on the Company's Consolidated Financial Statements.</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8" w:name="page59"/>
    <w:bookmarkEnd w:id="5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b w:val="1"/>
          <w:bCs w:val="1"/>
          <w:color w:val="auto"/>
        </w:rPr>
        <w:t xml:space="preserve">Disaggregation of Income Statement Expenses: </w:t>
      </w:r>
      <w:r>
        <w:rPr>
          <w:rFonts w:ascii="Arial" w:cs="Arial" w:eastAsia="Arial" w:hAnsi="Arial"/>
          <w:sz w:val="14"/>
          <w:szCs w:val="14"/>
          <w:color w:val="auto"/>
        </w:rPr>
        <w:t>In November 2024, the FASB issued final guidance designed to enhance financial reporting by requiring public business entities to</w:t>
      </w:r>
      <w:r>
        <w:rPr>
          <w:rFonts w:ascii="Arial" w:cs="Arial" w:eastAsia="Arial" w:hAnsi="Arial"/>
          <w:sz w:val="14"/>
          <w:szCs w:val="14"/>
          <w:b w:val="1"/>
          <w:bCs w:val="1"/>
          <w:color w:val="auto"/>
        </w:rPr>
        <w:t xml:space="preserve"> </w:t>
      </w:r>
      <w:r>
        <w:rPr>
          <w:rFonts w:ascii="Arial" w:cs="Arial" w:eastAsia="Arial" w:hAnsi="Arial"/>
          <w:sz w:val="14"/>
          <w:szCs w:val="14"/>
          <w:color w:val="auto"/>
        </w:rPr>
        <w:t>disclose additional details regarding specific expense categories in the notes to the financial statements for both interim and annual periods. The new guidance is effective for annual periods beginning after December 15, 2026 and interim periods beginning after December 15, 2027. The Company is not early adopting this guidance. As the guidance is disclosure related, adoption will not have any impact on the Company's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Recently Adopted Accounting Standards</w:t>
      </w:r>
    </w:p>
    <w:p>
      <w:pPr>
        <w:spacing w:after="0" w:line="131" w:lineRule="exact"/>
        <w:rPr>
          <w:sz w:val="20"/>
          <w:szCs w:val="20"/>
          <w:color w:val="auto"/>
        </w:rPr>
      </w:pPr>
    </w:p>
    <w:p>
      <w:pPr>
        <w:ind w:right="260"/>
        <w:spacing w:after="0" w:line="294" w:lineRule="auto"/>
        <w:rPr>
          <w:sz w:val="20"/>
          <w:szCs w:val="20"/>
          <w:color w:val="auto"/>
        </w:rPr>
      </w:pPr>
      <w:r>
        <w:rPr>
          <w:rFonts w:ascii="Arial" w:cs="Arial" w:eastAsia="Arial" w:hAnsi="Arial"/>
          <w:sz w:val="13"/>
          <w:szCs w:val="13"/>
          <w:b w:val="1"/>
          <w:bCs w:val="1"/>
          <w:color w:val="auto"/>
        </w:rPr>
        <w:t xml:space="preserve">Segment Reporting: </w:t>
      </w:r>
      <w:r>
        <w:rPr>
          <w:rFonts w:ascii="Arial" w:cs="Arial" w:eastAsia="Arial" w:hAnsi="Arial"/>
          <w:sz w:val="13"/>
          <w:szCs w:val="13"/>
          <w:color w:val="auto"/>
        </w:rPr>
        <w:t>In November 2023, the FASB issued final guidance that expands reportable segment disclosures, particularly incremental segment expense disclosures. This</w:t>
      </w:r>
      <w:r>
        <w:rPr>
          <w:rFonts w:ascii="Arial" w:cs="Arial" w:eastAsia="Arial" w:hAnsi="Arial"/>
          <w:sz w:val="13"/>
          <w:szCs w:val="13"/>
          <w:b w:val="1"/>
          <w:bCs w:val="1"/>
          <w:color w:val="auto"/>
        </w:rPr>
        <w:t xml:space="preserve"> </w:t>
      </w:r>
      <w:r>
        <w:rPr>
          <w:rFonts w:ascii="Arial" w:cs="Arial" w:eastAsia="Arial" w:hAnsi="Arial"/>
          <w:sz w:val="13"/>
          <w:szCs w:val="13"/>
          <w:color w:val="auto"/>
        </w:rPr>
        <w:t>guidance is effective for fiscal years beginning after December 15, 2023 and interim periods within fiscal years beginning after December 15, 2024. As the guidance is disclosure related, adoption did not have any impact on the Company's Consolidated Financial Statements. The required additional disclosure is included in Note 3 – Segment Reporting.</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1269BD"/>
        </w:rPr>
        <w:t>Summary of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Cash and Cash Equivalents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consist of cash on hand, including money market funds and investments with original maturities of three months or less.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Accounts Receivable, Net and Receivable Sales</w:t>
      </w:r>
    </w:p>
    <w:p>
      <w:pPr>
        <w:spacing w:after="0" w:line="13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Credit risk has not historically been significant to the Company's business due to the nature of its customers, which are state and federal governments, public sector, and large commercial corporations. The Company believes that the credit risk associated with its receivables is limited due to the creditworthiness of its customers. There were no allowances for credit losses at December 31, 2024 or 2023.</w:t>
      </w:r>
    </w:p>
    <w:p>
      <w:pPr>
        <w:spacing w:after="0" w:line="92"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The Company enters into factoring agreements in the normal course of business as part of our cash and liquidity management, to sell certain accounts receivable without recourse to third-party financial institutions. These transactions are treated as a sale and are accounted for as a reduction in accounts receivable because the agreement transfers effective control over, and risk related to, the receivables to the buyers. Cash proceeds from this arrangement are included in cash flow from operating activities in the Consolidated Statements of Cash Flows. In 2024, 2023 and 2022, the Company sold certain accounts receivable and derecognized the corresponding receivable balance. Accounts receivable sales for the years ended December 31, 2024 and 2023 were $624 million and $616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Assets/Liabilities Held for Sale</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The Company classifies assets as held for sale in the period when the following conditions are met: (i) management, having the authority to approve the action, commits to a plan to sell the asset (disposal group); (ii) the asset (disposal group) is available for immediate sale in its present condition subject only to terms that are usual and customary for sales of such assets (disposal group); (iii) an active program to locate a buyer and other actions required to complete the plan to sell the asset (disposal group) have been initiated; (iv) the sale of the asset (disposal group) is probable, and transfer of the asset (disposal group) is expected to qualify for recognition as a completed sale within one year, except if events or circumstances beyond our control extend the period of time required to sell the asset (disposal group) beyond one year; (v) the asset (disposal group)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9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A long-lived asset (disposal group) that is classified as held for sale is initially measured at the lower of its carrying value or fair value less any costs to sell. Any loss resulting from this measurement is recognized in the period in which the held for sale criteria are met. Conversely, gains are not recognized on the sale of a long-lived asset (disposal group) until the date of sale.</w:t>
      </w:r>
    </w:p>
    <w:p>
      <w:pPr>
        <w:spacing w:after="0" w:line="92" w:lineRule="exact"/>
        <w:rPr>
          <w:sz w:val="20"/>
          <w:szCs w:val="20"/>
          <w:color w:val="auto"/>
        </w:rPr>
      </w:pPr>
    </w:p>
    <w:p>
      <w:pPr>
        <w:ind w:right="380"/>
        <w:spacing w:after="0" w:line="282" w:lineRule="auto"/>
        <w:rPr>
          <w:sz w:val="20"/>
          <w:szCs w:val="20"/>
          <w:color w:val="auto"/>
        </w:rPr>
      </w:pPr>
      <w:r>
        <w:rPr>
          <w:rFonts w:ascii="Arial" w:cs="Arial" w:eastAsia="Arial" w:hAnsi="Arial"/>
          <w:sz w:val="14"/>
          <w:szCs w:val="14"/>
          <w:color w:val="auto"/>
        </w:rPr>
        <w:t>The fair value of a long-lived asset (disposal group) less any costs to sell is assessed each reporting period it remains classified as held for sale and any subsequent changes are reported as an adjustment to the carrying value</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9" w:name="page60"/>
    <w:bookmarkEnd w:id="5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of the asset (disposal group), as long as the new carrying value does not exceed the carrying value of the asset at the time it was initially classified as held for sale.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4 – Divestitures and Assets/Liabilities Held for Sale to the Consolidated Financial Statements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Land, Buildings and Equipment</w:t>
      </w:r>
    </w:p>
    <w:p>
      <w:pPr>
        <w:spacing w:after="0" w:line="131" w:lineRule="exact"/>
        <w:rPr>
          <w:sz w:val="20"/>
          <w:szCs w:val="20"/>
          <w:color w:val="auto"/>
        </w:rPr>
      </w:pPr>
    </w:p>
    <w:p>
      <w:pPr>
        <w:ind w:right="360"/>
        <w:spacing w:after="0" w:line="282" w:lineRule="auto"/>
        <w:rPr>
          <w:sz w:val="20"/>
          <w:szCs w:val="20"/>
          <w:color w:val="auto"/>
        </w:rPr>
      </w:pPr>
      <w:r>
        <w:rPr>
          <w:rFonts w:ascii="Arial" w:cs="Arial" w:eastAsia="Arial" w:hAnsi="Arial"/>
          <w:sz w:val="14"/>
          <w:szCs w:val="14"/>
          <w:color w:val="auto"/>
        </w:rPr>
        <w:t>Land, buildings and equipment are recorded at cost. Buildings and equipment are depreciated over their estimated useful lives. Leasehold improvements are depreciated over the shorter of the lease term or the estimated useful life. Significant improvements are capitalized and maintenance and repairs are expensed when incurred.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5 – Land, Buildings, Equipment and Software, Net for further discussion.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Internal Use and Product Software</w:t>
      </w:r>
    </w:p>
    <w:p>
      <w:pPr>
        <w:spacing w:after="0" w:line="131"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b w:val="1"/>
          <w:bCs w:val="1"/>
          <w:color w:val="auto"/>
        </w:rPr>
        <w:t xml:space="preserve">Internal Use Software: </w:t>
      </w:r>
      <w:r>
        <w:rPr>
          <w:rFonts w:ascii="Arial" w:cs="Arial" w:eastAsia="Arial" w:hAnsi="Arial"/>
          <w:sz w:val="14"/>
          <w:szCs w:val="14"/>
          <w:color w:val="auto"/>
        </w:rPr>
        <w:t>The Company capitalizes direct costs associated with developing, purchasing or otherwise acquiring software for internal use and amortizes these costs on a</w:t>
      </w:r>
      <w:r>
        <w:rPr>
          <w:rFonts w:ascii="Arial" w:cs="Arial" w:eastAsia="Arial" w:hAnsi="Arial"/>
          <w:sz w:val="14"/>
          <w:szCs w:val="14"/>
          <w:b w:val="1"/>
          <w:bCs w:val="1"/>
          <w:color w:val="auto"/>
        </w:rPr>
        <w:t xml:space="preserve"> </w:t>
      </w:r>
      <w:r>
        <w:rPr>
          <w:rFonts w:ascii="Arial" w:cs="Arial" w:eastAsia="Arial" w:hAnsi="Arial"/>
          <w:sz w:val="14"/>
          <w:szCs w:val="14"/>
          <w:color w:val="auto"/>
        </w:rPr>
        <w:t>straight-line basis over the estimated useful life of the software, beginning when the software is implemented. Costs for upgrades and enhancements that will not result in additional functionality are expensed as incurred. Amounts paid for Internal Use Software are included in Cash Flows from Investing Activities.</w:t>
      </w:r>
    </w:p>
    <w:p>
      <w:pPr>
        <w:spacing w:after="0" w:line="92"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b w:val="1"/>
          <w:bCs w:val="1"/>
          <w:color w:val="auto"/>
        </w:rPr>
        <w:t>Produc</w:t>
      </w:r>
      <w:r>
        <w:rPr>
          <w:rFonts w:ascii="Arial" w:cs="Arial" w:eastAsia="Arial" w:hAnsi="Arial"/>
          <w:sz w:val="14"/>
          <w:szCs w:val="14"/>
          <w:b w:val="1"/>
          <w:bCs w:val="1"/>
          <w:color w:val="333333"/>
        </w:rPr>
        <w:t>t Software</w:t>
      </w:r>
      <w:r>
        <w:rPr>
          <w:rFonts w:ascii="Arial" w:cs="Arial" w:eastAsia="Arial" w:hAnsi="Arial"/>
          <w:sz w:val="14"/>
          <w:szCs w:val="14"/>
          <w:color w:val="auto"/>
        </w:rPr>
        <w:t>: The Company expenses product software costs to Research and development prior to technological feasibility. Upon reaching technological feasibility, certain costs</w:t>
      </w:r>
      <w:r>
        <w:rPr>
          <w:rFonts w:ascii="Arial" w:cs="Arial" w:eastAsia="Arial" w:hAnsi="Arial"/>
          <w:sz w:val="14"/>
          <w:szCs w:val="14"/>
          <w:b w:val="1"/>
          <w:bCs w:val="1"/>
          <w:color w:val="auto"/>
        </w:rPr>
        <w:t xml:space="preserve"> </w:t>
      </w:r>
      <w:r>
        <w:rPr>
          <w:rFonts w:ascii="Arial" w:cs="Arial" w:eastAsia="Arial" w:hAnsi="Arial"/>
          <w:sz w:val="14"/>
          <w:szCs w:val="14"/>
          <w:color w:val="auto"/>
        </w:rPr>
        <w:t>related to the development of software solutions to be sold to its customers are capitalized. These costs are amortized on a straight-line basis over the estimated economic life of the software. Amounts paid for Product Software are included in Cash Flows from Operating activities. The Company performs annual reviews to ensure that unamortized Product Software costs remain recoverable from estimated future operating profits (net realizable value). Costs to support or service licensed software are charged to Costs of services as incurred.</w:t>
      </w:r>
    </w:p>
    <w:p>
      <w:pPr>
        <w:spacing w:after="0" w:line="100"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Internal use and Product software are included in Other long-term assets on the Company's Consolidated Balance Sheets. Refer to Note 5 – Land, Buildings, Equipment and Software, Net and Note 9 – Supplementary Financial Information for further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1269BD"/>
        </w:rPr>
        <w:t>Leases</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The Company determines if an arrangement is a lease at the inception of the contract and whether that lease meets the classification criteria of a finance or operating lease. The Company has operating and finance leases for real estate and equipment. Operating leases are included in Operating lease right of use ("ROU") assets, Other current liabilities, and Operating lease liabilities in the Company's Consolidated Balance Sheets. Finance leases are included in Land, buildings and equipment, net, Current portion of long-term debt, and Long-term debt in the Company's Consolidated Balance Sheets.</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ROU assets represent the Company's right to use an underlying asset for the lease term and lease liabilities represent the Company's obligation to make lease payments arising from the lease. ROU assets and liabilities are recognized at the commencement date based on the net present value of lease payments over the lease term using the Company’s incremental borrowing rates as the Company's leases generally do not provide an implicit rate. The incremental borrowing rate represents an estimate of the interest rate that the Company would incur at lease commencement to borrow an amount equal to the lease payments on a collateralized basis over the term of a lease within a particular currency environment.</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The Company's lease terms may include options to extend or terminate the lease when it is reasonably certain that the Company will exercise that option based on economic factors. The Company recognizes operating fixed lease expense and finance lease depreciation on a straight-line basis over the lease term. Variable lease expense is recognized in the period in which the obligation for those payments is incurred. Leases with an initial term of one year or less are expensed on a straight-line basis over the lease term. The Company accounts for lease and non-lease components separately for its equipment leases, based on the estimated standalone price of each component, and combines lease and non-lease components for its real estate leases.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6 – Leases for further information.</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0" w:name="page61"/>
    <w:bookmarkEnd w:id="6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1269BD"/>
        </w:rPr>
        <w:t>Contingencies and Litigation</w:t>
      </w:r>
    </w:p>
    <w:p>
      <w:pPr>
        <w:spacing w:after="0" w:line="131"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The Company is currently involved in various claims and legal proceedings. At least quarterly, it reviews the status of each significant matter and assesses its potential financial exposure considering all available information including, but not limited to, the impact of negotiations, settlements, rulings, advice of legal counsel and other updated information and events pertaining to a particular matter. If the potential loss from any claim or legal proceeding is considered probable and the amount can be reasonably estimated, the Company accrues a liability for the estimated loss. The estimated losses are recorded within Litigation settlements (recoveries), net in the Company's income statement.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 These revisions in the estimates of the potential liabilities could have a material impact on the results of operations and financial position. The Company's policy is to expense legal defense costs related to such matters as incurred. These costs are recorded within Selling, general and administrative expenses in the Company's income statement. Any insurance recoveries for litigation settlements and defense costs are recorded when such recoveries are deemed probable and collectability is reasonably assured. Such recoveries are recorded in the same financial statement line as the related costs to which the recoveries relate.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15 – Contingencies and Litigation to the Consolidated Financial Statements for additional information regarding loss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For acquired businesses, the Company records the acquired assets and assumed liabilities based on their relative fair values at the date of acquisitions (commonly referred to as the purchase price allocation). Goodwill represents the excess of the purchase price paid in excess of the fair value of net tangible and intangible assets acquired. For the Company’s business acquisitions, the purchase price is allocated to identifiable intangible assets separate from goodwill if they are from contractual or other legal rights, or if they could be separated from the acquired business and sold, transferred, licensed, rented or exchanged.</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The Company tests goodwill for impairment annually as of October 1st, or more frequently if an event or change in circumstances indicate the asset may be impaired. Impairment testing for goodwill is performed at the reporting unit level using a qualitative and/or quantitative assessment. For the quantitative assessment, the Company determines the fair value of its reporting units utilizing a combination of both an Income Approach and a Market Approach. The Income Approach applies a discounted cash flow analysis based on forecasted future business results of the reporting units. The Market Approach utilizes the guideline public company method. These valuation approaches require significant judgment and consider several factors that include, but are not limited to, expected future cash flows, growth rates and discount rates and comparable multiples from publicly traded companies in our industry. In addition, the Company is required to make certain assumptions and estimates regarding the current economic environment, industry factors and the future profitability of its businesses.</w:t>
      </w:r>
    </w:p>
    <w:p>
      <w:pPr>
        <w:spacing w:after="0" w:line="99"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When performing its discounted cash flow analysis for each reporting unit, the Company incorporates the use of projected financial information and discount rates that are developed using market participant-based assumptions. The cash-flow projections are based on three-year financial forecasts developed by management that include revenue and expense projections, restructuring activities, capital spending trends and investment in working capital to support anticipated revenue growth or other changes in the business. The selected discount rates consider the risk and nature of the respective reporting units' cash flows, appropriate capital structure and rates of return that market participants would require to invest their capital in our reporting units.</w:t>
      </w:r>
    </w:p>
    <w:p>
      <w:pPr>
        <w:spacing w:after="0" w:line="100" w:lineRule="exact"/>
        <w:rPr>
          <w:sz w:val="20"/>
          <w:szCs w:val="20"/>
          <w:color w:val="auto"/>
        </w:rPr>
      </w:pPr>
    </w:p>
    <w:p>
      <w:pPr>
        <w:ind w:right="400"/>
        <w:spacing w:after="0" w:line="322" w:lineRule="auto"/>
        <w:rPr>
          <w:sz w:val="20"/>
          <w:szCs w:val="20"/>
          <w:color w:val="auto"/>
        </w:rPr>
      </w:pPr>
      <w:r>
        <w:rPr>
          <w:rFonts w:ascii="Arial" w:cs="Arial" w:eastAsia="Arial" w:hAnsi="Arial"/>
          <w:sz w:val="13"/>
          <w:szCs w:val="13"/>
          <w:color w:val="auto"/>
        </w:rPr>
        <w:t>The Company believes these assumptions are appropriate and reflect its forecasted long-term business model and considers its historical results as well as the current economic environment and markets that the Company serves. The most significant assumptions used in the goodwill analysis relate to discount rates and long-term organic growth rates.</w:t>
      </w:r>
    </w:p>
    <w:p>
      <w:pPr>
        <w:spacing w:after="0" w:line="5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For the 2024 annual impairment test, specifically with regards to the Transportation reporting unit, while the Market Approach was considered, the fair value assessment relied solely on the Income Approach due to near-term financial metrics not being at normalized levels. If the fair value of a reporting unit is less than its carrying amount,</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1" w:name="page62"/>
    <w:bookmarkEnd w:id="6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an impairment charge would be recognized for the amount by which the carrying amount exceeds the reporting unit's fair value, not to exceed the total amount of goodwill allocated to the reporting unit.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7 – Goodwill and Intangible Assets, Net for further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Intangible Assets</w:t>
      </w:r>
    </w:p>
    <w:p>
      <w:pPr>
        <w:spacing w:after="0" w:line="131"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Other intangible assets primarily consist of assets acquired through business combinations, primarily installed customer base. Other intangible assets are amortized on a straight-line basis over their estimated economic lives unless impairment is identified.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7 – Goodwill and Intangible Assets, Net for further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Impairment of Long-Lived Assets</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The Company reviews the recoverability of its long-lived assets, including buildings, equipment, internal use software, product software, right-of-use assets and other intangible assets, when events or changes in circumstances occur that indicate that the carrying value of the asset may not be recoverable. The assessment of possible impairment is based on the Company's ability to recover the carrying value of the asset from the expected future cash flows (undiscounted and without interest charges) of the related operations. If these cash flows are less than the carrying value of such asset, an impairment loss is recognized for the difference between estimated fair value and carrying value. The Company's primary measure of fair value is based on forecasted cash flows.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131"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The Company accounts for income taxes under the asset and liability method. Deferred tax assets and liabilities are based on differences between U.S. GAAP reporting and tax bases of assets or liabilities and based on current tax laws, regulations and rates.</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The recognition of deferred tax assets requires an assessment to determine the realization of such assets. Management establishes valuation allowances on deferred tax assets when it is determined “more-likely-than-not” that some portion or all of the deferred tax assets may not be realized. Management considers positive and negative evidence in evaluating the ability of the Company to realize its deferred tax assets, including its historical results and forecasts of future ability to realize its deferred tax assets, including projected future taxable income, the expected timing of the reversals of existing temporary differences and tax planning strategies.</w:t>
      </w:r>
    </w:p>
    <w:p>
      <w:pPr>
        <w:spacing w:after="0" w:line="97" w:lineRule="exact"/>
        <w:rPr>
          <w:sz w:val="20"/>
          <w:szCs w:val="20"/>
          <w:color w:val="auto"/>
        </w:rPr>
      </w:pPr>
    </w:p>
    <w:p>
      <w:pPr>
        <w:jc w:val="both"/>
        <w:ind w:right="100"/>
        <w:spacing w:after="0" w:line="259" w:lineRule="auto"/>
        <w:rPr>
          <w:sz w:val="20"/>
          <w:szCs w:val="20"/>
          <w:color w:val="auto"/>
        </w:rPr>
      </w:pPr>
      <w:r>
        <w:rPr>
          <w:rFonts w:ascii="Arial" w:cs="Arial" w:eastAsia="Arial" w:hAnsi="Arial"/>
          <w:sz w:val="14"/>
          <w:szCs w:val="14"/>
          <w:color w:val="auto"/>
        </w:rPr>
        <w:t>The Company is subject to ongoing tax examinations and assessments in various jurisdictions. The Company has unrecognized tax benefits for uncertain tax positions. The Company follows U.S. GAAP which prescribes a recognition threshold and measurement attribute for the financial statement recognition and measurement of a tax position taken or expected to be taken in a tax return. The Company's ongoing assessments of the more-likely-than-not outcomes of the examinations and related tax positions require judgment and can materially increase or decrease its effective tax rate, as well as impact its operating results.</w:t>
      </w:r>
    </w:p>
    <w:p>
      <w:pPr>
        <w:spacing w:after="0" w:line="97"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On December 22, 2017, the U.S. enacted the Tax Cuts and Jobs Act ("Tax Reform"). The Tax Reform includes a tax on global intangible low-taxed income (“GILTI”), which imposes a U.S. tax on certain income earned by the Company’s foreign subsidiaries. The Company elected to treat the tax on GILTI as a period cost when incurred and therefore, no deferred taxes for GILTI were recognized for the year ended December 31, 2024.</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14 – Income Taxes for further discussion.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Share Repurchase Program</w:t>
      </w:r>
    </w:p>
    <w:p>
      <w:pPr>
        <w:spacing w:after="0" w:line="120"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On May 16, 2023, the Board of Directors authorized a share repurchase program, granting approval for the Company to repurchase up to $75 million of its common stock over the next three years. This program was completed in September 2024. The Company had the discretion to repurchase shares periodically through open market transactions and may include Rule 10b5-1 trading plans.</w:t>
      </w:r>
    </w:p>
    <w:p>
      <w:pPr>
        <w:spacing w:after="0" w:line="93" w:lineRule="exact"/>
        <w:rPr>
          <w:sz w:val="20"/>
          <w:szCs w:val="20"/>
          <w:color w:val="auto"/>
        </w:rPr>
      </w:pPr>
    </w:p>
    <w:p>
      <w:pPr>
        <w:ind w:right="280"/>
        <w:spacing w:after="0" w:line="266" w:lineRule="auto"/>
        <w:rPr>
          <w:sz w:val="20"/>
          <w:szCs w:val="20"/>
          <w:color w:val="auto"/>
        </w:rPr>
      </w:pPr>
      <w:r>
        <w:rPr>
          <w:rFonts w:ascii="Arial" w:cs="Arial" w:eastAsia="Arial" w:hAnsi="Arial"/>
          <w:sz w:val="14"/>
          <w:szCs w:val="14"/>
          <w:color w:val="auto"/>
        </w:rPr>
        <w:t>This share repurchase program did not obligate the Company to acquire a specific number of shares and the program could have been modified, suspended or discontinued at any time at the Company’s discretion without prior notice.</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2" w:name="page63"/>
    <w:bookmarkEnd w:id="6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Company holds repurchased shares of common stock as treasury stock. The Company accounts for treasury stock under the cost method and includes treasury stock as a component of shareholders' equity. The Company accrues the cost of repurchased shares and excludes such shares from the calculation of basic and diluted earnings per share, as of the trade date. The Company recognized a liability for share repurchases which had not settled and for which cash had not been paid in Other current liabilities on the Company's Consolidated Balance Sheets.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Noncontrolling Interest</w:t>
      </w:r>
    </w:p>
    <w:p>
      <w:pPr>
        <w:spacing w:after="0" w:line="131"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Company's Consolidated Financial Statements include the historical basis of assets, liabilities, revenues and expenses of the individual businesses of the Company, including joint ventures over which the Company has a controlling financial interest. Control is based on ownership interest. The ownership interest held by an owner other than the Company in a less than wholly owned subsidiary is classified as a non-controlling interest. Net income (loss) is allocated to the noncontrolling interest based on ownership interest.</w:t>
      </w:r>
    </w:p>
    <w:p>
      <w:pPr>
        <w:spacing w:after="0" w:line="92"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color w:val="auto"/>
        </w:rPr>
        <w:t>In May 2023, the Company signed a new customer contract with the State of Victoria, Australia to provide the next generation of the state's public transport ticketing system. As a result, the Company and Convergint Australia Pty Ltd (“Convergint”) entered into a shareholder agreement to form Conduent Victoria Ticketing System Pty Ltd (“Conduent Victoria”). The Company holds an 80% equity investment in Conduent Victoria and the remaining 20% is owned by Convergint.</w:t>
      </w:r>
    </w:p>
    <w:p>
      <w:pPr>
        <w:spacing w:after="0" w:line="92" w:lineRule="exact"/>
        <w:rPr>
          <w:sz w:val="20"/>
          <w:szCs w:val="20"/>
          <w:color w:val="auto"/>
        </w:rPr>
      </w:pPr>
    </w:p>
    <w:p>
      <w:pPr>
        <w:ind w:right="280"/>
        <w:spacing w:after="0" w:line="322" w:lineRule="auto"/>
        <w:rPr>
          <w:sz w:val="20"/>
          <w:szCs w:val="20"/>
          <w:color w:val="auto"/>
        </w:rPr>
      </w:pPr>
      <w:r>
        <w:rPr>
          <w:rFonts w:ascii="Arial" w:cs="Arial" w:eastAsia="Arial" w:hAnsi="Arial"/>
          <w:sz w:val="13"/>
          <w:szCs w:val="13"/>
          <w:color w:val="auto"/>
        </w:rPr>
        <w:t>For the year ended December 31, 2024, noncontrolling interest in Conduent Victoria was not material to the Company's Consolidated Statements of Income (Loss) or Consolidated Statements of Comprehensive Income (Loss) and, therefore, the Company did not present any separate disclosures for such noncontrolling interest in those statements.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Foreign Currency Translation</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functional currency for most foreign operations is the local currency. Net assets are translated at current rates of exchange and income, expense and cash flow items are translated at average exchange rates for the applicable period. The translation adjustments are recorded in Accumulated other comprehensive loss.</w:t>
      </w:r>
    </w:p>
    <w:p>
      <w:pPr>
        <w:spacing w:after="0" w:line="80" w:lineRule="exact"/>
        <w:rPr>
          <w:sz w:val="20"/>
          <w:szCs w:val="20"/>
          <w:color w:val="auto"/>
        </w:rPr>
      </w:pPr>
    </w:p>
    <w:p>
      <w:pPr>
        <w:jc w:val="both"/>
        <w:ind w:right="160"/>
        <w:spacing w:after="0" w:line="265" w:lineRule="auto"/>
        <w:rPr>
          <w:sz w:val="20"/>
          <w:szCs w:val="20"/>
          <w:color w:val="auto"/>
        </w:rPr>
      </w:pPr>
      <w:r>
        <w:rPr>
          <w:rFonts w:ascii="Arial" w:cs="Arial" w:eastAsia="Arial" w:hAnsi="Arial"/>
          <w:sz w:val="14"/>
          <w:szCs w:val="14"/>
          <w:color w:val="auto"/>
        </w:rPr>
        <w:t>The U.S. Dollar is used as the functional currency for certain foreign subsidiaries that conduct their business in U.S. Dollars. A combination of current and historical exchange rates is used in re-measuring the local currency transactions of these subsidiaries and the resulting exchange adjustments are recorded in Currency (gains) and losses within Other (income) expenses, net together with other foreign currency re-measurements.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Stock-based Compensation</w:t>
      </w:r>
    </w:p>
    <w:p>
      <w:pPr>
        <w:spacing w:after="0" w:line="131"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Stock-based compensation expense for stock-based awards which include restricted stock units (RSUs) and performance stock units (“PSUs") is based on the grant date fair value of those awards. Stock-based compensation expense is recognized for RSUs as shares vest over the requisite service period. Vesting of PSUs is contingent on meeting performance targets. If the minimum performance targets are not met, no compensation cost is recognized and any recognized compensation cost is reversed.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17 – Shareholders’ Equity for further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 Recognition</w:t>
      </w:r>
    </w:p>
    <w:p>
      <w:pPr>
        <w:spacing w:after="0" w:line="131" w:lineRule="exact"/>
        <w:rPr>
          <w:sz w:val="20"/>
          <w:szCs w:val="20"/>
          <w:color w:val="auto"/>
        </w:rPr>
      </w:pPr>
    </w:p>
    <w:p>
      <w:pPr>
        <w:ind w:right="480"/>
        <w:spacing w:after="0" w:line="282" w:lineRule="auto"/>
        <w:rPr>
          <w:sz w:val="20"/>
          <w:szCs w:val="20"/>
          <w:color w:val="auto"/>
        </w:rPr>
      </w:pPr>
      <w:r>
        <w:rPr>
          <w:rFonts w:ascii="Arial" w:cs="Arial" w:eastAsia="Arial" w:hAnsi="Arial"/>
          <w:sz w:val="14"/>
          <w:szCs w:val="14"/>
          <w:color w:val="auto"/>
        </w:rPr>
        <w:t>The Company recognizes revenue when control of the promised goods or services is transferred to its customers, in an amount that reflects the consideration that the Company expects to receive in exchange for those goods or services.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Company's contracts with customers often include promises to transfer multiple products and services to a customer. Determining whether products and services are considered distinct performance obligations that should be accounted for separately, versus together, may require judgment. Typically, the Company’s contracts include performance obligation(s) to stand-ready on a daily or monthly basis to provide services to the customers. Under a stand-ready obligation, the evaluation of the nature of our performance obligation is focused on each time increment rather than the underlying activities. Accordingly, the promise to stand-ready is accounted for as a single-series performance obligation.</w:t>
      </w:r>
    </w:p>
    <w:p>
      <w:pPr>
        <w:spacing w:after="0" w:line="200" w:lineRule="exact"/>
        <w:rPr>
          <w:sz w:val="20"/>
          <w:szCs w:val="20"/>
          <w:color w:val="auto"/>
        </w:rPr>
      </w:pPr>
    </w:p>
    <w:p>
      <w:pPr>
        <w:spacing w:after="0" w:line="24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3" w:name="page64"/>
    <w:bookmarkEnd w:id="6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Once the Company determines the performance obligations, the Company determines the transaction price, which is based on fixed and/or variable consideration. Typical forms of variable consideration include variable pricing based on the number of transactions processed or usage-based pricing arrangements. Variable consideration is also present in the form of volume discounts, tiered and declining pricing, penalties for service level agreements, performance bonuses and credits. In circumstances where the Company meets certain requirements to allocate variable consideration to a distinct service within a series of related services, it allocates variable consideration to each distinct period of service within</w:t>
      </w:r>
    </w:p>
    <w:p>
      <w:pPr>
        <w:spacing w:after="0" w:line="2"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the series. In limited circumstances, if the Company does not meet those requirements, it includes an estimate of variable consideration in the transaction price to the extent it is probable that a significant reversal of cumulative revenue recognized will not occur when the uncertainty is resolved. For contracts with multiple performance obligations, the transaction price is allocated to the separate performance obligations on a relative standalone selling price basis. The Company generally determines standalone selling prices based on the prices charged to customers or by using expected cost plus a reasonable margin.</w:t>
      </w:r>
    </w:p>
    <w:p>
      <w:pPr>
        <w:spacing w:after="0" w:line="10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Company typically satisfies its performance obligations over time as the services are provided. A time-elapsed output method is used to measure progress because the nature of the Company’s promise is a stand-ready service and efforts are expended evenly throughout the period. In limited circumstances, such as contracts for implementation or development projects, the Company also uses a cost-to-cost based input method. The Company has determined that the above methods provide a faithful depiction of the transfer of services to the customer.</w:t>
      </w:r>
    </w:p>
    <w:p>
      <w:pPr>
        <w:spacing w:after="0" w:line="97" w:lineRule="exact"/>
        <w:rPr>
          <w:sz w:val="20"/>
          <w:szCs w:val="20"/>
          <w:color w:val="auto"/>
        </w:rPr>
      </w:pPr>
    </w:p>
    <w:p>
      <w:pPr>
        <w:ind w:right="320"/>
        <w:spacing w:after="0" w:line="259" w:lineRule="auto"/>
        <w:rPr>
          <w:sz w:val="20"/>
          <w:szCs w:val="20"/>
          <w:color w:val="auto"/>
        </w:rPr>
      </w:pPr>
      <w:r>
        <w:rPr>
          <w:rFonts w:ascii="Arial" w:cs="Arial" w:eastAsia="Arial" w:hAnsi="Arial"/>
          <w:sz w:val="14"/>
          <w:szCs w:val="14"/>
          <w:color w:val="auto"/>
        </w:rPr>
        <w:t>Estimates of revenue expected to be recognized in future periods exclude unexercised customer options to purchase additional services that do not represent material rights to the customer. Customer options that do not represent a material right are only accounted for when the customer exercises its option to purchase additional goods or services. The Company recognizes revenue for non-refundable upfront implementation fees on a straight-line basis over the period between the initiation of the services through the end of the contract term.</w:t>
      </w:r>
    </w:p>
    <w:p>
      <w:pPr>
        <w:spacing w:after="0" w:line="97" w:lineRule="exact"/>
        <w:rPr>
          <w:sz w:val="20"/>
          <w:szCs w:val="20"/>
          <w:color w:val="auto"/>
        </w:rPr>
      </w:pPr>
    </w:p>
    <w:p>
      <w:pPr>
        <w:jc w:val="both"/>
        <w:ind w:right="220"/>
        <w:spacing w:after="0" w:line="265" w:lineRule="auto"/>
        <w:rPr>
          <w:sz w:val="20"/>
          <w:szCs w:val="20"/>
          <w:color w:val="auto"/>
        </w:rPr>
      </w:pPr>
      <w:r>
        <w:rPr>
          <w:rFonts w:ascii="Arial" w:cs="Arial" w:eastAsia="Arial" w:hAnsi="Arial"/>
          <w:sz w:val="14"/>
          <w:szCs w:val="14"/>
          <w:color w:val="auto"/>
        </w:rPr>
        <w:t>When more than one party is involved in providing services to a customer, the Company evaluates whether it is the principal, and reports revenue on a gross basis, or an agent, and reports revenue on a net basis. In this assessment, the Company considers the following: if it obtains control of the specified services before they are transferred to the customer; is primarily responsible for fulfillment and inventory risk; and has discretion in establishing price.</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The Company reports revenue net of any revenue-based taxes assessed by governmental authorities that are imposed on and concurrent with specific revenue-producing transactions.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primary revenue-based taxes are sales tax and value-added tax ("VAT").</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The Company's payment terms vary by type of services offered. The time between invoicing and when payment is due is not significant. For certain services and customer types, the Company requires payment before services are rendered.</w:t>
      </w:r>
    </w:p>
    <w:p>
      <w:pPr>
        <w:spacing w:after="0" w:line="80" w:lineRule="exact"/>
        <w:rPr>
          <w:sz w:val="20"/>
          <w:szCs w:val="20"/>
          <w:color w:val="auto"/>
        </w:rPr>
      </w:pPr>
    </w:p>
    <w:p>
      <w:pPr>
        <w:ind w:right="360"/>
        <w:spacing w:after="0" w:line="282" w:lineRule="auto"/>
        <w:rPr>
          <w:sz w:val="20"/>
          <w:szCs w:val="20"/>
          <w:color w:val="auto"/>
        </w:rPr>
      </w:pPr>
      <w:r>
        <w:rPr>
          <w:rFonts w:ascii="Arial" w:cs="Arial" w:eastAsia="Arial" w:hAnsi="Arial"/>
          <w:sz w:val="14"/>
          <w:szCs w:val="14"/>
          <w:color w:val="auto"/>
        </w:rPr>
        <w:t>From time to time, the Company's contracts are modified to account for additions or changes to existing performance obligations. The Company's contract modifications related to stand-ready performance obligations are generally accounted for prospectively.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 – Revenue for further discussion.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Costs to Obtain and Fulfill a Contract</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Company capitalizes commission expenses paid to internal sales personnel that are incremental costs related to obtaining customer contracts. These costs are recorded as Deferred contract costs, net within Other long-term assets. The judgments made in determining the costs to be capitalized include whether the commissions are incremental and directly related to a successful acquisition of a customer contract. Capitalized costs are amortized within Depreciation and amortization over the term of the contract or the estimated life of the customer relationship if renewals are expected and the renewal commission is not commensurate with the initial commission. Sales commissions are expensed as incurred if the amortization period is one year or less. In addition, the Company may provide inducement payments to secure customer contracts. These inducement payments are capitalized and amortized as a reduction of revenue over the term of the customer contract.</w:t>
      </w:r>
    </w:p>
    <w:p>
      <w:pPr>
        <w:spacing w:after="0" w:line="99"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The Company also capitalizes costs incurred to fulfill its contracts that (i) relate directly to the contract, (ii) are expected to generate resources that will be used to satisfy the Company’s performance obligation under the contract and (iii) are expected to be recovered through revenue generated under the contract. These costs primarily</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4" w:name="page65"/>
    <w:bookmarkEnd w:id="6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consist of set-up and transition activities and are included in Deferred contract costs, net within Other long-term assets. Contract fulfillment costs are amortized within Depreciation and amortization on a systematic basis over the expected period of benefit as the Company satisfies its performance obligations by transferring services to the customer.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Deferred contract costs are periodically reviewed for impairment.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 – Revenue for further discussion.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 – Revenue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Disaggregation of Revenue</w:t>
      </w:r>
    </w:p>
    <w:p>
      <w:pPr>
        <w:spacing w:after="0" w:line="131"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In 2024, revenue from the BenefitWallet Portfolio and the Casualty Claims Solutions business were reclassified to the Divestitures segment from the Commercial segment. In addition, in 2024, revenue from the Curbside Management and Public Safety businesses was reclassified to the Divestitures segment from the Transportation segment. All prior periods presented have been recast to reflect these changes.</w:t>
      </w:r>
    </w:p>
    <w:p>
      <w:pPr>
        <w:spacing w:after="0" w:line="92" w:lineRule="exact"/>
        <w:rPr>
          <w:sz w:val="20"/>
          <w:szCs w:val="20"/>
          <w:color w:val="auto"/>
        </w:rPr>
      </w:pPr>
    </w:p>
    <w:p>
      <w:pPr>
        <w:ind w:right="480"/>
        <w:spacing w:after="0" w:line="277" w:lineRule="auto"/>
        <w:rPr>
          <w:sz w:val="20"/>
          <w:szCs w:val="20"/>
          <w:color w:val="auto"/>
        </w:rPr>
      </w:pPr>
      <w:r>
        <w:rPr>
          <w:rFonts w:ascii="Arial" w:cs="Arial" w:eastAsia="Arial" w:hAnsi="Arial"/>
          <w:sz w:val="14"/>
          <w:szCs w:val="14"/>
          <w:color w:val="auto"/>
        </w:rPr>
        <w:t>The following table provides information about disaggregated revenue by major service offering and reportable segment and the timing of revenue recognition. Refer to Note 3 – Segment Reporting for additional information on the Company's reportable segments.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80" w:type="dxa"/>
            <w:vAlign w:val="bottom"/>
          </w:tcPr>
          <w:p>
            <w:pPr>
              <w:spacing w:after="0"/>
              <w:rPr>
                <w:sz w:val="10"/>
                <w:szCs w:val="10"/>
                <w:color w:val="auto"/>
              </w:rPr>
            </w:pPr>
          </w:p>
        </w:tc>
        <w:tc>
          <w:tcPr>
            <w:tcW w:w="12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Commercial:</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38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Customer experience management</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552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Business operations solutions</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536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516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553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Healthcare claims and administration solutions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Human capital solutions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302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370</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Commercial</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1,606</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1,668</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Government:</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Government healthcare solutions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551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Government services solutions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433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561</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Government</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984</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1,094</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Transportation:</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Road usage charging &amp; management solutions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244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Transit solutions</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341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233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226</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Commercial vehicles</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Total Transportation</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586</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558</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562</w:t>
            </w: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Divestitures</w:t>
            </w:r>
          </w:p>
        </w:tc>
        <w:tc>
          <w:tcPr>
            <w:tcW w:w="3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180</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402</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Total Consolidated Revenue</w:t>
            </w:r>
          </w:p>
        </w:tc>
        <w:tc>
          <w:tcPr>
            <w:tcW w:w="3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3,356</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3,722</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3,858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59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Timing of Revenue Recognition:</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Point in time</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Over time</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3,250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3,615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3,743</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Revenue</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3,356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3,722</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The Company's contracts with customers are broadly similar in nature throughout the Company's major service offerings. The following is a description of the major service offerings:</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b w:val="1"/>
          <w:bCs w:val="1"/>
          <w:color w:val="auto"/>
        </w:rPr>
        <w:t>Customer Experience Management</w:t>
      </w:r>
      <w:r>
        <w:rPr>
          <w:rFonts w:ascii="Arial" w:cs="Arial" w:eastAsia="Arial" w:hAnsi="Arial"/>
          <w:sz w:val="11"/>
          <w:szCs w:val="11"/>
          <w:b w:val="1"/>
          <w:b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delivers a full range of customer contact services and customer communications, including customer care, technical support,</w:t>
      </w:r>
      <w:r>
        <w:rPr>
          <w:rFonts w:ascii="Arial" w:cs="Arial" w:eastAsia="Arial" w:hAnsi="Arial"/>
          <w:sz w:val="14"/>
          <w:szCs w:val="14"/>
          <w:b w:val="1"/>
          <w:bCs w:val="1"/>
          <w:color w:val="auto"/>
        </w:rPr>
        <w:t xml:space="preserve"> </w:t>
      </w:r>
      <w:r>
        <w:rPr>
          <w:rFonts w:ascii="Arial" w:cs="Arial" w:eastAsia="Arial" w:hAnsi="Arial"/>
          <w:sz w:val="14"/>
          <w:szCs w:val="14"/>
          <w:color w:val="auto"/>
        </w:rPr>
        <w:t>loyalty management, and outbound and inbound sales, handling many complex interactions and representing the brands of its clients. The Company creates better experiences across the customer lifecycle through a variety of channels including social media, chat, email, voice and virtual agent to help customers where and how they want to engage. Through omni-channel communications, automation and analytics, as well as labor efficiencies, the Company helps its clients reduce costs, enable scale and drive revenue growth and efficiencies. The Company serves marquee clients across multiple</w:t>
      </w:r>
    </w:p>
    <w:p>
      <w:pPr>
        <w:spacing w:after="0" w:line="200" w:lineRule="exact"/>
        <w:rPr>
          <w:sz w:val="20"/>
          <w:szCs w:val="20"/>
          <w:color w:val="auto"/>
        </w:rPr>
      </w:pPr>
    </w:p>
    <w:p>
      <w:pPr>
        <w:spacing w:after="0" w:line="24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5" w:name="page66"/>
    <w:bookmarkEnd w:id="6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sectors including financial services, health and life sciences, logistics, retail, technology and telecom, travel, and hospitality sectors, helping to resolve complex issues for the customers with empathy and effectiveness.</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b w:val="1"/>
          <w:bCs w:val="1"/>
          <w:color w:val="auto"/>
        </w:rPr>
        <w:t>Business Operations Solutions</w:t>
      </w:r>
      <w:r>
        <w:rPr>
          <w:rFonts w:ascii="Arial" w:cs="Arial" w:eastAsia="Arial" w:hAnsi="Arial"/>
          <w:sz w:val="14"/>
          <w:szCs w:val="14"/>
          <w:color w:val="auto"/>
        </w:rPr>
        <w:t>: The Company helps its clients digitally transform business processes and drive efficiency, automation and scale across essential business functions.</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streamlines client operations through its deep industry experience, understanding of its clients’ needs and the latest technology solutions to reduce costs, improve security, performance and accuracy, and enable revenue growth, while enhancing the end-user experience. The Company's portfolio of solutions spans automated document and data management, payments processing, finance, accounting, and procurement and financial industry solutions.</w:t>
      </w:r>
    </w:p>
    <w:p>
      <w:pPr>
        <w:spacing w:after="0" w:line="97"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b w:val="1"/>
          <w:bCs w:val="1"/>
          <w:color w:val="auto"/>
        </w:rPr>
        <w:t>Healthcare Claims and Administration Solutions</w:t>
      </w:r>
      <w:r>
        <w:rPr>
          <w:rFonts w:ascii="Arial" w:cs="Arial" w:eastAsia="Arial" w:hAnsi="Arial"/>
          <w:sz w:val="11"/>
          <w:szCs w:val="11"/>
          <w:b w:val="1"/>
          <w:b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On behalf of the healthcare industry, the Company delivers administration, clinical support, claims management and patient</w:t>
      </w:r>
      <w:r>
        <w:rPr>
          <w:rFonts w:ascii="Arial" w:cs="Arial" w:eastAsia="Arial" w:hAnsi="Arial"/>
          <w:sz w:val="14"/>
          <w:szCs w:val="14"/>
          <w:b w:val="1"/>
          <w:bCs w:val="1"/>
          <w:color w:val="auto"/>
        </w:rPr>
        <w:t xml:space="preserve"> </w:t>
      </w:r>
      <w:r>
        <w:rPr>
          <w:rFonts w:ascii="Arial" w:cs="Arial" w:eastAsia="Arial" w:hAnsi="Arial"/>
          <w:sz w:val="14"/>
          <w:szCs w:val="14"/>
          <w:color w:val="auto"/>
        </w:rPr>
        <w:t>assistance solutions across the healthcare ecosystem to reduce costs, increase compliance and enhance utilization, while improving outcomes and experiences for members and patients. The Company's solutions span: clinical trials, sales, access, and adherence to pharmaceutical clients; claim processing, care integration, subrogation and payment integrity solutions to managed care companies; and intake mailroom/data capture and medical management services to claims payers and third-party administrators</w:t>
      </w:r>
      <w:r>
        <w:rPr>
          <w:rFonts w:ascii="Arial" w:cs="Arial" w:eastAsia="Arial" w:hAnsi="Arial"/>
          <w:sz w:val="11"/>
          <w:szCs w:val="11"/>
          <w:color w:val="auto"/>
        </w:rPr>
        <w:t>.</w:t>
      </w:r>
    </w:p>
    <w:p>
      <w:pPr>
        <w:spacing w:after="0" w:line="97"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b w:val="1"/>
          <w:bCs w:val="1"/>
          <w:color w:val="auto"/>
        </w:rPr>
        <w:t>Human Capital Solutions</w:t>
      </w:r>
      <w:r>
        <w:rPr>
          <w:rFonts w:ascii="Arial" w:cs="Arial" w:eastAsia="Arial" w:hAnsi="Arial"/>
          <w:sz w:val="11"/>
          <w:szCs w:val="11"/>
          <w:b w:val="1"/>
          <w:b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provides services to support its clients' employees at all stages of their employment from on-boarding through retirement. The Company's</w:t>
      </w:r>
      <w:r>
        <w:rPr>
          <w:rFonts w:ascii="Arial" w:cs="Arial" w:eastAsia="Arial" w:hAnsi="Arial"/>
          <w:sz w:val="14"/>
          <w:szCs w:val="14"/>
          <w:b w:val="1"/>
          <w:bCs w:val="1"/>
          <w:color w:val="auto"/>
        </w:rPr>
        <w:t xml:space="preserve"> </w:t>
      </w:r>
      <w:r>
        <w:rPr>
          <w:rFonts w:ascii="Arial" w:cs="Arial" w:eastAsia="Arial" w:hAnsi="Arial"/>
          <w:sz w:val="14"/>
          <w:szCs w:val="14"/>
          <w:color w:val="auto"/>
        </w:rPr>
        <w:t>solutions span Benefits Administration, Human Resources ("HR") and Payroll and Learning. On behalf of global organizations and governments, the Company delivers technology-led HR services and solutions that improve business processes across the employee journey to maximize business performance, while increasing employee satisfaction, engagement, and overall well-being. These solutions help empower millions of employees and span health, benefits, payroll, onboarding and learning administration, annual enrollment, wealth and retirement, pensions administration, HR, talent, and workforce management.</w:t>
      </w:r>
    </w:p>
    <w:p>
      <w:pPr>
        <w:spacing w:after="0" w:line="100"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b w:val="1"/>
          <w:bCs w:val="1"/>
          <w:color w:val="auto"/>
        </w:rPr>
        <w:t>Government Healthcare Solutions</w:t>
      </w:r>
      <w:r>
        <w:rPr>
          <w:rFonts w:ascii="Arial" w:cs="Arial" w:eastAsia="Arial" w:hAnsi="Arial"/>
          <w:sz w:val="14"/>
          <w:szCs w:val="14"/>
          <w:color w:val="auto"/>
        </w:rPr>
        <w:t>: The Company provides program administration solutions for government healthcare programs with a range of innovative solutions such as</w:t>
      </w:r>
      <w:r>
        <w:rPr>
          <w:rFonts w:ascii="Arial" w:cs="Arial" w:eastAsia="Arial" w:hAnsi="Arial"/>
          <w:sz w:val="14"/>
          <w:szCs w:val="14"/>
          <w:b w:val="1"/>
          <w:bCs w:val="1"/>
          <w:color w:val="auto"/>
        </w:rPr>
        <w:t xml:space="preserve"> </w:t>
      </w:r>
      <w:r>
        <w:rPr>
          <w:rFonts w:ascii="Arial" w:cs="Arial" w:eastAsia="Arial" w:hAnsi="Arial"/>
          <w:sz w:val="14"/>
          <w:szCs w:val="14"/>
          <w:color w:val="auto"/>
        </w:rPr>
        <w:t>Medicaid management, provider services, Medicaid business intelligence, pharmacy benefits management, eligibility and enrollment support, customer contact services, application processing, premium billing, and case management solutions.</w:t>
      </w:r>
    </w:p>
    <w:p>
      <w:pPr>
        <w:spacing w:after="0" w:line="92"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b w:val="1"/>
          <w:bCs w:val="1"/>
          <w:color w:val="auto"/>
        </w:rPr>
        <w:t>Government Services Solutions</w:t>
      </w:r>
      <w:r>
        <w:rPr>
          <w:rFonts w:ascii="Arial" w:cs="Arial" w:eastAsia="Arial" w:hAnsi="Arial"/>
          <w:sz w:val="14"/>
          <w:szCs w:val="14"/>
          <w:color w:val="auto"/>
        </w:rPr>
        <w:t>: The Company is a leader in government payment disbursements for federally sponsored programs including benefit card programs and payment</w:t>
      </w:r>
      <w:r>
        <w:rPr>
          <w:rFonts w:ascii="Arial" w:cs="Arial" w:eastAsia="Arial" w:hAnsi="Arial"/>
          <w:sz w:val="14"/>
          <w:szCs w:val="14"/>
          <w:b w:val="1"/>
          <w:bCs w:val="1"/>
          <w:color w:val="auto"/>
        </w:rPr>
        <w:t xml:space="preserve"> </w:t>
      </w:r>
      <w:r>
        <w:rPr>
          <w:rFonts w:ascii="Arial" w:cs="Arial" w:eastAsia="Arial" w:hAnsi="Arial"/>
          <w:sz w:val="14"/>
          <w:szCs w:val="14"/>
          <w:color w:val="auto"/>
        </w:rPr>
        <w:t>card programs. Benefit card programs are closed loop solutions that support Supplemental Nutrition Assistance Program ("SNAP"), Temporary Assistance for Needy Families ("TANF") and Women, Infants and Children ("WIC"). Payment card programs are open loop solutions that support child support and Unemployment Insurance ("UI"). The Company also offers a broad set of child support services predominately to State Disbursement Units ("SDUs"), including processing and distributing payments, child support payment cards, childcare credentialing and case management, among others, to help states comply with federal standards.</w:t>
      </w:r>
    </w:p>
    <w:p>
      <w:pPr>
        <w:spacing w:after="0" w:line="100"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b w:val="1"/>
          <w:bCs w:val="1"/>
          <w:color w:val="auto"/>
        </w:rPr>
        <w:t>Road Usage Charging and Management Services</w:t>
      </w:r>
      <w:r>
        <w:rPr>
          <w:rFonts w:ascii="Arial" w:cs="Arial" w:eastAsia="Arial" w:hAnsi="Arial"/>
          <w:sz w:val="14"/>
          <w:szCs w:val="14"/>
          <w:color w:val="auto"/>
        </w:rPr>
        <w:t>: The Company's electronic tolling, urban congestion management and mileage-based user solutions help its clients accurately</w:t>
      </w:r>
      <w:r>
        <w:rPr>
          <w:rFonts w:ascii="Arial" w:cs="Arial" w:eastAsia="Arial" w:hAnsi="Arial"/>
          <w:sz w:val="14"/>
          <w:szCs w:val="14"/>
          <w:b w:val="1"/>
          <w:bCs w:val="1"/>
          <w:color w:val="auto"/>
        </w:rPr>
        <w:t xml:space="preserve"> </w:t>
      </w:r>
      <w:r>
        <w:rPr>
          <w:rFonts w:ascii="Arial" w:cs="Arial" w:eastAsia="Arial" w:hAnsi="Arial"/>
          <w:sz w:val="14"/>
          <w:szCs w:val="14"/>
          <w:color w:val="auto"/>
        </w:rPr>
        <w:t>assess and collect payments millions of times every day to generate revenue for infrastructure improvements. The Company's solutions include vehicle passenger detection systems, electronic toll collection, automated license plate recognition and congestion management solutions.</w:t>
      </w:r>
    </w:p>
    <w:p>
      <w:pPr>
        <w:spacing w:after="0" w:line="92"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color w:val="auto"/>
        </w:rPr>
        <w:t>Transit Solutions</w:t>
      </w:r>
      <w:r>
        <w:rPr>
          <w:rFonts w:ascii="Arial" w:cs="Arial" w:eastAsia="Arial" w:hAnsi="Arial"/>
          <w:sz w:val="14"/>
          <w:szCs w:val="14"/>
          <w:color w:val="auto"/>
        </w:rPr>
        <w:t>: For train, bus, subway, metro and other transit travelers, the Company helps make journeys more personalized and convenient while increasing fare collections for</w:t>
      </w:r>
      <w:r>
        <w:rPr>
          <w:rFonts w:ascii="Arial" w:cs="Arial" w:eastAsia="Arial" w:hAnsi="Arial"/>
          <w:sz w:val="14"/>
          <w:szCs w:val="14"/>
          <w:b w:val="1"/>
          <w:bCs w:val="1"/>
          <w:color w:val="auto"/>
        </w:rPr>
        <w:t xml:space="preserve"> </w:t>
      </w:r>
      <w:r>
        <w:rPr>
          <w:rFonts w:ascii="Arial" w:cs="Arial" w:eastAsia="Arial" w:hAnsi="Arial"/>
          <w:sz w:val="14"/>
          <w:szCs w:val="14"/>
          <w:color w:val="auto"/>
        </w:rPr>
        <w:t>authorities and agencies. The Company combines fare collection, account-based ticketing and intelligent mobility to provide clients with the added efficiency of a single point of management for all transit solutions.</w:t>
      </w:r>
    </w:p>
    <w:p>
      <w:pPr>
        <w:spacing w:after="0" w:line="92" w:lineRule="exact"/>
        <w:rPr>
          <w:sz w:val="20"/>
          <w:szCs w:val="20"/>
          <w:color w:val="auto"/>
        </w:rPr>
      </w:pPr>
    </w:p>
    <w:p>
      <w:pPr>
        <w:ind w:right="1720"/>
        <w:spacing w:after="0" w:line="434" w:lineRule="auto"/>
        <w:rPr>
          <w:sz w:val="20"/>
          <w:szCs w:val="20"/>
          <w:color w:val="auto"/>
        </w:rPr>
      </w:pPr>
      <w:r>
        <w:rPr>
          <w:rFonts w:ascii="Arial" w:cs="Arial" w:eastAsia="Arial" w:hAnsi="Arial"/>
          <w:sz w:val="14"/>
          <w:szCs w:val="14"/>
          <w:b w:val="1"/>
          <w:bCs w:val="1"/>
          <w:color w:val="auto"/>
        </w:rPr>
        <w:t>Commercial Vehicles</w:t>
      </w:r>
      <w:r>
        <w:rPr>
          <w:rFonts w:ascii="Arial" w:cs="Arial" w:eastAsia="Arial" w:hAnsi="Arial"/>
          <w:sz w:val="14"/>
          <w:szCs w:val="14"/>
          <w:color w:val="auto"/>
        </w:rPr>
        <w:t>: The Company provides computer-aided dispatch/automatic vehicle location technology to help clients manage their fleet operations.</w:t>
      </w:r>
      <w:r>
        <w:rPr>
          <w:rFonts w:ascii="Arial" w:cs="Arial" w:eastAsia="Arial" w:hAnsi="Arial"/>
          <w:sz w:val="14"/>
          <w:szCs w:val="14"/>
          <w:b w:val="1"/>
          <w:bCs w:val="1"/>
          <w:color w:val="auto"/>
        </w:rPr>
        <w:t xml:space="preserve"> Contract Balances</w:t>
      </w:r>
    </w:p>
    <w:p>
      <w:pPr>
        <w:spacing w:after="0" w:line="1"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6" w:name="page67"/>
    <w:bookmarkEnd w:id="6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about significant movements in contract assets (current and long-term):</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600" w:type="dxa"/>
            <w:vAlign w:val="bottom"/>
            <w:gridSpan w:val="3"/>
          </w:tcPr>
          <w:p>
            <w:pPr>
              <w:ind w:left="20"/>
              <w:spacing w:after="0"/>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10"/>
                <w:szCs w:val="10"/>
                <w:color w:val="auto"/>
              </w:rPr>
            </w:pPr>
          </w:p>
        </w:tc>
        <w:tc>
          <w:tcPr>
            <w:tcW w:w="1620" w:type="dxa"/>
            <w:vAlign w:val="bottom"/>
            <w:gridSpan w:val="2"/>
          </w:tcPr>
          <w:p>
            <w:pPr>
              <w:ind w:left="160"/>
              <w:spacing w:after="0"/>
              <w:rPr>
                <w:sz w:val="20"/>
                <w:szCs w:val="20"/>
                <w:color w:val="auto"/>
              </w:rPr>
            </w:pPr>
            <w:r>
              <w:rPr>
                <w:rFonts w:ascii="Arial" w:cs="Arial" w:eastAsia="Arial" w:hAnsi="Arial"/>
                <w:sz w:val="11"/>
                <w:szCs w:val="11"/>
                <w:color w:val="auto"/>
              </w:rPr>
              <w:t>December 31, 2024</w:t>
            </w:r>
          </w:p>
        </w:tc>
        <w:tc>
          <w:tcPr>
            <w:tcW w:w="240" w:type="dxa"/>
            <w:vAlign w:val="bottom"/>
          </w:tcPr>
          <w:p>
            <w:pPr>
              <w:spacing w:after="0"/>
              <w:rPr>
                <w:sz w:val="10"/>
                <w:szCs w:val="10"/>
                <w:color w:val="auto"/>
              </w:rPr>
            </w:pPr>
          </w:p>
        </w:tc>
        <w:tc>
          <w:tcPr>
            <w:tcW w:w="1540" w:type="dxa"/>
            <w:vAlign w:val="bottom"/>
          </w:tcPr>
          <w:p>
            <w:pPr>
              <w:jc w:val="right"/>
              <w:ind w:right="344"/>
              <w:spacing w:after="0"/>
              <w:rPr>
                <w:sz w:val="20"/>
                <w:szCs w:val="20"/>
                <w:color w:val="auto"/>
              </w:rPr>
            </w:pPr>
            <w:r>
              <w:rPr>
                <w:rFonts w:ascii="Arial" w:cs="Arial" w:eastAsia="Arial" w:hAnsi="Arial"/>
                <w:sz w:val="11"/>
                <w:szCs w:val="1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38"/>
        </w:trPr>
        <w:tc>
          <w:tcPr>
            <w:tcW w:w="76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Beginning balance</w:t>
            </w: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r>
      <w:tr>
        <w:trPr>
          <w:trHeight w:val="152"/>
        </w:trPr>
        <w:tc>
          <w:tcPr>
            <w:tcW w:w="20" w:type="dxa"/>
            <w:vAlign w:val="bottom"/>
          </w:tcPr>
          <w:p>
            <w:pPr>
              <w:spacing w:after="0"/>
              <w:rPr>
                <w:sz w:val="13"/>
                <w:szCs w:val="13"/>
                <w:color w:val="auto"/>
              </w:rPr>
            </w:pPr>
          </w:p>
        </w:tc>
        <w:tc>
          <w:tcPr>
            <w:tcW w:w="7580" w:type="dxa"/>
            <w:vAlign w:val="bottom"/>
            <w:gridSpan w:val="2"/>
          </w:tcPr>
          <w:p>
            <w:pPr>
              <w:ind w:left="80"/>
              <w:spacing w:after="0"/>
              <w:rPr>
                <w:sz w:val="20"/>
                <w:szCs w:val="20"/>
                <w:color w:val="auto"/>
              </w:rPr>
            </w:pPr>
            <w:r>
              <w:rPr>
                <w:rFonts w:ascii="Arial" w:cs="Arial" w:eastAsia="Arial" w:hAnsi="Arial"/>
                <w:sz w:val="11"/>
                <w:szCs w:val="11"/>
                <w:color w:val="auto"/>
              </w:rPr>
              <w:t>Additional contract assets recognized</w:t>
            </w: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139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236</w:t>
            </w:r>
          </w:p>
        </w:tc>
      </w:tr>
      <w:tr>
        <w:trPr>
          <w:trHeight w:val="160"/>
        </w:trPr>
        <w:tc>
          <w:tcPr>
            <w:tcW w:w="20" w:type="dxa"/>
            <w:vAlign w:val="bottom"/>
            <w:shd w:val="clear" w:color="auto" w:fill="CCEEFF"/>
          </w:tcPr>
          <w:p>
            <w:pPr>
              <w:spacing w:after="0"/>
              <w:rPr>
                <w:sz w:val="13"/>
                <w:szCs w:val="13"/>
                <w:color w:val="auto"/>
              </w:rPr>
            </w:pPr>
          </w:p>
        </w:tc>
        <w:tc>
          <w:tcPr>
            <w:tcW w:w="75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Billed and transferred to Accounts receivable and other</w:t>
            </w: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w:t>
            </w:r>
          </w:p>
        </w:tc>
      </w:tr>
      <w:tr>
        <w:trPr>
          <w:trHeight w:val="152"/>
        </w:trPr>
        <w:tc>
          <w:tcPr>
            <w:tcW w:w="20" w:type="dxa"/>
            <w:vAlign w:val="bottom"/>
          </w:tcPr>
          <w:p>
            <w:pPr>
              <w:spacing w:after="0"/>
              <w:rPr>
                <w:sz w:val="13"/>
                <w:szCs w:val="13"/>
                <w:color w:val="auto"/>
              </w:rPr>
            </w:pPr>
          </w:p>
        </w:tc>
        <w:tc>
          <w:tcPr>
            <w:tcW w:w="7580" w:type="dxa"/>
            <w:vAlign w:val="bottom"/>
            <w:gridSpan w:val="2"/>
          </w:tcPr>
          <w:p>
            <w:pPr>
              <w:ind w:left="80"/>
              <w:spacing w:after="0"/>
              <w:rPr>
                <w:sz w:val="20"/>
                <w:szCs w:val="20"/>
                <w:color w:val="auto"/>
              </w:rPr>
            </w:pPr>
            <w:r>
              <w:rPr>
                <w:rFonts w:ascii="Arial" w:cs="Arial" w:eastAsia="Arial" w:hAnsi="Arial"/>
                <w:sz w:val="11"/>
                <w:szCs w:val="11"/>
                <w:color w:val="auto"/>
              </w:rPr>
              <w:t>Impairments</w:t>
            </w:r>
          </w:p>
        </w:tc>
        <w:tc>
          <w:tcPr>
            <w:tcW w:w="240" w:type="dxa"/>
            <w:vAlign w:val="bottom"/>
          </w:tcPr>
          <w:p>
            <w:pPr>
              <w:spacing w:after="0"/>
              <w:rPr>
                <w:sz w:val="13"/>
                <w:szCs w:val="13"/>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76"/>
        </w:trPr>
        <w:tc>
          <w:tcPr>
            <w:tcW w:w="7600" w:type="dxa"/>
            <w:vAlign w:val="bottom"/>
            <w:tcBorders>
              <w:top w:val="single" w:sz="8" w:color="CCEEFF"/>
              <w:bottom w:val="single" w:sz="8" w:color="CCEEFF"/>
            </w:tcBorders>
            <w:gridSpan w:val="3"/>
            <w:shd w:val="clear" w:color="auto" w:fill="CCEEFF"/>
          </w:tcPr>
          <w:p>
            <w:pPr>
              <w:ind w:left="20"/>
              <w:spacing w:after="0" w:line="151" w:lineRule="exact"/>
              <w:rPr>
                <w:sz w:val="20"/>
                <w:szCs w:val="20"/>
                <w:color w:val="auto"/>
              </w:rPr>
            </w:pPr>
            <w:r>
              <w:rPr>
                <w:rFonts w:ascii="Arial" w:cs="Arial" w:eastAsia="Arial" w:hAnsi="Arial"/>
                <w:sz w:val="11"/>
                <w:szCs w:val="11"/>
                <w:color w:val="auto"/>
              </w:rPr>
              <w:t>Ending balance</w:t>
            </w:r>
            <w:r>
              <w:rPr>
                <w:rFonts w:ascii="Arial" w:cs="Arial" w:eastAsia="Arial" w:hAnsi="Arial"/>
                <w:sz w:val="14"/>
                <w:szCs w:val="14"/>
                <w:color w:val="auto"/>
                <w:vertAlign w:val="superscript"/>
              </w:rPr>
              <w:t>(1)</w:t>
            </w:r>
          </w:p>
        </w:tc>
        <w:tc>
          <w:tcPr>
            <w:tcW w:w="24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___</w:t>
      </w:r>
    </w:p>
    <w:p>
      <w:pPr>
        <w:spacing w:after="0" w:line="9" w:lineRule="exact"/>
        <w:rPr>
          <w:sz w:val="20"/>
          <w:szCs w:val="20"/>
          <w:color w:val="auto"/>
        </w:rPr>
      </w:pPr>
    </w:p>
    <w:p>
      <w:pPr>
        <w:ind w:left="120" w:hanging="117"/>
        <w:spacing w:after="0"/>
        <w:tabs>
          <w:tab w:leader="none" w:pos="120" w:val="left"/>
        </w:tabs>
        <w:numPr>
          <w:ilvl w:val="0"/>
          <w:numId w:val="37"/>
        </w:numPr>
        <w:rPr>
          <w:rFonts w:ascii="Arial" w:cs="Arial" w:eastAsia="Arial" w:hAnsi="Arial"/>
          <w:sz w:val="7"/>
          <w:szCs w:val="7"/>
          <w:color w:val="auto"/>
        </w:rPr>
      </w:pPr>
      <w:r>
        <w:rPr>
          <w:rFonts w:ascii="Arial" w:cs="Arial" w:eastAsia="Arial" w:hAnsi="Arial"/>
          <w:sz w:val="11"/>
          <w:szCs w:val="11"/>
          <w:color w:val="auto"/>
        </w:rPr>
        <w:t>Of which $3 million and $12 million are included in Other long-term assets as of December 31, 2024 and 2023,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about significant movements in unearned income balances (current and long-term):</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600" w:type="dxa"/>
            <w:vAlign w:val="bottom"/>
            <w:gridSpan w:val="3"/>
          </w:tcPr>
          <w:p>
            <w:pPr>
              <w:ind w:left="20"/>
              <w:spacing w:after="0"/>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10"/>
                <w:szCs w:val="10"/>
                <w:color w:val="auto"/>
              </w:rPr>
            </w:pPr>
          </w:p>
        </w:tc>
        <w:tc>
          <w:tcPr>
            <w:tcW w:w="1620" w:type="dxa"/>
            <w:vAlign w:val="bottom"/>
            <w:gridSpan w:val="2"/>
          </w:tcPr>
          <w:p>
            <w:pPr>
              <w:ind w:left="160"/>
              <w:spacing w:after="0"/>
              <w:rPr>
                <w:sz w:val="20"/>
                <w:szCs w:val="20"/>
                <w:color w:val="auto"/>
              </w:rPr>
            </w:pPr>
            <w:r>
              <w:rPr>
                <w:rFonts w:ascii="Arial" w:cs="Arial" w:eastAsia="Arial" w:hAnsi="Arial"/>
                <w:sz w:val="11"/>
                <w:szCs w:val="11"/>
                <w:color w:val="auto"/>
              </w:rPr>
              <w:t>December 31, 2024</w:t>
            </w:r>
          </w:p>
        </w:tc>
        <w:tc>
          <w:tcPr>
            <w:tcW w:w="240" w:type="dxa"/>
            <w:vAlign w:val="bottom"/>
          </w:tcPr>
          <w:p>
            <w:pPr>
              <w:spacing w:after="0"/>
              <w:rPr>
                <w:sz w:val="10"/>
                <w:szCs w:val="10"/>
                <w:color w:val="auto"/>
              </w:rPr>
            </w:pPr>
          </w:p>
        </w:tc>
        <w:tc>
          <w:tcPr>
            <w:tcW w:w="1540" w:type="dxa"/>
            <w:vAlign w:val="bottom"/>
          </w:tcPr>
          <w:p>
            <w:pPr>
              <w:jc w:val="right"/>
              <w:ind w:right="344"/>
              <w:spacing w:after="0"/>
              <w:rPr>
                <w:sz w:val="20"/>
                <w:szCs w:val="20"/>
                <w:color w:val="auto"/>
              </w:rPr>
            </w:pPr>
            <w:r>
              <w:rPr>
                <w:rFonts w:ascii="Arial" w:cs="Arial" w:eastAsia="Arial" w:hAnsi="Arial"/>
                <w:sz w:val="11"/>
                <w:szCs w:val="1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38"/>
        </w:trPr>
        <w:tc>
          <w:tcPr>
            <w:tcW w:w="76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Beginning balance</w:t>
            </w: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r>
      <w:tr>
        <w:trPr>
          <w:trHeight w:val="152"/>
        </w:trPr>
        <w:tc>
          <w:tcPr>
            <w:tcW w:w="20" w:type="dxa"/>
            <w:vAlign w:val="bottom"/>
          </w:tcPr>
          <w:p>
            <w:pPr>
              <w:spacing w:after="0"/>
              <w:rPr>
                <w:sz w:val="13"/>
                <w:szCs w:val="13"/>
                <w:color w:val="auto"/>
              </w:rPr>
            </w:pPr>
          </w:p>
        </w:tc>
        <w:tc>
          <w:tcPr>
            <w:tcW w:w="7580" w:type="dxa"/>
            <w:vAlign w:val="bottom"/>
            <w:gridSpan w:val="2"/>
          </w:tcPr>
          <w:p>
            <w:pPr>
              <w:ind w:left="80"/>
              <w:spacing w:after="0"/>
              <w:rPr>
                <w:sz w:val="20"/>
                <w:szCs w:val="20"/>
                <w:color w:val="auto"/>
              </w:rPr>
            </w:pPr>
            <w:r>
              <w:rPr>
                <w:rFonts w:ascii="Arial" w:cs="Arial" w:eastAsia="Arial" w:hAnsi="Arial"/>
                <w:sz w:val="11"/>
                <w:szCs w:val="11"/>
                <w:color w:val="auto"/>
              </w:rPr>
              <w:t>Additional deferral of income</w:t>
            </w: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276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361</w:t>
            </w:r>
          </w:p>
        </w:tc>
      </w:tr>
      <w:tr>
        <w:trPr>
          <w:trHeight w:val="160"/>
        </w:trPr>
        <w:tc>
          <w:tcPr>
            <w:tcW w:w="20" w:type="dxa"/>
            <w:vAlign w:val="bottom"/>
            <w:shd w:val="clear" w:color="auto" w:fill="CCEEFF"/>
          </w:tcPr>
          <w:p>
            <w:pPr>
              <w:spacing w:after="0"/>
              <w:rPr>
                <w:sz w:val="13"/>
                <w:szCs w:val="13"/>
                <w:color w:val="auto"/>
              </w:rPr>
            </w:pPr>
          </w:p>
        </w:tc>
        <w:tc>
          <w:tcPr>
            <w:tcW w:w="75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Revenue recognized related to deferral of income</w:t>
            </w:r>
            <w:r>
              <w:rPr>
                <w:rFonts w:ascii="Arial" w:cs="Arial" w:eastAsia="Arial" w:hAnsi="Arial"/>
                <w:sz w:val="7"/>
                <w:szCs w:val="7"/>
                <w:color w:val="auto"/>
              </w:rPr>
              <w:t>(1)</w:t>
            </w: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w:t>
            </w:r>
          </w:p>
        </w:tc>
      </w:tr>
      <w:tr>
        <w:trPr>
          <w:trHeight w:val="152"/>
        </w:trPr>
        <w:tc>
          <w:tcPr>
            <w:tcW w:w="20" w:type="dxa"/>
            <w:vAlign w:val="bottom"/>
          </w:tcPr>
          <w:p>
            <w:pPr>
              <w:spacing w:after="0"/>
              <w:rPr>
                <w:sz w:val="13"/>
                <w:szCs w:val="13"/>
                <w:color w:val="auto"/>
              </w:rPr>
            </w:pPr>
          </w:p>
        </w:tc>
        <w:tc>
          <w:tcPr>
            <w:tcW w:w="7580" w:type="dxa"/>
            <w:vAlign w:val="bottom"/>
            <w:gridSpan w:val="2"/>
          </w:tcPr>
          <w:p>
            <w:pPr>
              <w:ind w:left="80"/>
              <w:spacing w:after="0"/>
              <w:rPr>
                <w:sz w:val="20"/>
                <w:szCs w:val="20"/>
                <w:color w:val="auto"/>
              </w:rPr>
            </w:pPr>
            <w:r>
              <w:rPr>
                <w:rFonts w:ascii="Arial" w:cs="Arial" w:eastAsia="Arial" w:hAnsi="Arial"/>
                <w:sz w:val="11"/>
                <w:szCs w:val="11"/>
                <w:color w:val="auto"/>
              </w:rPr>
              <w:t>Other</w:t>
            </w:r>
          </w:p>
        </w:tc>
        <w:tc>
          <w:tcPr>
            <w:tcW w:w="240" w:type="dxa"/>
            <w:vAlign w:val="bottom"/>
          </w:tcPr>
          <w:p>
            <w:pPr>
              <w:spacing w:after="0"/>
              <w:rPr>
                <w:sz w:val="13"/>
                <w:szCs w:val="13"/>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(8)</w:t>
            </w:r>
          </w:p>
        </w:tc>
      </w:tr>
      <w:tr>
        <w:trPr>
          <w:trHeight w:val="176"/>
        </w:trPr>
        <w:tc>
          <w:tcPr>
            <w:tcW w:w="76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Ending balance</w:t>
            </w:r>
            <w:r>
              <w:rPr>
                <w:rFonts w:ascii="Arial" w:cs="Arial" w:eastAsia="Arial" w:hAnsi="Arial"/>
                <w:sz w:val="7"/>
                <w:szCs w:val="7"/>
                <w:color w:val="auto"/>
              </w:rPr>
              <w:t>(2)</w:t>
            </w:r>
          </w:p>
        </w:tc>
        <w:tc>
          <w:tcPr>
            <w:tcW w:w="24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___</w:t>
      </w:r>
    </w:p>
    <w:p>
      <w:pPr>
        <w:ind w:left="120" w:hanging="117"/>
        <w:spacing w:after="0" w:line="228" w:lineRule="auto"/>
        <w:tabs>
          <w:tab w:leader="none" w:pos="120" w:val="left"/>
        </w:tabs>
        <w:numPr>
          <w:ilvl w:val="0"/>
          <w:numId w:val="38"/>
        </w:numPr>
        <w:rPr>
          <w:rFonts w:ascii="Arial" w:cs="Arial" w:eastAsia="Arial" w:hAnsi="Arial"/>
          <w:sz w:val="14"/>
          <w:szCs w:val="14"/>
          <w:color w:val="auto"/>
          <w:vertAlign w:val="superscript"/>
        </w:rPr>
      </w:pPr>
      <w:r>
        <w:rPr>
          <w:rFonts w:ascii="Arial" w:cs="Arial" w:eastAsia="Arial" w:hAnsi="Arial"/>
          <w:sz w:val="11"/>
          <w:szCs w:val="11"/>
          <w:color w:val="auto"/>
        </w:rPr>
        <w:t>Of which $92 million and $62 million were recognized during the years ended December 31, 2024 and 2023, respectively, that related to the Company's unearned income as of December 31, 2023 and 2022, respectively.</w:t>
      </w:r>
    </w:p>
    <w:p>
      <w:pPr>
        <w:spacing w:after="0" w:line="43" w:lineRule="exact"/>
        <w:rPr>
          <w:rFonts w:ascii="Arial" w:cs="Arial" w:eastAsia="Arial" w:hAnsi="Arial"/>
          <w:sz w:val="14"/>
          <w:szCs w:val="14"/>
          <w:color w:val="auto"/>
          <w:vertAlign w:val="superscript"/>
        </w:rPr>
      </w:pPr>
    </w:p>
    <w:p>
      <w:pPr>
        <w:ind w:left="120" w:hanging="117"/>
        <w:spacing w:after="0" w:line="200" w:lineRule="auto"/>
        <w:tabs>
          <w:tab w:leader="none" w:pos="120" w:val="left"/>
        </w:tabs>
        <w:numPr>
          <w:ilvl w:val="0"/>
          <w:numId w:val="38"/>
        </w:numPr>
        <w:rPr>
          <w:rFonts w:ascii="Arial" w:cs="Arial" w:eastAsia="Arial" w:hAnsi="Arial"/>
          <w:sz w:val="14"/>
          <w:szCs w:val="14"/>
          <w:color w:val="auto"/>
          <w:vertAlign w:val="superscript"/>
        </w:rPr>
      </w:pPr>
      <w:r>
        <w:rPr>
          <w:rFonts w:ascii="Arial" w:cs="Arial" w:eastAsia="Arial" w:hAnsi="Arial"/>
          <w:sz w:val="11"/>
          <w:szCs w:val="11"/>
          <w:color w:val="auto"/>
        </w:rPr>
        <w:t>Of which $52 million and $55 million are included in Long-term unearned income as of December 31, 2024 and 2023,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 Price Allocated to the Remaining Performance Obligations</w:t>
      </w:r>
    </w:p>
    <w:p>
      <w:pPr>
        <w:spacing w:after="0" w:line="131"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Estimated revenue expected to be recognized in the future related to performance obligations that are unsatisfied or partially satisfied at December 31, 2024, was approximately $1.4 billion. The Company expects to recognize approximately 72% of this revenue over the next 2 years and the remainder thereafter.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to Obtain and Fulfill a Contract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net book value of the capitalized costs to obtain and fulfill a contract: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5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10"/>
                <w:szCs w:val="10"/>
                <w:color w:val="auto"/>
              </w:rPr>
            </w:pPr>
          </w:p>
        </w:tc>
        <w:tc>
          <w:tcPr>
            <w:tcW w:w="1620" w:type="dxa"/>
            <w:vAlign w:val="bottom"/>
            <w:gridSpan w:val="2"/>
          </w:tcPr>
          <w:p>
            <w:pPr>
              <w:ind w:left="160"/>
              <w:spacing w:after="0"/>
              <w:rPr>
                <w:sz w:val="20"/>
                <w:szCs w:val="20"/>
                <w:color w:val="auto"/>
              </w:rPr>
            </w:pPr>
            <w:r>
              <w:rPr>
                <w:rFonts w:ascii="Arial" w:cs="Arial" w:eastAsia="Arial" w:hAnsi="Arial"/>
                <w:sz w:val="11"/>
                <w:szCs w:val="11"/>
                <w:color w:val="auto"/>
              </w:rPr>
              <w:t>December 31, 2024</w:t>
            </w:r>
          </w:p>
        </w:tc>
        <w:tc>
          <w:tcPr>
            <w:tcW w:w="240" w:type="dxa"/>
            <w:vAlign w:val="bottom"/>
          </w:tcPr>
          <w:p>
            <w:pPr>
              <w:spacing w:after="0"/>
              <w:rPr>
                <w:sz w:val="10"/>
                <w:szCs w:val="10"/>
                <w:color w:val="auto"/>
              </w:rPr>
            </w:pPr>
          </w:p>
        </w:tc>
        <w:tc>
          <w:tcPr>
            <w:tcW w:w="1540" w:type="dxa"/>
            <w:vAlign w:val="bottom"/>
          </w:tcPr>
          <w:p>
            <w:pPr>
              <w:jc w:val="right"/>
              <w:ind w:right="344"/>
              <w:spacing w:after="0"/>
              <w:rPr>
                <w:sz w:val="20"/>
                <w:szCs w:val="20"/>
                <w:color w:val="auto"/>
              </w:rPr>
            </w:pPr>
            <w:r>
              <w:rPr>
                <w:rFonts w:ascii="Arial" w:cs="Arial" w:eastAsia="Arial" w:hAnsi="Arial"/>
                <w:sz w:val="11"/>
                <w:szCs w:val="1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Costs to obtain a contract</w:t>
            </w: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r>
      <w:tr>
        <w:trPr>
          <w:trHeight w:val="149"/>
        </w:trPr>
        <w:tc>
          <w:tcPr>
            <w:tcW w:w="20" w:type="dxa"/>
            <w:vAlign w:val="bottom"/>
          </w:tcPr>
          <w:p>
            <w:pPr>
              <w:spacing w:after="0"/>
              <w:rPr>
                <w:sz w:val="12"/>
                <w:szCs w:val="12"/>
                <w:color w:val="auto"/>
              </w:rPr>
            </w:pPr>
          </w:p>
        </w:tc>
        <w:tc>
          <w:tcPr>
            <w:tcW w:w="7580" w:type="dxa"/>
            <w:vAlign w:val="bottom"/>
            <w:gridSpan w:val="2"/>
          </w:tcPr>
          <w:p>
            <w:pPr>
              <w:spacing w:after="0"/>
              <w:rPr>
                <w:sz w:val="20"/>
                <w:szCs w:val="20"/>
                <w:color w:val="auto"/>
              </w:rPr>
            </w:pPr>
            <w:r>
              <w:rPr>
                <w:rFonts w:ascii="Arial" w:cs="Arial" w:eastAsia="Arial" w:hAnsi="Arial"/>
                <w:sz w:val="11"/>
                <w:szCs w:val="11"/>
                <w:color w:val="auto"/>
              </w:rPr>
              <w:t>Costs to fulfill a contract</w:t>
            </w:r>
          </w:p>
        </w:tc>
        <w:tc>
          <w:tcPr>
            <w:tcW w:w="24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99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60</w:t>
            </w:r>
          </w:p>
        </w:tc>
      </w:tr>
    </w:tbl>
    <w:p>
      <w:pPr>
        <w:spacing w:after="0" w:line="191" w:lineRule="exact"/>
        <w:rPr>
          <w:sz w:val="20"/>
          <w:szCs w:val="20"/>
          <w:color w:val="auto"/>
        </w:rPr>
      </w:pPr>
    </w:p>
    <w:p>
      <w:pPr>
        <w:jc w:val="both"/>
        <w:ind w:right="40"/>
        <w:spacing w:after="0" w:line="282" w:lineRule="auto"/>
        <w:rPr>
          <w:sz w:val="20"/>
          <w:szCs w:val="20"/>
          <w:color w:val="auto"/>
        </w:rPr>
      </w:pPr>
      <w:r>
        <w:rPr>
          <w:rFonts w:ascii="Arial" w:cs="Arial" w:eastAsia="Arial" w:hAnsi="Arial"/>
          <w:sz w:val="14"/>
          <w:szCs w:val="14"/>
          <w:color w:val="auto"/>
        </w:rPr>
        <w:t>The amortization of costs incurred to obtain and fulfill a contract, excluding contract inducements, for the years ended December 31, 2024, 2023 and 2022 were $40 million, $40 million and $34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expected amortization expense for the next five years and thereafter for the costs to obtain and fulfill a contract is as follows (in millions):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1300" w:type="dxa"/>
            <w:vAlign w:val="bottom"/>
            <w:tcBorders>
              <w:bottom w:val="single" w:sz="8" w:color="auto"/>
            </w:tcBorders>
          </w:tcPr>
          <w:p>
            <w:pPr>
              <w:jc w:val="right"/>
              <w:ind w:right="224"/>
              <w:spacing w:after="0"/>
              <w:rPr>
                <w:sz w:val="20"/>
                <w:szCs w:val="20"/>
                <w:color w:val="auto"/>
              </w:rPr>
            </w:pPr>
            <w:r>
              <w:rPr>
                <w:rFonts w:ascii="Arial" w:cs="Arial" w:eastAsia="Arial" w:hAnsi="Arial"/>
                <w:sz w:val="11"/>
                <w:szCs w:val="11"/>
                <w:color w:val="auto"/>
              </w:rPr>
              <w:t>2025</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rPr>
              <w:t>2026</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2027</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2028</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2029</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584"/>
              <w:spacing w:after="0"/>
              <w:rPr>
                <w:sz w:val="20"/>
                <w:szCs w:val="20"/>
                <w:color w:val="auto"/>
              </w:rPr>
            </w:pPr>
            <w:r>
              <w:rPr>
                <w:rFonts w:ascii="Arial" w:cs="Arial" w:eastAsia="Arial" w:hAnsi="Arial"/>
                <w:sz w:val="11"/>
                <w:szCs w:val="11"/>
                <w:color w:val="auto"/>
              </w:rPr>
              <w:t>Thereafter</w:t>
            </w:r>
          </w:p>
        </w:tc>
      </w:tr>
      <w:tr>
        <w:trPr>
          <w:trHeight w:val="151"/>
        </w:trPr>
        <w:tc>
          <w:tcPr>
            <w:tcW w:w="1300" w:type="dxa"/>
            <w:vAlign w:val="bottom"/>
            <w:shd w:val="clear" w:color="auto" w:fill="CCEEFF"/>
          </w:tcPr>
          <w:p>
            <w:pPr>
              <w:jc w:val="right"/>
              <w:ind w:right="1164"/>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36</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184"/>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net book value of contract inducement costs was $8 million and $10 million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7" w:name="page68"/>
    <w:bookmarkEnd w:id="6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3 – Segment Reporting</w:t>
      </w:r>
    </w:p>
    <w:p>
      <w:pPr>
        <w:spacing w:after="0" w:line="123" w:lineRule="exact"/>
        <w:rPr>
          <w:sz w:val="20"/>
          <w:szCs w:val="20"/>
          <w:color w:val="auto"/>
        </w:rPr>
      </w:pPr>
    </w:p>
    <w:p>
      <w:pPr>
        <w:jc w:val="both"/>
        <w:ind w:right="120"/>
        <w:spacing w:after="0" w:line="265" w:lineRule="auto"/>
        <w:rPr>
          <w:sz w:val="20"/>
          <w:szCs w:val="20"/>
          <w:color w:val="auto"/>
        </w:rPr>
      </w:pPr>
      <w:r>
        <w:rPr>
          <w:rFonts w:ascii="Arial" w:cs="Arial" w:eastAsia="Arial" w:hAnsi="Arial"/>
          <w:sz w:val="14"/>
          <w:szCs w:val="14"/>
          <w:color w:val="auto"/>
        </w:rPr>
        <w:t>The Company's reportable segments correspond to how it organizes and manages the business, as defined by the Company's Chief Executive Officer, who is also its Chief Operating Decision Maker ("CODM"), and are aligned to the industries in which the Company's clients operate. The Company's segments involve the delivery of business process services and include service arrangements where it manages a customer's business activity or process.</w:t>
      </w:r>
    </w:p>
    <w:p>
      <w:pPr>
        <w:spacing w:after="0" w:line="92"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Divestitures includes the Company's BenefitWallet Portfolio for which the Company completed the transfer in the second quarter of 2024, its Curbside Management and Public Safety Solutions businesses which it sold in the second quarter of 2024 and its Casualty Claims business which it sold in the third quarter of 2024. Additionally, Divestitures includes the Company's Midas business which it sold in the first quarter of 2022. Refer to Note 4 – Divestitures and Assets/Liabilities Held for Sale for additional information.</w:t>
      </w:r>
    </w:p>
    <w:p>
      <w:pPr>
        <w:spacing w:after="0" w:line="92"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The Company's CODM evaluates the Company's financial performance based on Segment profit (loss) for its three reportable segments - Commercial, Government and Transportation. The Company's CODM uses Segment profit (loss) information to monitor budget versus actual results and then uses this information to help make informed decisions about future resource investment, potential restructuring of segments to enhance overall company performance, and future divestitures and acquisitions.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Company's CODM does not evaluate operating segments using discrete asset information as a significant portion of the assets is managed at the total company level.</w:t>
      </w:r>
    </w:p>
    <w:p>
      <w:pPr>
        <w:spacing w:after="0" w:line="131" w:lineRule="exact"/>
        <w:rPr>
          <w:sz w:val="20"/>
          <w:szCs w:val="20"/>
          <w:color w:val="auto"/>
        </w:rPr>
      </w:pPr>
    </w:p>
    <w:p>
      <w:pPr>
        <w:ind w:left="260" w:right="340" w:hanging="257"/>
        <w:spacing w:after="0" w:line="259" w:lineRule="auto"/>
        <w:tabs>
          <w:tab w:leader="none" w:pos="256"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Commercial: </w:t>
      </w:r>
      <w:r>
        <w:rPr>
          <w:rFonts w:ascii="Arial" w:cs="Arial" w:eastAsia="Arial" w:hAnsi="Arial"/>
          <w:sz w:val="14"/>
          <w:szCs w:val="14"/>
          <w:color w:val="000000"/>
        </w:rPr>
        <w:t>The Commercial segment provides business process services that span its clients' businesses end-to-end from the front-office to the back-office for a variety of</w:t>
      </w:r>
      <w:r>
        <w:rPr>
          <w:rFonts w:ascii="Arial" w:cs="Arial" w:eastAsia="Arial" w:hAnsi="Arial"/>
          <w:sz w:val="14"/>
          <w:szCs w:val="14"/>
          <w:b w:val="1"/>
          <w:bCs w:val="1"/>
          <w:color w:val="0066CC"/>
        </w:rPr>
        <w:t xml:space="preserve"> </w:t>
      </w:r>
      <w:r>
        <w:rPr>
          <w:rFonts w:ascii="Arial" w:cs="Arial" w:eastAsia="Arial" w:hAnsi="Arial"/>
          <w:sz w:val="14"/>
          <w:szCs w:val="14"/>
          <w:color w:val="000000"/>
        </w:rPr>
        <w:t>commercial industries. These solutions are both cross-industry and industry-specific in nature. Across the Commercial segment, the Company operates on its clients’ behalf to deliver mission-critical solutions and services to reduce costs, improve efficiencies and enhance performance for the Company's clients and deliver better experiences for their consumers and employees.</w:t>
      </w:r>
    </w:p>
    <w:p>
      <w:pPr>
        <w:spacing w:after="0" w:line="96" w:lineRule="exact"/>
        <w:rPr>
          <w:rFonts w:ascii="Arial" w:cs="Arial" w:eastAsia="Arial" w:hAnsi="Arial"/>
          <w:sz w:val="14"/>
          <w:szCs w:val="14"/>
          <w:b w:val="1"/>
          <w:bCs w:val="1"/>
          <w:color w:val="auto"/>
        </w:rPr>
      </w:pPr>
    </w:p>
    <w:p>
      <w:pPr>
        <w:ind w:left="260" w:hanging="257"/>
        <w:spacing w:after="0" w:line="259" w:lineRule="auto"/>
        <w:tabs>
          <w:tab w:leader="none" w:pos="256"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Government: </w:t>
      </w:r>
      <w:r>
        <w:rPr>
          <w:rFonts w:ascii="Arial" w:cs="Arial" w:eastAsia="Arial" w:hAnsi="Arial"/>
          <w:sz w:val="14"/>
          <w:szCs w:val="14"/>
          <w:color w:val="000000"/>
        </w:rPr>
        <w:t>The Government segment provides government-centric business process services and solutions to U.S. federal, state, local and foreign governments for public</w:t>
      </w:r>
      <w:r>
        <w:rPr>
          <w:rFonts w:ascii="Arial" w:cs="Arial" w:eastAsia="Arial" w:hAnsi="Arial"/>
          <w:sz w:val="14"/>
          <w:szCs w:val="14"/>
          <w:b w:val="1"/>
          <w:bCs w:val="1"/>
          <w:color w:val="0066CC"/>
        </w:rPr>
        <w:t xml:space="preserve"> </w:t>
      </w:r>
      <w:r>
        <w:rPr>
          <w:rFonts w:ascii="Arial" w:cs="Arial" w:eastAsia="Arial" w:hAnsi="Arial"/>
          <w:sz w:val="14"/>
          <w:szCs w:val="14"/>
          <w:color w:val="000000"/>
        </w:rPr>
        <w:t>assistance, healthcare programs and administration, transaction processing, payment services and case management. In this segment, the Company helps governments respond to changing rules for eligibility and keep pace with increasing citizen expectations, modernize legacy technology systems, combat benefits fraud and shift in response to an evolving regulatory environment.</w:t>
      </w:r>
    </w:p>
    <w:p>
      <w:pPr>
        <w:spacing w:after="0" w:line="96" w:lineRule="exact"/>
        <w:rPr>
          <w:rFonts w:ascii="Arial" w:cs="Arial" w:eastAsia="Arial" w:hAnsi="Arial"/>
          <w:sz w:val="14"/>
          <w:szCs w:val="14"/>
          <w:b w:val="1"/>
          <w:bCs w:val="1"/>
          <w:color w:val="auto"/>
        </w:rPr>
      </w:pPr>
    </w:p>
    <w:p>
      <w:pPr>
        <w:ind w:left="260" w:right="40" w:hanging="257"/>
        <w:spacing w:after="0" w:line="259" w:lineRule="auto"/>
        <w:tabs>
          <w:tab w:leader="none" w:pos="256" w:val="left"/>
        </w:tabs>
        <w:numPr>
          <w:ilvl w:val="0"/>
          <w:numId w:val="39"/>
        </w:numPr>
        <w:rPr>
          <w:rFonts w:ascii="Arial" w:cs="Arial" w:eastAsia="Arial" w:hAnsi="Arial"/>
          <w:sz w:val="14"/>
          <w:szCs w:val="14"/>
          <w:color w:val="0066CC"/>
        </w:rPr>
      </w:pPr>
      <w:r>
        <w:rPr>
          <w:rFonts w:ascii="Arial" w:cs="Arial" w:eastAsia="Arial" w:hAnsi="Arial"/>
          <w:sz w:val="14"/>
          <w:szCs w:val="14"/>
          <w:b w:val="1"/>
          <w:bCs w:val="1"/>
          <w:color w:val="0066CC"/>
        </w:rPr>
        <w:t xml:space="preserve">Transportation: </w:t>
      </w:r>
      <w:r>
        <w:rPr>
          <w:rFonts w:ascii="Arial" w:cs="Arial" w:eastAsia="Arial" w:hAnsi="Arial"/>
          <w:sz w:val="14"/>
          <w:szCs w:val="14"/>
          <w:color w:val="000000"/>
        </w:rPr>
        <w:t>The Transportation segment provides government agencies and transportation authorities around the world with solutions serving toll and fare collections as well</w:t>
      </w:r>
      <w:r>
        <w:rPr>
          <w:rFonts w:ascii="Arial" w:cs="Arial" w:eastAsia="Arial" w:hAnsi="Arial"/>
          <w:sz w:val="14"/>
          <w:szCs w:val="14"/>
          <w:b w:val="1"/>
          <w:bCs w:val="1"/>
          <w:color w:val="0066CC"/>
        </w:rPr>
        <w:t xml:space="preserve"> </w:t>
      </w:r>
      <w:r>
        <w:rPr>
          <w:rFonts w:ascii="Arial" w:cs="Arial" w:eastAsia="Arial" w:hAnsi="Arial"/>
          <w:sz w:val="14"/>
          <w:szCs w:val="14"/>
          <w:color w:val="000000"/>
        </w:rPr>
        <w:t>as mobility and digital payments that help streamline operations and increase revenue, systems, support, and revenue-generating solutions to government transportation agencies. With an expanded focus on sustainability and enhancing the quality of life for citizens and communities around the world, the Company's solutions help reduce congestion and greenhouse emissions, while creating seamless travel experiences for consumers throughout transportation ecosystems.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8" w:name="page69"/>
    <w:bookmarkEnd w:id="6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300"/>
        <w:spacing w:after="0" w:line="282" w:lineRule="auto"/>
        <w:rPr>
          <w:sz w:val="20"/>
          <w:szCs w:val="20"/>
          <w:color w:val="auto"/>
        </w:rPr>
      </w:pPr>
      <w:r>
        <w:rPr>
          <w:rFonts w:ascii="Arial" w:cs="Arial" w:eastAsia="Arial" w:hAnsi="Arial"/>
          <w:sz w:val="14"/>
          <w:szCs w:val="14"/>
          <w:color w:val="auto"/>
        </w:rPr>
        <w:t>The Company adopted the new segment guidance for the year ended December 31, 2024 on a retrospective basis. The following table presents revenues, expenses and segment profit (loss) for the Company's reportable segments: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1"/>
                <w:szCs w:val="11"/>
                <w:color w:val="auto"/>
              </w:rPr>
              <w:t>Year Ended December 31,</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6180" w:type="dxa"/>
            <w:vAlign w:val="bottom"/>
            <w:gridSpan w:val="3"/>
          </w:tcPr>
          <w:p>
            <w:pPr>
              <w:spacing w:after="0" w:line="123" w:lineRule="exact"/>
              <w:rPr>
                <w:sz w:val="20"/>
                <w:szCs w:val="20"/>
                <w:color w:val="auto"/>
              </w:rPr>
            </w:pPr>
            <w:r>
              <w:rPr>
                <w:rFonts w:ascii="Arial" w:cs="Arial" w:eastAsia="Arial" w:hAnsi="Arial"/>
                <w:sz w:val="11"/>
                <w:szCs w:val="11"/>
                <w:color w:val="auto"/>
              </w:rPr>
              <w:t>(in millions)</w:t>
            </w:r>
          </w:p>
        </w:tc>
        <w:tc>
          <w:tcPr>
            <w:tcW w:w="180" w:type="dxa"/>
            <w:vAlign w:val="bottom"/>
          </w:tcPr>
          <w:p>
            <w:pPr>
              <w:spacing w:after="0"/>
              <w:rPr>
                <w:sz w:val="10"/>
                <w:szCs w:val="10"/>
                <w:color w:val="auto"/>
              </w:rPr>
            </w:pPr>
          </w:p>
        </w:tc>
        <w:tc>
          <w:tcPr>
            <w:tcW w:w="1100" w:type="dxa"/>
            <w:vAlign w:val="bottom"/>
            <w:gridSpan w:val="2"/>
          </w:tcPr>
          <w:p>
            <w:pPr>
              <w:ind w:left="100"/>
              <w:spacing w:after="0" w:line="123" w:lineRule="exact"/>
              <w:rPr>
                <w:sz w:val="20"/>
                <w:szCs w:val="20"/>
                <w:color w:val="auto"/>
              </w:rPr>
            </w:pPr>
            <w:r>
              <w:rPr>
                <w:rFonts w:ascii="Arial" w:cs="Arial" w:eastAsia="Arial" w:hAnsi="Arial"/>
                <w:sz w:val="11"/>
                <w:szCs w:val="11"/>
                <w:color w:val="auto"/>
              </w:rPr>
              <w:t>Commercial</w:t>
            </w:r>
          </w:p>
        </w:tc>
        <w:tc>
          <w:tcPr>
            <w:tcW w:w="180" w:type="dxa"/>
            <w:vAlign w:val="bottom"/>
          </w:tcPr>
          <w:p>
            <w:pPr>
              <w:spacing w:after="0"/>
              <w:rPr>
                <w:sz w:val="10"/>
                <w:szCs w:val="10"/>
                <w:color w:val="auto"/>
              </w:rPr>
            </w:pPr>
          </w:p>
        </w:tc>
        <w:tc>
          <w:tcPr>
            <w:tcW w:w="1100" w:type="dxa"/>
            <w:vAlign w:val="bottom"/>
            <w:gridSpan w:val="2"/>
          </w:tcPr>
          <w:p>
            <w:pPr>
              <w:ind w:left="100"/>
              <w:spacing w:after="0" w:line="123" w:lineRule="exact"/>
              <w:rPr>
                <w:sz w:val="20"/>
                <w:szCs w:val="20"/>
                <w:color w:val="auto"/>
              </w:rPr>
            </w:pPr>
            <w:r>
              <w:rPr>
                <w:rFonts w:ascii="Arial" w:cs="Arial" w:eastAsia="Arial" w:hAnsi="Arial"/>
                <w:sz w:val="11"/>
                <w:szCs w:val="11"/>
                <w:color w:val="auto"/>
              </w:rPr>
              <w:t>Government</w:t>
            </w:r>
          </w:p>
        </w:tc>
        <w:tc>
          <w:tcPr>
            <w:tcW w:w="1000" w:type="dxa"/>
            <w:vAlign w:val="bottom"/>
          </w:tcPr>
          <w:p>
            <w:pPr>
              <w:jc w:val="right"/>
              <w:spacing w:after="0" w:line="123" w:lineRule="exact"/>
              <w:rPr>
                <w:sz w:val="20"/>
                <w:szCs w:val="20"/>
                <w:color w:val="auto"/>
              </w:rPr>
            </w:pPr>
            <w:r>
              <w:rPr>
                <w:rFonts w:ascii="Arial" w:cs="Arial" w:eastAsia="Arial" w:hAnsi="Arial"/>
                <w:sz w:val="11"/>
                <w:szCs w:val="11"/>
                <w:color w:val="auto"/>
              </w:rPr>
              <w:t>Transportation</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364"/>
              <w:spacing w:after="0" w:line="123" w:lineRule="exact"/>
              <w:rPr>
                <w:sz w:val="20"/>
                <w:szCs w:val="20"/>
                <w:color w:val="auto"/>
              </w:rPr>
            </w:pPr>
            <w:r>
              <w:rPr>
                <w:rFonts w:ascii="Arial" w:cs="Arial" w:eastAsia="Arial" w:hAnsi="Arial"/>
                <w:sz w:val="11"/>
                <w:szCs w:val="11"/>
                <w:color w:val="auto"/>
              </w:rPr>
              <w:t>Total</w:t>
            </w:r>
            <w:r>
              <w:rPr>
                <w:rFonts w:ascii="Arial" w:cs="Arial" w:eastAsia="Arial" w:hAnsi="Arial"/>
                <w:sz w:val="14"/>
                <w:szCs w:val="14"/>
                <w:color w:val="auto"/>
                <w:vertAlign w:val="superscript"/>
              </w:rPr>
              <w:t>(1)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8"/>
        </w:trPr>
        <w:tc>
          <w:tcPr>
            <w:tcW w:w="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2024</w:t>
            </w:r>
          </w:p>
        </w:tc>
        <w:tc>
          <w:tcPr>
            <w:tcW w:w="55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43"/>
        </w:trPr>
        <w:tc>
          <w:tcPr>
            <w:tcW w:w="20" w:type="dxa"/>
            <w:vAlign w:val="bottom"/>
          </w:tcPr>
          <w:p>
            <w:pPr>
              <w:spacing w:after="0"/>
              <w:rPr>
                <w:sz w:val="12"/>
                <w:szCs w:val="12"/>
                <w:color w:val="auto"/>
              </w:rPr>
            </w:pPr>
          </w:p>
        </w:tc>
        <w:tc>
          <w:tcPr>
            <w:tcW w:w="6180" w:type="dxa"/>
            <w:vAlign w:val="bottom"/>
            <w:gridSpan w:val="3"/>
          </w:tcPr>
          <w:p>
            <w:pPr>
              <w:spacing w:after="0"/>
              <w:rPr>
                <w:sz w:val="20"/>
                <w:szCs w:val="20"/>
                <w:color w:val="auto"/>
              </w:rPr>
            </w:pPr>
            <w:r>
              <w:rPr>
                <w:rFonts w:ascii="Arial" w:cs="Arial" w:eastAsia="Arial" w:hAnsi="Arial"/>
                <w:sz w:val="11"/>
                <w:szCs w:val="11"/>
                <w:color w:val="auto"/>
              </w:rPr>
              <w:t>Segment revenue</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1,606</w:t>
            </w:r>
          </w:p>
        </w:tc>
        <w:tc>
          <w:tcPr>
            <w:tcW w:w="10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984</w:t>
            </w:r>
          </w:p>
        </w:tc>
        <w:tc>
          <w:tcPr>
            <w:tcW w:w="100" w:type="dxa"/>
            <w:vAlign w:val="bottom"/>
          </w:tcPr>
          <w:p>
            <w:pPr>
              <w:spacing w:after="0"/>
              <w:rPr>
                <w:sz w:val="12"/>
                <w:szCs w:val="12"/>
                <w:color w:val="auto"/>
              </w:rPr>
            </w:pPr>
          </w:p>
        </w:tc>
        <w:tc>
          <w:tcPr>
            <w:tcW w:w="1000" w:type="dxa"/>
            <w:vAlign w:val="bottom"/>
          </w:tcPr>
          <w:p>
            <w:pPr>
              <w:jc w:val="right"/>
              <w:ind w:right="890"/>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586</w:t>
            </w:r>
          </w:p>
        </w:tc>
        <w:tc>
          <w:tcPr>
            <w:tcW w:w="100" w:type="dxa"/>
            <w:vAlign w:val="bottom"/>
          </w:tcPr>
          <w:p>
            <w:pPr>
              <w:spacing w:after="0"/>
              <w:rPr>
                <w:sz w:val="12"/>
                <w:szCs w:val="12"/>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3,176</w:t>
            </w:r>
          </w:p>
        </w:tc>
      </w:tr>
      <w:tr>
        <w:trPr>
          <w:trHeight w:val="87"/>
        </w:trPr>
        <w:tc>
          <w:tcPr>
            <w:tcW w:w="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152"/>
        </w:trPr>
        <w:tc>
          <w:tcPr>
            <w:tcW w:w="20" w:type="dxa"/>
            <w:vAlign w:val="bottom"/>
          </w:tcPr>
          <w:p>
            <w:pPr>
              <w:spacing w:after="0"/>
              <w:rPr>
                <w:sz w:val="13"/>
                <w:szCs w:val="13"/>
                <w:color w:val="auto"/>
              </w:rPr>
            </w:pPr>
          </w:p>
        </w:tc>
        <w:tc>
          <w:tcPr>
            <w:tcW w:w="6180" w:type="dxa"/>
            <w:vAlign w:val="bottom"/>
            <w:gridSpan w:val="3"/>
          </w:tcPr>
          <w:p>
            <w:pPr>
              <w:spacing w:after="0"/>
              <w:rPr>
                <w:sz w:val="20"/>
                <w:szCs w:val="20"/>
                <w:color w:val="auto"/>
              </w:rPr>
            </w:pPr>
            <w:r>
              <w:rPr>
                <w:rFonts w:ascii="Arial" w:cs="Arial" w:eastAsia="Arial" w:hAnsi="Arial"/>
                <w:sz w:val="11"/>
                <w:szCs w:val="11"/>
                <w:color w:val="auto"/>
              </w:rPr>
              <w:t>Expenses</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Wages and benefits</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1,081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420</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90"/>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1,757</w:t>
            </w:r>
          </w:p>
        </w:tc>
      </w:tr>
      <w:tr>
        <w:trPr>
          <w:trHeight w:val="152"/>
        </w:trPr>
        <w:tc>
          <w:tcPr>
            <w:tcW w:w="20" w:type="dxa"/>
            <w:vAlign w:val="bottom"/>
          </w:tcPr>
          <w:p>
            <w:pPr>
              <w:spacing w:after="0"/>
              <w:rPr>
                <w:sz w:val="13"/>
                <w:szCs w:val="13"/>
                <w:color w:val="auto"/>
              </w:rPr>
            </w:pPr>
          </w:p>
        </w:tc>
        <w:tc>
          <w:tcPr>
            <w:tcW w:w="6180" w:type="dxa"/>
            <w:vAlign w:val="bottom"/>
            <w:gridSpan w:val="3"/>
          </w:tcPr>
          <w:p>
            <w:pPr>
              <w:ind w:left="240"/>
              <w:spacing w:after="0"/>
              <w:rPr>
                <w:sz w:val="20"/>
                <w:szCs w:val="20"/>
                <w:color w:val="auto"/>
              </w:rPr>
            </w:pPr>
            <w:r>
              <w:rPr>
                <w:rFonts w:ascii="Arial" w:cs="Arial" w:eastAsia="Arial" w:hAnsi="Arial"/>
                <w:sz w:val="11"/>
                <w:szCs w:val="11"/>
                <w:color w:val="auto"/>
              </w:rPr>
              <w:t>Services and supplies</w:t>
            </w:r>
          </w:p>
        </w:tc>
        <w:tc>
          <w:tcPr>
            <w:tcW w:w="1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212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282</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279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773</w:t>
            </w: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Rent lease and maintenance expense</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66</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w:t>
            </w:r>
          </w:p>
        </w:tc>
      </w:tr>
      <w:tr>
        <w:trPr>
          <w:trHeight w:val="152"/>
        </w:trPr>
        <w:tc>
          <w:tcPr>
            <w:tcW w:w="20" w:type="dxa"/>
            <w:vAlign w:val="bottom"/>
          </w:tcPr>
          <w:p>
            <w:pPr>
              <w:spacing w:after="0"/>
              <w:rPr>
                <w:sz w:val="13"/>
                <w:szCs w:val="13"/>
                <w:color w:val="auto"/>
              </w:rPr>
            </w:pPr>
          </w:p>
        </w:tc>
        <w:tc>
          <w:tcPr>
            <w:tcW w:w="6180" w:type="dxa"/>
            <w:vAlign w:val="bottom"/>
            <w:gridSpan w:val="3"/>
          </w:tcPr>
          <w:p>
            <w:pPr>
              <w:ind w:left="240"/>
              <w:spacing w:after="0"/>
              <w:rPr>
                <w:sz w:val="20"/>
                <w:szCs w:val="20"/>
                <w:color w:val="auto"/>
              </w:rPr>
            </w:pPr>
            <w:r>
              <w:rPr>
                <w:rFonts w:ascii="Arial" w:cs="Arial" w:eastAsia="Arial" w:hAnsi="Arial"/>
                <w:sz w:val="11"/>
                <w:szCs w:val="11"/>
                <w:color w:val="auto"/>
              </w:rPr>
              <w:t>Other operating expense</w:t>
            </w:r>
          </w:p>
        </w:tc>
        <w:tc>
          <w:tcPr>
            <w:tcW w:w="1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Depreciation and amortization expense</w:t>
            </w: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90</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158</w:t>
            </w:r>
          </w:p>
        </w:tc>
      </w:tr>
      <w:tr>
        <w:trPr>
          <w:trHeight w:val="143"/>
        </w:trPr>
        <w:tc>
          <w:tcPr>
            <w:tcW w:w="20" w:type="dxa"/>
            <w:vAlign w:val="bottom"/>
            <w:tcBorders>
              <w:bottom w:val="single" w:sz="8" w:color="CCEEFF"/>
            </w:tcBorders>
          </w:tcPr>
          <w:p>
            <w:pPr>
              <w:spacing w:after="0"/>
              <w:rPr>
                <w:sz w:val="12"/>
                <w:szCs w:val="12"/>
                <w:color w:val="auto"/>
              </w:rPr>
            </w:pPr>
          </w:p>
        </w:tc>
        <w:tc>
          <w:tcPr>
            <w:tcW w:w="618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Segment expenses</w:t>
            </w: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1,529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818</w:t>
            </w:r>
          </w:p>
        </w:tc>
        <w:tc>
          <w:tcPr>
            <w:tcW w:w="1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611</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2,958</w:t>
            </w:r>
          </w:p>
        </w:tc>
      </w:tr>
      <w:tr>
        <w:trPr>
          <w:trHeight w:val="67"/>
        </w:trPr>
        <w:tc>
          <w:tcPr>
            <w:tcW w:w="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5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152"/>
        </w:trPr>
        <w:tc>
          <w:tcPr>
            <w:tcW w:w="20" w:type="dxa"/>
            <w:vAlign w:val="bottom"/>
          </w:tcPr>
          <w:p>
            <w:pPr>
              <w:spacing w:after="0"/>
              <w:rPr>
                <w:sz w:val="13"/>
                <w:szCs w:val="13"/>
                <w:color w:val="auto"/>
              </w:rPr>
            </w:pPr>
          </w:p>
        </w:tc>
        <w:tc>
          <w:tcPr>
            <w:tcW w:w="6180" w:type="dxa"/>
            <w:vAlign w:val="bottom"/>
            <w:gridSpan w:val="3"/>
          </w:tcPr>
          <w:p>
            <w:pPr>
              <w:spacing w:after="0"/>
              <w:rPr>
                <w:sz w:val="20"/>
                <w:szCs w:val="20"/>
                <w:color w:val="auto"/>
              </w:rPr>
            </w:pPr>
            <w:r>
              <w:rPr>
                <w:rFonts w:ascii="Arial" w:cs="Arial" w:eastAsia="Arial" w:hAnsi="Arial"/>
                <w:sz w:val="11"/>
                <w:szCs w:val="11"/>
                <w:color w:val="auto"/>
              </w:rPr>
              <w:t>Segment profit (loss)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77</w:t>
            </w:r>
          </w:p>
        </w:tc>
        <w:tc>
          <w:tcPr>
            <w:tcW w:w="100" w:type="dxa"/>
            <w:vAlign w:val="bottom"/>
          </w:tcPr>
          <w:p>
            <w:pPr>
              <w:spacing w:after="0"/>
              <w:rPr>
                <w:sz w:val="13"/>
                <w:szCs w:val="13"/>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166</w:t>
            </w:r>
          </w:p>
        </w:tc>
        <w:tc>
          <w:tcPr>
            <w:tcW w:w="100" w:type="dxa"/>
            <w:vAlign w:val="bottom"/>
          </w:tcPr>
          <w:p>
            <w:pPr>
              <w:spacing w:after="0"/>
              <w:rPr>
                <w:sz w:val="13"/>
                <w:szCs w:val="13"/>
                <w:color w:val="auto"/>
              </w:rPr>
            </w:pPr>
          </w:p>
        </w:tc>
        <w:tc>
          <w:tcPr>
            <w:tcW w:w="1000" w:type="dxa"/>
            <w:vAlign w:val="bottom"/>
          </w:tcPr>
          <w:p>
            <w:pPr>
              <w:jc w:val="right"/>
              <w:ind w:right="890"/>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3"/>
                <w:szCs w:val="13"/>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218</w:t>
            </w:r>
          </w:p>
        </w:tc>
      </w:tr>
      <w:tr>
        <w:trPr>
          <w:trHeight w:val="171"/>
        </w:trPr>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5"/>
        </w:trPr>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2023</w:t>
            </w:r>
          </w:p>
        </w:tc>
        <w:tc>
          <w:tcPr>
            <w:tcW w:w="5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r>
      <w:tr>
        <w:trPr>
          <w:trHeight w:val="148"/>
        </w:trPr>
        <w:tc>
          <w:tcPr>
            <w:tcW w:w="20" w:type="dxa"/>
            <w:vAlign w:val="bottom"/>
            <w:shd w:val="clear" w:color="auto" w:fill="CCEEFF"/>
          </w:tcPr>
          <w:p>
            <w:pPr>
              <w:spacing w:after="0"/>
              <w:rPr>
                <w:sz w:val="12"/>
                <w:szCs w:val="12"/>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Segment Revenue</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1,668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1,094</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90"/>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3,320</w:t>
            </w:r>
          </w:p>
        </w:tc>
      </w:tr>
      <w:tr>
        <w:trPr>
          <w:trHeight w:val="83"/>
        </w:trPr>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156"/>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Expenses</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180" w:type="dxa"/>
            <w:vAlign w:val="bottom"/>
            <w:gridSpan w:val="3"/>
          </w:tcPr>
          <w:p>
            <w:pPr>
              <w:ind w:left="240"/>
              <w:spacing w:after="0"/>
              <w:rPr>
                <w:sz w:val="20"/>
                <w:szCs w:val="20"/>
                <w:color w:val="auto"/>
              </w:rPr>
            </w:pPr>
            <w:r>
              <w:rPr>
                <w:rFonts w:ascii="Arial" w:cs="Arial" w:eastAsia="Arial" w:hAnsi="Arial"/>
                <w:sz w:val="11"/>
                <w:szCs w:val="11"/>
                <w:color w:val="auto"/>
              </w:rPr>
              <w:t>Wages and benefits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1,132</w:t>
            </w:r>
          </w:p>
        </w:tc>
        <w:tc>
          <w:tcPr>
            <w:tcW w:w="100" w:type="dxa"/>
            <w:vAlign w:val="bottom"/>
          </w:tcPr>
          <w:p>
            <w:pPr>
              <w:spacing w:after="0"/>
              <w:rPr>
                <w:sz w:val="13"/>
                <w:szCs w:val="13"/>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411</w:t>
            </w:r>
          </w:p>
        </w:tc>
        <w:tc>
          <w:tcPr>
            <w:tcW w:w="100" w:type="dxa"/>
            <w:vAlign w:val="bottom"/>
          </w:tcPr>
          <w:p>
            <w:pPr>
              <w:spacing w:after="0"/>
              <w:rPr>
                <w:sz w:val="13"/>
                <w:szCs w:val="13"/>
                <w:color w:val="auto"/>
              </w:rPr>
            </w:pPr>
          </w:p>
        </w:tc>
        <w:tc>
          <w:tcPr>
            <w:tcW w:w="1000" w:type="dxa"/>
            <w:vAlign w:val="bottom"/>
          </w:tcPr>
          <w:p>
            <w:pPr>
              <w:jc w:val="right"/>
              <w:ind w:right="890"/>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247</w:t>
            </w:r>
          </w:p>
        </w:tc>
        <w:tc>
          <w:tcPr>
            <w:tcW w:w="100" w:type="dxa"/>
            <w:vAlign w:val="bottom"/>
          </w:tcPr>
          <w:p>
            <w:pPr>
              <w:spacing w:after="0"/>
              <w:rPr>
                <w:sz w:val="13"/>
                <w:szCs w:val="13"/>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1,790</w:t>
            </w: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Services and supplies</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284</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w:t>
            </w:r>
          </w:p>
        </w:tc>
      </w:tr>
      <w:tr>
        <w:trPr>
          <w:trHeight w:val="152"/>
        </w:trPr>
        <w:tc>
          <w:tcPr>
            <w:tcW w:w="20" w:type="dxa"/>
            <w:vAlign w:val="bottom"/>
          </w:tcPr>
          <w:p>
            <w:pPr>
              <w:spacing w:after="0"/>
              <w:rPr>
                <w:sz w:val="13"/>
                <w:szCs w:val="13"/>
                <w:color w:val="auto"/>
              </w:rPr>
            </w:pPr>
          </w:p>
        </w:tc>
        <w:tc>
          <w:tcPr>
            <w:tcW w:w="6180" w:type="dxa"/>
            <w:vAlign w:val="bottom"/>
            <w:gridSpan w:val="3"/>
          </w:tcPr>
          <w:p>
            <w:pPr>
              <w:ind w:left="240"/>
              <w:spacing w:after="0"/>
              <w:rPr>
                <w:sz w:val="20"/>
                <w:szCs w:val="20"/>
                <w:color w:val="auto"/>
              </w:rPr>
            </w:pPr>
            <w:r>
              <w:rPr>
                <w:rFonts w:ascii="Arial" w:cs="Arial" w:eastAsia="Arial" w:hAnsi="Arial"/>
                <w:sz w:val="11"/>
                <w:szCs w:val="11"/>
                <w:color w:val="auto"/>
              </w:rPr>
              <w:t>Rent lease and maintenance expense</w:t>
            </w:r>
          </w:p>
        </w:tc>
        <w:tc>
          <w:tcPr>
            <w:tcW w:w="1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140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65</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248</w:t>
            </w: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Other operating expense</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r>
      <w:tr>
        <w:trPr>
          <w:trHeight w:val="152"/>
        </w:trPr>
        <w:tc>
          <w:tcPr>
            <w:tcW w:w="20" w:type="dxa"/>
            <w:vAlign w:val="bottom"/>
            <w:tcBorders>
              <w:bottom w:val="single" w:sz="8" w:color="CCEEFF"/>
            </w:tcBorders>
          </w:tcPr>
          <w:p>
            <w:pPr>
              <w:spacing w:after="0"/>
              <w:rPr>
                <w:sz w:val="13"/>
                <w:szCs w:val="13"/>
                <w:color w:val="auto"/>
              </w:rPr>
            </w:pPr>
          </w:p>
        </w:tc>
        <w:tc>
          <w:tcPr>
            <w:tcW w:w="6180" w:type="dxa"/>
            <w:vAlign w:val="bottom"/>
            <w:tcBorders>
              <w:bottom w:val="single" w:sz="8" w:color="CCEEFF"/>
            </w:tcBorders>
            <w:gridSpan w:val="3"/>
          </w:tcPr>
          <w:p>
            <w:pPr>
              <w:ind w:left="240"/>
              <w:spacing w:after="0"/>
              <w:rPr>
                <w:sz w:val="20"/>
                <w:szCs w:val="20"/>
                <w:color w:val="auto"/>
              </w:rPr>
            </w:pPr>
            <w:r>
              <w:rPr>
                <w:rFonts w:ascii="Arial" w:cs="Arial" w:eastAsia="Arial" w:hAnsi="Arial"/>
                <w:sz w:val="11"/>
                <w:szCs w:val="11"/>
                <w:color w:val="auto"/>
              </w:rPr>
              <w:t>Depreciation and amortization expense</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128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41</w:t>
            </w: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192</w:t>
            </w:r>
          </w:p>
        </w:tc>
      </w:tr>
      <w:tr>
        <w:trPr>
          <w:trHeight w:val="147"/>
        </w:trPr>
        <w:tc>
          <w:tcPr>
            <w:tcW w:w="20" w:type="dxa"/>
            <w:vAlign w:val="bottom"/>
            <w:shd w:val="clear" w:color="auto" w:fill="CCEEFF"/>
          </w:tcPr>
          <w:p>
            <w:pPr>
              <w:spacing w:after="0"/>
              <w:rPr>
                <w:sz w:val="12"/>
                <w:szCs w:val="12"/>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Segment expenses</w:t>
            </w: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1,632</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810</w:t>
            </w:r>
          </w:p>
        </w:tc>
        <w:tc>
          <w:tcPr>
            <w:tcW w:w="1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565</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3,007</w:t>
            </w:r>
          </w:p>
        </w:tc>
      </w:tr>
      <w:tr>
        <w:trPr>
          <w:trHeight w:val="67"/>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56"/>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Segment profit (loss)</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284</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90"/>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w:t>
            </w:r>
          </w:p>
        </w:tc>
      </w:tr>
      <w:tr>
        <w:trPr>
          <w:trHeight w:val="198"/>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56"/>
        </w:trPr>
        <w:tc>
          <w:tcPr>
            <w:tcW w:w="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2022</w:t>
            </w:r>
          </w:p>
        </w:tc>
        <w:tc>
          <w:tcPr>
            <w:tcW w:w="55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6180" w:type="dxa"/>
            <w:vAlign w:val="bottom"/>
            <w:gridSpan w:val="3"/>
          </w:tcPr>
          <w:p>
            <w:pPr>
              <w:spacing w:after="0"/>
              <w:rPr>
                <w:sz w:val="20"/>
                <w:szCs w:val="20"/>
                <w:color w:val="auto"/>
              </w:rPr>
            </w:pPr>
            <w:r>
              <w:rPr>
                <w:rFonts w:ascii="Arial" w:cs="Arial" w:eastAsia="Arial" w:hAnsi="Arial"/>
                <w:sz w:val="11"/>
                <w:szCs w:val="11"/>
                <w:color w:val="auto"/>
              </w:rPr>
              <w:t>Segment Revenue</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1,769</w:t>
            </w:r>
          </w:p>
        </w:tc>
        <w:tc>
          <w:tcPr>
            <w:tcW w:w="10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1,150</w:t>
            </w:r>
          </w:p>
        </w:tc>
        <w:tc>
          <w:tcPr>
            <w:tcW w:w="100" w:type="dxa"/>
            <w:vAlign w:val="bottom"/>
          </w:tcPr>
          <w:p>
            <w:pPr>
              <w:spacing w:after="0"/>
              <w:rPr>
                <w:sz w:val="12"/>
                <w:szCs w:val="12"/>
                <w:color w:val="auto"/>
              </w:rPr>
            </w:pPr>
          </w:p>
        </w:tc>
        <w:tc>
          <w:tcPr>
            <w:tcW w:w="1000" w:type="dxa"/>
            <w:vAlign w:val="bottom"/>
          </w:tcPr>
          <w:p>
            <w:pPr>
              <w:jc w:val="right"/>
              <w:ind w:right="890"/>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562</w:t>
            </w:r>
          </w:p>
        </w:tc>
        <w:tc>
          <w:tcPr>
            <w:tcW w:w="100" w:type="dxa"/>
            <w:vAlign w:val="bottom"/>
          </w:tcPr>
          <w:p>
            <w:pPr>
              <w:spacing w:after="0"/>
              <w:rPr>
                <w:sz w:val="12"/>
                <w:szCs w:val="12"/>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3,481</w:t>
            </w:r>
          </w:p>
        </w:tc>
      </w:tr>
      <w:tr>
        <w:trPr>
          <w:trHeight w:val="87"/>
        </w:trPr>
        <w:tc>
          <w:tcPr>
            <w:tcW w:w="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152"/>
        </w:trPr>
        <w:tc>
          <w:tcPr>
            <w:tcW w:w="20" w:type="dxa"/>
            <w:vAlign w:val="bottom"/>
          </w:tcPr>
          <w:p>
            <w:pPr>
              <w:spacing w:after="0"/>
              <w:rPr>
                <w:sz w:val="13"/>
                <w:szCs w:val="13"/>
                <w:color w:val="auto"/>
              </w:rPr>
            </w:pPr>
          </w:p>
        </w:tc>
        <w:tc>
          <w:tcPr>
            <w:tcW w:w="6180" w:type="dxa"/>
            <w:vAlign w:val="bottom"/>
            <w:gridSpan w:val="3"/>
          </w:tcPr>
          <w:p>
            <w:pPr>
              <w:spacing w:after="0"/>
              <w:rPr>
                <w:sz w:val="20"/>
                <w:szCs w:val="20"/>
                <w:color w:val="auto"/>
              </w:rPr>
            </w:pPr>
            <w:r>
              <w:rPr>
                <w:rFonts w:ascii="Arial" w:cs="Arial" w:eastAsia="Arial" w:hAnsi="Arial"/>
                <w:sz w:val="11"/>
                <w:szCs w:val="11"/>
                <w:color w:val="auto"/>
              </w:rPr>
              <w:t>Expenses</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Wages and benefits</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1,174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419</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90"/>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1,821</w:t>
            </w:r>
          </w:p>
        </w:tc>
      </w:tr>
      <w:tr>
        <w:trPr>
          <w:trHeight w:val="152"/>
        </w:trPr>
        <w:tc>
          <w:tcPr>
            <w:tcW w:w="20" w:type="dxa"/>
            <w:vAlign w:val="bottom"/>
          </w:tcPr>
          <w:p>
            <w:pPr>
              <w:spacing w:after="0"/>
              <w:rPr>
                <w:sz w:val="13"/>
                <w:szCs w:val="13"/>
                <w:color w:val="auto"/>
              </w:rPr>
            </w:pPr>
          </w:p>
        </w:tc>
        <w:tc>
          <w:tcPr>
            <w:tcW w:w="6180" w:type="dxa"/>
            <w:vAlign w:val="bottom"/>
            <w:gridSpan w:val="3"/>
          </w:tcPr>
          <w:p>
            <w:pPr>
              <w:ind w:left="240"/>
              <w:spacing w:after="0"/>
              <w:rPr>
                <w:sz w:val="20"/>
                <w:szCs w:val="20"/>
                <w:color w:val="auto"/>
              </w:rPr>
            </w:pPr>
            <w:r>
              <w:rPr>
                <w:rFonts w:ascii="Arial" w:cs="Arial" w:eastAsia="Arial" w:hAnsi="Arial"/>
                <w:sz w:val="11"/>
                <w:szCs w:val="11"/>
                <w:color w:val="auto"/>
              </w:rPr>
              <w:t>Services and supplies</w:t>
            </w:r>
          </w:p>
        </w:tc>
        <w:tc>
          <w:tcPr>
            <w:tcW w:w="1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275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328</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234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837</w:t>
            </w: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Rent lease and maintenance expense</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67</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w:t>
            </w:r>
          </w:p>
        </w:tc>
      </w:tr>
      <w:tr>
        <w:trPr>
          <w:trHeight w:val="152"/>
        </w:trPr>
        <w:tc>
          <w:tcPr>
            <w:tcW w:w="20" w:type="dxa"/>
            <w:vAlign w:val="bottom"/>
          </w:tcPr>
          <w:p>
            <w:pPr>
              <w:spacing w:after="0"/>
              <w:rPr>
                <w:sz w:val="13"/>
                <w:szCs w:val="13"/>
                <w:color w:val="auto"/>
              </w:rPr>
            </w:pPr>
          </w:p>
        </w:tc>
        <w:tc>
          <w:tcPr>
            <w:tcW w:w="6180" w:type="dxa"/>
            <w:vAlign w:val="bottom"/>
            <w:gridSpan w:val="3"/>
          </w:tcPr>
          <w:p>
            <w:pPr>
              <w:ind w:left="240"/>
              <w:spacing w:after="0"/>
              <w:rPr>
                <w:sz w:val="20"/>
                <w:szCs w:val="20"/>
                <w:color w:val="auto"/>
              </w:rPr>
            </w:pPr>
            <w:r>
              <w:rPr>
                <w:rFonts w:ascii="Arial" w:cs="Arial" w:eastAsia="Arial" w:hAnsi="Arial"/>
                <w:sz w:val="11"/>
                <w:szCs w:val="11"/>
                <w:color w:val="auto"/>
              </w:rPr>
              <w:t>Other operating expense</w:t>
            </w:r>
          </w:p>
        </w:tc>
        <w:tc>
          <w:tcPr>
            <w:tcW w:w="1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Depreciation and amortization expense</w:t>
            </w: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93</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37</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w:t>
            </w:r>
          </w:p>
        </w:tc>
      </w:tr>
      <w:tr>
        <w:trPr>
          <w:trHeight w:val="143"/>
        </w:trPr>
        <w:tc>
          <w:tcPr>
            <w:tcW w:w="20" w:type="dxa"/>
            <w:vAlign w:val="bottom"/>
            <w:tcBorders>
              <w:bottom w:val="single" w:sz="8" w:color="CCEEFF"/>
            </w:tcBorders>
          </w:tcPr>
          <w:p>
            <w:pPr>
              <w:spacing w:after="0"/>
              <w:rPr>
                <w:sz w:val="12"/>
                <w:szCs w:val="12"/>
                <w:color w:val="auto"/>
              </w:rPr>
            </w:pPr>
          </w:p>
        </w:tc>
        <w:tc>
          <w:tcPr>
            <w:tcW w:w="618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Segment expenses</w:t>
            </w: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1,698</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856</w:t>
            </w:r>
          </w:p>
        </w:tc>
        <w:tc>
          <w:tcPr>
            <w:tcW w:w="1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890"/>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528</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3,082</w:t>
            </w:r>
          </w:p>
        </w:tc>
      </w:tr>
      <w:tr>
        <w:trPr>
          <w:trHeight w:val="67"/>
        </w:trPr>
        <w:tc>
          <w:tcPr>
            <w:tcW w:w="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5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149"/>
        </w:trPr>
        <w:tc>
          <w:tcPr>
            <w:tcW w:w="20" w:type="dxa"/>
            <w:vAlign w:val="bottom"/>
          </w:tcPr>
          <w:p>
            <w:pPr>
              <w:spacing w:after="0"/>
              <w:rPr>
                <w:sz w:val="12"/>
                <w:szCs w:val="12"/>
                <w:color w:val="auto"/>
              </w:rPr>
            </w:pPr>
          </w:p>
        </w:tc>
        <w:tc>
          <w:tcPr>
            <w:tcW w:w="6180" w:type="dxa"/>
            <w:vAlign w:val="bottom"/>
            <w:gridSpan w:val="3"/>
          </w:tcPr>
          <w:p>
            <w:pPr>
              <w:spacing w:after="0"/>
              <w:rPr>
                <w:sz w:val="20"/>
                <w:szCs w:val="20"/>
                <w:color w:val="auto"/>
              </w:rPr>
            </w:pPr>
            <w:r>
              <w:rPr>
                <w:rFonts w:ascii="Arial" w:cs="Arial" w:eastAsia="Arial" w:hAnsi="Arial"/>
                <w:sz w:val="11"/>
                <w:szCs w:val="11"/>
                <w:color w:val="auto"/>
              </w:rPr>
              <w:t>Segment profit (loss)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294</w:t>
            </w:r>
          </w:p>
        </w:tc>
        <w:tc>
          <w:tcPr>
            <w:tcW w:w="100" w:type="dxa"/>
            <w:vAlign w:val="bottom"/>
          </w:tcPr>
          <w:p>
            <w:pPr>
              <w:spacing w:after="0"/>
              <w:rPr>
                <w:sz w:val="12"/>
                <w:szCs w:val="12"/>
                <w:color w:val="auto"/>
              </w:rPr>
            </w:pPr>
          </w:p>
        </w:tc>
        <w:tc>
          <w:tcPr>
            <w:tcW w:w="1000" w:type="dxa"/>
            <w:vAlign w:val="bottom"/>
          </w:tcPr>
          <w:p>
            <w:pPr>
              <w:jc w:val="right"/>
              <w:ind w:right="890"/>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2"/>
                <w:szCs w:val="12"/>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399</w:t>
            </w:r>
          </w:p>
        </w:tc>
      </w:tr>
      <w:tr>
        <w:trPr>
          <w:trHeight w:val="219"/>
        </w:trPr>
        <w:tc>
          <w:tcPr>
            <w:tcW w:w="6100" w:type="dxa"/>
            <w:vAlign w:val="bottom"/>
            <w:gridSpan w:val="3"/>
          </w:tcPr>
          <w:p>
            <w:pPr>
              <w:jc w:val="right"/>
              <w:ind w:right="5480"/>
              <w:spacing w:after="0"/>
              <w:rPr>
                <w:sz w:val="20"/>
                <w:szCs w:val="20"/>
                <w:color w:val="auto"/>
              </w:rPr>
            </w:pPr>
            <w:r>
              <w:rPr>
                <w:rFonts w:ascii="Arial" w:cs="Arial" w:eastAsia="Arial" w:hAnsi="Arial"/>
                <w:sz w:val="11"/>
                <w:szCs w:val="11"/>
                <w:color w:val="auto"/>
                <w:w w:val="98"/>
              </w:rPr>
              <w:t>__________</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2" w:lineRule="exact"/>
        <w:rPr>
          <w:sz w:val="20"/>
          <w:szCs w:val="20"/>
          <w:color w:val="auto"/>
        </w:rPr>
      </w:pPr>
    </w:p>
    <w:p>
      <w:pPr>
        <w:ind w:left="180" w:hanging="177"/>
        <w:spacing w:after="0"/>
        <w:tabs>
          <w:tab w:leader="none" w:pos="180" w:val="left"/>
        </w:tabs>
        <w:numPr>
          <w:ilvl w:val="0"/>
          <w:numId w:val="40"/>
        </w:numPr>
        <w:rPr>
          <w:rFonts w:ascii="Arial" w:cs="Arial" w:eastAsia="Arial" w:hAnsi="Arial"/>
          <w:sz w:val="7"/>
          <w:szCs w:val="7"/>
          <w:i w:val="1"/>
          <w:iCs w:val="1"/>
          <w:color w:val="auto"/>
        </w:rPr>
      </w:pPr>
      <w:r>
        <w:rPr>
          <w:rFonts w:ascii="Arial" w:cs="Arial" w:eastAsia="Arial" w:hAnsi="Arial"/>
          <w:sz w:val="11"/>
          <w:szCs w:val="11"/>
          <w:i w:val="1"/>
          <w:iCs w:val="1"/>
          <w:color w:val="auto"/>
        </w:rPr>
        <w:t>Total excludes Divestitures and Unallocated Costs.</w:t>
      </w:r>
    </w:p>
    <w:p>
      <w:pPr>
        <w:spacing w:after="0" w:line="39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9" w:name="page70"/>
    <w:bookmarkEnd w:id="6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Other operating expense shown above is primarily comprised of third-party legal fees and other miscellaneous expenses.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reconciliation of Segment profit (loss) to Income (loss) before income taxes: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780" w:type="dxa"/>
            <w:vAlign w:val="bottom"/>
            <w:gridSpan w:val="3"/>
          </w:tcPr>
          <w:p>
            <w:pPr>
              <w:spacing w:after="0"/>
              <w:rPr>
                <w:sz w:val="20"/>
                <w:szCs w:val="20"/>
                <w:color w:val="auto"/>
              </w:rPr>
            </w:pPr>
            <w:r>
              <w:rPr>
                <w:rFonts w:ascii="Arial" w:cs="Arial" w:eastAsia="Arial" w:hAnsi="Arial"/>
                <w:sz w:val="11"/>
                <w:szCs w:val="11"/>
                <w:color w:val="auto"/>
              </w:rPr>
              <w:t>(in millions)</w:t>
            </w:r>
          </w:p>
        </w:tc>
        <w:tc>
          <w:tcPr>
            <w:tcW w:w="1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2"/>
          </w:tcPr>
          <w:p>
            <w:pPr>
              <w:ind w:left="80"/>
              <w:spacing w:after="0"/>
              <w:rPr>
                <w:sz w:val="20"/>
                <w:szCs w:val="20"/>
                <w:color w:val="auto"/>
              </w:rPr>
            </w:pPr>
            <w:r>
              <w:rPr>
                <w:rFonts w:ascii="Arial" w:cs="Arial" w:eastAsia="Arial" w:hAnsi="Arial"/>
                <w:sz w:val="11"/>
                <w:szCs w:val="11"/>
                <w:color w:val="auto"/>
              </w:rPr>
              <w:t>Year Ended December 31,</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488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color w:val="auto"/>
              </w:rPr>
              <w:t>2024</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684"/>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2022</w:t>
            </w:r>
          </w:p>
        </w:tc>
      </w:tr>
      <w:tr>
        <w:trPr>
          <w:trHeight w:val="151"/>
        </w:trPr>
        <w:tc>
          <w:tcPr>
            <w:tcW w:w="20" w:type="dxa"/>
            <w:vAlign w:val="bottom"/>
            <w:shd w:val="clear" w:color="auto" w:fill="CCEEFF"/>
          </w:tcPr>
          <w:p>
            <w:pPr>
              <w:spacing w:after="0"/>
              <w:rPr>
                <w:sz w:val="13"/>
                <w:szCs w:val="13"/>
                <w:color w:val="auto"/>
              </w:rPr>
            </w:pPr>
          </w:p>
        </w:tc>
        <w:tc>
          <w:tcPr>
            <w:tcW w:w="57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Segment Profit (Loss)</w:t>
            </w:r>
          </w:p>
        </w:tc>
        <w:tc>
          <w:tcPr>
            <w:tcW w:w="1240" w:type="dxa"/>
            <w:vAlign w:val="bottom"/>
            <w:shd w:val="clear" w:color="auto" w:fill="CCEEFF"/>
          </w:tcPr>
          <w:p>
            <w:pPr>
              <w:jc w:val="right"/>
              <w:ind w:right="1104"/>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399</w:t>
            </w: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36"/>
        </w:trPr>
        <w:tc>
          <w:tcPr>
            <w:tcW w:w="2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auto"/>
            </w:tcBorders>
            <w:gridSpan w:val="2"/>
            <w:shd w:val="clear" w:color="auto" w:fill="CCEEFF"/>
          </w:tcPr>
          <w:p>
            <w:pPr>
              <w:spacing w:after="0" w:line="125" w:lineRule="exact"/>
              <w:rPr>
                <w:sz w:val="20"/>
                <w:szCs w:val="20"/>
                <w:color w:val="auto"/>
              </w:rPr>
            </w:pPr>
            <w:r>
              <w:rPr>
                <w:rFonts w:ascii="Arial" w:cs="Arial" w:eastAsia="Arial" w:hAnsi="Arial"/>
                <w:sz w:val="11"/>
                <w:szCs w:val="11"/>
                <w:color w:val="auto"/>
                <w:w w:val="98"/>
              </w:rPr>
              <w:t>Reconciling items:</w:t>
            </w:r>
          </w:p>
        </w:tc>
        <w:tc>
          <w:tcPr>
            <w:tcW w:w="48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5780" w:type="dxa"/>
            <w:vAlign w:val="bottom"/>
            <w:gridSpan w:val="3"/>
          </w:tcPr>
          <w:p>
            <w:pPr>
              <w:ind w:left="160"/>
              <w:spacing w:after="0" w:line="156" w:lineRule="exact"/>
              <w:rPr>
                <w:sz w:val="20"/>
                <w:szCs w:val="20"/>
                <w:color w:val="auto"/>
              </w:rPr>
            </w:pPr>
            <w:r>
              <w:rPr>
                <w:rFonts w:ascii="Arial" w:cs="Arial" w:eastAsia="Arial" w:hAnsi="Arial"/>
                <w:sz w:val="11"/>
                <w:szCs w:val="11"/>
                <w:color w:val="auto"/>
              </w:rPr>
              <w:t>Divestitures profit</w:t>
            </w:r>
            <w:r>
              <w:rPr>
                <w:rFonts w:ascii="Arial" w:cs="Arial" w:eastAsia="Arial" w:hAnsi="Arial"/>
                <w:sz w:val="14"/>
                <w:szCs w:val="14"/>
                <w:color w:val="auto"/>
                <w:vertAlign w:val="superscript"/>
              </w:rPr>
              <w:t>(1)</w:t>
            </w:r>
          </w:p>
        </w:tc>
        <w:tc>
          <w:tcPr>
            <w:tcW w:w="124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70</w:t>
            </w:r>
          </w:p>
        </w:tc>
      </w:tr>
      <w:tr>
        <w:trPr>
          <w:trHeight w:val="156"/>
        </w:trPr>
        <w:tc>
          <w:tcPr>
            <w:tcW w:w="20" w:type="dxa"/>
            <w:vAlign w:val="bottom"/>
            <w:shd w:val="clear" w:color="auto" w:fill="CCEEFF"/>
          </w:tcPr>
          <w:p>
            <w:pPr>
              <w:spacing w:after="0"/>
              <w:rPr>
                <w:sz w:val="13"/>
                <w:szCs w:val="13"/>
                <w:color w:val="auto"/>
              </w:rPr>
            </w:pPr>
          </w:p>
        </w:tc>
        <w:tc>
          <w:tcPr>
            <w:tcW w:w="5780" w:type="dxa"/>
            <w:vAlign w:val="bottom"/>
            <w:gridSpan w:val="3"/>
            <w:shd w:val="clear" w:color="auto" w:fill="CCEEFF"/>
          </w:tcPr>
          <w:p>
            <w:pPr>
              <w:ind w:left="160"/>
              <w:spacing w:after="0" w:line="156" w:lineRule="exact"/>
              <w:rPr>
                <w:sz w:val="20"/>
                <w:szCs w:val="20"/>
                <w:color w:val="auto"/>
              </w:rPr>
            </w:pPr>
            <w:r>
              <w:rPr>
                <w:rFonts w:ascii="Arial" w:cs="Arial" w:eastAsia="Arial" w:hAnsi="Arial"/>
                <w:sz w:val="11"/>
                <w:szCs w:val="11"/>
                <w:color w:val="auto"/>
              </w:rPr>
              <w:t>Unallocated costs</w:t>
            </w:r>
            <w:r>
              <w:rPr>
                <w:rFonts w:ascii="Arial" w:cs="Arial" w:eastAsia="Arial" w:hAnsi="Arial"/>
                <w:sz w:val="14"/>
                <w:szCs w:val="14"/>
                <w:color w:val="auto"/>
                <w:vertAlign w:val="superscript"/>
              </w:rPr>
              <w:t>(2)</w:t>
            </w:r>
          </w:p>
        </w:tc>
        <w:tc>
          <w:tcPr>
            <w:tcW w:w="1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w:t>
            </w:r>
          </w:p>
        </w:tc>
      </w:tr>
      <w:tr>
        <w:trPr>
          <w:trHeight w:val="152"/>
        </w:trPr>
        <w:tc>
          <w:tcPr>
            <w:tcW w:w="20" w:type="dxa"/>
            <w:vAlign w:val="bottom"/>
          </w:tcPr>
          <w:p>
            <w:pPr>
              <w:spacing w:after="0"/>
              <w:rPr>
                <w:sz w:val="13"/>
                <w:szCs w:val="13"/>
                <w:color w:val="auto"/>
              </w:rPr>
            </w:pPr>
          </w:p>
        </w:tc>
        <w:tc>
          <w:tcPr>
            <w:tcW w:w="5780" w:type="dxa"/>
            <w:vAlign w:val="bottom"/>
            <w:gridSpan w:val="3"/>
          </w:tcPr>
          <w:p>
            <w:pPr>
              <w:ind w:left="160"/>
              <w:spacing w:after="0"/>
              <w:rPr>
                <w:sz w:val="20"/>
                <w:szCs w:val="20"/>
                <w:color w:val="auto"/>
              </w:rPr>
            </w:pPr>
            <w:r>
              <w:rPr>
                <w:rFonts w:ascii="Arial" w:cs="Arial" w:eastAsia="Arial" w:hAnsi="Arial"/>
                <w:sz w:val="11"/>
                <w:szCs w:val="11"/>
                <w:color w:val="auto"/>
              </w:rPr>
              <w:t>Amortization of acquired intangible assets</w:t>
            </w:r>
          </w:p>
        </w:tc>
        <w:tc>
          <w:tcPr>
            <w:tcW w:w="1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Restructuring and related costs</w:t>
            </w:r>
          </w:p>
        </w:tc>
        <w:tc>
          <w:tcPr>
            <w:tcW w:w="1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r>
      <w:tr>
        <w:trPr>
          <w:trHeight w:val="152"/>
        </w:trPr>
        <w:tc>
          <w:tcPr>
            <w:tcW w:w="20" w:type="dxa"/>
            <w:vAlign w:val="bottom"/>
          </w:tcPr>
          <w:p>
            <w:pPr>
              <w:spacing w:after="0"/>
              <w:rPr>
                <w:sz w:val="13"/>
                <w:szCs w:val="13"/>
                <w:color w:val="auto"/>
              </w:rPr>
            </w:pPr>
          </w:p>
        </w:tc>
        <w:tc>
          <w:tcPr>
            <w:tcW w:w="5780" w:type="dxa"/>
            <w:vAlign w:val="bottom"/>
            <w:gridSpan w:val="3"/>
          </w:tcPr>
          <w:p>
            <w:pPr>
              <w:ind w:left="160"/>
              <w:spacing w:after="0"/>
              <w:rPr>
                <w:sz w:val="20"/>
                <w:szCs w:val="20"/>
                <w:color w:val="auto"/>
              </w:rPr>
            </w:pPr>
            <w:r>
              <w:rPr>
                <w:rFonts w:ascii="Arial" w:cs="Arial" w:eastAsia="Arial" w:hAnsi="Arial"/>
                <w:sz w:val="11"/>
                <w:szCs w:val="11"/>
                <w:color w:val="auto"/>
              </w:rPr>
              <w:t>Interest expense</w:t>
            </w:r>
          </w:p>
        </w:tc>
        <w:tc>
          <w:tcPr>
            <w:tcW w:w="1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(111)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(84)</w:t>
            </w: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Loss on extinguishment of debt</w:t>
            </w:r>
          </w:p>
        </w:tc>
        <w:tc>
          <w:tcPr>
            <w:tcW w:w="1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20" w:type="dxa"/>
            <w:vAlign w:val="bottom"/>
          </w:tcPr>
          <w:p>
            <w:pPr>
              <w:spacing w:after="0"/>
              <w:rPr>
                <w:sz w:val="13"/>
                <w:szCs w:val="13"/>
                <w:color w:val="auto"/>
              </w:rPr>
            </w:pPr>
          </w:p>
        </w:tc>
        <w:tc>
          <w:tcPr>
            <w:tcW w:w="5780" w:type="dxa"/>
            <w:vAlign w:val="bottom"/>
            <w:gridSpan w:val="3"/>
          </w:tcPr>
          <w:p>
            <w:pPr>
              <w:ind w:left="160"/>
              <w:spacing w:after="0"/>
              <w:rPr>
                <w:sz w:val="20"/>
                <w:szCs w:val="20"/>
                <w:color w:val="auto"/>
              </w:rPr>
            </w:pPr>
            <w:r>
              <w:rPr>
                <w:rFonts w:ascii="Arial" w:cs="Arial" w:eastAsia="Arial" w:hAnsi="Arial"/>
                <w:sz w:val="11"/>
                <w:szCs w:val="11"/>
                <w:color w:val="auto"/>
              </w:rPr>
              <w:t>Goodwill impairment</w:t>
            </w:r>
          </w:p>
        </w:tc>
        <w:tc>
          <w:tcPr>
            <w:tcW w:w="1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(287)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(358)</w:t>
            </w: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Gain (loss) on divestitures and transaction costs, net</w:t>
            </w:r>
          </w:p>
        </w:tc>
        <w:tc>
          <w:tcPr>
            <w:tcW w:w="12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696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r>
      <w:tr>
        <w:trPr>
          <w:trHeight w:val="152"/>
        </w:trPr>
        <w:tc>
          <w:tcPr>
            <w:tcW w:w="20" w:type="dxa"/>
            <w:vAlign w:val="bottom"/>
          </w:tcPr>
          <w:p>
            <w:pPr>
              <w:spacing w:after="0"/>
              <w:rPr>
                <w:sz w:val="13"/>
                <w:szCs w:val="13"/>
                <w:color w:val="auto"/>
              </w:rPr>
            </w:pPr>
          </w:p>
        </w:tc>
        <w:tc>
          <w:tcPr>
            <w:tcW w:w="5780" w:type="dxa"/>
            <w:vAlign w:val="bottom"/>
            <w:gridSpan w:val="3"/>
          </w:tcPr>
          <w:p>
            <w:pPr>
              <w:ind w:left="160"/>
              <w:spacing w:after="0"/>
              <w:rPr>
                <w:sz w:val="20"/>
                <w:szCs w:val="20"/>
                <w:color w:val="auto"/>
              </w:rPr>
            </w:pPr>
            <w:r>
              <w:rPr>
                <w:rFonts w:ascii="Arial" w:cs="Arial" w:eastAsia="Arial" w:hAnsi="Arial"/>
                <w:sz w:val="11"/>
                <w:szCs w:val="11"/>
                <w:color w:val="auto"/>
              </w:rPr>
              <w:t>Litigation (settlements) recoveries, net</w:t>
            </w:r>
          </w:p>
        </w:tc>
        <w:tc>
          <w:tcPr>
            <w:tcW w:w="1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Other income (expenses), net</w:t>
            </w:r>
          </w:p>
        </w:tc>
        <w:tc>
          <w:tcPr>
            <w:tcW w:w="12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3"/>
        </w:trPr>
        <w:tc>
          <w:tcPr>
            <w:tcW w:w="20" w:type="dxa"/>
            <w:vAlign w:val="bottom"/>
          </w:tcPr>
          <w:p>
            <w:pPr>
              <w:spacing w:after="0"/>
              <w:rPr>
                <w:sz w:val="12"/>
                <w:szCs w:val="12"/>
                <w:color w:val="auto"/>
              </w:rPr>
            </w:pPr>
          </w:p>
        </w:tc>
        <w:tc>
          <w:tcPr>
            <w:tcW w:w="5780" w:type="dxa"/>
            <w:vAlign w:val="bottom"/>
            <w:gridSpan w:val="3"/>
          </w:tcPr>
          <w:p>
            <w:pPr>
              <w:spacing w:after="0"/>
              <w:rPr>
                <w:sz w:val="20"/>
                <w:szCs w:val="20"/>
                <w:color w:val="auto"/>
              </w:rPr>
            </w:pPr>
            <w:r>
              <w:rPr>
                <w:rFonts w:ascii="Arial" w:cs="Arial" w:eastAsia="Arial" w:hAnsi="Arial"/>
                <w:sz w:val="11"/>
                <w:szCs w:val="11"/>
                <w:b w:val="1"/>
                <w:bCs w:val="1"/>
                <w:color w:val="auto"/>
              </w:rPr>
              <w:t>Income (Loss) Before Income Taxes</w:t>
            </w:r>
          </w:p>
        </w:tc>
        <w:tc>
          <w:tcPr>
            <w:tcW w:w="1240" w:type="dxa"/>
            <w:vAlign w:val="bottom"/>
            <w:tcBorders>
              <w:bottom w:val="single" w:sz="8" w:color="auto"/>
            </w:tcBorders>
          </w:tcPr>
          <w:p>
            <w:pPr>
              <w:jc w:val="right"/>
              <w:ind w:right="1104"/>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504</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(332)</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40" w:lineRule="exact"/>
        <w:rPr>
          <w:sz w:val="20"/>
          <w:szCs w:val="20"/>
          <w:color w:val="auto"/>
        </w:rPr>
      </w:pPr>
    </w:p>
    <w:p>
      <w:pPr>
        <w:ind w:left="180" w:hanging="177"/>
        <w:spacing w:after="0"/>
        <w:tabs>
          <w:tab w:leader="none" w:pos="180" w:val="left"/>
        </w:tabs>
        <w:numPr>
          <w:ilvl w:val="0"/>
          <w:numId w:val="41"/>
        </w:numPr>
        <w:rPr>
          <w:rFonts w:ascii="Arial" w:cs="Arial" w:eastAsia="Arial" w:hAnsi="Arial"/>
          <w:sz w:val="7"/>
          <w:szCs w:val="7"/>
          <w:i w:val="1"/>
          <w:iCs w:val="1"/>
          <w:color w:val="auto"/>
        </w:rPr>
      </w:pPr>
      <w:r>
        <w:rPr>
          <w:rFonts w:ascii="Arial" w:cs="Arial" w:eastAsia="Arial" w:hAnsi="Arial"/>
          <w:sz w:val="11"/>
          <w:szCs w:val="11"/>
          <w:i w:val="1"/>
          <w:iCs w:val="1"/>
          <w:color w:val="auto"/>
        </w:rPr>
        <w:t>Divestitures profit is Income (loss) before income taxes.</w:t>
      </w:r>
    </w:p>
    <w:p>
      <w:pPr>
        <w:spacing w:after="0" w:line="50" w:lineRule="exact"/>
        <w:rPr>
          <w:rFonts w:ascii="Arial" w:cs="Arial" w:eastAsia="Arial" w:hAnsi="Arial"/>
          <w:sz w:val="7"/>
          <w:szCs w:val="7"/>
          <w:i w:val="1"/>
          <w:iCs w:val="1"/>
          <w:color w:val="auto"/>
        </w:rPr>
      </w:pPr>
    </w:p>
    <w:p>
      <w:pPr>
        <w:ind w:left="260" w:right="220" w:hanging="257"/>
        <w:spacing w:after="0" w:line="291" w:lineRule="auto"/>
        <w:tabs>
          <w:tab w:leader="none" w:pos="178" w:val="left"/>
        </w:tabs>
        <w:numPr>
          <w:ilvl w:val="0"/>
          <w:numId w:val="41"/>
        </w:numPr>
        <w:rPr>
          <w:rFonts w:ascii="Arial" w:cs="Arial" w:eastAsia="Arial" w:hAnsi="Arial"/>
          <w:sz w:val="7"/>
          <w:szCs w:val="7"/>
          <w:i w:val="1"/>
          <w:iCs w:val="1"/>
          <w:color w:val="auto"/>
        </w:rPr>
      </w:pPr>
      <w:r>
        <w:rPr>
          <w:rFonts w:ascii="Arial" w:cs="Arial" w:eastAsia="Arial" w:hAnsi="Arial"/>
          <w:sz w:val="11"/>
          <w:szCs w:val="11"/>
          <w:i w:val="1"/>
          <w:iCs w:val="1"/>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 – Revenue for additional information on disaggregated revenues of the reportable segments.</w:t>
      </w:r>
    </w:p>
    <w:p>
      <w:pPr>
        <w:spacing w:after="0" w:line="131"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No sales to an individual customer accounted for more than 10% of revenue for the years ended December 31, 2024, 2023 or 2022. Geographic area data is based upon the location of the subsidiary reporting the revenue or long-lived assets and is as follows for each of the years ended December 31: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color w:val="auto"/>
              </w:rPr>
              <w:t>Revenues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w w:val="99"/>
              </w:rPr>
              <w:t xml:space="preserve">Long-Lived Assets </w:t>
            </w:r>
            <w:r>
              <w:rPr>
                <w:rFonts w:ascii="Arial" w:cs="Arial" w:eastAsia="Arial" w:hAnsi="Arial"/>
                <w:sz w:val="14"/>
                <w:szCs w:val="14"/>
                <w:color w:val="auto"/>
                <w:w w:val="99"/>
                <w:vertAlign w:val="superscript"/>
              </w:rPr>
              <w:t>(1)</w:t>
            </w:r>
          </w:p>
        </w:tc>
        <w:tc>
          <w:tcPr>
            <w:tcW w:w="840" w:type="dxa"/>
            <w:vAlign w:val="bottom"/>
            <w:tcBorders>
              <w:bottom w:val="single" w:sz="8" w:color="auto"/>
            </w:tcBorders>
          </w:tcPr>
          <w:p>
            <w:pPr>
              <w:spacing w:after="0"/>
              <w:rPr>
                <w:sz w:val="14"/>
                <w:szCs w:val="14"/>
                <w:color w:val="auto"/>
              </w:rPr>
            </w:pPr>
          </w:p>
        </w:tc>
      </w:tr>
      <w:tr>
        <w:trPr>
          <w:trHeight w:val="115"/>
        </w:trPr>
        <w:tc>
          <w:tcPr>
            <w:tcW w:w="20" w:type="dxa"/>
            <w:vAlign w:val="bottom"/>
          </w:tcPr>
          <w:p>
            <w:pPr>
              <w:spacing w:after="0"/>
              <w:rPr>
                <w:sz w:val="10"/>
                <w:szCs w:val="10"/>
                <w:color w:val="auto"/>
              </w:rPr>
            </w:pPr>
          </w:p>
        </w:tc>
        <w:tc>
          <w:tcPr>
            <w:tcW w:w="4180" w:type="dxa"/>
            <w:vAlign w:val="bottom"/>
            <w:gridSpan w:val="2"/>
          </w:tcPr>
          <w:p>
            <w:pPr>
              <w:spacing w:after="0" w:line="116" w:lineRule="exact"/>
              <w:rPr>
                <w:sz w:val="20"/>
                <w:szCs w:val="20"/>
                <w:color w:val="auto"/>
              </w:rPr>
            </w:pPr>
            <w:r>
              <w:rPr>
                <w:rFonts w:ascii="Arial" w:cs="Arial" w:eastAsia="Arial" w:hAnsi="Arial"/>
                <w:sz w:val="11"/>
                <w:szCs w:val="11"/>
                <w:color w:val="auto"/>
              </w:rPr>
              <w:t>(in millions)</w:t>
            </w:r>
          </w:p>
        </w:tc>
        <w:tc>
          <w:tcPr>
            <w:tcW w:w="300" w:type="dxa"/>
            <w:vAlign w:val="bottom"/>
          </w:tcPr>
          <w:p>
            <w:pPr>
              <w:spacing w:after="0"/>
              <w:rPr>
                <w:sz w:val="10"/>
                <w:szCs w:val="10"/>
                <w:color w:val="auto"/>
              </w:rPr>
            </w:pPr>
          </w:p>
        </w:tc>
        <w:tc>
          <w:tcPr>
            <w:tcW w:w="1020" w:type="dxa"/>
            <w:vAlign w:val="bottom"/>
          </w:tcPr>
          <w:p>
            <w:pPr>
              <w:jc w:val="right"/>
              <w:ind w:right="484"/>
              <w:spacing w:after="0" w:line="116"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right"/>
              <w:ind w:right="504"/>
              <w:spacing w:after="0" w:line="116" w:lineRule="exact"/>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jc w:val="right"/>
              <w:ind w:right="484"/>
              <w:spacing w:after="0" w:line="116"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1"/>
                <w:szCs w:val="11"/>
                <w:color w:val="auto"/>
              </w:rPr>
              <w:t>2024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jc w:val="right"/>
              <w:ind w:right="504"/>
              <w:spacing w:after="0" w:line="116" w:lineRule="exact"/>
              <w:rPr>
                <w:sz w:val="20"/>
                <w:szCs w:val="20"/>
                <w:color w:val="auto"/>
              </w:rPr>
            </w:pPr>
            <w:r>
              <w:rPr>
                <w:rFonts w:ascii="Arial" w:cs="Arial" w:eastAsia="Arial" w:hAnsi="Arial"/>
                <w:sz w:val="11"/>
                <w:szCs w:val="1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United States</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3,328</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3,473</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08"/>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386</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6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480</w:t>
            </w:r>
          </w:p>
        </w:tc>
      </w:tr>
      <w:tr>
        <w:trPr>
          <w:trHeight w:val="152"/>
        </w:trPr>
        <w:tc>
          <w:tcPr>
            <w:tcW w:w="20" w:type="dxa"/>
            <w:vAlign w:val="bottom"/>
          </w:tcPr>
          <w:p>
            <w:pPr>
              <w:spacing w:after="0"/>
              <w:rPr>
                <w:sz w:val="13"/>
                <w:szCs w:val="13"/>
                <w:color w:val="auto"/>
              </w:rPr>
            </w:pPr>
          </w:p>
        </w:tc>
        <w:tc>
          <w:tcPr>
            <w:tcW w:w="4180" w:type="dxa"/>
            <w:vAlign w:val="bottom"/>
            <w:gridSpan w:val="2"/>
          </w:tcPr>
          <w:p>
            <w:pPr>
              <w:spacing w:after="0"/>
              <w:rPr>
                <w:sz w:val="20"/>
                <w:szCs w:val="20"/>
                <w:color w:val="auto"/>
              </w:rPr>
            </w:pPr>
            <w:r>
              <w:rPr>
                <w:rFonts w:ascii="Arial" w:cs="Arial" w:eastAsia="Arial" w:hAnsi="Arial"/>
                <w:sz w:val="11"/>
                <w:szCs w:val="11"/>
                <w:color w:val="auto"/>
              </w:rPr>
              <w:t>Europe</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291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314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328</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34</w:t>
            </w:r>
          </w:p>
        </w:tc>
      </w:tr>
      <w:tr>
        <w:trPr>
          <w:trHeight w:val="156"/>
        </w:trPr>
        <w:tc>
          <w:tcPr>
            <w:tcW w:w="20" w:type="dxa"/>
            <w:vAlign w:val="bottom"/>
            <w:shd w:val="clear" w:color="auto" w:fill="CCEEFF"/>
          </w:tcPr>
          <w:p>
            <w:pPr>
              <w:spacing w:after="0"/>
              <w:rPr>
                <w:sz w:val="13"/>
                <w:szCs w:val="13"/>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areas</w:t>
            </w: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80</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57</w:t>
            </w:r>
          </w:p>
        </w:tc>
        <w:tc>
          <w:tcPr>
            <w:tcW w:w="1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109</w:t>
            </w:r>
          </w:p>
        </w:tc>
      </w:tr>
      <w:tr>
        <w:trPr>
          <w:trHeight w:val="151"/>
        </w:trPr>
        <w:tc>
          <w:tcPr>
            <w:tcW w:w="20" w:type="dxa"/>
            <w:vAlign w:val="bottom"/>
          </w:tcPr>
          <w:p>
            <w:pPr>
              <w:spacing w:after="0"/>
              <w:rPr>
                <w:sz w:val="13"/>
                <w:szCs w:val="13"/>
                <w:color w:val="auto"/>
              </w:rPr>
            </w:pPr>
          </w:p>
        </w:tc>
        <w:tc>
          <w:tcPr>
            <w:tcW w:w="4180" w:type="dxa"/>
            <w:vAlign w:val="bottom"/>
            <w:gridSpan w:val="2"/>
          </w:tcPr>
          <w:p>
            <w:pPr>
              <w:spacing w:after="0"/>
              <w:rPr>
                <w:sz w:val="20"/>
                <w:szCs w:val="20"/>
                <w:color w:val="auto"/>
              </w:rPr>
            </w:pPr>
            <w:r>
              <w:rPr>
                <w:rFonts w:ascii="Arial" w:cs="Arial" w:eastAsia="Arial" w:hAnsi="Arial"/>
                <w:sz w:val="11"/>
                <w:szCs w:val="11"/>
                <w:b w:val="1"/>
                <w:bCs w:val="1"/>
                <w:color w:val="auto"/>
              </w:rPr>
              <w:t>Total Revenues and Long-Lived Assets</w:t>
            </w: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3,356</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3,722</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3,858</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70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515</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ind w:right="364"/>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623</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40"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Long-lived assets are comprised of (i) Land, buildings and equipment, net, (ii) Internal use software, net, (iii) Product software, net and (iv) Operating lease right-of-use assets.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4 – Divestitures and Assets/Liabilities Held for Sale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Divestiture of Casualty Claims Solutions Business</w:t>
      </w:r>
    </w:p>
    <w:p>
      <w:pPr>
        <w:spacing w:after="0" w:line="13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On May 3, 2024, the Company entered into a definitive agreement to sell the Company’s Casualty Claims Solutions business (collectively referred to as the "Casualty Disposal Group") to MedRisk. On September 1, 2024, the sale was completed and MedRisk paid Conduent $224 million of cash consideration, subject to certain post-closing adjustments. These adjustments were finalized in the first quarter of 2025 and were not material.</w:t>
      </w:r>
    </w:p>
    <w:p>
      <w:pPr>
        <w:spacing w:after="0" w:line="92"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In 2024, the Company recorded a gain on the sale of $194 million less costs to sell of $8 million, which is recorded in Gain (loss) on divestitures and transaction costs. Additionally, the Company recorded $33 million of income tax expense related to the divestiture.</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0" w:name="page71"/>
    <w:bookmarkEnd w:id="7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The Casualty Disposal Group generated revenue and income (loss) before income taxes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1"/>
                <w:szCs w:val="11"/>
                <w:color w:val="auto"/>
                <w:w w:val="99"/>
              </w:rPr>
              <w:t>Year Ended</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color w:val="auto"/>
              </w:rPr>
              <w:t>December 31,</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71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00" w:type="dxa"/>
            <w:vAlign w:val="bottom"/>
          </w:tcPr>
          <w:p>
            <w:pPr>
              <w:spacing w:after="0"/>
              <w:rPr>
                <w:sz w:val="10"/>
                <w:szCs w:val="10"/>
                <w:color w:val="auto"/>
              </w:rPr>
            </w:pPr>
          </w:p>
        </w:tc>
        <w:tc>
          <w:tcPr>
            <w:tcW w:w="1000" w:type="dxa"/>
            <w:vAlign w:val="bottom"/>
          </w:tcPr>
          <w:p>
            <w:pPr>
              <w:jc w:val="right"/>
              <w:ind w:right="484"/>
              <w:spacing w:after="0" w:line="116"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right"/>
              <w:ind w:right="464"/>
              <w:spacing w:after="0" w:line="116"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jc w:val="right"/>
              <w:ind w:right="464"/>
              <w:spacing w:after="0" w:line="116"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Revenue</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w:t>
            </w:r>
          </w:p>
        </w:tc>
      </w:tr>
      <w:tr>
        <w:trPr>
          <w:trHeight w:val="274"/>
        </w:trPr>
        <w:tc>
          <w:tcPr>
            <w:tcW w:w="20" w:type="dxa"/>
            <w:vAlign w:val="bottom"/>
          </w:tcPr>
          <w:p>
            <w:pPr>
              <w:spacing w:after="0"/>
              <w:rPr>
                <w:sz w:val="23"/>
                <w:szCs w:val="23"/>
                <w:color w:val="auto"/>
              </w:rPr>
            </w:pPr>
          </w:p>
        </w:tc>
        <w:tc>
          <w:tcPr>
            <w:tcW w:w="7160" w:type="dxa"/>
            <w:vAlign w:val="bottom"/>
            <w:gridSpan w:val="2"/>
          </w:tcPr>
          <w:p>
            <w:pPr>
              <w:spacing w:after="0"/>
              <w:rPr>
                <w:sz w:val="20"/>
                <w:szCs w:val="20"/>
                <w:color w:val="auto"/>
              </w:rPr>
            </w:pPr>
            <w:r>
              <w:rPr>
                <w:rFonts w:ascii="Arial" w:cs="Arial" w:eastAsia="Arial" w:hAnsi="Arial"/>
                <w:sz w:val="11"/>
                <w:szCs w:val="11"/>
                <w:color w:val="auto"/>
              </w:rPr>
              <w:t>Income (loss) before income taxes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Divestiture of Curbside Management and Public Safety Solutions Businesses</w:t>
      </w:r>
    </w:p>
    <w:p>
      <w:pPr>
        <w:spacing w:after="0" w:line="131" w:lineRule="exact"/>
        <w:rPr>
          <w:sz w:val="20"/>
          <w:szCs w:val="20"/>
          <w:color w:val="auto"/>
        </w:rPr>
      </w:pPr>
    </w:p>
    <w:p>
      <w:pPr>
        <w:ind w:right="560"/>
        <w:spacing w:after="0" w:line="294" w:lineRule="auto"/>
        <w:rPr>
          <w:sz w:val="20"/>
          <w:szCs w:val="20"/>
          <w:color w:val="auto"/>
        </w:rPr>
      </w:pPr>
      <w:r>
        <w:rPr>
          <w:rFonts w:ascii="Arial" w:cs="Arial" w:eastAsia="Arial" w:hAnsi="Arial"/>
          <w:sz w:val="13"/>
          <w:szCs w:val="13"/>
          <w:color w:val="auto"/>
        </w:rPr>
        <w:t>In December 2023, the Company signed a definitive agreement to sell its Curbside Management and Public Safety Solutions businesses to Modaxo, a division of Constellation Software Inc., for $230 million (plus the assumption of certain indebtedness), subject to customary purchase price adjustments. The assets and liabilities of these businesses (collectively referred to as the "Curbside Disposal Group") were reclassified as held for sale and measured at the lower of carrying value or fair value less costs to sell.</w:t>
      </w:r>
    </w:p>
    <w:p>
      <w:pPr>
        <w:spacing w:after="0" w:line="76"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On April 30, 2024, Conduent completed the sale of this business. The Company received $181 million of cash consideration and a $50 million non-interest bearing note payable to the Company due on April 30, 2025. Additionally, the Company received reimbursement for payments made by the Company related to finance lease liabilities and related costs and the reimbursement for the purchase of certain equipment made by the Company on the buyer's behalf. In 2024, the Company recorded a gain on the sale of $103 million less costs to sell of $5 million, which is recorded in Gain (loss) on divestitures and transaction costs. The Company recorded $28 million of income tax expense in connection with the divestiture.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Curbside Disposal Group generated revenue and income (loss) before income taxes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1"/>
                <w:szCs w:val="11"/>
                <w:color w:val="auto"/>
                <w:w w:val="99"/>
              </w:rPr>
              <w:t>Year Ended</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45"/>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color w:val="auto"/>
              </w:rPr>
              <w:t>December 31,</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16"/>
        </w:trPr>
        <w:tc>
          <w:tcPr>
            <w:tcW w:w="20" w:type="dxa"/>
            <w:vAlign w:val="bottom"/>
          </w:tcPr>
          <w:p>
            <w:pPr>
              <w:spacing w:after="0"/>
              <w:rPr>
                <w:sz w:val="10"/>
                <w:szCs w:val="10"/>
                <w:color w:val="auto"/>
              </w:rPr>
            </w:pPr>
          </w:p>
        </w:tc>
        <w:tc>
          <w:tcPr>
            <w:tcW w:w="71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00" w:type="dxa"/>
            <w:vAlign w:val="bottom"/>
          </w:tcPr>
          <w:p>
            <w:pPr>
              <w:spacing w:after="0"/>
              <w:rPr>
                <w:sz w:val="10"/>
                <w:szCs w:val="10"/>
                <w:color w:val="auto"/>
              </w:rPr>
            </w:pPr>
          </w:p>
        </w:tc>
        <w:tc>
          <w:tcPr>
            <w:tcW w:w="1000" w:type="dxa"/>
            <w:vAlign w:val="bottom"/>
          </w:tcPr>
          <w:p>
            <w:pPr>
              <w:jc w:val="right"/>
              <w:ind w:right="484"/>
              <w:spacing w:after="0" w:line="116"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right"/>
              <w:ind w:right="464"/>
              <w:spacing w:after="0" w:line="116"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jc w:val="right"/>
              <w:ind w:right="464"/>
              <w:spacing w:after="0" w:line="116"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Revenue</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r>
      <w:tr>
        <w:trPr>
          <w:trHeight w:val="274"/>
        </w:trPr>
        <w:tc>
          <w:tcPr>
            <w:tcW w:w="20" w:type="dxa"/>
            <w:vAlign w:val="bottom"/>
          </w:tcPr>
          <w:p>
            <w:pPr>
              <w:spacing w:after="0"/>
              <w:rPr>
                <w:sz w:val="23"/>
                <w:szCs w:val="23"/>
                <w:color w:val="auto"/>
              </w:rPr>
            </w:pPr>
          </w:p>
        </w:tc>
        <w:tc>
          <w:tcPr>
            <w:tcW w:w="7160" w:type="dxa"/>
            <w:vAlign w:val="bottom"/>
            <w:gridSpan w:val="2"/>
          </w:tcPr>
          <w:p>
            <w:pPr>
              <w:spacing w:after="0"/>
              <w:rPr>
                <w:sz w:val="20"/>
                <w:szCs w:val="20"/>
                <w:color w:val="auto"/>
              </w:rPr>
            </w:pPr>
            <w:r>
              <w:rPr>
                <w:rFonts w:ascii="Arial" w:cs="Arial" w:eastAsia="Arial" w:hAnsi="Arial"/>
                <w:sz w:val="11"/>
                <w:szCs w:val="11"/>
                <w:color w:val="auto"/>
              </w:rPr>
              <w:t>Income (loss) before income taxes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17</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of BenefitWallet Portfolio</w:t>
      </w:r>
    </w:p>
    <w:p>
      <w:pPr>
        <w:spacing w:after="0" w:line="131"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In September 2023, the Company entered into a Custodial Transfer and Asset Purchase Agreement to transfer its BenefitWallet health savings account and medical savings account portfolio (collectively, the "BenefitWallet Portfolio") to HealthEquity, Inc. for an aggregate purchase price of $425 million, subject to customary purchase price adjustments. As of December 31, 2023, there were no asset or liability balances related to the BenefitWallet Portfolio that would require disclosure as assets and liabilities held for sale on the Company's Consolidated Balance Sheet.</w:t>
      </w:r>
    </w:p>
    <w:p>
      <w:pPr>
        <w:spacing w:after="0" w:line="97"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The transfer of the BenefitWallet Portfolio closed in multiple tranches from March to May 2024 and the Company received aggregate cash consideration of $425 million as the tranches closed. The Company recorded a gain on the transfer of $ 425 million less costs to sell of $11 million, which is recorded in Gain (loss) on divestitures and transaction costs, net. The Company recorded $102 million of income tax expense in connection with the transfer of the BenefitWallet Portfolio.</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BenefitWallet Portfolio generated revenue and income (loss) before income taxes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1"/>
                <w:szCs w:val="11"/>
                <w:color w:val="auto"/>
                <w:w w:val="96"/>
              </w:rPr>
              <w:t>Year Ended</w:t>
            </w: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1"/>
                <w:szCs w:val="11"/>
                <w:color w:val="auto"/>
              </w:rPr>
              <w:t>December 31,</w:t>
            </w: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6800" w:type="dxa"/>
            <w:vAlign w:val="bottom"/>
            <w:gridSpan w:val="3"/>
          </w:tcPr>
          <w:p>
            <w:pPr>
              <w:spacing w:after="0"/>
              <w:rPr>
                <w:sz w:val="20"/>
                <w:szCs w:val="20"/>
                <w:color w:val="auto"/>
              </w:rPr>
            </w:pPr>
            <w:r>
              <w:rPr>
                <w:rFonts w:ascii="Arial" w:cs="Arial" w:eastAsia="Arial" w:hAnsi="Arial"/>
                <w:sz w:val="10"/>
                <w:szCs w:val="10"/>
                <w:color w:val="auto"/>
              </w:rPr>
              <w:t>(in millions)</w:t>
            </w:r>
          </w:p>
        </w:tc>
        <w:tc>
          <w:tcPr>
            <w:tcW w:w="320" w:type="dxa"/>
            <w:vAlign w:val="bottom"/>
          </w:tcPr>
          <w:p>
            <w:pPr>
              <w:spacing w:after="0"/>
              <w:rPr>
                <w:sz w:val="10"/>
                <w:szCs w:val="10"/>
                <w:color w:val="auto"/>
              </w:rPr>
            </w:pPr>
          </w:p>
        </w:tc>
        <w:tc>
          <w:tcPr>
            <w:tcW w:w="1000" w:type="dxa"/>
            <w:vAlign w:val="bottom"/>
          </w:tcPr>
          <w:p>
            <w:pPr>
              <w:jc w:val="right"/>
              <w:ind w:right="484"/>
              <w:spacing w:after="0" w:line="116"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jc w:val="right"/>
              <w:ind w:right="464"/>
              <w:spacing w:after="0" w:line="116"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jc w:val="right"/>
              <w:ind w:right="644"/>
              <w:spacing w:after="0" w:line="116"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Revenue</w:t>
            </w:r>
          </w:p>
        </w:tc>
        <w:tc>
          <w:tcPr>
            <w:tcW w:w="32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w:t>
            </w:r>
          </w:p>
        </w:tc>
      </w:tr>
      <w:tr>
        <w:trPr>
          <w:trHeight w:val="274"/>
        </w:trPr>
        <w:tc>
          <w:tcPr>
            <w:tcW w:w="20" w:type="dxa"/>
            <w:vAlign w:val="bottom"/>
          </w:tcPr>
          <w:p>
            <w:pPr>
              <w:spacing w:after="0"/>
              <w:rPr>
                <w:sz w:val="23"/>
                <w:szCs w:val="23"/>
                <w:color w:val="auto"/>
              </w:rPr>
            </w:pPr>
          </w:p>
        </w:tc>
        <w:tc>
          <w:tcPr>
            <w:tcW w:w="6800" w:type="dxa"/>
            <w:vAlign w:val="bottom"/>
            <w:gridSpan w:val="3"/>
          </w:tcPr>
          <w:p>
            <w:pPr>
              <w:spacing w:after="0"/>
              <w:rPr>
                <w:sz w:val="20"/>
                <w:szCs w:val="20"/>
                <w:color w:val="auto"/>
              </w:rPr>
            </w:pPr>
            <w:r>
              <w:rPr>
                <w:rFonts w:ascii="Arial" w:cs="Arial" w:eastAsia="Arial" w:hAnsi="Arial"/>
                <w:sz w:val="11"/>
                <w:szCs w:val="11"/>
                <w:color w:val="auto"/>
              </w:rPr>
              <w:t>Income (loss) before income taxes</w:t>
            </w:r>
          </w:p>
        </w:tc>
        <w:tc>
          <w:tcPr>
            <w:tcW w:w="320" w:type="dxa"/>
            <w:vAlign w:val="bottom"/>
          </w:tcPr>
          <w:p>
            <w:pPr>
              <w:spacing w:after="0"/>
              <w:rPr>
                <w:sz w:val="23"/>
                <w:szCs w:val="2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40</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Divestiture of Midas Business</w:t>
      </w:r>
    </w:p>
    <w:p>
      <w:pPr>
        <w:spacing w:after="0" w:line="13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On February 8, 2022, the Company completed the sale of its Midas business to Symplr Software, Inc. The Company received $322 million of cash consideration for this divestiture. The divestiture generated a pre-tax gain of $166 million, which is included in (Gain) loss on divestitures and transaction costs. The Company recorded approximately $62 million of income taxes in connection with the divestiture.</w:t>
      </w:r>
    </w:p>
    <w:p>
      <w:pPr>
        <w:spacing w:after="0" w:line="200" w:lineRule="exact"/>
        <w:rPr>
          <w:sz w:val="20"/>
          <w:szCs w:val="20"/>
          <w:color w:val="auto"/>
        </w:rPr>
      </w:pP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1" w:name="page72"/>
    <w:bookmarkEnd w:id="7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Midas business generated revenue and income (loss) before income taxes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color w:val="auto"/>
              </w:rPr>
              <w:t>Year Ended December 31,</w:t>
            </w:r>
          </w:p>
        </w:tc>
        <w:tc>
          <w:tcPr>
            <w:tcW w:w="10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71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00" w:type="dxa"/>
            <w:vAlign w:val="bottom"/>
          </w:tcPr>
          <w:p>
            <w:pPr>
              <w:spacing w:after="0"/>
              <w:rPr>
                <w:sz w:val="10"/>
                <w:szCs w:val="10"/>
                <w:color w:val="auto"/>
              </w:rPr>
            </w:pPr>
          </w:p>
        </w:tc>
        <w:tc>
          <w:tcPr>
            <w:tcW w:w="1000" w:type="dxa"/>
            <w:vAlign w:val="bottom"/>
          </w:tcPr>
          <w:p>
            <w:pPr>
              <w:jc w:val="right"/>
              <w:ind w:right="484"/>
              <w:spacing w:after="0" w:line="120"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jc w:val="right"/>
              <w:ind w:right="464"/>
              <w:spacing w:after="0" w:line="120"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jc w:val="right"/>
              <w:ind w:right="464"/>
              <w:spacing w:after="0" w:line="120"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Revenue</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w:t>
            </w:r>
          </w:p>
        </w:tc>
        <w:tc>
          <w:tcPr>
            <w:tcW w:w="1400" w:type="dxa"/>
            <w:vAlign w:val="bottom"/>
            <w:gridSpan w:val="3"/>
            <w:shd w:val="clear" w:color="auto" w:fill="CCEEFF"/>
          </w:tcPr>
          <w:p>
            <w:pPr>
              <w:ind w:left="840"/>
              <w:spacing w:after="0"/>
              <w:rPr>
                <w:sz w:val="20"/>
                <w:szCs w:val="20"/>
                <w:color w:val="auto"/>
              </w:rPr>
            </w:pPr>
            <w:r>
              <w:rPr>
                <w:rFonts w:ascii="Arial" w:cs="Arial" w:eastAsia="Arial" w:hAnsi="Arial"/>
                <w:sz w:val="11"/>
                <w:szCs w:val="11"/>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r>
      <w:tr>
        <w:trPr>
          <w:trHeight w:val="274"/>
        </w:trPr>
        <w:tc>
          <w:tcPr>
            <w:tcW w:w="20" w:type="dxa"/>
            <w:vAlign w:val="bottom"/>
          </w:tcPr>
          <w:p>
            <w:pPr>
              <w:spacing w:after="0"/>
              <w:rPr>
                <w:sz w:val="23"/>
                <w:szCs w:val="23"/>
                <w:color w:val="auto"/>
              </w:rPr>
            </w:pPr>
          </w:p>
        </w:tc>
        <w:tc>
          <w:tcPr>
            <w:tcW w:w="7160" w:type="dxa"/>
            <w:vAlign w:val="bottom"/>
            <w:gridSpan w:val="2"/>
          </w:tcPr>
          <w:p>
            <w:pPr>
              <w:spacing w:after="0"/>
              <w:rPr>
                <w:sz w:val="20"/>
                <w:szCs w:val="20"/>
                <w:color w:val="auto"/>
              </w:rPr>
            </w:pPr>
            <w:r>
              <w:rPr>
                <w:rFonts w:ascii="Arial" w:cs="Arial" w:eastAsia="Arial" w:hAnsi="Arial"/>
                <w:sz w:val="11"/>
                <w:szCs w:val="11"/>
                <w:color w:val="auto"/>
              </w:rPr>
              <w:t>Income (loss) before income taxes</w:t>
            </w:r>
          </w:p>
        </w:tc>
        <w:tc>
          <w:tcPr>
            <w:tcW w:w="300" w:type="dxa"/>
            <w:vAlign w:val="bottom"/>
          </w:tcPr>
          <w:p>
            <w:pPr>
              <w:spacing w:after="0"/>
              <w:rPr>
                <w:sz w:val="23"/>
                <w:szCs w:val="23"/>
                <w:color w:val="auto"/>
              </w:rPr>
            </w:pPr>
          </w:p>
        </w:tc>
        <w:tc>
          <w:tcPr>
            <w:tcW w:w="1000" w:type="dxa"/>
            <w:vAlign w:val="bottom"/>
          </w:tcPr>
          <w:p>
            <w:pPr>
              <w:ind w:left="8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3"/>
          </w:tcPr>
          <w:p>
            <w:pPr>
              <w:ind w:left="840"/>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Assets/Liabilities Held for Sale</w:t>
      </w:r>
    </w:p>
    <w:p>
      <w:pPr>
        <w:spacing w:after="0" w:line="131" w:lineRule="exact"/>
        <w:rPr>
          <w:sz w:val="20"/>
          <w:szCs w:val="20"/>
          <w:color w:val="auto"/>
        </w:rPr>
      </w:pPr>
    </w:p>
    <w:p>
      <w:pPr>
        <w:jc w:val="both"/>
        <w:ind w:right="380"/>
        <w:spacing w:after="0" w:line="295" w:lineRule="auto"/>
        <w:rPr>
          <w:sz w:val="20"/>
          <w:szCs w:val="20"/>
          <w:color w:val="auto"/>
        </w:rPr>
      </w:pPr>
      <w:r>
        <w:rPr>
          <w:rFonts w:ascii="Arial" w:cs="Arial" w:eastAsia="Arial" w:hAnsi="Arial"/>
          <w:sz w:val="13"/>
          <w:szCs w:val="13"/>
          <w:color w:val="auto"/>
        </w:rPr>
        <w:t>As of December 31, 2023, the sale of the Curbside Management and Public Safety Solutions businesses had not yet closed. Accordingly, the assets and liabilities of this portfolio, collectively referred to as the Curbside Disposal Group, were reclassified as held for sale and measured at the lower of carrying value or fair value less costs to sell. As described above, the sale closed in the second quarter of 2024 and the assets and liabilities held for sale have been removed from the Company's Consolidated Balance Sheets.</w:t>
      </w:r>
    </w:p>
    <w:p>
      <w:pPr>
        <w:sectPr>
          <w:pgSz w:w="11900" w:h="16838" w:orient="portrait"/>
          <w:cols w:equalWidth="0" w:num="1">
            <w:col w:w="11280"/>
          </w:cols>
          <w:pgMar w:left="300" w:top="156" w:right="31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summary of the major categories of assets and liabilities that were classified as held for sale as of December 31, 2023:</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1"/>
          <w:szCs w:val="1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1060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10604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Accounts Receivable, net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990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990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Land, building and equipment, net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990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990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Goodwill</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1193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11938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Assets held for sale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1"/>
          <w:szCs w:val="11"/>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990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990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Accounts payable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Accrued compensation and benefits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990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990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Unearned income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990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990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Long-term debt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990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990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long-term liabilities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Liabilities held for sale</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44"/>
              <w:spacing w:after="0"/>
              <w:rPr>
                <w:sz w:val="20"/>
                <w:szCs w:val="20"/>
                <w:color w:val="auto"/>
              </w:rPr>
            </w:pPr>
            <w:r>
              <w:rPr>
                <w:rFonts w:ascii="Arial" w:cs="Arial" w:eastAsia="Arial" w:hAnsi="Arial"/>
                <w:sz w:val="11"/>
                <w:szCs w:val="11"/>
                <w:color w:val="auto"/>
              </w:rPr>
              <w:t>December 31, 2023</w:t>
            </w:r>
          </w:p>
        </w:tc>
      </w:tr>
      <w:tr>
        <w:trPr>
          <w:trHeight w:val="143"/>
        </w:trPr>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49</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52</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35</w:t>
            </w:r>
          </w:p>
        </w:tc>
      </w:tr>
      <w:tr>
        <w:trPr>
          <w:trHeight w:val="160"/>
        </w:trPr>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w:t>
            </w:r>
          </w:p>
        </w:tc>
      </w:tr>
      <w:tr>
        <w:trPr>
          <w:trHeight w:val="147"/>
        </w:trPr>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34"/>
        </w:trPr>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11</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9</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60"/>
        </w:trPr>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r>
      <w:tr>
        <w:trPr>
          <w:trHeight w:val="147"/>
        </w:trPr>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780" w:space="720"/>
            <w:col w:w="1780"/>
          </w:cols>
          <w:pgMar w:left="300" w:top="156" w:right="319" w:bottom="1440" w:gutter="0" w:footer="0" w:header="0"/>
          <w:type w:val="continuous"/>
        </w:sect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type w:val="continuous"/>
        </w:sectPr>
      </w:pPr>
    </w:p>
    <w:bookmarkStart w:id="72" w:name="page73"/>
    <w:bookmarkEnd w:id="7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5 - Land, Buildings, Equipment and Software, Net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Land, buildings and equipment, net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Estimated Useful Lives</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1"/>
                <w:szCs w:val="11"/>
                <w:color w:val="auto"/>
              </w:rPr>
              <w:t>December 31,</w:t>
            </w:r>
          </w:p>
        </w:tc>
        <w:tc>
          <w:tcPr>
            <w:tcW w:w="104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400" w:type="dxa"/>
            <w:vAlign w:val="bottom"/>
            <w:gridSpan w:val="2"/>
          </w:tcPr>
          <w:p>
            <w:pPr>
              <w:spacing w:after="0"/>
              <w:rPr>
                <w:sz w:val="20"/>
                <w:szCs w:val="20"/>
                <w:color w:val="auto"/>
              </w:rPr>
            </w:pPr>
            <w:r>
              <w:rPr>
                <w:rFonts w:ascii="Arial" w:cs="Arial" w:eastAsia="Arial" w:hAnsi="Arial"/>
                <w:sz w:val="10"/>
                <w:szCs w:val="10"/>
                <w:color w:val="auto"/>
              </w:rPr>
              <w:t>(in millions except as noted)</w:t>
            </w:r>
          </w:p>
        </w:tc>
        <w:tc>
          <w:tcPr>
            <w:tcW w:w="1740" w:type="dxa"/>
            <w:vAlign w:val="bottom"/>
            <w:gridSpan w:val="2"/>
          </w:tcPr>
          <w:p>
            <w:pPr>
              <w:jc w:val="center"/>
              <w:ind w:right="100"/>
              <w:spacing w:after="0" w:line="120" w:lineRule="exact"/>
              <w:rPr>
                <w:sz w:val="20"/>
                <w:szCs w:val="20"/>
                <w:color w:val="auto"/>
              </w:rPr>
            </w:pPr>
            <w:r>
              <w:rPr>
                <w:rFonts w:ascii="Arial" w:cs="Arial" w:eastAsia="Arial" w:hAnsi="Arial"/>
                <w:sz w:val="11"/>
                <w:szCs w:val="11"/>
                <w:color w:val="auto"/>
                <w:w w:val="99"/>
              </w:rPr>
              <w:t>(Years)</w:t>
            </w:r>
          </w:p>
        </w:tc>
        <w:tc>
          <w:tcPr>
            <w:tcW w:w="360" w:type="dxa"/>
            <w:vAlign w:val="bottom"/>
          </w:tcPr>
          <w:p>
            <w:pPr>
              <w:spacing w:after="0"/>
              <w:rPr>
                <w:sz w:val="10"/>
                <w:szCs w:val="10"/>
                <w:color w:val="auto"/>
              </w:rPr>
            </w:pPr>
          </w:p>
        </w:tc>
        <w:tc>
          <w:tcPr>
            <w:tcW w:w="114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Land</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2"/>
        </w:trPr>
        <w:tc>
          <w:tcPr>
            <w:tcW w:w="20" w:type="dxa"/>
            <w:vAlign w:val="bottom"/>
          </w:tcPr>
          <w:p>
            <w:pPr>
              <w:spacing w:after="0"/>
              <w:rPr>
                <w:sz w:val="13"/>
                <w:szCs w:val="13"/>
                <w:color w:val="auto"/>
              </w:rPr>
            </w:pPr>
          </w:p>
        </w:tc>
        <w:tc>
          <w:tcPr>
            <w:tcW w:w="6400" w:type="dxa"/>
            <w:vAlign w:val="bottom"/>
            <w:gridSpan w:val="2"/>
          </w:tcPr>
          <w:p>
            <w:pPr>
              <w:spacing w:after="0"/>
              <w:rPr>
                <w:sz w:val="20"/>
                <w:szCs w:val="20"/>
                <w:color w:val="auto"/>
              </w:rPr>
            </w:pPr>
            <w:r>
              <w:rPr>
                <w:rFonts w:ascii="Arial" w:cs="Arial" w:eastAsia="Arial" w:hAnsi="Arial"/>
                <w:sz w:val="11"/>
                <w:szCs w:val="11"/>
                <w:color w:val="auto"/>
              </w:rPr>
              <w:t>Building and building equipment</w:t>
            </w:r>
          </w:p>
        </w:tc>
        <w:tc>
          <w:tcPr>
            <w:tcW w:w="1740" w:type="dxa"/>
            <w:vAlign w:val="bottom"/>
            <w:gridSpan w:val="2"/>
          </w:tcPr>
          <w:p>
            <w:pPr>
              <w:jc w:val="center"/>
              <w:ind w:right="100"/>
              <w:spacing w:after="0"/>
              <w:rPr>
                <w:sz w:val="20"/>
                <w:szCs w:val="20"/>
                <w:color w:val="auto"/>
              </w:rPr>
            </w:pPr>
            <w:r>
              <w:rPr>
                <w:rFonts w:ascii="Arial" w:cs="Arial" w:eastAsia="Arial" w:hAnsi="Arial"/>
                <w:sz w:val="11"/>
                <w:szCs w:val="11"/>
                <w:color w:val="auto"/>
              </w:rPr>
              <w:t>25 to 50</w:t>
            </w:r>
          </w:p>
        </w:tc>
        <w:tc>
          <w:tcPr>
            <w:tcW w:w="360" w:type="dxa"/>
            <w:vAlign w:val="bottom"/>
          </w:tcPr>
          <w:p>
            <w:pPr>
              <w:spacing w:after="0"/>
              <w:rPr>
                <w:sz w:val="13"/>
                <w:szCs w:val="13"/>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160"/>
        </w:trPr>
        <w:tc>
          <w:tcPr>
            <w:tcW w:w="20" w:type="dxa"/>
            <w:vAlign w:val="bottom"/>
            <w:shd w:val="clear" w:color="auto" w:fill="CCEEFF"/>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Leasehold improvements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Varies</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214</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w:t>
            </w:r>
          </w:p>
        </w:tc>
      </w:tr>
      <w:tr>
        <w:trPr>
          <w:trHeight w:val="152"/>
        </w:trPr>
        <w:tc>
          <w:tcPr>
            <w:tcW w:w="20" w:type="dxa"/>
            <w:vAlign w:val="bottom"/>
          </w:tcPr>
          <w:p>
            <w:pPr>
              <w:spacing w:after="0"/>
              <w:rPr>
                <w:sz w:val="13"/>
                <w:szCs w:val="13"/>
                <w:color w:val="auto"/>
              </w:rPr>
            </w:pPr>
          </w:p>
        </w:tc>
        <w:tc>
          <w:tcPr>
            <w:tcW w:w="6400" w:type="dxa"/>
            <w:vAlign w:val="bottom"/>
            <w:gridSpan w:val="2"/>
          </w:tcPr>
          <w:p>
            <w:pPr>
              <w:spacing w:after="0"/>
              <w:rPr>
                <w:sz w:val="20"/>
                <w:szCs w:val="20"/>
                <w:color w:val="auto"/>
              </w:rPr>
            </w:pPr>
            <w:r>
              <w:rPr>
                <w:rFonts w:ascii="Arial" w:cs="Arial" w:eastAsia="Arial" w:hAnsi="Arial"/>
                <w:sz w:val="11"/>
                <w:szCs w:val="11"/>
                <w:color w:val="auto"/>
              </w:rPr>
              <w:t>IT, other equipment and office furniture</w:t>
            </w:r>
          </w:p>
        </w:tc>
        <w:tc>
          <w:tcPr>
            <w:tcW w:w="1740" w:type="dxa"/>
            <w:vAlign w:val="bottom"/>
            <w:gridSpan w:val="2"/>
          </w:tcPr>
          <w:p>
            <w:pPr>
              <w:jc w:val="center"/>
              <w:ind w:right="80"/>
              <w:spacing w:after="0"/>
              <w:rPr>
                <w:sz w:val="20"/>
                <w:szCs w:val="20"/>
                <w:color w:val="auto"/>
              </w:rPr>
            </w:pPr>
            <w:r>
              <w:rPr>
                <w:rFonts w:ascii="Arial" w:cs="Arial" w:eastAsia="Arial" w:hAnsi="Arial"/>
                <w:sz w:val="11"/>
                <w:szCs w:val="11"/>
                <w:color w:val="auto"/>
              </w:rPr>
              <w:t>3 to 15</w:t>
            </w:r>
          </w:p>
        </w:tc>
        <w:tc>
          <w:tcPr>
            <w:tcW w:w="360" w:type="dxa"/>
            <w:vAlign w:val="bottom"/>
          </w:tcPr>
          <w:p>
            <w:pPr>
              <w:spacing w:after="0"/>
              <w:rPr>
                <w:sz w:val="13"/>
                <w:szCs w:val="13"/>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831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844</w:t>
            </w:r>
          </w:p>
        </w:tc>
      </w:tr>
      <w:tr>
        <w:trPr>
          <w:trHeight w:val="160"/>
        </w:trPr>
        <w:tc>
          <w:tcPr>
            <w:tcW w:w="20" w:type="dxa"/>
            <w:vAlign w:val="bottom"/>
            <w:shd w:val="clear" w:color="auto" w:fill="CCEEFF"/>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4 to 20</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52"/>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Construction in progress</w:t>
            </w:r>
          </w:p>
        </w:tc>
        <w:tc>
          <w:tcPr>
            <w:tcW w:w="1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w:t>
            </w:r>
          </w:p>
        </w:tc>
      </w:tr>
      <w:tr>
        <w:trPr>
          <w:trHeight w:val="151"/>
        </w:trPr>
        <w:tc>
          <w:tcPr>
            <w:tcW w:w="20" w:type="dxa"/>
            <w:vAlign w:val="bottom"/>
            <w:shd w:val="clear" w:color="auto" w:fill="CCEEFF"/>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Subtotal</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1,066</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1,101</w:t>
            </w:r>
          </w:p>
        </w:tc>
      </w:tr>
      <w:tr>
        <w:trPr>
          <w:trHeight w:val="152"/>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Accumulated depreciation</w:t>
            </w:r>
          </w:p>
        </w:tc>
        <w:tc>
          <w:tcPr>
            <w:tcW w:w="1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(899)</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(904)</w:t>
            </w: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Land, Buildings and Equipment, Net</w:t>
            </w:r>
          </w:p>
        </w:tc>
        <w:tc>
          <w:tcPr>
            <w:tcW w:w="1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167</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 for the years ended December 31, 2024, 2023 and 2022 was $80 million, $102 million and $111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Internal Use and Product Software</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4"/>
          <w:szCs w:val="14"/>
          <w:color w:val="auto"/>
        </w:rPr>
        <w:t>Internal use and Product software are included in Other long-term assets on the Company's Consolidated Balance Sheets. Additions to Internal use and Product software as well as year-end balances for these assets were as follows:</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6400" w:type="dxa"/>
            <w:vAlign w:val="bottom"/>
            <w:gridSpan w:val="3"/>
          </w:tcPr>
          <w:p>
            <w:pPr>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Year Ended December 31,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gridSpan w:val="3"/>
            <w:vMerge w:val="restart"/>
          </w:tcPr>
          <w:p>
            <w:pPr>
              <w:spacing w:after="0"/>
              <w:rPr>
                <w:sz w:val="20"/>
                <w:szCs w:val="20"/>
                <w:color w:val="auto"/>
              </w:rPr>
            </w:pPr>
            <w:r>
              <w:rPr>
                <w:rFonts w:ascii="Arial" w:cs="Arial" w:eastAsia="Arial" w:hAnsi="Arial"/>
                <w:sz w:val="11"/>
                <w:szCs w:val="11"/>
                <w:color w:val="auto"/>
              </w:rPr>
              <w:t>Additions to:</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64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jc w:val="right"/>
              <w:ind w:right="604"/>
              <w:spacing w:after="0" w:line="107" w:lineRule="exact"/>
              <w:rPr>
                <w:sz w:val="20"/>
                <w:szCs w:val="20"/>
                <w:color w:val="auto"/>
              </w:rPr>
            </w:pPr>
            <w:r>
              <w:rPr>
                <w:rFonts w:ascii="Arial" w:cs="Arial" w:eastAsia="Arial" w:hAnsi="Arial"/>
                <w:sz w:val="11"/>
                <w:szCs w:val="11"/>
                <w:color w:val="auto"/>
              </w:rPr>
              <w:t>2024</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jc w:val="right"/>
              <w:ind w:right="584"/>
              <w:spacing w:after="0" w:line="107" w:lineRule="exact"/>
              <w:rPr>
                <w:sz w:val="20"/>
                <w:szCs w:val="20"/>
                <w:color w:val="auto"/>
              </w:rPr>
            </w:pPr>
            <w:r>
              <w:rPr>
                <w:rFonts w:ascii="Arial" w:cs="Arial" w:eastAsia="Arial" w:hAnsi="Arial"/>
                <w:sz w:val="11"/>
                <w:szCs w:val="11"/>
                <w:color w:val="auto"/>
              </w:rPr>
              <w:t>2023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jc w:val="right"/>
              <w:ind w:right="604"/>
              <w:spacing w:after="0" w:line="107" w:lineRule="exact"/>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Internal use software</w:t>
            </w: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3"/>
          </w:tcPr>
          <w:p>
            <w:pPr>
              <w:spacing w:after="0"/>
              <w:rPr>
                <w:sz w:val="20"/>
                <w:szCs w:val="20"/>
                <w:color w:val="auto"/>
              </w:rPr>
            </w:pPr>
            <w:r>
              <w:rPr>
                <w:rFonts w:ascii="Arial" w:cs="Arial" w:eastAsia="Arial" w:hAnsi="Arial"/>
                <w:sz w:val="11"/>
                <w:szCs w:val="11"/>
                <w:color w:val="auto"/>
              </w:rPr>
              <w:t>Product software</w:t>
            </w:r>
          </w:p>
        </w:tc>
        <w:tc>
          <w:tcPr>
            <w:tcW w:w="360" w:type="dxa"/>
            <w:vAlign w:val="bottom"/>
          </w:tcPr>
          <w:p>
            <w:pPr>
              <w:spacing w:after="0"/>
              <w:rPr>
                <w:sz w:val="12"/>
                <w:szCs w:val="12"/>
                <w:color w:val="auto"/>
              </w:rPr>
            </w:pPr>
          </w:p>
        </w:tc>
        <w:tc>
          <w:tcPr>
            <w:tcW w:w="1180" w:type="dxa"/>
            <w:vAlign w:val="bottom"/>
          </w:tcPr>
          <w:p>
            <w:pPr>
              <w:jc w:val="right"/>
              <w:ind w:right="4"/>
              <w:spacing w:after="0"/>
              <w:rPr>
                <w:sz w:val="20"/>
                <w:szCs w:val="20"/>
                <w:color w:val="auto"/>
              </w:rPr>
            </w:pPr>
            <w:r>
              <w:rPr>
                <w:rFonts w:ascii="Arial" w:cs="Arial" w:eastAsia="Arial" w:hAnsi="Arial"/>
                <w:sz w:val="11"/>
                <w:szCs w:val="11"/>
                <w:color w:val="auto"/>
              </w:rPr>
              <w:t>14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1"/>
                <w:szCs w:val="11"/>
                <w:color w:val="auto"/>
              </w:rPr>
              <w:t>December 31,</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0" w:type="dxa"/>
            <w:vAlign w:val="bottom"/>
            <w:gridSpan w:val="3"/>
          </w:tcPr>
          <w:p>
            <w:pPr>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Internal use software, at cost</w:t>
            </w: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w:t>
            </w: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Accumulated amortization</w:t>
            </w:r>
          </w:p>
        </w:tc>
        <w:tc>
          <w:tcPr>
            <w:tcW w:w="36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(421)</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Internal use software, net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w:t>
            </w:r>
          </w:p>
        </w:tc>
        <w:tc>
          <w:tcPr>
            <w:tcW w:w="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gridSpan w:val="3"/>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Product software, at cost</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w:t>
            </w:r>
          </w:p>
        </w:tc>
        <w:tc>
          <w:tcPr>
            <w:tcW w:w="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Accumulated amortization</w:t>
            </w:r>
          </w:p>
        </w:tc>
        <w:tc>
          <w:tcPr>
            <w:tcW w:w="36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Product software, net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useful lives of the Company's Internal use software and enhancements range from one to five years. Product software is amortized over the shorter of: (i) four years; (ii) the expected economic life of the product; or (iii) the term of the associated customer contract. Amortization expense for Internal use and Product software for the years ended December 31, 2024, 2023 and 2022 was $ 79 million, $114 million and $71 million, respectively. The 2023 amount includes the write-off of capitalized software costs totaling $25 million, stemming from management’s decision to abandon an internal use software product and a decision by a customer to not implement a product software solution.</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3" w:name="page74"/>
    <w:bookmarkEnd w:id="7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6 - Leases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entered into non-cancelable operating and finance leases primarily for office space and equipment with lease terms that range from less than one year to 21 years.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costs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color w:val="auto"/>
              </w:rPr>
              <w:t>Year Ended December 31,</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0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420" w:type="dxa"/>
            <w:vAlign w:val="bottom"/>
          </w:tcPr>
          <w:p>
            <w:pPr>
              <w:spacing w:after="0"/>
              <w:rPr>
                <w:sz w:val="10"/>
                <w:szCs w:val="10"/>
                <w:color w:val="auto"/>
              </w:rPr>
            </w:pPr>
          </w:p>
        </w:tc>
        <w:tc>
          <w:tcPr>
            <w:tcW w:w="1340" w:type="dxa"/>
            <w:vAlign w:val="bottom"/>
          </w:tcPr>
          <w:p>
            <w:pPr>
              <w:jc w:val="right"/>
              <w:ind w:right="684"/>
              <w:spacing w:after="0" w:line="120"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gridSpan w:val="2"/>
            <w:vMerge w:val="restart"/>
          </w:tcPr>
          <w:p>
            <w:pPr>
              <w:spacing w:after="0"/>
              <w:rPr>
                <w:sz w:val="20"/>
                <w:szCs w:val="20"/>
                <w:color w:val="auto"/>
              </w:rPr>
            </w:pPr>
            <w:r>
              <w:rPr>
                <w:rFonts w:ascii="Arial" w:cs="Arial" w:eastAsia="Arial" w:hAnsi="Arial"/>
                <w:sz w:val="11"/>
                <w:szCs w:val="11"/>
                <w:color w:val="auto"/>
              </w:rPr>
              <w:t>Finance Lease Costs:</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8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Amortization of right of use assets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5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Interest on lease liabilities</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5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Finance Lease Costs</w:t>
            </w: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color w:val="auto"/>
              </w:rPr>
              <w:t>Operating lease costs: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vMerge w:val="continue"/>
          </w:tcPr>
          <w:p>
            <w:pPr>
              <w:spacing w:after="0"/>
              <w:rPr>
                <w:sz w:val="8"/>
                <w:szCs w:val="8"/>
                <w:color w:val="auto"/>
              </w:rPr>
            </w:pPr>
          </w:p>
        </w:tc>
        <w:tc>
          <w:tcPr>
            <w:tcW w:w="580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Base rent</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75</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800" w:type="dxa"/>
            <w:vAlign w:val="bottom"/>
            <w:gridSpan w:val="2"/>
          </w:tcPr>
          <w:p>
            <w:pPr>
              <w:ind w:left="160"/>
              <w:spacing w:after="0"/>
              <w:rPr>
                <w:sz w:val="20"/>
                <w:szCs w:val="20"/>
                <w:color w:val="auto"/>
              </w:rPr>
            </w:pPr>
            <w:r>
              <w:rPr>
                <w:rFonts w:ascii="Arial" w:cs="Arial" w:eastAsia="Arial" w:hAnsi="Arial"/>
                <w:sz w:val="11"/>
                <w:szCs w:val="11"/>
                <w:color w:val="auto"/>
              </w:rPr>
              <w:t>Short-term lease costs</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Variable lease costs</w:t>
            </w:r>
            <w:r>
              <w:rPr>
                <w:rFonts w:ascii="Arial" w:cs="Arial" w:eastAsia="Arial" w:hAnsi="Arial"/>
                <w:sz w:val="14"/>
                <w:szCs w:val="14"/>
                <w:color w:val="auto"/>
                <w:vertAlign w:val="superscript"/>
              </w:rPr>
              <w:t>(1)</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800" w:type="dxa"/>
            <w:vAlign w:val="bottom"/>
            <w:gridSpan w:val="2"/>
          </w:tcPr>
          <w:p>
            <w:pPr>
              <w:ind w:left="160"/>
              <w:spacing w:after="0"/>
              <w:rPr>
                <w:sz w:val="20"/>
                <w:szCs w:val="20"/>
                <w:color w:val="auto"/>
              </w:rPr>
            </w:pPr>
            <w:r>
              <w:rPr>
                <w:rFonts w:ascii="Arial" w:cs="Arial" w:eastAsia="Arial" w:hAnsi="Arial"/>
                <w:sz w:val="11"/>
                <w:szCs w:val="11"/>
                <w:color w:val="auto"/>
              </w:rPr>
              <w:t>Sublease income</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Operating Lease Costs</w:t>
            </w:r>
          </w:p>
        </w:tc>
        <w:tc>
          <w:tcPr>
            <w:tcW w:w="42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6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1"/>
                <w:szCs w:val="11"/>
                <w:color w:val="auto"/>
              </w:rPr>
              <w:t>__________</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82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20" w:type="dxa"/>
            <w:vAlign w:val="bottom"/>
            <w:gridSpan w:val="3"/>
          </w:tcPr>
          <w:p>
            <w:pPr>
              <w:spacing w:after="0"/>
              <w:rPr>
                <w:sz w:val="20"/>
                <w:szCs w:val="20"/>
                <w:color w:val="auto"/>
              </w:rPr>
            </w:pPr>
            <w:r>
              <w:rPr>
                <w:rFonts w:ascii="Arial" w:cs="Arial" w:eastAsia="Arial" w:hAnsi="Arial"/>
                <w:sz w:val="11"/>
                <w:szCs w:val="11"/>
                <w:i w:val="1"/>
                <w:iCs w:val="1"/>
                <w:color w:val="auto"/>
              </w:rPr>
              <w:t>(1)  Primarily related to taxes, insurance and common area and other maintenance costs for real estate leases.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Supplemental cash flow information related to leases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20" w:type="dxa"/>
            <w:vAlign w:val="bottom"/>
            <w:gridSpan w:val="3"/>
          </w:tcPr>
          <w:p>
            <w:pPr>
              <w:spacing w:after="0"/>
              <w:rPr>
                <w:sz w:val="20"/>
                <w:szCs w:val="20"/>
                <w:color w:val="auto"/>
              </w:rPr>
            </w:pPr>
            <w:r>
              <w:rPr>
                <w:rFonts w:ascii="Arial" w:cs="Arial" w:eastAsia="Arial" w:hAnsi="Arial"/>
                <w:sz w:val="10"/>
                <w:szCs w:val="10"/>
                <w:color w:val="auto"/>
              </w:rPr>
              <w:t>(in millions)</w:t>
            </w:r>
          </w:p>
        </w:tc>
        <w:tc>
          <w:tcPr>
            <w:tcW w:w="420" w:type="dxa"/>
            <w:vAlign w:val="bottom"/>
          </w:tcPr>
          <w:p>
            <w:pPr>
              <w:spacing w:after="0"/>
              <w:rPr>
                <w:sz w:val="10"/>
                <w:szCs w:val="10"/>
                <w:color w:val="auto"/>
              </w:rPr>
            </w:pPr>
          </w:p>
        </w:tc>
        <w:tc>
          <w:tcPr>
            <w:tcW w:w="134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gridSpan w:val="2"/>
            <w:vMerge w:val="restart"/>
          </w:tcPr>
          <w:p>
            <w:pPr>
              <w:spacing w:after="0"/>
              <w:rPr>
                <w:sz w:val="20"/>
                <w:szCs w:val="20"/>
                <w:color w:val="auto"/>
              </w:rPr>
            </w:pPr>
            <w:r>
              <w:rPr>
                <w:rFonts w:ascii="Arial" w:cs="Arial" w:eastAsia="Arial" w:hAnsi="Arial"/>
                <w:sz w:val="11"/>
                <w:szCs w:val="11"/>
                <w:color w:val="auto"/>
              </w:rPr>
              <w:t>Cash paid for the amounts included in the measurement of lease liabilities:</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2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Operating cash flows from operating leases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5820" w:type="dxa"/>
            <w:vAlign w:val="bottom"/>
            <w:tcBorders>
              <w:bottom w:val="single" w:sz="8" w:color="CCEEFF"/>
            </w:tcBorders>
            <w:gridSpan w:val="3"/>
          </w:tcPr>
          <w:p>
            <w:pPr>
              <w:ind w:left="160"/>
              <w:spacing w:after="0"/>
              <w:rPr>
                <w:sz w:val="20"/>
                <w:szCs w:val="20"/>
                <w:color w:val="auto"/>
              </w:rPr>
            </w:pPr>
            <w:r>
              <w:rPr>
                <w:rFonts w:ascii="Arial" w:cs="Arial" w:eastAsia="Arial" w:hAnsi="Arial"/>
                <w:sz w:val="11"/>
                <w:szCs w:val="11"/>
                <w:color w:val="auto"/>
              </w:rPr>
              <w:t>Operating cash flows from finance leases</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5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Total Cash Flow from Operating Activities</w:t>
            </w: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77</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86</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82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Financing cash flow from finance leases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Supplemental non-cash information on right of use assets obtained in exchange for new lease obligations:</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820" w:type="dxa"/>
            <w:vAlign w:val="bottom"/>
            <w:gridSpan w:val="3"/>
          </w:tcPr>
          <w:p>
            <w:pPr>
              <w:ind w:left="160"/>
              <w:spacing w:after="0"/>
              <w:rPr>
                <w:sz w:val="20"/>
                <w:szCs w:val="20"/>
                <w:color w:val="auto"/>
              </w:rPr>
            </w:pPr>
            <w:r>
              <w:rPr>
                <w:rFonts w:ascii="Arial" w:cs="Arial" w:eastAsia="Arial" w:hAnsi="Arial"/>
                <w:sz w:val="11"/>
                <w:szCs w:val="11"/>
                <w:color w:val="auto"/>
              </w:rPr>
              <w:t>Operating leases</w:t>
            </w:r>
          </w:p>
        </w:tc>
        <w:tc>
          <w:tcPr>
            <w:tcW w:w="420" w:type="dxa"/>
            <w:vAlign w:val="bottom"/>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4"/>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3"/>
                <w:szCs w:val="13"/>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tcPr>
          <w:p>
            <w:pPr>
              <w:jc w:val="right"/>
              <w:ind w:right="4"/>
              <w:spacing w:after="0"/>
              <w:rPr>
                <w:sz w:val="20"/>
                <w:szCs w:val="20"/>
                <w:color w:val="auto"/>
              </w:rPr>
            </w:pPr>
            <w:r>
              <w:rPr>
                <w:rFonts w:ascii="Arial" w:cs="Arial" w:eastAsia="Arial" w:hAnsi="Arial"/>
                <w:sz w:val="11"/>
                <w:szCs w:val="11"/>
                <w:color w:val="auto"/>
              </w:rPr>
              <w:t>70</w:t>
            </w:r>
          </w:p>
        </w:tc>
        <w:tc>
          <w:tcPr>
            <w:tcW w:w="80" w:type="dxa"/>
            <w:vAlign w:val="bottom"/>
          </w:tcPr>
          <w:p>
            <w:pPr>
              <w:spacing w:after="0"/>
              <w:rPr>
                <w:sz w:val="13"/>
                <w:szCs w:val="13"/>
                <w:color w:val="auto"/>
              </w:rPr>
            </w:pPr>
          </w:p>
        </w:tc>
        <w:tc>
          <w:tcPr>
            <w:tcW w:w="420" w:type="dxa"/>
            <w:vAlign w:val="bottom"/>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2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Finance leases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4" w:name="page75"/>
    <w:bookmarkEnd w:id="7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Supplemental balance sheet information related to leases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1"/>
                <w:szCs w:val="11"/>
                <w:color w:val="auto"/>
              </w:rPr>
              <w:t>December 31,</w:t>
            </w:r>
          </w:p>
        </w:tc>
        <w:tc>
          <w:tcPr>
            <w:tcW w:w="13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74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420" w:type="dxa"/>
            <w:vAlign w:val="bottom"/>
          </w:tcPr>
          <w:p>
            <w:pPr>
              <w:spacing w:after="0"/>
              <w:rPr>
                <w:sz w:val="10"/>
                <w:szCs w:val="10"/>
                <w:color w:val="auto"/>
              </w:rPr>
            </w:pPr>
          </w:p>
        </w:tc>
        <w:tc>
          <w:tcPr>
            <w:tcW w:w="1420" w:type="dxa"/>
            <w:vAlign w:val="bottom"/>
          </w:tcPr>
          <w:p>
            <w:pPr>
              <w:jc w:val="right"/>
              <w:ind w:right="744"/>
              <w:spacing w:after="0" w:line="120" w:lineRule="exact"/>
              <w:rPr>
                <w:sz w:val="20"/>
                <w:szCs w:val="20"/>
                <w:color w:val="auto"/>
              </w:rPr>
            </w:pPr>
            <w:r>
              <w:rPr>
                <w:rFonts w:ascii="Arial" w:cs="Arial" w:eastAsia="Arial" w:hAnsi="Arial"/>
                <w:sz w:val="11"/>
                <w:szCs w:val="11"/>
                <w:color w:val="auto"/>
              </w:rPr>
              <w:t>2024</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00" w:type="dxa"/>
            <w:vAlign w:val="bottom"/>
          </w:tcPr>
          <w:p>
            <w:pPr>
              <w:jc w:val="right"/>
              <w:ind w:right="744"/>
              <w:spacing w:after="0" w:line="120" w:lineRule="exact"/>
              <w:rPr>
                <w:sz w:val="20"/>
                <w:szCs w:val="20"/>
                <w:color w:val="auto"/>
              </w:rPr>
            </w:pPr>
            <w:r>
              <w:rPr>
                <w:rFonts w:ascii="Arial" w:cs="Arial" w:eastAsia="Arial" w:hAnsi="Arial"/>
                <w:sz w:val="11"/>
                <w:szCs w:val="1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7460" w:type="dxa"/>
            <w:vAlign w:val="bottom"/>
            <w:gridSpan w:val="2"/>
            <w:shd w:val="clear" w:color="auto" w:fill="CCEEFF"/>
          </w:tcPr>
          <w:p>
            <w:pPr>
              <w:spacing w:after="0" w:line="125" w:lineRule="exact"/>
              <w:rPr>
                <w:sz w:val="20"/>
                <w:szCs w:val="20"/>
                <w:color w:val="auto"/>
              </w:rPr>
            </w:pPr>
            <w:r>
              <w:rPr>
                <w:rFonts w:ascii="Arial" w:cs="Arial" w:eastAsia="Arial" w:hAnsi="Arial"/>
                <w:sz w:val="11"/>
                <w:szCs w:val="11"/>
                <w:color w:val="auto"/>
              </w:rPr>
              <w:t>Operating lease assets:</w:t>
            </w:r>
          </w:p>
        </w:tc>
        <w:tc>
          <w:tcPr>
            <w:tcW w:w="4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7460" w:type="dxa"/>
            <w:vAlign w:val="bottom"/>
            <w:gridSpan w:val="2"/>
          </w:tcPr>
          <w:p>
            <w:pPr>
              <w:ind w:left="160"/>
              <w:spacing w:after="0"/>
              <w:rPr>
                <w:sz w:val="20"/>
                <w:szCs w:val="20"/>
                <w:color w:val="auto"/>
              </w:rPr>
            </w:pPr>
            <w:r>
              <w:rPr>
                <w:rFonts w:ascii="Arial" w:cs="Arial" w:eastAsia="Arial" w:hAnsi="Arial"/>
                <w:sz w:val="11"/>
                <w:szCs w:val="11"/>
                <w:color w:val="auto"/>
              </w:rPr>
              <w:t>Operating lease right-of-use assets</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4"/>
              <w:spacing w:after="0"/>
              <w:rPr>
                <w:sz w:val="20"/>
                <w:szCs w:val="20"/>
                <w:color w:val="auto"/>
              </w:rPr>
            </w:pPr>
            <w:r>
              <w:rPr>
                <w:rFonts w:ascii="Arial" w:cs="Arial" w:eastAsia="Arial" w:hAnsi="Arial"/>
                <w:sz w:val="11"/>
                <w:szCs w:val="11"/>
                <w:color w:val="auto"/>
              </w:rPr>
              <w:t>169</w:t>
            </w:r>
          </w:p>
        </w:tc>
        <w:tc>
          <w:tcPr>
            <w:tcW w:w="120" w:type="dxa"/>
            <w:vAlign w:val="bottom"/>
          </w:tcPr>
          <w:p>
            <w:pPr>
              <w:spacing w:after="0"/>
              <w:rPr>
                <w:sz w:val="13"/>
                <w:szCs w:val="13"/>
                <w:color w:val="auto"/>
              </w:rPr>
            </w:pPr>
          </w:p>
        </w:tc>
        <w:tc>
          <w:tcPr>
            <w:tcW w:w="540" w:type="dxa"/>
            <w:vAlign w:val="bottom"/>
          </w:tcPr>
          <w:p>
            <w:pPr>
              <w:jc w:val="right"/>
              <w:ind w:right="404"/>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191</w:t>
            </w:r>
          </w:p>
        </w:tc>
      </w:tr>
      <w:tr>
        <w:trPr>
          <w:trHeight w:val="160"/>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lease liabilities:</w:t>
            </w:r>
          </w:p>
        </w:tc>
        <w:tc>
          <w:tcPr>
            <w:tcW w:w="4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7460" w:type="dxa"/>
            <w:vAlign w:val="bottom"/>
            <w:gridSpan w:val="2"/>
          </w:tcPr>
          <w:p>
            <w:pPr>
              <w:ind w:left="160"/>
              <w:spacing w:after="0"/>
              <w:rPr>
                <w:sz w:val="20"/>
                <w:szCs w:val="20"/>
                <w:color w:val="auto"/>
              </w:rPr>
            </w:pPr>
            <w:r>
              <w:rPr>
                <w:rFonts w:ascii="Arial" w:cs="Arial" w:eastAsia="Arial" w:hAnsi="Arial"/>
                <w:sz w:val="11"/>
                <w:szCs w:val="11"/>
                <w:color w:val="auto"/>
              </w:rPr>
              <w:t>Other current liabilities</w:t>
            </w:r>
          </w:p>
        </w:tc>
        <w:tc>
          <w:tcPr>
            <w:tcW w:w="420" w:type="dxa"/>
            <w:vAlign w:val="bottom"/>
          </w:tcPr>
          <w:p>
            <w:pPr>
              <w:spacing w:after="0"/>
              <w:rPr>
                <w:sz w:val="13"/>
                <w:szCs w:val="13"/>
                <w:color w:val="auto"/>
              </w:rPr>
            </w:pPr>
          </w:p>
        </w:tc>
        <w:tc>
          <w:tcPr>
            <w:tcW w:w="1420" w:type="dxa"/>
            <w:vAlign w:val="bottom"/>
          </w:tcPr>
          <w:p>
            <w:pPr>
              <w:jc w:val="right"/>
              <w:ind w:right="4"/>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54</w:t>
            </w:r>
          </w:p>
        </w:tc>
      </w:tr>
      <w:tr>
        <w:trPr>
          <w:trHeight w:val="156"/>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Operating lease liabilities</w:t>
            </w:r>
          </w:p>
        </w:tc>
        <w:tc>
          <w:tcPr>
            <w:tcW w:w="4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138</w:t>
            </w:r>
          </w:p>
        </w:tc>
        <w:tc>
          <w:tcPr>
            <w:tcW w:w="1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w:t>
            </w:r>
          </w:p>
        </w:tc>
      </w:tr>
      <w:tr>
        <w:trPr>
          <w:trHeight w:val="151"/>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1"/>
                <w:szCs w:val="11"/>
                <w:color w:val="auto"/>
              </w:rPr>
              <w:t>Total Operating Lease Liabilities</w:t>
            </w: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190</w:t>
            </w: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1"/>
                <w:szCs w:val="11"/>
                <w:color w:val="auto"/>
              </w:rPr>
              <w:t>Finance lease assets:</w:t>
            </w: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0"/>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Land, buildings and equipment, net</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r>
      <w:tr>
        <w:trPr>
          <w:trHeight w:val="152"/>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1"/>
                <w:szCs w:val="11"/>
                <w:color w:val="auto"/>
              </w:rPr>
              <w:t>Finance lease liabilities:</w:t>
            </w: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0"/>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Current portion of long-term debt</w:t>
            </w:r>
          </w:p>
        </w:tc>
        <w:tc>
          <w:tcPr>
            <w:tcW w:w="4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r>
      <w:tr>
        <w:trPr>
          <w:trHeight w:val="152"/>
        </w:trPr>
        <w:tc>
          <w:tcPr>
            <w:tcW w:w="20" w:type="dxa"/>
            <w:vAlign w:val="bottom"/>
            <w:tcBorders>
              <w:bottom w:val="single" w:sz="8" w:color="CCEEFF"/>
            </w:tcBorders>
          </w:tcPr>
          <w:p>
            <w:pPr>
              <w:spacing w:after="0"/>
              <w:rPr>
                <w:sz w:val="13"/>
                <w:szCs w:val="13"/>
                <w:color w:val="auto"/>
              </w:rPr>
            </w:pPr>
          </w:p>
        </w:tc>
        <w:tc>
          <w:tcPr>
            <w:tcW w:w="7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Long-term debt</w:t>
            </w:r>
          </w:p>
        </w:tc>
        <w:tc>
          <w:tcPr>
            <w:tcW w:w="4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Finance Lease Liabilities</w:t>
            </w:r>
          </w:p>
        </w:tc>
        <w:tc>
          <w:tcPr>
            <w:tcW w:w="4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26</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discount rates and weighted average remaining lease terms for operating and finance leases as of December 31, 2024 and 2023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060" w:type="dxa"/>
            <w:vAlign w:val="bottom"/>
          </w:tcPr>
          <w:p>
            <w:pPr>
              <w:spacing w:after="0"/>
              <w:rPr>
                <w:sz w:val="12"/>
                <w:szCs w:val="12"/>
                <w:color w:val="auto"/>
              </w:rPr>
            </w:pPr>
          </w:p>
        </w:tc>
        <w:tc>
          <w:tcPr>
            <w:tcW w:w="2740" w:type="dxa"/>
            <w:vAlign w:val="bottom"/>
            <w:tcBorders>
              <w:bottom w:val="single" w:sz="8" w:color="auto"/>
            </w:tcBorders>
            <w:gridSpan w:val="4"/>
          </w:tcPr>
          <w:p>
            <w:pPr>
              <w:ind w:left="1040"/>
              <w:spacing w:after="0"/>
              <w:rPr>
                <w:sz w:val="20"/>
                <w:szCs w:val="20"/>
                <w:color w:val="auto"/>
              </w:rPr>
            </w:pPr>
            <w:r>
              <w:rPr>
                <w:rFonts w:ascii="Arial" w:cs="Arial" w:eastAsia="Arial" w:hAnsi="Arial"/>
                <w:sz w:val="11"/>
                <w:szCs w:val="11"/>
                <w:color w:val="auto"/>
              </w:rPr>
              <w:t>December 31, 2024</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tcBorders>
              <w:bottom w:val="single" w:sz="8" w:color="auto"/>
            </w:tcBorders>
            <w:gridSpan w:val="3"/>
          </w:tcPr>
          <w:p>
            <w:pPr>
              <w:jc w:val="right"/>
              <w:ind w:right="984"/>
              <w:spacing w:after="0"/>
              <w:rPr>
                <w:sz w:val="20"/>
                <w:szCs w:val="20"/>
                <w:color w:val="auto"/>
              </w:rPr>
            </w:pPr>
            <w:r>
              <w:rPr>
                <w:rFonts w:ascii="Arial" w:cs="Arial" w:eastAsia="Arial" w:hAnsi="Arial"/>
                <w:sz w:val="11"/>
                <w:szCs w:val="11"/>
                <w:color w:val="auto"/>
              </w:rPr>
              <w:t>December 31, 2023</w:t>
            </w:r>
          </w:p>
        </w:tc>
      </w:tr>
      <w:tr>
        <w:trPr>
          <w:trHeight w:val="147"/>
        </w:trPr>
        <w:tc>
          <w:tcPr>
            <w:tcW w:w="50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w w:val="98"/>
              </w:rPr>
              <w:t>Operating Leases</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1"/>
                <w:szCs w:val="11"/>
                <w:color w:val="auto"/>
              </w:rPr>
              <w:t>Finance Leases</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rPr>
              <w:t>Operating Leases</w:t>
            </w:r>
          </w:p>
        </w:tc>
        <w:tc>
          <w:tcPr>
            <w:tcW w:w="10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Finance Leases</w:t>
            </w:r>
          </w:p>
        </w:tc>
      </w:tr>
      <w:tr>
        <w:trPr>
          <w:trHeight w:val="15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Weighted average discount rates</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9"/>
              </w:rPr>
              <w:t>8.4 %</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9"/>
              </w:rPr>
              <w:t>8.7 %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9.0 %</w:t>
            </w:r>
          </w:p>
        </w:tc>
      </w:tr>
      <w:tr>
        <w:trPr>
          <w:trHeight w:val="149"/>
        </w:trPr>
        <w:tc>
          <w:tcPr>
            <w:tcW w:w="6240" w:type="dxa"/>
            <w:vAlign w:val="bottom"/>
            <w:gridSpan w:val="2"/>
          </w:tcPr>
          <w:p>
            <w:pPr>
              <w:ind w:left="20"/>
              <w:spacing w:after="0"/>
              <w:rPr>
                <w:sz w:val="20"/>
                <w:szCs w:val="20"/>
                <w:color w:val="auto"/>
              </w:rPr>
            </w:pPr>
            <w:r>
              <w:rPr>
                <w:rFonts w:ascii="Arial" w:cs="Arial" w:eastAsia="Arial" w:hAnsi="Arial"/>
                <w:sz w:val="11"/>
                <w:szCs w:val="11"/>
                <w:color w:val="auto"/>
              </w:rPr>
              <w:t>Weighted average remaining lease term (in years)</w:t>
            </w:r>
          </w:p>
        </w:tc>
        <w:tc>
          <w:tcPr>
            <w:tcW w:w="30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2</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Maturities of operating and finance lease liabilities as of December 31, 2024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1"/>
                <w:szCs w:val="11"/>
                <w:color w:val="auto"/>
              </w:rPr>
              <w:t>December 31, 2024</w:t>
            </w:r>
          </w:p>
        </w:tc>
        <w:tc>
          <w:tcPr>
            <w:tcW w:w="1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gridSpan w:val="2"/>
            <w:vMerge w:val="restart"/>
          </w:tcPr>
          <w:p>
            <w:pPr>
              <w:ind w:left="180"/>
              <w:spacing w:after="0"/>
              <w:rPr>
                <w:sz w:val="20"/>
                <w:szCs w:val="20"/>
                <w:color w:val="auto"/>
              </w:rPr>
            </w:pPr>
            <w:r>
              <w:rPr>
                <w:rFonts w:ascii="Arial" w:cs="Arial" w:eastAsia="Arial" w:hAnsi="Arial"/>
                <w:sz w:val="11"/>
                <w:szCs w:val="11"/>
                <w:color w:val="auto"/>
              </w:rPr>
              <w:t>Operating Lease Payments</w:t>
            </w:r>
          </w:p>
        </w:tc>
        <w:tc>
          <w:tcPr>
            <w:tcW w:w="580" w:type="dxa"/>
            <w:vAlign w:val="bottom"/>
          </w:tcPr>
          <w:p>
            <w:pPr>
              <w:spacing w:after="0"/>
              <w:rPr>
                <w:sz w:val="9"/>
                <w:szCs w:val="9"/>
                <w:color w:val="auto"/>
              </w:rPr>
            </w:pPr>
          </w:p>
        </w:tc>
        <w:tc>
          <w:tcPr>
            <w:tcW w:w="1600" w:type="dxa"/>
            <w:vAlign w:val="bottom"/>
          </w:tcPr>
          <w:p>
            <w:pPr>
              <w:jc w:val="right"/>
              <w:ind w:right="665"/>
              <w:spacing w:after="0" w:line="113" w:lineRule="exact"/>
              <w:rPr>
                <w:sz w:val="20"/>
                <w:szCs w:val="20"/>
                <w:color w:val="auto"/>
              </w:rPr>
            </w:pPr>
            <w:r>
              <w:rPr>
                <w:rFonts w:ascii="Arial" w:cs="Arial" w:eastAsia="Arial" w:hAnsi="Arial"/>
                <w:sz w:val="11"/>
                <w:szCs w:val="11"/>
                <w:color w:val="auto"/>
              </w:rPr>
              <w:t>Finance Lease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0" w:type="dxa"/>
            <w:vAlign w:val="bottom"/>
            <w:gridSpan w:val="2"/>
          </w:tcPr>
          <w:p>
            <w:pPr>
              <w:spacing w:after="0" w:line="91" w:lineRule="exact"/>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tcPr>
          <w:p>
            <w:pPr>
              <w:jc w:val="right"/>
              <w:ind w:right="785"/>
              <w:spacing w:after="0" w:line="91" w:lineRule="exact"/>
              <w:rPr>
                <w:sz w:val="20"/>
                <w:szCs w:val="20"/>
                <w:color w:val="auto"/>
              </w:rPr>
            </w:pPr>
            <w:r>
              <w:rPr>
                <w:rFonts w:ascii="Arial" w:cs="Arial" w:eastAsia="Arial" w:hAnsi="Arial"/>
                <w:sz w:val="10"/>
                <w:szCs w:val="10"/>
                <w:color w:val="auto"/>
              </w:rPr>
              <w:t>Payments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2025</w:t>
            </w:r>
          </w:p>
        </w:tc>
        <w:tc>
          <w:tcPr>
            <w:tcW w:w="63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4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2"/>
        </w:trPr>
        <w:tc>
          <w:tcPr>
            <w:tcW w:w="500" w:type="dxa"/>
            <w:vAlign w:val="bottom"/>
            <w:gridSpan w:val="2"/>
          </w:tcPr>
          <w:p>
            <w:pPr>
              <w:ind w:left="20"/>
              <w:spacing w:after="0"/>
              <w:rPr>
                <w:sz w:val="20"/>
                <w:szCs w:val="20"/>
                <w:color w:val="auto"/>
              </w:rPr>
            </w:pPr>
            <w:r>
              <w:rPr>
                <w:rFonts w:ascii="Arial" w:cs="Arial" w:eastAsia="Arial" w:hAnsi="Arial"/>
                <w:sz w:val="11"/>
                <w:szCs w:val="11"/>
                <w:color w:val="auto"/>
              </w:rPr>
              <w:t>2026</w:t>
            </w:r>
          </w:p>
        </w:tc>
        <w:tc>
          <w:tcPr>
            <w:tcW w:w="6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0"/>
        </w:trPr>
        <w:tc>
          <w:tcPr>
            <w:tcW w:w="5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2027</w:t>
            </w:r>
          </w:p>
        </w:tc>
        <w:tc>
          <w:tcPr>
            <w:tcW w:w="6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2"/>
        </w:trPr>
        <w:tc>
          <w:tcPr>
            <w:tcW w:w="500" w:type="dxa"/>
            <w:vAlign w:val="bottom"/>
            <w:gridSpan w:val="2"/>
          </w:tcPr>
          <w:p>
            <w:pPr>
              <w:ind w:left="20"/>
              <w:spacing w:after="0"/>
              <w:rPr>
                <w:sz w:val="20"/>
                <w:szCs w:val="20"/>
                <w:color w:val="auto"/>
              </w:rPr>
            </w:pPr>
            <w:r>
              <w:rPr>
                <w:rFonts w:ascii="Arial" w:cs="Arial" w:eastAsia="Arial" w:hAnsi="Arial"/>
                <w:sz w:val="11"/>
                <w:szCs w:val="11"/>
                <w:color w:val="auto"/>
              </w:rPr>
              <w:t>2028</w:t>
            </w:r>
          </w:p>
        </w:tc>
        <w:tc>
          <w:tcPr>
            <w:tcW w:w="6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0"/>
        </w:trPr>
        <w:tc>
          <w:tcPr>
            <w:tcW w:w="5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2029</w:t>
            </w:r>
          </w:p>
        </w:tc>
        <w:tc>
          <w:tcPr>
            <w:tcW w:w="6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Thereafter</w:t>
            </w:r>
          </w:p>
        </w:tc>
        <w:tc>
          <w:tcPr>
            <w:tcW w:w="2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undiscounted lease payments</w:t>
            </w:r>
          </w:p>
        </w:tc>
        <w:tc>
          <w:tcPr>
            <w:tcW w:w="2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Less imputed interest</w:t>
            </w:r>
          </w:p>
        </w:tc>
        <w:tc>
          <w:tcPr>
            <w:tcW w:w="2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Present value of lease liabilities</w:t>
            </w: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As of December 31, 2024, the Company had entered into additional operating lease agreements for equipment for $3 million, real estate for $8 million and finance leases for equipment for $25 million which have not commenced and have not been recognized on the Company's Consolidated Balance Sheet. These leases are expected to commence in 2025 with average lease terms of 3 years, 7 years and 5 years, respectively.</w:t>
      </w:r>
    </w:p>
    <w:p>
      <w:pPr>
        <w:spacing w:after="0" w:line="200" w:lineRule="exact"/>
        <w:rPr>
          <w:sz w:val="20"/>
          <w:szCs w:val="20"/>
          <w:color w:val="auto"/>
        </w:rPr>
      </w:pP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5" w:name="page76"/>
    <w:bookmarkEnd w:id="7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7 - Goodwill and Intangible Assets, Net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changes in the carrying amount of goodwill, by reportable segment: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56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280" w:type="dxa"/>
            <w:vAlign w:val="bottom"/>
          </w:tcPr>
          <w:p>
            <w:pPr>
              <w:spacing w:after="0"/>
              <w:rPr>
                <w:sz w:val="10"/>
                <w:szCs w:val="10"/>
                <w:color w:val="auto"/>
              </w:rPr>
            </w:pPr>
          </w:p>
        </w:tc>
        <w:tc>
          <w:tcPr>
            <w:tcW w:w="1400" w:type="dxa"/>
            <w:vAlign w:val="bottom"/>
            <w:gridSpan w:val="2"/>
          </w:tcPr>
          <w:p>
            <w:pPr>
              <w:ind w:left="220"/>
              <w:spacing w:after="0"/>
              <w:rPr>
                <w:sz w:val="20"/>
                <w:szCs w:val="20"/>
                <w:color w:val="auto"/>
              </w:rPr>
            </w:pPr>
            <w:r>
              <w:rPr>
                <w:rFonts w:ascii="Arial" w:cs="Arial" w:eastAsia="Arial" w:hAnsi="Arial"/>
                <w:sz w:val="11"/>
                <w:szCs w:val="11"/>
                <w:color w:val="auto"/>
              </w:rPr>
              <w:t>Commercial</w:t>
            </w:r>
          </w:p>
        </w:tc>
        <w:tc>
          <w:tcPr>
            <w:tcW w:w="280" w:type="dxa"/>
            <w:vAlign w:val="bottom"/>
          </w:tcPr>
          <w:p>
            <w:pPr>
              <w:spacing w:after="0"/>
              <w:rPr>
                <w:sz w:val="10"/>
                <w:szCs w:val="10"/>
                <w:color w:val="auto"/>
              </w:rPr>
            </w:pPr>
          </w:p>
        </w:tc>
        <w:tc>
          <w:tcPr>
            <w:tcW w:w="1420" w:type="dxa"/>
            <w:vAlign w:val="bottom"/>
            <w:gridSpan w:val="2"/>
          </w:tcPr>
          <w:p>
            <w:pPr>
              <w:ind w:left="220"/>
              <w:spacing w:after="0"/>
              <w:rPr>
                <w:sz w:val="20"/>
                <w:szCs w:val="20"/>
                <w:color w:val="auto"/>
              </w:rPr>
            </w:pPr>
            <w:r>
              <w:rPr>
                <w:rFonts w:ascii="Arial" w:cs="Arial" w:eastAsia="Arial" w:hAnsi="Arial"/>
                <w:sz w:val="11"/>
                <w:szCs w:val="11"/>
                <w:color w:val="auto"/>
              </w:rPr>
              <w:t>Government</w:t>
            </w:r>
          </w:p>
        </w:tc>
        <w:tc>
          <w:tcPr>
            <w:tcW w:w="1220" w:type="dxa"/>
            <w:vAlign w:val="bottom"/>
          </w:tcPr>
          <w:p>
            <w:pPr>
              <w:jc w:val="right"/>
              <w:ind w:right="29"/>
              <w:spacing w:after="0"/>
              <w:rPr>
                <w:sz w:val="20"/>
                <w:szCs w:val="20"/>
                <w:color w:val="auto"/>
              </w:rPr>
            </w:pPr>
            <w:r>
              <w:rPr>
                <w:rFonts w:ascii="Arial" w:cs="Arial" w:eastAsia="Arial" w:hAnsi="Arial"/>
                <w:sz w:val="11"/>
                <w:szCs w:val="11"/>
                <w:color w:val="auto"/>
              </w:rPr>
              <w:t>Transportation</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jc w:val="right"/>
              <w:ind w:right="624"/>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2022</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287</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611</w:t>
            </w: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109"/>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955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1"/>
                <w:szCs w:val="11"/>
                <w:color w:val="auto"/>
              </w:rPr>
              <w:t>Foreign currency translation</w:t>
            </w:r>
          </w:p>
        </w:tc>
        <w:tc>
          <w:tcPr>
            <w:tcW w:w="28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320" w:type="dxa"/>
            <w:vAlign w:val="bottom"/>
          </w:tcPr>
          <w:p>
            <w:pPr>
              <w:jc w:val="right"/>
              <w:ind w:right="4"/>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Impairment</w:t>
            </w: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Assets Held For Sale</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shd w:val="clear" w:color="auto" w:fill="CCEEFF"/>
          </w:tcPr>
          <w:p>
            <w:pPr>
              <w:spacing w:after="0"/>
              <w:rPr>
                <w:sz w:val="14"/>
                <w:szCs w:val="14"/>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2023</w:t>
            </w:r>
          </w:p>
        </w:tc>
        <w:tc>
          <w:tcPr>
            <w:tcW w:w="2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623</w:t>
            </w: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10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28</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vMerge w:val="restart"/>
          </w:tcPr>
          <w:p>
            <w:pPr>
              <w:spacing w:after="0"/>
              <w:rPr>
                <w:sz w:val="20"/>
                <w:szCs w:val="20"/>
                <w:color w:val="auto"/>
              </w:rPr>
            </w:pPr>
            <w:r>
              <w:rPr>
                <w:rFonts w:ascii="Arial" w:cs="Arial" w:eastAsia="Arial" w:hAnsi="Arial"/>
                <w:sz w:val="11"/>
                <w:szCs w:val="11"/>
                <w:color w:val="auto"/>
              </w:rPr>
              <w:t>Foreign currency translation</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45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1320" w:type="dxa"/>
            <w:vAlign w:val="bottom"/>
          </w:tcPr>
          <w:p>
            <w:pPr>
              <w:jc w:val="right"/>
              <w:spacing w:after="0" w:line="114" w:lineRule="exact"/>
              <w:rPr>
                <w:sz w:val="20"/>
                <w:szCs w:val="20"/>
                <w:color w:val="auto"/>
              </w:rPr>
            </w:pPr>
            <w:r>
              <w:rPr>
                <w:rFonts w:ascii="Arial" w:cs="Arial" w:eastAsia="Arial" w:hAnsi="Arial"/>
                <w:sz w:val="11"/>
                <w:szCs w:val="11"/>
                <w:color w:val="auto"/>
              </w:rPr>
              <w:t>(14)</w:t>
            </w: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Impairment</w:t>
            </w:r>
          </w:p>
        </w:tc>
        <w:tc>
          <w:tcPr>
            <w:tcW w:w="2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 2024</w:t>
            </w:r>
          </w:p>
        </w:tc>
        <w:tc>
          <w:tcPr>
            <w:tcW w:w="280" w:type="dxa"/>
            <w:vAlign w:val="bottom"/>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4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Pr>
          <w:p>
            <w:pPr>
              <w:jc w:val="right"/>
              <w:ind w:right="4"/>
              <w:spacing w:after="0"/>
              <w:rPr>
                <w:sz w:val="20"/>
                <w:szCs w:val="20"/>
                <w:color w:val="auto"/>
              </w:rPr>
            </w:pPr>
            <w:r>
              <w:rPr>
                <w:rFonts w:ascii="Arial" w:cs="Arial" w:eastAsia="Arial" w:hAnsi="Arial"/>
                <w:sz w:val="11"/>
                <w:szCs w:val="11"/>
                <w:b w:val="1"/>
                <w:bCs w:val="1"/>
                <w:color w:val="auto"/>
              </w:rPr>
              <w:t>609</w:t>
            </w:r>
          </w:p>
        </w:tc>
        <w:tc>
          <w:tcPr>
            <w:tcW w:w="100" w:type="dxa"/>
            <w:vAlign w:val="bottom"/>
          </w:tcPr>
          <w:p>
            <w:pPr>
              <w:spacing w:after="0"/>
              <w:rPr>
                <w:sz w:val="13"/>
                <w:szCs w:val="13"/>
                <w:color w:val="auto"/>
              </w:rPr>
            </w:pPr>
          </w:p>
        </w:tc>
        <w:tc>
          <w:tcPr>
            <w:tcW w:w="1220" w:type="dxa"/>
            <w:vAlign w:val="bottom"/>
          </w:tcPr>
          <w:p>
            <w:pPr>
              <w:jc w:val="right"/>
              <w:ind w:right="1109"/>
              <w:spacing w:after="0"/>
              <w:rPr>
                <w:sz w:val="20"/>
                <w:szCs w:val="20"/>
                <w:color w:val="auto"/>
              </w:rPr>
            </w:pPr>
            <w:r>
              <w:rPr>
                <w:rFonts w:ascii="Arial" w:cs="Arial" w:eastAsia="Arial" w:hAnsi="Arial"/>
                <w:sz w:val="10"/>
                <w:szCs w:val="10"/>
                <w:b w:val="1"/>
                <w:bCs w:val="1"/>
                <w:color w:val="auto"/>
                <w:w w:val="71"/>
              </w:rPr>
              <w:t>$</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jc w:val="right"/>
              <w:ind w:right="244"/>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4"/>
              <w:spacing w:after="0"/>
              <w:rPr>
                <w:sz w:val="20"/>
                <w:szCs w:val="20"/>
                <w:color w:val="auto"/>
              </w:rPr>
            </w:pPr>
            <w:r>
              <w:rPr>
                <w:rFonts w:ascii="Arial" w:cs="Arial" w:eastAsia="Arial" w:hAnsi="Arial"/>
                <w:sz w:val="11"/>
                <w:szCs w:val="11"/>
                <w:b w:val="1"/>
                <w:bCs w:val="1"/>
                <w:color w:val="auto"/>
              </w:rPr>
              <w:t>609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1"/>
                <w:szCs w:val="11"/>
                <w:color w:val="auto"/>
              </w:rPr>
              <w:t>Gross goodwill</w:t>
            </w: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ind w:right="4"/>
              <w:spacing w:after="0"/>
              <w:rPr>
                <w:sz w:val="20"/>
                <w:szCs w:val="20"/>
                <w:color w:val="auto"/>
              </w:rPr>
            </w:pPr>
            <w:r>
              <w:rPr>
                <w:rFonts w:ascii="Arial" w:cs="Arial" w:eastAsia="Arial" w:hAnsi="Arial"/>
                <w:sz w:val="11"/>
                <w:szCs w:val="11"/>
                <w:color w:val="auto"/>
              </w:rPr>
              <w:t>2,198</w:t>
            </w:r>
          </w:p>
        </w:tc>
        <w:tc>
          <w:tcPr>
            <w:tcW w:w="8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1320" w:type="dxa"/>
            <w:vAlign w:val="bottom"/>
          </w:tcPr>
          <w:p>
            <w:pPr>
              <w:jc w:val="right"/>
              <w:ind w:right="4"/>
              <w:spacing w:after="0"/>
              <w:rPr>
                <w:sz w:val="20"/>
                <w:szCs w:val="20"/>
                <w:color w:val="auto"/>
              </w:rPr>
            </w:pPr>
            <w:r>
              <w:rPr>
                <w:rFonts w:ascii="Arial" w:cs="Arial" w:eastAsia="Arial" w:hAnsi="Arial"/>
                <w:sz w:val="11"/>
                <w:szCs w:val="11"/>
                <w:color w:val="auto"/>
              </w:rPr>
              <w:t>1,363</w:t>
            </w:r>
          </w:p>
        </w:tc>
        <w:tc>
          <w:tcPr>
            <w:tcW w:w="100" w:type="dxa"/>
            <w:vAlign w:val="bottom"/>
          </w:tcPr>
          <w:p>
            <w:pPr>
              <w:spacing w:after="0"/>
              <w:rPr>
                <w:sz w:val="13"/>
                <w:szCs w:val="13"/>
                <w:color w:val="auto"/>
              </w:rPr>
            </w:pPr>
          </w:p>
        </w:tc>
        <w:tc>
          <w:tcPr>
            <w:tcW w:w="1220" w:type="dxa"/>
            <w:vAlign w:val="bottom"/>
          </w:tcPr>
          <w:p>
            <w:pPr>
              <w:jc w:val="right"/>
              <w:ind w:right="1109"/>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608</w:t>
            </w:r>
          </w:p>
        </w:tc>
        <w:tc>
          <w:tcPr>
            <w:tcW w:w="100" w:type="dxa"/>
            <w:vAlign w:val="bottom"/>
          </w:tcPr>
          <w:p>
            <w:pPr>
              <w:spacing w:after="0"/>
              <w:rPr>
                <w:sz w:val="13"/>
                <w:szCs w:val="13"/>
                <w:color w:val="auto"/>
              </w:rPr>
            </w:pP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4,169</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Accumulated impairment</w:t>
            </w:r>
          </w:p>
        </w:tc>
        <w:tc>
          <w:tcPr>
            <w:tcW w:w="2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(2,198)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(754)</w:t>
            </w:r>
          </w:p>
        </w:tc>
        <w:tc>
          <w:tcPr>
            <w:tcW w:w="10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(608)</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(3,560)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 2024</w:t>
            </w:r>
          </w:p>
        </w:tc>
        <w:tc>
          <w:tcPr>
            <w:tcW w:w="280" w:type="dxa"/>
            <w:vAlign w:val="bottom"/>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4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Pr>
          <w:p>
            <w:pPr>
              <w:jc w:val="right"/>
              <w:ind w:right="4"/>
              <w:spacing w:after="0"/>
              <w:rPr>
                <w:sz w:val="20"/>
                <w:szCs w:val="20"/>
                <w:color w:val="auto"/>
              </w:rPr>
            </w:pPr>
            <w:r>
              <w:rPr>
                <w:rFonts w:ascii="Arial" w:cs="Arial" w:eastAsia="Arial" w:hAnsi="Arial"/>
                <w:sz w:val="11"/>
                <w:szCs w:val="11"/>
                <w:b w:val="1"/>
                <w:bCs w:val="1"/>
                <w:color w:val="auto"/>
              </w:rPr>
              <w:t>609</w:t>
            </w:r>
          </w:p>
        </w:tc>
        <w:tc>
          <w:tcPr>
            <w:tcW w:w="100" w:type="dxa"/>
            <w:vAlign w:val="bottom"/>
          </w:tcPr>
          <w:p>
            <w:pPr>
              <w:spacing w:after="0"/>
              <w:rPr>
                <w:sz w:val="13"/>
                <w:szCs w:val="13"/>
                <w:color w:val="auto"/>
              </w:rPr>
            </w:pPr>
          </w:p>
        </w:tc>
        <w:tc>
          <w:tcPr>
            <w:tcW w:w="1220" w:type="dxa"/>
            <w:vAlign w:val="bottom"/>
          </w:tcPr>
          <w:p>
            <w:pPr>
              <w:jc w:val="right"/>
              <w:ind w:right="1109"/>
              <w:spacing w:after="0"/>
              <w:rPr>
                <w:sz w:val="20"/>
                <w:szCs w:val="20"/>
                <w:color w:val="auto"/>
              </w:rPr>
            </w:pPr>
            <w:r>
              <w:rPr>
                <w:rFonts w:ascii="Arial" w:cs="Arial" w:eastAsia="Arial" w:hAnsi="Arial"/>
                <w:sz w:val="10"/>
                <w:szCs w:val="10"/>
                <w:b w:val="1"/>
                <w:bCs w:val="1"/>
                <w:color w:val="auto"/>
                <w:w w:val="71"/>
              </w:rPr>
              <w:t>$</w:t>
            </w:r>
          </w:p>
        </w:tc>
        <w:tc>
          <w:tcPr>
            <w:tcW w:w="4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jc w:val="right"/>
              <w:ind w:right="244"/>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Pr>
          <w:p>
            <w:pPr>
              <w:jc w:val="right"/>
              <w:ind w:right="4"/>
              <w:spacing w:after="0"/>
              <w:rPr>
                <w:sz w:val="20"/>
                <w:szCs w:val="20"/>
                <w:color w:val="auto"/>
              </w:rPr>
            </w:pPr>
            <w:r>
              <w:rPr>
                <w:rFonts w:ascii="Arial" w:cs="Arial" w:eastAsia="Arial" w:hAnsi="Arial"/>
                <w:sz w:val="11"/>
                <w:szCs w:val="11"/>
                <w:b w:val="1"/>
                <w:bCs w:val="1"/>
                <w:color w:val="auto"/>
              </w:rPr>
              <w:t>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2024 Impairment Testing and Impairment Charge</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The Company performed its annual goodwill impairment test as of October 1, 2024 for the Government and Transportation reporting units. This testing did not identify any goodwill impairment for the Government reporting unit and, accordingly, no impairment charge was recorded. However, the testing identified a $28 million goodwill impairment for the Transportation reporting unit, which was primarily due to a reduction in projected cash flows from new customer contract signings and increased delivery costs. This represents a full impairment of goodwill for the Transportation reporting unit.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2023 Impairment Charge</w:t>
      </w:r>
    </w:p>
    <w:p>
      <w:pPr>
        <w:spacing w:after="0" w:line="131" w:lineRule="exact"/>
        <w:rPr>
          <w:sz w:val="20"/>
          <w:szCs w:val="20"/>
          <w:color w:val="auto"/>
        </w:rPr>
      </w:pPr>
    </w:p>
    <w:p>
      <w:pPr>
        <w:jc w:val="both"/>
        <w:ind w:right="420"/>
        <w:spacing w:after="0" w:line="265" w:lineRule="auto"/>
        <w:rPr>
          <w:sz w:val="20"/>
          <w:szCs w:val="20"/>
          <w:color w:val="auto"/>
        </w:rPr>
      </w:pPr>
      <w:r>
        <w:rPr>
          <w:rFonts w:ascii="Arial" w:cs="Arial" w:eastAsia="Arial" w:hAnsi="Arial"/>
          <w:sz w:val="14"/>
          <w:szCs w:val="14"/>
          <w:color w:val="auto"/>
        </w:rPr>
        <w:t>In September 2023, the Company entered into a Custodial Transfer and Asset Purchase Agreement (the "Purchase Agreement") to transfer its BenefitWallet Portfolio, which was reported within the Company’s Commercial segment. Since the Purchase Agreement did not represent a disposition of a business, no goodwill was allocated to the BenefitWallet Portfolio related to this transaction.</w:t>
      </w:r>
    </w:p>
    <w:p>
      <w:pPr>
        <w:spacing w:after="0" w:line="92"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Consequently, the Purchase Agreement was identified as a triggering event for the Commercial reporting unit that required the Company to evaluate goodwill for impairment. This evaluation resulted in a full impairment of the Commercial reporting unit's goodwill, totaling $287 million. The impairment charge was primarily driven by the Purchase Agreement and was recognized in the third quarter of 2023.</w:t>
      </w:r>
    </w:p>
    <w:p>
      <w:pPr>
        <w:spacing w:after="0" w:line="92"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The fair values of the goodwill impairment charge were estimated based on a determination of the implied fair value of goodwill, leveraging the results from the Income Approach and Market Approach, and are designated as level 3 of the fair value hierarchy.</w:t>
      </w:r>
    </w:p>
    <w:p>
      <w:pPr>
        <w:spacing w:after="0" w:line="80"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In connection with the Commercial reporting unit impairment assessment, the Company first performed a recoverability assessment of long-lived assets and concluded that such assets were not impaired.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2022 Impairment Charge</w:t>
      </w:r>
    </w:p>
    <w:p>
      <w:pPr>
        <w:spacing w:after="0" w:line="131" w:lineRule="exact"/>
        <w:rPr>
          <w:sz w:val="20"/>
          <w:szCs w:val="20"/>
          <w:color w:val="auto"/>
        </w:rPr>
      </w:pPr>
    </w:p>
    <w:p>
      <w:pPr>
        <w:ind w:right="280"/>
        <w:spacing w:after="0" w:line="259" w:lineRule="auto"/>
        <w:rPr>
          <w:sz w:val="20"/>
          <w:szCs w:val="20"/>
          <w:color w:val="auto"/>
        </w:rPr>
      </w:pPr>
      <w:r>
        <w:rPr>
          <w:rFonts w:ascii="Arial" w:cs="Arial" w:eastAsia="Arial" w:hAnsi="Arial"/>
          <w:sz w:val="14"/>
          <w:szCs w:val="14"/>
          <w:color w:val="auto"/>
        </w:rPr>
        <w:t>In the fourth quarter of 2022, the Commercial reporting unit experienced lower than expected new customer contract signings, and an unexpected softening of the future business pipeline for certain solutions. Management believed these were driven by macroeconomic conditions present in the fourth quarter of 2022. The combination of these factors led management, in December 2022, to review the Commercial reporting unit and further evaluate the portfolio. These factors triggered the need for management to perform an interim goodwill impairment assessment for this reporting unit as of December 31, 2022, which resulted in a pre-tax impairment charge of $358 million.</w:t>
      </w:r>
    </w:p>
    <w:p>
      <w:pPr>
        <w:spacing w:after="0" w:line="200" w:lineRule="exact"/>
        <w:rPr>
          <w:sz w:val="20"/>
          <w:szCs w:val="20"/>
          <w:color w:val="auto"/>
        </w:rPr>
      </w:pPr>
    </w:p>
    <w:p>
      <w:pPr>
        <w:spacing w:after="0" w:line="24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6" w:name="page77"/>
    <w:bookmarkEnd w:id="7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Intangible Assets, Net</w:t>
      </w:r>
    </w:p>
    <w:p>
      <w:pPr>
        <w:spacing w:after="0" w:line="131" w:lineRule="exact"/>
        <w:rPr>
          <w:sz w:val="20"/>
          <w:szCs w:val="20"/>
          <w:color w:val="auto"/>
        </w:rPr>
      </w:pPr>
    </w:p>
    <w:p>
      <w:pPr>
        <w:ind w:right="640"/>
        <w:spacing w:after="0" w:line="282" w:lineRule="auto"/>
        <w:rPr>
          <w:sz w:val="20"/>
          <w:szCs w:val="20"/>
          <w:color w:val="auto"/>
        </w:rPr>
      </w:pPr>
      <w:r>
        <w:rPr>
          <w:rFonts w:ascii="Arial" w:cs="Arial" w:eastAsia="Arial" w:hAnsi="Arial"/>
          <w:sz w:val="14"/>
          <w:szCs w:val="14"/>
          <w:color w:val="auto"/>
        </w:rPr>
        <w:t>Net intangible assets were $14 million at December 31, 2024, substantially all of which is recorded in the Company's Commercial segment. Intangible assets were comprised exclusively of Customer relationships as follows: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color w:val="auto"/>
              </w:rPr>
              <w:t>December 31, 2024</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color w:val="auto"/>
              </w:rPr>
              <w:t>December 31, 2023</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w w:val="99"/>
              </w:rPr>
              <w:t>Weighted Average</w:t>
            </w:r>
          </w:p>
        </w:tc>
        <w:tc>
          <w:tcPr>
            <w:tcW w:w="220" w:type="dxa"/>
            <w:vAlign w:val="bottom"/>
          </w:tcPr>
          <w:p>
            <w:pPr>
              <w:spacing w:after="0"/>
              <w:rPr>
                <w:sz w:val="9"/>
                <w:szCs w:val="9"/>
                <w:color w:val="auto"/>
              </w:rPr>
            </w:pPr>
          </w:p>
        </w:tc>
        <w:tc>
          <w:tcPr>
            <w:tcW w:w="1040" w:type="dxa"/>
            <w:vAlign w:val="bottom"/>
            <w:gridSpan w:val="2"/>
          </w:tcPr>
          <w:p>
            <w:pPr>
              <w:jc w:val="center"/>
              <w:ind w:right="320"/>
              <w:spacing w:after="0" w:line="113" w:lineRule="exact"/>
              <w:rPr>
                <w:sz w:val="20"/>
                <w:szCs w:val="20"/>
                <w:color w:val="auto"/>
              </w:rPr>
            </w:pPr>
            <w:r>
              <w:rPr>
                <w:rFonts w:ascii="Arial" w:cs="Arial" w:eastAsia="Arial" w:hAnsi="Arial"/>
                <w:sz w:val="11"/>
                <w:szCs w:val="11"/>
                <w:color w:val="auto"/>
                <w:w w:val="95"/>
              </w:rPr>
              <w:t>Gross</w:t>
            </w:r>
          </w:p>
        </w:tc>
        <w:tc>
          <w:tcPr>
            <w:tcW w:w="80" w:type="dxa"/>
            <w:vAlign w:val="bottom"/>
          </w:tcPr>
          <w:p>
            <w:pPr>
              <w:spacing w:after="0"/>
              <w:rPr>
                <w:sz w:val="9"/>
                <w:szCs w:val="9"/>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1"/>
                <w:szCs w:val="11"/>
                <w:color w:val="auto"/>
              </w:rPr>
              <w:t>Accumulated</w:t>
            </w:r>
          </w:p>
        </w:tc>
        <w:tc>
          <w:tcPr>
            <w:tcW w:w="240" w:type="dxa"/>
            <w:vAlign w:val="bottom"/>
          </w:tcPr>
          <w:p>
            <w:pPr>
              <w:spacing w:after="0"/>
              <w:rPr>
                <w:sz w:val="9"/>
                <w:szCs w:val="9"/>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1"/>
                <w:szCs w:val="11"/>
                <w:color w:val="auto"/>
              </w:rPr>
              <w:t>Net</w:t>
            </w:r>
          </w:p>
        </w:tc>
        <w:tc>
          <w:tcPr>
            <w:tcW w:w="220" w:type="dxa"/>
            <w:vAlign w:val="bottom"/>
          </w:tcPr>
          <w:p>
            <w:pPr>
              <w:spacing w:after="0"/>
              <w:rPr>
                <w:sz w:val="9"/>
                <w:szCs w:val="9"/>
                <w:color w:val="auto"/>
              </w:rPr>
            </w:pPr>
          </w:p>
        </w:tc>
        <w:tc>
          <w:tcPr>
            <w:tcW w:w="1060" w:type="dxa"/>
            <w:vAlign w:val="bottom"/>
            <w:gridSpan w:val="2"/>
          </w:tcPr>
          <w:p>
            <w:pPr>
              <w:jc w:val="center"/>
              <w:ind w:right="320"/>
              <w:spacing w:after="0" w:line="113" w:lineRule="exact"/>
              <w:rPr>
                <w:sz w:val="20"/>
                <w:szCs w:val="20"/>
                <w:color w:val="auto"/>
              </w:rPr>
            </w:pPr>
            <w:r>
              <w:rPr>
                <w:rFonts w:ascii="Arial" w:cs="Arial" w:eastAsia="Arial" w:hAnsi="Arial"/>
                <w:sz w:val="11"/>
                <w:szCs w:val="11"/>
                <w:color w:val="auto"/>
              </w:rPr>
              <w:t>Gross</w:t>
            </w:r>
          </w:p>
        </w:tc>
        <w:tc>
          <w:tcPr>
            <w:tcW w:w="80" w:type="dxa"/>
            <w:vAlign w:val="bottom"/>
          </w:tcPr>
          <w:p>
            <w:pPr>
              <w:spacing w:after="0"/>
              <w:rPr>
                <w:sz w:val="9"/>
                <w:szCs w:val="9"/>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1"/>
                <w:szCs w:val="11"/>
                <w:color w:val="auto"/>
              </w:rPr>
              <w:t>Accumulated</w:t>
            </w:r>
          </w:p>
        </w:tc>
        <w:tc>
          <w:tcPr>
            <w:tcW w:w="240" w:type="dxa"/>
            <w:vAlign w:val="bottom"/>
          </w:tcPr>
          <w:p>
            <w:pPr>
              <w:spacing w:after="0"/>
              <w:rPr>
                <w:sz w:val="9"/>
                <w:szCs w:val="9"/>
                <w:color w:val="auto"/>
              </w:rPr>
            </w:pPr>
          </w:p>
        </w:tc>
        <w:tc>
          <w:tcPr>
            <w:tcW w:w="940" w:type="dxa"/>
            <w:vAlign w:val="bottom"/>
            <w:vMerge w:val="restart"/>
          </w:tcPr>
          <w:p>
            <w:pPr>
              <w:jc w:val="center"/>
              <w:ind w:right="186"/>
              <w:spacing w:after="0"/>
              <w:rPr>
                <w:sz w:val="20"/>
                <w:szCs w:val="20"/>
                <w:color w:val="auto"/>
              </w:rPr>
            </w:pPr>
            <w:r>
              <w:rPr>
                <w:rFonts w:ascii="Arial" w:cs="Arial" w:eastAsia="Arial" w:hAnsi="Arial"/>
                <w:sz w:val="11"/>
                <w:szCs w:val="11"/>
                <w:color w:val="auto"/>
              </w:rPr>
              <w:t>Net</w:t>
            </w:r>
          </w:p>
        </w:tc>
        <w:tc>
          <w:tcPr>
            <w:tcW w:w="0" w:type="dxa"/>
            <w:vAlign w:val="bottom"/>
          </w:tcPr>
          <w:p>
            <w:pPr>
              <w:spacing w:after="0"/>
              <w:rPr>
                <w:sz w:val="1"/>
                <w:szCs w:val="1"/>
                <w:color w:val="auto"/>
              </w:rPr>
            </w:pPr>
          </w:p>
        </w:tc>
      </w:tr>
      <w:tr>
        <w:trPr>
          <w:trHeight w:val="110"/>
        </w:trPr>
        <w:tc>
          <w:tcPr>
            <w:tcW w:w="2420" w:type="dxa"/>
            <w:vAlign w:val="bottom"/>
            <w:gridSpan w:val="3"/>
            <w:vMerge w:val="restart"/>
          </w:tcPr>
          <w:p>
            <w:pPr>
              <w:ind w:left="20"/>
              <w:spacing w:after="0"/>
              <w:rPr>
                <w:sz w:val="20"/>
                <w:szCs w:val="20"/>
                <w:color w:val="auto"/>
              </w:rPr>
            </w:pPr>
            <w:r>
              <w:rPr>
                <w:rFonts w:ascii="Arial" w:cs="Arial" w:eastAsia="Arial" w:hAnsi="Arial"/>
                <w:sz w:val="11"/>
                <w:szCs w:val="11"/>
                <w:color w:val="auto"/>
              </w:rPr>
              <w:t>(in millions, except years)</w:t>
            </w:r>
          </w:p>
        </w:tc>
        <w:tc>
          <w:tcPr>
            <w:tcW w:w="12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jc w:val="center"/>
              <w:ind w:right="300"/>
              <w:spacing w:after="0" w:line="111" w:lineRule="exact"/>
              <w:rPr>
                <w:sz w:val="20"/>
                <w:szCs w:val="20"/>
                <w:color w:val="auto"/>
              </w:rPr>
            </w:pPr>
            <w:r>
              <w:rPr>
                <w:rFonts w:ascii="Arial" w:cs="Arial" w:eastAsia="Arial" w:hAnsi="Arial"/>
                <w:sz w:val="11"/>
                <w:szCs w:val="11"/>
                <w:color w:val="auto"/>
              </w:rPr>
              <w:t>Carrying</w:t>
            </w: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jc w:val="center"/>
              <w:ind w:right="320"/>
              <w:spacing w:after="0" w:line="111" w:lineRule="exact"/>
              <w:rPr>
                <w:sz w:val="20"/>
                <w:szCs w:val="20"/>
                <w:color w:val="auto"/>
              </w:rPr>
            </w:pPr>
            <w:r>
              <w:rPr>
                <w:rFonts w:ascii="Arial" w:cs="Arial" w:eastAsia="Arial" w:hAnsi="Arial"/>
                <w:sz w:val="11"/>
                <w:szCs w:val="11"/>
                <w:color w:val="auto"/>
              </w:rPr>
              <w:t>Carrying</w:t>
            </w: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420" w:type="dxa"/>
            <w:vAlign w:val="bottom"/>
            <w:gridSpan w:val="3"/>
            <w:vMerge w:val="continue"/>
          </w:tcPr>
          <w:p>
            <w:pPr>
              <w:spacing w:after="0"/>
              <w:rPr>
                <w:sz w:val="9"/>
                <w:szCs w:val="9"/>
                <w:color w:val="auto"/>
              </w:rPr>
            </w:pPr>
          </w:p>
        </w:tc>
        <w:tc>
          <w:tcPr>
            <w:tcW w:w="1280" w:type="dxa"/>
            <w:vAlign w:val="bottom"/>
            <w:gridSpan w:val="2"/>
          </w:tcPr>
          <w:p>
            <w:pPr>
              <w:jc w:val="center"/>
              <w:ind w:right="100"/>
              <w:spacing w:after="0" w:line="95" w:lineRule="exact"/>
              <w:rPr>
                <w:sz w:val="20"/>
                <w:szCs w:val="20"/>
                <w:color w:val="auto"/>
              </w:rPr>
            </w:pPr>
            <w:r>
              <w:rPr>
                <w:rFonts w:ascii="Arial" w:cs="Arial" w:eastAsia="Arial" w:hAnsi="Arial"/>
                <w:sz w:val="10"/>
                <w:szCs w:val="10"/>
                <w:color w:val="auto"/>
              </w:rPr>
              <w:t>Amortization</w:t>
            </w:r>
          </w:p>
        </w:tc>
        <w:tc>
          <w:tcPr>
            <w:tcW w:w="220" w:type="dxa"/>
            <w:vAlign w:val="bottom"/>
          </w:tcPr>
          <w:p>
            <w:pPr>
              <w:spacing w:after="0"/>
              <w:rPr>
                <w:sz w:val="9"/>
                <w:szCs w:val="9"/>
                <w:color w:val="auto"/>
              </w:rPr>
            </w:pPr>
          </w:p>
        </w:tc>
        <w:tc>
          <w:tcPr>
            <w:tcW w:w="1040" w:type="dxa"/>
            <w:vAlign w:val="bottom"/>
            <w:gridSpan w:val="2"/>
          </w:tcPr>
          <w:p>
            <w:pPr>
              <w:jc w:val="center"/>
              <w:ind w:right="320"/>
              <w:spacing w:after="0" w:line="95" w:lineRule="exact"/>
              <w:rPr>
                <w:sz w:val="20"/>
                <w:szCs w:val="20"/>
                <w:color w:val="auto"/>
              </w:rPr>
            </w:pPr>
            <w:r>
              <w:rPr>
                <w:rFonts w:ascii="Arial" w:cs="Arial" w:eastAsia="Arial" w:hAnsi="Arial"/>
                <w:sz w:val="10"/>
                <w:szCs w:val="10"/>
                <w:color w:val="auto"/>
              </w:rPr>
              <w:t>Amount</w:t>
            </w:r>
          </w:p>
        </w:tc>
        <w:tc>
          <w:tcPr>
            <w:tcW w:w="80" w:type="dxa"/>
            <w:vAlign w:val="bottom"/>
          </w:tcPr>
          <w:p>
            <w:pPr>
              <w:spacing w:after="0"/>
              <w:rPr>
                <w:sz w:val="9"/>
                <w:szCs w:val="9"/>
                <w:color w:val="auto"/>
              </w:rPr>
            </w:pPr>
          </w:p>
        </w:tc>
        <w:tc>
          <w:tcPr>
            <w:tcW w:w="1180" w:type="dxa"/>
            <w:vAlign w:val="bottom"/>
            <w:gridSpan w:val="2"/>
          </w:tcPr>
          <w:p>
            <w:pPr>
              <w:jc w:val="center"/>
              <w:ind w:right="160"/>
              <w:spacing w:after="0" w:line="95" w:lineRule="exact"/>
              <w:rPr>
                <w:sz w:val="20"/>
                <w:szCs w:val="20"/>
                <w:color w:val="auto"/>
              </w:rPr>
            </w:pPr>
            <w:r>
              <w:rPr>
                <w:rFonts w:ascii="Arial" w:cs="Arial" w:eastAsia="Arial" w:hAnsi="Arial"/>
                <w:sz w:val="10"/>
                <w:szCs w:val="10"/>
                <w:color w:val="auto"/>
              </w:rPr>
              <w:t>Amortization</w:t>
            </w:r>
          </w:p>
        </w:tc>
        <w:tc>
          <w:tcPr>
            <w:tcW w:w="240" w:type="dxa"/>
            <w:vAlign w:val="bottom"/>
          </w:tcPr>
          <w:p>
            <w:pPr>
              <w:spacing w:after="0"/>
              <w:rPr>
                <w:sz w:val="9"/>
                <w:szCs w:val="9"/>
                <w:color w:val="auto"/>
              </w:rPr>
            </w:pPr>
          </w:p>
        </w:tc>
        <w:tc>
          <w:tcPr>
            <w:tcW w:w="1040" w:type="dxa"/>
            <w:vAlign w:val="bottom"/>
            <w:gridSpan w:val="2"/>
          </w:tcPr>
          <w:p>
            <w:pPr>
              <w:jc w:val="center"/>
              <w:ind w:right="340"/>
              <w:spacing w:after="0" w:line="95" w:lineRule="exact"/>
              <w:rPr>
                <w:sz w:val="20"/>
                <w:szCs w:val="20"/>
                <w:color w:val="auto"/>
              </w:rPr>
            </w:pPr>
            <w:r>
              <w:rPr>
                <w:rFonts w:ascii="Arial" w:cs="Arial" w:eastAsia="Arial" w:hAnsi="Arial"/>
                <w:sz w:val="10"/>
                <w:szCs w:val="10"/>
                <w:color w:val="auto"/>
              </w:rPr>
              <w:t>Amount</w:t>
            </w:r>
          </w:p>
        </w:tc>
        <w:tc>
          <w:tcPr>
            <w:tcW w:w="220" w:type="dxa"/>
            <w:vAlign w:val="bottom"/>
          </w:tcPr>
          <w:p>
            <w:pPr>
              <w:spacing w:after="0"/>
              <w:rPr>
                <w:sz w:val="9"/>
                <w:szCs w:val="9"/>
                <w:color w:val="auto"/>
              </w:rPr>
            </w:pPr>
          </w:p>
        </w:tc>
        <w:tc>
          <w:tcPr>
            <w:tcW w:w="1060" w:type="dxa"/>
            <w:vAlign w:val="bottom"/>
            <w:gridSpan w:val="2"/>
          </w:tcPr>
          <w:p>
            <w:pPr>
              <w:jc w:val="center"/>
              <w:ind w:right="320"/>
              <w:spacing w:after="0" w:line="95" w:lineRule="exact"/>
              <w:rPr>
                <w:sz w:val="20"/>
                <w:szCs w:val="20"/>
                <w:color w:val="auto"/>
              </w:rPr>
            </w:pPr>
            <w:r>
              <w:rPr>
                <w:rFonts w:ascii="Arial" w:cs="Arial" w:eastAsia="Arial" w:hAnsi="Arial"/>
                <w:sz w:val="10"/>
                <w:szCs w:val="10"/>
                <w:color w:val="auto"/>
              </w:rPr>
              <w:t>Amount</w:t>
            </w:r>
          </w:p>
        </w:tc>
        <w:tc>
          <w:tcPr>
            <w:tcW w:w="80" w:type="dxa"/>
            <w:vAlign w:val="bottom"/>
          </w:tcPr>
          <w:p>
            <w:pPr>
              <w:spacing w:after="0"/>
              <w:rPr>
                <w:sz w:val="9"/>
                <w:szCs w:val="9"/>
                <w:color w:val="auto"/>
              </w:rPr>
            </w:pPr>
          </w:p>
        </w:tc>
        <w:tc>
          <w:tcPr>
            <w:tcW w:w="1200" w:type="dxa"/>
            <w:vAlign w:val="bottom"/>
            <w:gridSpan w:val="2"/>
          </w:tcPr>
          <w:p>
            <w:pPr>
              <w:jc w:val="center"/>
              <w:ind w:right="180"/>
              <w:spacing w:after="0" w:line="95" w:lineRule="exact"/>
              <w:rPr>
                <w:sz w:val="20"/>
                <w:szCs w:val="20"/>
                <w:color w:val="auto"/>
              </w:rPr>
            </w:pPr>
            <w:r>
              <w:rPr>
                <w:rFonts w:ascii="Arial" w:cs="Arial" w:eastAsia="Arial" w:hAnsi="Arial"/>
                <w:sz w:val="10"/>
                <w:szCs w:val="10"/>
                <w:color w:val="auto"/>
              </w:rPr>
              <w:t>Amortization</w:t>
            </w:r>
          </w:p>
        </w:tc>
        <w:tc>
          <w:tcPr>
            <w:tcW w:w="240" w:type="dxa"/>
            <w:vAlign w:val="bottom"/>
          </w:tcPr>
          <w:p>
            <w:pPr>
              <w:spacing w:after="0"/>
              <w:rPr>
                <w:sz w:val="9"/>
                <w:szCs w:val="9"/>
                <w:color w:val="auto"/>
              </w:rPr>
            </w:pPr>
          </w:p>
        </w:tc>
        <w:tc>
          <w:tcPr>
            <w:tcW w:w="940" w:type="dxa"/>
            <w:vAlign w:val="bottom"/>
          </w:tcPr>
          <w:p>
            <w:pPr>
              <w:jc w:val="center"/>
              <w:ind w:right="186"/>
              <w:spacing w:after="0" w:line="95" w:lineRule="exact"/>
              <w:rPr>
                <w:sz w:val="20"/>
                <w:szCs w:val="20"/>
                <w:color w:val="auto"/>
              </w:rPr>
            </w:pPr>
            <w:r>
              <w:rPr>
                <w:rFonts w:ascii="Arial" w:cs="Arial" w:eastAsia="Arial" w:hAnsi="Arial"/>
                <w:sz w:val="10"/>
                <w:szCs w:val="10"/>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w:t>
            </w:r>
          </w:p>
        </w:tc>
        <w:tc>
          <w:tcPr>
            <w:tcW w:w="1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9"/>
              </w:rPr>
              <w:t>14 years</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In 2024, intangible assets with a net book value of $13 million were divested in connection with the sale of the Casualty Claims Solutions business. Amortization expense related to intangible assets was $5 million, $ 7 million and $13 million for the years ended December 31, 2024, 2023 and 2022, respectively. Amortization expense is expected to approximate $3 million in 2025, $2 million in 2026, $2 million in 2027, $1 million in 2028 and $1 million in 2029.</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8 – Restructuring Programs and Related Costs</w:t>
      </w:r>
    </w:p>
    <w:p>
      <w:pPr>
        <w:spacing w:after="0" w:line="123" w:lineRule="exact"/>
        <w:rPr>
          <w:sz w:val="20"/>
          <w:szCs w:val="20"/>
          <w:color w:val="auto"/>
        </w:rPr>
      </w:pPr>
    </w:p>
    <w:p>
      <w:pPr>
        <w:ind w:right="200"/>
        <w:spacing w:after="0" w:line="255" w:lineRule="auto"/>
        <w:rPr>
          <w:sz w:val="20"/>
          <w:szCs w:val="20"/>
          <w:color w:val="auto"/>
        </w:rPr>
      </w:pPr>
      <w:r>
        <w:rPr>
          <w:rFonts w:ascii="Arial" w:cs="Arial" w:eastAsia="Arial" w:hAnsi="Arial"/>
          <w:sz w:val="14"/>
          <w:szCs w:val="14"/>
          <w:color w:val="auto"/>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impairments and other related costs. Also included in Restructuring and related costs are incremental, non-recurring costs related to the consolidation of the Company's data centers, which totaled $ 5 million, $9 million and $10 million for the years ended December 31, 2024, 2023 and 2022,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the Company's real estate footprint include impairment of operating lease right-of-use ("ROU") assets and associated leasehold improvements.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Company's restructuring program activity during the two years ended December 31, 2024 is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140" w:type="dxa"/>
            <w:vAlign w:val="bottom"/>
          </w:tcPr>
          <w:p>
            <w:pPr>
              <w:spacing w:after="0"/>
              <w:rPr>
                <w:sz w:val="14"/>
                <w:szCs w:val="14"/>
                <w:color w:val="auto"/>
              </w:rPr>
            </w:pPr>
          </w:p>
        </w:tc>
        <w:tc>
          <w:tcPr>
            <w:tcW w:w="1820" w:type="dxa"/>
            <w:vAlign w:val="bottom"/>
            <w:gridSpan w:val="2"/>
          </w:tcPr>
          <w:p>
            <w:pPr>
              <w:ind w:left="60"/>
              <w:spacing w:after="0"/>
              <w:rPr>
                <w:sz w:val="20"/>
                <w:szCs w:val="20"/>
                <w:color w:val="auto"/>
              </w:rPr>
            </w:pPr>
            <w:r>
              <w:rPr>
                <w:rFonts w:ascii="Arial" w:cs="Arial" w:eastAsia="Arial" w:hAnsi="Arial"/>
                <w:sz w:val="11"/>
                <w:szCs w:val="11"/>
                <w:color w:val="auto"/>
              </w:rPr>
              <w:t>Severance and Related Costs</w:t>
            </w:r>
          </w:p>
        </w:tc>
        <w:tc>
          <w:tcPr>
            <w:tcW w:w="120" w:type="dxa"/>
            <w:vAlign w:val="bottom"/>
          </w:tcPr>
          <w:p>
            <w:pPr>
              <w:spacing w:after="0"/>
              <w:rPr>
                <w:sz w:val="14"/>
                <w:szCs w:val="14"/>
                <w:color w:val="auto"/>
              </w:rPr>
            </w:pPr>
          </w:p>
        </w:tc>
        <w:tc>
          <w:tcPr>
            <w:tcW w:w="1820" w:type="dxa"/>
            <w:vAlign w:val="bottom"/>
            <w:gridSpan w:val="2"/>
          </w:tcPr>
          <w:p>
            <w:pPr>
              <w:ind w:left="60"/>
              <w:spacing w:after="0"/>
              <w:rPr>
                <w:sz w:val="20"/>
                <w:szCs w:val="20"/>
                <w:color w:val="auto"/>
              </w:rPr>
            </w:pPr>
            <w:r>
              <w:rPr>
                <w:rFonts w:ascii="Arial" w:cs="Arial" w:eastAsia="Arial" w:hAnsi="Arial"/>
                <w:sz w:val="11"/>
                <w:szCs w:val="11"/>
                <w:color w:val="auto"/>
              </w:rPr>
              <w:t>Termination and Other Costs</w:t>
            </w:r>
            <w:r>
              <w:rPr>
                <w:rFonts w:ascii="Arial" w:cs="Arial" w:eastAsia="Arial" w:hAnsi="Arial"/>
                <w:sz w:val="14"/>
                <w:szCs w:val="14"/>
                <w:color w:val="auto"/>
                <w:vertAlign w:val="superscript"/>
              </w:rPr>
              <w:t>(2)</w:t>
            </w:r>
          </w:p>
        </w:tc>
        <w:tc>
          <w:tcPr>
            <w:tcW w:w="1520" w:type="dxa"/>
            <w:vAlign w:val="bottom"/>
          </w:tcPr>
          <w:p>
            <w:pPr>
              <w:jc w:val="right"/>
              <w:ind w:right="84"/>
              <w:spacing w:after="0"/>
              <w:rPr>
                <w:sz w:val="20"/>
                <w:szCs w:val="20"/>
                <w:color w:val="auto"/>
              </w:rPr>
            </w:pPr>
            <w:r>
              <w:rPr>
                <w:rFonts w:ascii="Arial" w:cs="Arial" w:eastAsia="Arial" w:hAnsi="Arial"/>
                <w:sz w:val="11"/>
                <w:szCs w:val="11"/>
                <w:color w:val="auto"/>
              </w:rPr>
              <w:t>Asset Impairments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764"/>
              <w:spacing w:after="0"/>
              <w:rPr>
                <w:sz w:val="20"/>
                <w:szCs w:val="20"/>
                <w:color w:val="auto"/>
              </w:rPr>
            </w:pPr>
            <w:r>
              <w:rPr>
                <w:rFonts w:ascii="Arial" w:cs="Arial" w:eastAsia="Arial" w:hAnsi="Arial"/>
                <w:sz w:val="11"/>
                <w:szCs w:val="1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2022</w:t>
            </w: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520" w:type="dxa"/>
            <w:vAlign w:val="bottom"/>
            <w:shd w:val="clear" w:color="auto" w:fill="CCEEFF"/>
          </w:tcPr>
          <w:p>
            <w:pPr>
              <w:jc w:val="right"/>
              <w:ind w:right="1384"/>
              <w:spacing w:after="0"/>
              <w:rPr>
                <w:sz w:val="20"/>
                <w:szCs w:val="20"/>
                <w:color w:val="auto"/>
              </w:rPr>
            </w:pPr>
            <w:r>
              <w:rPr>
                <w:rFonts w:ascii="Arial" w:cs="Arial" w:eastAsia="Arial" w:hAnsi="Arial"/>
                <w:sz w:val="11"/>
                <w:szCs w:val="11"/>
                <w:color w:val="auto"/>
                <w:w w:val="97"/>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43"/>
        </w:trPr>
        <w:tc>
          <w:tcPr>
            <w:tcW w:w="20" w:type="dxa"/>
            <w:vAlign w:val="bottom"/>
          </w:tcPr>
          <w:p>
            <w:pPr>
              <w:spacing w:after="0"/>
              <w:rPr>
                <w:sz w:val="12"/>
                <w:szCs w:val="12"/>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auto"/>
              </w:rPr>
              <w:t>Provision</w:t>
            </w:r>
          </w:p>
        </w:tc>
        <w:tc>
          <w:tcPr>
            <w:tcW w:w="1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64</w:t>
            </w:r>
          </w:p>
        </w:tc>
      </w:tr>
      <w:tr>
        <w:trPr>
          <w:trHeight w:val="160"/>
        </w:trPr>
        <w:tc>
          <w:tcPr>
            <w:tcW w:w="20" w:type="dxa"/>
            <w:vAlign w:val="bottom"/>
            <w:shd w:val="clear" w:color="auto" w:fill="CCEEFF"/>
          </w:tcPr>
          <w:p>
            <w:pPr>
              <w:spacing w:after="0"/>
              <w:rPr>
                <w:sz w:val="13"/>
                <w:szCs w:val="13"/>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Changes in estimates</w:t>
            </w:r>
          </w:p>
        </w:tc>
        <w:tc>
          <w:tcPr>
            <w:tcW w:w="14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5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47"/>
        </w:trPr>
        <w:tc>
          <w:tcPr>
            <w:tcW w:w="20" w:type="dxa"/>
            <w:vAlign w:val="bottom"/>
          </w:tcPr>
          <w:p>
            <w:pPr>
              <w:spacing w:after="0"/>
              <w:rPr>
                <w:sz w:val="12"/>
                <w:szCs w:val="12"/>
                <w:color w:val="auto"/>
              </w:rPr>
            </w:pPr>
          </w:p>
        </w:tc>
        <w:tc>
          <w:tcPr>
            <w:tcW w:w="3560" w:type="dxa"/>
            <w:vAlign w:val="bottom"/>
            <w:gridSpan w:val="2"/>
          </w:tcPr>
          <w:p>
            <w:pPr>
              <w:spacing w:after="0" w:line="147" w:lineRule="exact"/>
              <w:rPr>
                <w:sz w:val="20"/>
                <w:szCs w:val="20"/>
                <w:color w:val="auto"/>
              </w:rPr>
            </w:pPr>
            <w:r>
              <w:rPr>
                <w:rFonts w:ascii="Arial" w:cs="Arial" w:eastAsia="Arial" w:hAnsi="Arial"/>
                <w:sz w:val="11"/>
                <w:szCs w:val="11"/>
                <w:color w:val="auto"/>
              </w:rPr>
              <w:t>Total Net Current Period Charges</w:t>
            </w:r>
            <w:r>
              <w:rPr>
                <w:rFonts w:ascii="Arial" w:cs="Arial" w:eastAsia="Arial" w:hAnsi="Arial"/>
                <w:sz w:val="14"/>
                <w:szCs w:val="14"/>
                <w:color w:val="auto"/>
                <w:vertAlign w:val="superscript"/>
              </w:rPr>
              <w:t>(1)</w:t>
            </w:r>
          </w:p>
        </w:tc>
        <w:tc>
          <w:tcPr>
            <w:tcW w:w="1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62</w:t>
            </w:r>
          </w:p>
        </w:tc>
      </w:tr>
      <w:tr>
        <w:trPr>
          <w:trHeight w:val="156"/>
        </w:trPr>
        <w:tc>
          <w:tcPr>
            <w:tcW w:w="20" w:type="dxa"/>
            <w:vAlign w:val="bottom"/>
            <w:shd w:val="clear" w:color="auto" w:fill="CCEEFF"/>
          </w:tcPr>
          <w:p>
            <w:pPr>
              <w:spacing w:after="0"/>
              <w:rPr>
                <w:sz w:val="13"/>
                <w:szCs w:val="13"/>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Charges against reserve and currency</w:t>
            </w:r>
          </w:p>
        </w:tc>
        <w:tc>
          <w:tcPr>
            <w:tcW w:w="14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w:t>
            </w:r>
          </w:p>
        </w:tc>
      </w:tr>
      <w:tr>
        <w:trPr>
          <w:trHeight w:val="143"/>
        </w:trPr>
        <w:tc>
          <w:tcPr>
            <w:tcW w:w="20" w:type="dxa"/>
            <w:vAlign w:val="bottom"/>
          </w:tcPr>
          <w:p>
            <w:pPr>
              <w:spacing w:after="0"/>
              <w:rPr>
                <w:sz w:val="12"/>
                <w:szCs w:val="12"/>
                <w:color w:val="auto"/>
              </w:rPr>
            </w:pPr>
          </w:p>
        </w:tc>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 2023</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1720" w:type="dxa"/>
            <w:vAlign w:val="bottom"/>
          </w:tcPr>
          <w:p>
            <w:pPr>
              <w:jc w:val="right"/>
              <w:ind w:right="4"/>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7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520" w:type="dxa"/>
            <w:vAlign w:val="bottom"/>
          </w:tcPr>
          <w:p>
            <w:pPr>
              <w:jc w:val="right"/>
              <w:ind w:right="1384"/>
              <w:spacing w:after="0"/>
              <w:rPr>
                <w:sz w:val="20"/>
                <w:szCs w:val="20"/>
                <w:color w:val="auto"/>
              </w:rPr>
            </w:pPr>
            <w:r>
              <w:rPr>
                <w:rFonts w:ascii="Arial" w:cs="Arial" w:eastAsia="Arial" w:hAnsi="Arial"/>
                <w:sz w:val="11"/>
                <w:szCs w:val="11"/>
                <w:color w:val="auto"/>
                <w:w w:val="97"/>
              </w:rPr>
              <w:t>$</w:t>
            </w: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304"/>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560" w:type="dxa"/>
            <w:vAlign w:val="bottom"/>
            <w:gridSpan w:val="2"/>
            <w:shd w:val="clear" w:color="auto" w:fill="CCEEFF"/>
          </w:tcPr>
          <w:p>
            <w:pPr>
              <w:ind w:left="160"/>
              <w:spacing w:after="0" w:line="125" w:lineRule="exact"/>
              <w:rPr>
                <w:sz w:val="20"/>
                <w:szCs w:val="20"/>
                <w:color w:val="auto"/>
              </w:rPr>
            </w:pPr>
            <w:r>
              <w:rPr>
                <w:rFonts w:ascii="Arial" w:cs="Arial" w:eastAsia="Arial" w:hAnsi="Arial"/>
                <w:sz w:val="11"/>
                <w:szCs w:val="11"/>
                <w:color w:val="auto"/>
              </w:rPr>
              <w:t>Provision</w:t>
            </w:r>
          </w:p>
        </w:tc>
        <w:tc>
          <w:tcPr>
            <w:tcW w:w="140" w:type="dxa"/>
            <w:vAlign w:val="bottom"/>
            <w:shd w:val="clear" w:color="auto" w:fill="CCEEFF"/>
          </w:tcPr>
          <w:p>
            <w:pPr>
              <w:spacing w:after="0"/>
              <w:rPr>
                <w:sz w:val="12"/>
                <w:szCs w:val="12"/>
                <w:color w:val="auto"/>
              </w:rPr>
            </w:pP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r>
      <w:tr>
        <w:trPr>
          <w:trHeight w:val="152"/>
        </w:trPr>
        <w:tc>
          <w:tcPr>
            <w:tcW w:w="20" w:type="dxa"/>
            <w:vAlign w:val="bottom"/>
          </w:tcPr>
          <w:p>
            <w:pPr>
              <w:spacing w:after="0"/>
              <w:rPr>
                <w:sz w:val="13"/>
                <w:szCs w:val="13"/>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auto"/>
              </w:rPr>
              <w:t>Changes in estimates</w:t>
            </w:r>
          </w:p>
        </w:tc>
        <w:tc>
          <w:tcPr>
            <w:tcW w:w="14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2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356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1"/>
                <w:szCs w:val="11"/>
                <w:color w:val="auto"/>
              </w:rPr>
              <w:t>Total Net Current Period Charges</w:t>
            </w:r>
            <w:r>
              <w:rPr>
                <w:rFonts w:ascii="Arial" w:cs="Arial" w:eastAsia="Arial" w:hAnsi="Arial"/>
                <w:sz w:val="14"/>
                <w:szCs w:val="14"/>
                <w:color w:val="auto"/>
                <w:vertAlign w:val="superscript"/>
              </w:rPr>
              <w:t>(1)</w:t>
            </w:r>
          </w:p>
        </w:tc>
        <w:tc>
          <w:tcPr>
            <w:tcW w:w="14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w:t>
            </w:r>
          </w:p>
        </w:tc>
      </w:tr>
      <w:tr>
        <w:trPr>
          <w:trHeight w:val="152"/>
        </w:trPr>
        <w:tc>
          <w:tcPr>
            <w:tcW w:w="20" w:type="dxa"/>
            <w:vAlign w:val="bottom"/>
            <w:tcBorders>
              <w:bottom w:val="single" w:sz="8" w:color="CCEEFF"/>
            </w:tcBorders>
          </w:tcPr>
          <w:p>
            <w:pPr>
              <w:spacing w:after="0"/>
              <w:rPr>
                <w:sz w:val="13"/>
                <w:szCs w:val="13"/>
                <w:color w:val="auto"/>
              </w:rPr>
            </w:pPr>
          </w:p>
        </w:tc>
        <w:tc>
          <w:tcPr>
            <w:tcW w:w="3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Charges against reserve and currency</w:t>
            </w:r>
          </w:p>
        </w:tc>
        <w:tc>
          <w:tcPr>
            <w:tcW w:w="1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w:t>
            </w:r>
          </w:p>
        </w:tc>
      </w:tr>
      <w:tr>
        <w:trPr>
          <w:trHeight w:val="167"/>
        </w:trPr>
        <w:tc>
          <w:tcPr>
            <w:tcW w:w="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2024</w:t>
            </w: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384"/>
              <w:spacing w:after="0"/>
              <w:rPr>
                <w:sz w:val="20"/>
                <w:szCs w:val="20"/>
                <w:color w:val="auto"/>
              </w:rPr>
            </w:pPr>
            <w:r>
              <w:rPr>
                <w:rFonts w:ascii="Arial" w:cs="Arial" w:eastAsia="Arial" w:hAnsi="Arial"/>
                <w:sz w:val="11"/>
                <w:szCs w:val="11"/>
                <w:color w:val="auto"/>
                <w:w w:val="97"/>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9" w:lineRule="exact"/>
        <w:rPr>
          <w:sz w:val="20"/>
          <w:szCs w:val="20"/>
          <w:color w:val="auto"/>
        </w:rPr>
      </w:pPr>
    </w:p>
    <w:p>
      <w:pPr>
        <w:ind w:left="240" w:hanging="237"/>
        <w:spacing w:after="0"/>
        <w:tabs>
          <w:tab w:leader="none" w:pos="240" w:val="left"/>
        </w:tabs>
        <w:numPr>
          <w:ilvl w:val="0"/>
          <w:numId w:val="42"/>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amounts recognized within the Consolidated Statements of Income (Loss) for the years shown.</w:t>
      </w:r>
    </w:p>
    <w:p>
      <w:pPr>
        <w:spacing w:after="0" w:line="40" w:lineRule="exact"/>
        <w:rPr>
          <w:rFonts w:ascii="Arial" w:cs="Arial" w:eastAsia="Arial" w:hAnsi="Arial"/>
          <w:sz w:val="11"/>
          <w:szCs w:val="11"/>
          <w:i w:val="1"/>
          <w:iCs w:val="1"/>
          <w:color w:val="auto"/>
        </w:rPr>
      </w:pPr>
    </w:p>
    <w:p>
      <w:pPr>
        <w:ind w:left="260" w:right="180" w:hanging="257"/>
        <w:spacing w:after="0" w:line="291" w:lineRule="auto"/>
        <w:tabs>
          <w:tab w:leader="none" w:pos="250" w:val="left"/>
        </w:tabs>
        <w:numPr>
          <w:ilvl w:val="0"/>
          <w:numId w:val="42"/>
        </w:numPr>
        <w:rPr>
          <w:rFonts w:ascii="Arial" w:cs="Arial" w:eastAsia="Arial" w:hAnsi="Arial"/>
          <w:sz w:val="11"/>
          <w:szCs w:val="11"/>
          <w:i w:val="1"/>
          <w:iCs w:val="1"/>
          <w:color w:val="auto"/>
        </w:rPr>
      </w:pPr>
      <w:r>
        <w:rPr>
          <w:rFonts w:ascii="Arial" w:cs="Arial" w:eastAsia="Arial" w:hAnsi="Arial"/>
          <w:sz w:val="11"/>
          <w:szCs w:val="11"/>
          <w:i w:val="1"/>
          <w:iCs w:val="1"/>
          <w:color w:val="auto"/>
        </w:rPr>
        <w:t>During the year ended December 31, 2024, the Company incurred $4 million of costs for bringing certain technology functions in-house. The Company also incurred costs related to professional support services associated with the implementation of certain cost reduction and</w:t>
      </w:r>
    </w:p>
    <w:p>
      <w:pPr>
        <w:spacing w:after="0" w:line="200" w:lineRule="exact"/>
        <w:rPr>
          <w:sz w:val="20"/>
          <w:szCs w:val="20"/>
          <w:color w:val="auto"/>
        </w:rPr>
      </w:pPr>
    </w:p>
    <w:p>
      <w:pPr>
        <w:spacing w:after="0" w:line="22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7" w:name="page78"/>
    <w:bookmarkEnd w:id="7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1"/>
          <w:szCs w:val="11"/>
          <w:i w:val="1"/>
          <w:iCs w:val="1"/>
          <w:color w:val="auto"/>
        </w:rPr>
        <w:t>strategic transformation programs of $4 million during the year ended December 31, 2024. These costs are included in the above table in Termination and other costs.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No restructuring and related costs are allocated to the segments.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9 – Supplementary Financial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Other assets and Other liabilities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1"/>
                <w:szCs w:val="11"/>
                <w:color w:val="auto"/>
              </w:rPr>
              <w:t>December 31,</w:t>
            </w: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400" w:type="dxa"/>
            <w:vAlign w:val="bottom"/>
          </w:tcPr>
          <w:p>
            <w:pPr>
              <w:spacing w:after="0"/>
              <w:rPr>
                <w:sz w:val="10"/>
                <w:szCs w:val="10"/>
                <w:color w:val="auto"/>
              </w:rPr>
            </w:pPr>
          </w:p>
        </w:tc>
        <w:tc>
          <w:tcPr>
            <w:tcW w:w="136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2024</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Other Current Assets</w:t>
            </w:r>
          </w:p>
        </w:tc>
        <w:tc>
          <w:tcPr>
            <w:tcW w:w="4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Prepaid expenses</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77</w:t>
            </w:r>
          </w:p>
        </w:tc>
        <w:tc>
          <w:tcPr>
            <w:tcW w:w="80" w:type="dxa"/>
            <w:vAlign w:val="bottom"/>
          </w:tcPr>
          <w:p>
            <w:pPr>
              <w:spacing w:after="0"/>
              <w:rPr>
                <w:sz w:val="13"/>
                <w:szCs w:val="13"/>
                <w:color w:val="auto"/>
              </w:rPr>
            </w:pPr>
          </w:p>
        </w:tc>
        <w:tc>
          <w:tcPr>
            <w:tcW w:w="540" w:type="dxa"/>
            <w:vAlign w:val="bottom"/>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Income taxes receivable</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Value-added tax receivable</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Restricted cash</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Net receivables from buyers of divested businesses</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103</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b w:val="1"/>
                <w:bCs w:val="1"/>
                <w:color w:val="auto"/>
              </w:rPr>
              <w:t>Total Other Current Assets</w:t>
            </w: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261</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766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Other Current Liabilities</w:t>
            </w:r>
          </w:p>
        </w:tc>
        <w:tc>
          <w:tcPr>
            <w:tcW w:w="4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Accrued liabilities to vendors</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156</w:t>
            </w:r>
          </w:p>
        </w:tc>
        <w:tc>
          <w:tcPr>
            <w:tcW w:w="80" w:type="dxa"/>
            <w:vAlign w:val="bottom"/>
          </w:tcPr>
          <w:p>
            <w:pPr>
              <w:spacing w:after="0"/>
              <w:rPr>
                <w:sz w:val="13"/>
                <w:szCs w:val="13"/>
                <w:color w:val="auto"/>
              </w:rPr>
            </w:pPr>
          </w:p>
        </w:tc>
        <w:tc>
          <w:tcPr>
            <w:tcW w:w="540" w:type="dxa"/>
            <w:vAlign w:val="bottom"/>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Litigation related accruals</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Current operating lease liabilities</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Restructuring liabilities</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Income tax payable</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taxes payable</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Accrued interest</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b w:val="1"/>
                <w:bCs w:val="1"/>
                <w:color w:val="auto"/>
              </w:rPr>
              <w:t>Total Other Current Liabilities</w:t>
            </w: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290</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766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Other Long-term Assets</w:t>
            </w:r>
          </w:p>
        </w:tc>
        <w:tc>
          <w:tcPr>
            <w:tcW w:w="4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Internal use software, net</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107</w:t>
            </w:r>
          </w:p>
        </w:tc>
        <w:tc>
          <w:tcPr>
            <w:tcW w:w="80" w:type="dxa"/>
            <w:vAlign w:val="bottom"/>
          </w:tcPr>
          <w:p>
            <w:pPr>
              <w:spacing w:after="0"/>
              <w:rPr>
                <w:sz w:val="13"/>
                <w:szCs w:val="13"/>
                <w:color w:val="auto"/>
              </w:rPr>
            </w:pPr>
          </w:p>
        </w:tc>
        <w:tc>
          <w:tcPr>
            <w:tcW w:w="540" w:type="dxa"/>
            <w:vAlign w:val="bottom"/>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143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contract costs, net</w:t>
            </w:r>
            <w:r>
              <w:rPr>
                <w:rFonts w:ascii="Arial" w:cs="Arial" w:eastAsia="Arial" w:hAnsi="Arial"/>
                <w:sz w:val="14"/>
                <w:szCs w:val="14"/>
                <w:color w:val="auto"/>
                <w:vertAlign w:val="superscript"/>
              </w:rPr>
              <w:t>(1)</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126</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Product software, net</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72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92</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tax assets</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76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60</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7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Other Long-term Assets</w:t>
            </w:r>
          </w:p>
        </w:tc>
        <w:tc>
          <w:tcPr>
            <w:tcW w:w="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388</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b w:val="1"/>
                <w:bCs w:val="1"/>
                <w:color w:val="auto"/>
              </w:rPr>
              <w:t>Other Long-term Liabilities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vMerge w:val="continue"/>
          </w:tcPr>
          <w:p>
            <w:pPr>
              <w:spacing w:after="0"/>
              <w:rPr>
                <w:sz w:val="8"/>
                <w:szCs w:val="8"/>
                <w:color w:val="auto"/>
              </w:rPr>
            </w:pPr>
          </w:p>
        </w:tc>
        <w:tc>
          <w:tcPr>
            <w:tcW w:w="766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Income tax liabilities</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Unearned income</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b w:val="1"/>
                <w:bCs w:val="1"/>
                <w:color w:val="auto"/>
              </w:rPr>
              <w:t>Total Other Long-term Liabilities</w:t>
            </w: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40" w:lineRule="exact"/>
        <w:rPr>
          <w:sz w:val="20"/>
          <w:szCs w:val="20"/>
          <w:color w:val="auto"/>
        </w:rPr>
      </w:pPr>
    </w:p>
    <w:p>
      <w:pPr>
        <w:ind w:left="260" w:right="620" w:hanging="257"/>
        <w:spacing w:after="0" w:line="291" w:lineRule="auto"/>
        <w:tabs>
          <w:tab w:leader="none" w:pos="250" w:val="left"/>
        </w:tabs>
        <w:numPr>
          <w:ilvl w:val="0"/>
          <w:numId w:val="43"/>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capitalized costs associated with obtaining or fulfilling a contract with a customer. The balances at December 31, 2024 and 2023 are expected to be amortized over a weighted average remaining life of approximately 3 and 4 years, respectively. See Note 2 – Revenue for more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10 – Debt</w:t>
      </w:r>
    </w:p>
    <w:p>
      <w:pPr>
        <w:spacing w:after="0" w:line="123" w:lineRule="exact"/>
        <w:rPr>
          <w:sz w:val="20"/>
          <w:szCs w:val="20"/>
          <w:color w:val="auto"/>
        </w:rPr>
      </w:pPr>
    </w:p>
    <w:p>
      <w:pPr>
        <w:ind w:right="560"/>
        <w:spacing w:after="0" w:line="282" w:lineRule="auto"/>
        <w:rPr>
          <w:sz w:val="20"/>
          <w:szCs w:val="20"/>
          <w:color w:val="auto"/>
        </w:rPr>
      </w:pPr>
      <w:r>
        <w:rPr>
          <w:rFonts w:ascii="Arial" w:cs="Arial" w:eastAsia="Arial" w:hAnsi="Arial"/>
          <w:sz w:val="14"/>
          <w:szCs w:val="14"/>
          <w:color w:val="auto"/>
        </w:rPr>
        <w:t>The Company classifies its debt based on the contractual maturity dates of the underlying debt instruments. The Company defers costs associated with debt issuance over the applicable term. These costs are amortized as interest expense in the Consolidated Statements of Income (Loss).</w:t>
      </w:r>
    </w:p>
    <w:p>
      <w:pPr>
        <w:spacing w:after="0" w:line="200" w:lineRule="exact"/>
        <w:rPr>
          <w:sz w:val="20"/>
          <w:szCs w:val="20"/>
          <w:color w:val="auto"/>
        </w:rPr>
      </w:pPr>
    </w:p>
    <w:p>
      <w:pPr>
        <w:spacing w:after="0" w:line="23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8" w:name="page79"/>
    <w:bookmarkEnd w:id="7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Long-term debt was as follows: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5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1"/>
                <w:szCs w:val="11"/>
                <w:color w:val="auto"/>
              </w:rPr>
              <w:t>December 31,</w:t>
            </w: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5480" w:type="dxa"/>
            <w:vAlign w:val="bottom"/>
            <w:gridSpan w:val="2"/>
            <w:vMerge w:val="restart"/>
          </w:tcPr>
          <w:p>
            <w:pPr>
              <w:spacing w:after="0"/>
              <w:rPr>
                <w:sz w:val="20"/>
                <w:szCs w:val="20"/>
                <w:color w:val="auto"/>
              </w:rPr>
            </w:pPr>
            <w:r>
              <w:rPr>
                <w:rFonts w:ascii="Arial" w:cs="Arial" w:eastAsia="Arial" w:hAnsi="Arial"/>
                <w:sz w:val="11"/>
                <w:szCs w:val="11"/>
                <w:color w:val="auto"/>
              </w:rPr>
              <w:t>(in millions)</w:t>
            </w:r>
          </w:p>
        </w:tc>
        <w:tc>
          <w:tcPr>
            <w:tcW w:w="2020" w:type="dxa"/>
            <w:vAlign w:val="bottom"/>
            <w:gridSpan w:val="2"/>
          </w:tcPr>
          <w:p>
            <w:pPr>
              <w:ind w:left="80"/>
              <w:spacing w:after="0" w:line="100" w:lineRule="exact"/>
              <w:rPr>
                <w:sz w:val="20"/>
                <w:szCs w:val="20"/>
                <w:color w:val="auto"/>
              </w:rPr>
            </w:pPr>
            <w:r>
              <w:rPr>
                <w:rFonts w:ascii="Arial" w:cs="Arial" w:eastAsia="Arial" w:hAnsi="Arial"/>
                <w:sz w:val="11"/>
                <w:szCs w:val="11"/>
                <w:color w:val="auto"/>
              </w:rPr>
              <w:t>Weighted Average Interest Rates at</w:t>
            </w:r>
          </w:p>
        </w:tc>
        <w:tc>
          <w:tcPr>
            <w:tcW w:w="440" w:type="dxa"/>
            <w:vAlign w:val="bottom"/>
          </w:tcPr>
          <w:p>
            <w:pPr>
              <w:spacing w:after="0"/>
              <w:rPr>
                <w:sz w:val="8"/>
                <w:szCs w:val="8"/>
                <w:color w:val="auto"/>
              </w:rPr>
            </w:pPr>
          </w:p>
        </w:tc>
        <w:tc>
          <w:tcPr>
            <w:tcW w:w="1380" w:type="dxa"/>
            <w:vAlign w:val="bottom"/>
            <w:vMerge w:val="restart"/>
          </w:tcPr>
          <w:p>
            <w:pPr>
              <w:jc w:val="right"/>
              <w:ind w:right="724"/>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80" w:type="dxa"/>
            <w:vAlign w:val="bottom"/>
            <w:vMerge w:val="restart"/>
          </w:tcPr>
          <w:p>
            <w:pPr>
              <w:jc w:val="right"/>
              <w:ind w:right="744"/>
              <w:spacing w:after="0"/>
              <w:rPr>
                <w:sz w:val="20"/>
                <w:szCs w:val="20"/>
                <w:color w:val="auto"/>
              </w:rPr>
            </w:pPr>
            <w:r>
              <w:rPr>
                <w:rFonts w:ascii="Arial" w:cs="Arial" w:eastAsia="Arial" w:hAnsi="Arial"/>
                <w:sz w:val="11"/>
                <w:szCs w:val="11"/>
                <w:color w:val="auto"/>
              </w:rPr>
              <w:t>2023</w:t>
            </w:r>
          </w:p>
        </w:tc>
        <w:tc>
          <w:tcPr>
            <w:tcW w:w="0" w:type="dxa"/>
            <w:vAlign w:val="bottom"/>
          </w:tcPr>
          <w:p>
            <w:pPr>
              <w:spacing w:after="0"/>
              <w:rPr>
                <w:sz w:val="1"/>
                <w:szCs w:val="1"/>
                <w:color w:val="auto"/>
              </w:rPr>
            </w:pPr>
          </w:p>
        </w:tc>
      </w:tr>
      <w:tr>
        <w:trPr>
          <w:trHeight w:val="123"/>
        </w:trPr>
        <w:tc>
          <w:tcPr>
            <w:tcW w:w="5480" w:type="dxa"/>
            <w:vAlign w:val="bottom"/>
            <w:gridSpan w:val="2"/>
            <w:vMerge w:val="continue"/>
          </w:tcPr>
          <w:p>
            <w:pPr>
              <w:spacing w:after="0"/>
              <w:rPr>
                <w:sz w:val="10"/>
                <w:szCs w:val="10"/>
                <w:color w:val="auto"/>
              </w:rPr>
            </w:pPr>
          </w:p>
        </w:tc>
        <w:tc>
          <w:tcPr>
            <w:tcW w:w="2460" w:type="dxa"/>
            <w:vAlign w:val="bottom"/>
            <w:gridSpan w:val="3"/>
          </w:tcPr>
          <w:p>
            <w:pPr>
              <w:jc w:val="right"/>
              <w:ind w:right="980"/>
              <w:spacing w:after="0" w:line="123" w:lineRule="exact"/>
              <w:rPr>
                <w:sz w:val="20"/>
                <w:szCs w:val="20"/>
                <w:color w:val="auto"/>
              </w:rPr>
            </w:pPr>
            <w:r>
              <w:rPr>
                <w:rFonts w:ascii="Arial" w:cs="Arial" w:eastAsia="Arial" w:hAnsi="Arial"/>
                <w:sz w:val="11"/>
                <w:szCs w:val="11"/>
                <w:color w:val="auto"/>
              </w:rPr>
              <w:t>December 31, 2024</w:t>
            </w:r>
            <w:r>
              <w:rPr>
                <w:rFonts w:ascii="Arial" w:cs="Arial" w:eastAsia="Arial" w:hAnsi="Arial"/>
                <w:sz w:val="14"/>
                <w:szCs w:val="14"/>
                <w:color w:val="auto"/>
                <w:vertAlign w:val="superscript"/>
              </w:rPr>
              <w:t>(1)</w:t>
            </w: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Term loan A due 2026</w:t>
            </w:r>
          </w:p>
        </w:tc>
        <w:tc>
          <w:tcPr>
            <w:tcW w:w="246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9.37 %  $</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424"/>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238</w:t>
            </w:r>
          </w:p>
        </w:tc>
        <w:tc>
          <w:tcPr>
            <w:tcW w:w="0" w:type="dxa"/>
            <w:vAlign w:val="bottom"/>
          </w:tcPr>
          <w:p>
            <w:pPr>
              <w:spacing w:after="0"/>
              <w:rPr>
                <w:sz w:val="1"/>
                <w:szCs w:val="1"/>
                <w:color w:val="auto"/>
              </w:rPr>
            </w:pPr>
          </w:p>
        </w:tc>
      </w:tr>
      <w:tr>
        <w:trPr>
          <w:trHeight w:val="152"/>
        </w:trPr>
        <w:tc>
          <w:tcPr>
            <w:tcW w:w="5480" w:type="dxa"/>
            <w:vAlign w:val="bottom"/>
            <w:gridSpan w:val="2"/>
          </w:tcPr>
          <w:p>
            <w:pPr>
              <w:spacing w:after="0"/>
              <w:rPr>
                <w:sz w:val="20"/>
                <w:szCs w:val="20"/>
                <w:color w:val="auto"/>
              </w:rPr>
            </w:pPr>
            <w:r>
              <w:rPr>
                <w:rFonts w:ascii="Arial" w:cs="Arial" w:eastAsia="Arial" w:hAnsi="Arial"/>
                <w:sz w:val="11"/>
                <w:szCs w:val="11"/>
                <w:color w:val="auto"/>
              </w:rPr>
              <w:t>Term loan B due 2028</w:t>
            </w:r>
          </w:p>
        </w:tc>
        <w:tc>
          <w:tcPr>
            <w:tcW w:w="2460" w:type="dxa"/>
            <w:vAlign w:val="bottom"/>
            <w:gridSpan w:val="3"/>
          </w:tcPr>
          <w:p>
            <w:pPr>
              <w:jc w:val="right"/>
              <w:ind w:right="540"/>
              <w:spacing w:after="0"/>
              <w:rPr>
                <w:sz w:val="20"/>
                <w:szCs w:val="20"/>
                <w:color w:val="auto"/>
              </w:rPr>
            </w:pPr>
            <w:r>
              <w:rPr>
                <w:rFonts w:ascii="Arial" w:cs="Arial" w:eastAsia="Arial" w:hAnsi="Arial"/>
                <w:sz w:val="11"/>
                <w:szCs w:val="11"/>
                <w:color w:val="auto"/>
              </w:rPr>
              <w:t>— %</w:t>
            </w:r>
          </w:p>
        </w:tc>
        <w:tc>
          <w:tcPr>
            <w:tcW w:w="1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505</w:t>
            </w:r>
          </w:p>
        </w:tc>
        <w:tc>
          <w:tcPr>
            <w:tcW w:w="0" w:type="dxa"/>
            <w:vAlign w:val="bottom"/>
          </w:tcPr>
          <w:p>
            <w:pPr>
              <w:spacing w:after="0"/>
              <w:rPr>
                <w:sz w:val="1"/>
                <w:szCs w:val="1"/>
                <w:color w:val="auto"/>
              </w:rPr>
            </w:pPr>
          </w:p>
        </w:tc>
      </w:tr>
      <w:tr>
        <w:trPr>
          <w:trHeight w:val="160"/>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Senior notes due 2029</w:t>
            </w: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6.20 %</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520</w:t>
            </w:r>
          </w:p>
        </w:tc>
        <w:tc>
          <w:tcPr>
            <w:tcW w:w="0" w:type="dxa"/>
            <w:vAlign w:val="bottom"/>
          </w:tcPr>
          <w:p>
            <w:pPr>
              <w:spacing w:after="0"/>
              <w:rPr>
                <w:sz w:val="1"/>
                <w:szCs w:val="1"/>
                <w:color w:val="auto"/>
              </w:rPr>
            </w:pPr>
          </w:p>
        </w:tc>
      </w:tr>
      <w:tr>
        <w:trPr>
          <w:trHeight w:val="152"/>
        </w:trPr>
        <w:tc>
          <w:tcPr>
            <w:tcW w:w="5480" w:type="dxa"/>
            <w:vAlign w:val="bottom"/>
            <w:gridSpan w:val="2"/>
          </w:tcPr>
          <w:p>
            <w:pPr>
              <w:spacing w:after="0"/>
              <w:rPr>
                <w:sz w:val="20"/>
                <w:szCs w:val="20"/>
                <w:color w:val="auto"/>
              </w:rPr>
            </w:pPr>
            <w:r>
              <w:rPr>
                <w:rFonts w:ascii="Arial" w:cs="Arial" w:eastAsia="Arial" w:hAnsi="Arial"/>
                <w:sz w:val="11"/>
                <w:szCs w:val="11"/>
                <w:color w:val="auto"/>
              </w:rPr>
              <w:t>Revolving credit facility maturing 2026</w:t>
            </w:r>
          </w:p>
        </w:tc>
        <w:tc>
          <w:tcPr>
            <w:tcW w:w="2460" w:type="dxa"/>
            <w:vAlign w:val="bottom"/>
            <w:gridSpan w:val="3"/>
          </w:tcPr>
          <w:p>
            <w:pPr>
              <w:jc w:val="right"/>
              <w:ind w:right="540"/>
              <w:spacing w:after="0"/>
              <w:rPr>
                <w:sz w:val="20"/>
                <w:szCs w:val="20"/>
                <w:color w:val="auto"/>
              </w:rPr>
            </w:pPr>
            <w:r>
              <w:rPr>
                <w:rFonts w:ascii="Arial" w:cs="Arial" w:eastAsia="Arial" w:hAnsi="Arial"/>
                <w:sz w:val="11"/>
                <w:szCs w:val="11"/>
                <w:color w:val="auto"/>
              </w:rPr>
              <w:t>— %</w:t>
            </w:r>
          </w:p>
        </w:tc>
        <w:tc>
          <w:tcPr>
            <w:tcW w:w="1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Finance lease obligations</w:t>
            </w: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8.70 %</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2"/>
        </w:trPr>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w:t>
            </w:r>
          </w:p>
        </w:tc>
        <w:tc>
          <w:tcPr>
            <w:tcW w:w="19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3.98 %</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1"/>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Principal Debt Balance</w:t>
            </w:r>
          </w:p>
        </w:tc>
        <w:tc>
          <w:tcPr>
            <w:tcW w:w="246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24"/>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1,300</w:t>
            </w:r>
          </w:p>
        </w:tc>
        <w:tc>
          <w:tcPr>
            <w:tcW w:w="0" w:type="dxa"/>
            <w:vAlign w:val="bottom"/>
          </w:tcPr>
          <w:p>
            <w:pPr>
              <w:spacing w:after="0"/>
              <w:rPr>
                <w:sz w:val="1"/>
                <w:szCs w:val="1"/>
                <w:color w:val="auto"/>
              </w:rPr>
            </w:pPr>
          </w:p>
        </w:tc>
      </w:tr>
      <w:tr>
        <w:trPr>
          <w:trHeight w:val="152"/>
        </w:trPr>
        <w:tc>
          <w:tcPr>
            <w:tcW w:w="5480" w:type="dxa"/>
            <w:vAlign w:val="bottom"/>
            <w:gridSpan w:val="2"/>
          </w:tcPr>
          <w:p>
            <w:pPr>
              <w:spacing w:after="0"/>
              <w:rPr>
                <w:sz w:val="20"/>
                <w:szCs w:val="20"/>
                <w:color w:val="auto"/>
              </w:rPr>
            </w:pPr>
            <w:r>
              <w:rPr>
                <w:rFonts w:ascii="Arial" w:cs="Arial" w:eastAsia="Arial" w:hAnsi="Arial"/>
                <w:sz w:val="11"/>
                <w:szCs w:val="11"/>
                <w:color w:val="auto"/>
              </w:rPr>
              <w:t>Debt issuance costs and unamortized discounts</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6"/>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Less: current maturities</w:t>
            </w:r>
          </w:p>
        </w:tc>
        <w:tc>
          <w:tcPr>
            <w:tcW w:w="1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51"/>
        </w:trPr>
        <w:tc>
          <w:tcPr>
            <w:tcW w:w="5480" w:type="dxa"/>
            <w:vAlign w:val="bottom"/>
            <w:gridSpan w:val="2"/>
          </w:tcPr>
          <w:p>
            <w:pPr>
              <w:spacing w:after="0"/>
              <w:rPr>
                <w:sz w:val="20"/>
                <w:szCs w:val="20"/>
                <w:color w:val="auto"/>
              </w:rPr>
            </w:pPr>
            <w:r>
              <w:rPr>
                <w:rFonts w:ascii="Arial" w:cs="Arial" w:eastAsia="Arial" w:hAnsi="Arial"/>
                <w:sz w:val="11"/>
                <w:szCs w:val="11"/>
                <w:b w:val="1"/>
                <w:bCs w:val="1"/>
                <w:color w:val="auto"/>
              </w:rPr>
              <w:t>Total Long-term Debt</w:t>
            </w:r>
          </w:p>
        </w:tc>
        <w:tc>
          <w:tcPr>
            <w:tcW w:w="246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615</w:t>
            </w:r>
          </w:p>
        </w:tc>
        <w:tc>
          <w:tcPr>
            <w:tcW w:w="100" w:type="dxa"/>
            <w:vAlign w:val="bottom"/>
          </w:tcPr>
          <w:p>
            <w:pPr>
              <w:spacing w:after="0"/>
              <w:rPr>
                <w:sz w:val="13"/>
                <w:szCs w:val="13"/>
                <w:color w:val="auto"/>
              </w:rPr>
            </w:pPr>
          </w:p>
        </w:tc>
        <w:tc>
          <w:tcPr>
            <w:tcW w:w="560" w:type="dxa"/>
            <w:vAlign w:val="bottom"/>
          </w:tcPr>
          <w:p>
            <w:pPr>
              <w:jc w:val="right"/>
              <w:ind w:right="424"/>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1,248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1"/>
          <w:szCs w:val="11"/>
          <w:i w:val="1"/>
          <w:iCs w:val="1"/>
          <w:color w:val="auto"/>
        </w:rPr>
        <w:t>(1) Represents weighted average effective interest rate which includes the effect of discounts and debt issuance costs on issued debt.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Scheduled principal payments due on long-term debt for the next five years (in millions)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2026</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2027</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2028</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2029</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460"/>
              <w:spacing w:after="0"/>
              <w:rPr>
                <w:sz w:val="20"/>
                <w:szCs w:val="20"/>
                <w:color w:val="auto"/>
              </w:rPr>
            </w:pPr>
            <w:r>
              <w:rPr>
                <w:rFonts w:ascii="Arial" w:cs="Arial" w:eastAsia="Arial" w:hAnsi="Arial"/>
                <w:sz w:val="11"/>
                <w:szCs w:val="11"/>
                <w:color w:val="auto"/>
                <w:w w:val="98"/>
              </w:rPr>
              <w:t>Thereafter</w:t>
            </w: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Total</w:t>
            </w:r>
          </w:p>
        </w:tc>
      </w:tr>
      <w:tr>
        <w:trPr>
          <w:trHeight w:val="151"/>
        </w:trPr>
        <w:tc>
          <w:tcPr>
            <w:tcW w:w="660" w:type="dxa"/>
            <w:vAlign w:val="bottom"/>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4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521</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780" w:type="dxa"/>
            <w:vAlign w:val="bottom"/>
            <w:gridSpan w:val="3"/>
            <w:shd w:val="clear" w:color="auto" w:fill="CCEEFF"/>
          </w:tcPr>
          <w:p>
            <w:pPr>
              <w:ind w:left="820"/>
              <w:spacing w:after="0"/>
              <w:rPr>
                <w:sz w:val="20"/>
                <w:szCs w:val="20"/>
                <w:color w:val="auto"/>
              </w:rPr>
            </w:pPr>
            <w:r>
              <w:rPr>
                <w:rFonts w:ascii="Arial" w:cs="Arial" w:eastAsia="Arial" w:hAnsi="Arial"/>
                <w:sz w:val="11"/>
                <w:szCs w:val="11"/>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Credit Facilities</w:t>
      </w:r>
    </w:p>
    <w:p>
      <w:pPr>
        <w:spacing w:after="0" w:line="131" w:lineRule="exact"/>
        <w:rPr>
          <w:sz w:val="20"/>
          <w:szCs w:val="20"/>
          <w:color w:val="auto"/>
        </w:rPr>
      </w:pPr>
    </w:p>
    <w:p>
      <w:pPr>
        <w:jc w:val="both"/>
        <w:ind w:right="100"/>
        <w:spacing w:after="0" w:line="294" w:lineRule="auto"/>
        <w:rPr>
          <w:sz w:val="20"/>
          <w:szCs w:val="20"/>
          <w:color w:val="auto"/>
        </w:rPr>
      </w:pPr>
      <w:r>
        <w:rPr>
          <w:rFonts w:ascii="Arial" w:cs="Arial" w:eastAsia="Arial" w:hAnsi="Arial"/>
          <w:sz w:val="13"/>
          <w:szCs w:val="13"/>
          <w:color w:val="auto"/>
        </w:rPr>
        <w:t>On October 15, 2021, the Company refinanced its previously outstanding credit facilities by entering into a new senior secured credit agreement among the Company, its subsidiaries Conduent Business Services, LLC ("CBS"), Conduent State &amp; Local Solutions, Inc. ("CSLS") and Affiliated Computer Services International B.V., the lenders party thereto and Bank of America, N.A., as the administrative agent ("Credit Agreement"). The Credit Agreement contains senior secured credit facilities ("Senior Credit Facilities") consisting of:</w:t>
      </w:r>
    </w:p>
    <w:p>
      <w:pPr>
        <w:spacing w:after="0" w:line="76" w:lineRule="exact"/>
        <w:rPr>
          <w:sz w:val="20"/>
          <w:szCs w:val="20"/>
          <w:color w:val="auto"/>
        </w:rPr>
      </w:pPr>
    </w:p>
    <w:p>
      <w:pPr>
        <w:ind w:left="280" w:hanging="277"/>
        <w:spacing w:after="0"/>
        <w:tabs>
          <w:tab w:leader="none" w:pos="2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Senior Secured Term Loan A ("Term Loan A") with an aggregate principal amount of $265 million;</w:t>
      </w:r>
    </w:p>
    <w:p>
      <w:pPr>
        <w:spacing w:after="0" w:line="19" w:lineRule="exact"/>
        <w:rPr>
          <w:rFonts w:ascii="Arial" w:cs="Arial" w:eastAsia="Arial" w:hAnsi="Arial"/>
          <w:sz w:val="14"/>
          <w:szCs w:val="14"/>
          <w:color w:val="auto"/>
        </w:rPr>
      </w:pPr>
    </w:p>
    <w:p>
      <w:pPr>
        <w:ind w:left="320" w:hanging="317"/>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Senior Secured Term Loan B ("Term Loan B") with an aggregate principal amount of $515 million; and</w:t>
      </w:r>
    </w:p>
    <w:p>
      <w:pPr>
        <w:spacing w:after="0" w:line="5" w:lineRule="exact"/>
        <w:rPr>
          <w:rFonts w:ascii="Arial" w:cs="Arial" w:eastAsia="Arial" w:hAnsi="Arial"/>
          <w:sz w:val="14"/>
          <w:szCs w:val="14"/>
          <w:color w:val="auto"/>
        </w:rPr>
      </w:pPr>
    </w:p>
    <w:p>
      <w:pPr>
        <w:ind w:left="380" w:right="20" w:hanging="377"/>
        <w:spacing w:after="0" w:line="261" w:lineRule="auto"/>
        <w:tabs>
          <w:tab w:leader="none" w:pos="344"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Senior Revolving Credit Facility maturing 2026 ("Revolving Credit Facility") with an aggregate available amount of $550 million including a sub-limit for up to $300 million available for the issuance of letters of credit.</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As of December 31, 2024, the Company had no outstanding balance under its Revolving Credit Facility. However, the Company utilized $11 million of its Revolving Credit Facility capacity to issue letters of credit. The net amount available to be drawn upon under the Revolving Credit Facility as of December 31, 2024, was $539 million. The amount of borrowings outstanding under its Revolving Credit Facility at each quarter-end may be limited by our leverage covenant.</w:t>
      </w:r>
    </w:p>
    <w:p>
      <w:pPr>
        <w:spacing w:after="0" w:line="92" w:lineRule="exact"/>
        <w:rPr>
          <w:sz w:val="20"/>
          <w:szCs w:val="20"/>
          <w:color w:val="auto"/>
        </w:rPr>
      </w:pPr>
    </w:p>
    <w:p>
      <w:pPr>
        <w:ind w:right="520"/>
        <w:spacing w:after="0" w:line="282" w:lineRule="auto"/>
        <w:rPr>
          <w:sz w:val="20"/>
          <w:szCs w:val="20"/>
          <w:color w:val="auto"/>
        </w:rPr>
      </w:pPr>
      <w:r>
        <w:rPr>
          <w:rFonts w:ascii="Arial" w:cs="Arial" w:eastAsia="Arial" w:hAnsi="Arial"/>
          <w:sz w:val="14"/>
          <w:szCs w:val="14"/>
          <w:color w:val="auto"/>
        </w:rPr>
        <w:t>The Credit Agreement permits the Company to request incremental term loan borrowings and /or increase commitments, subject to certain limitations and satisfaction of certain conditions.</w:t>
      </w:r>
    </w:p>
    <w:p>
      <w:pPr>
        <w:spacing w:after="0" w:line="8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Borrowings under the Term Loan A, the Term Loan B and the Revolving Credit Facility bear interest, at the Company's option, at a rate per annum equal to an applicable margin over a base rate or a Secured Overnight Financing Rate ("SOFR"), depending on the type of loan. The applicable margin for the Term Loan A and the Revolving Credit Facility for SOFR loans range from 1.75% to 2.75% per annum, depending on certain leverage ratios and for base rate loans range from 0.75% to 1.75% per annum. The margin for SOFR loans at December 31, 2024 was 2.25%. In addition to paying interest on outstanding principal under the Revolving Credit Facility, the Company is required to pay a commitment fee ranging from 0.3% to 0.5% per annum to the lenders in respect of unutilized commitments thereunder and the commitment fee was 0.4% at December 31, 2024.</w:t>
      </w:r>
    </w:p>
    <w:p>
      <w:pPr>
        <w:spacing w:after="0" w:line="100"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All obligations under the Credit Agreement are unconditionally guaranteed by the Company, CBS and CSLS, and the existing and future direct and indirect wholly owned domestic restricted subsidiaries of CBS (subject to certain exceptions). All obligations under the Credit Agreement are secured, subject to certain exceptions, by a first-priority pledge of substantially all assets of CBS and the subsidiary guarantors, and all of the capital stock of CBS and each of CBS' wholly owned material restricted subsidiaries directly held by CBS and CSLS or a subsidiary guarantor</w:t>
      </w:r>
    </w:p>
    <w:p>
      <w:pPr>
        <w:spacing w:after="0" w:line="200" w:lineRule="exact"/>
        <w:rPr>
          <w:sz w:val="20"/>
          <w:szCs w:val="20"/>
          <w:color w:val="auto"/>
        </w:rPr>
      </w:pPr>
    </w:p>
    <w:p>
      <w:pPr>
        <w:spacing w:after="0" w:line="24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9" w:name="page80"/>
    <w:bookmarkEnd w:id="7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(which pledges, in the case of any foreign subsidiary, are limited to 65% of the capital stock of any first-tier foreign subsidiary).</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The Credit Agreement contains certain customary affirmative and negative covenants, restrictions, prepayment terms and events of default. It requires the consolidated first lien net leverage ratio to not exceed 3.50 to 1.00. This covenant applies to the Term Loan A and Revolving Credit Facility. The covenant is tested as of the last day of any fiscal quarter. As of December 31, 2024, the Company was in compliance with all debt covenants related to the Senior Credit Facilities. No mandatory debt prepayments were made as they were not required pursuant to the terms of the Credit Agreement.</w:t>
      </w:r>
    </w:p>
    <w:p>
      <w:pPr>
        <w:spacing w:after="0" w:line="97"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During 2024, the Company utilized a portion of the proceeds from the closing of its divestitures to voluntarily prepay all of the principal of the Term Loan B and $137 million of the Term Loan A.</w:t>
      </w:r>
    </w:p>
    <w:p>
      <w:pPr>
        <w:spacing w:after="0" w:line="80" w:lineRule="exact"/>
        <w:rPr>
          <w:sz w:val="20"/>
          <w:szCs w:val="20"/>
          <w:color w:val="auto"/>
        </w:rPr>
      </w:pPr>
    </w:p>
    <w:p>
      <w:pPr>
        <w:ind w:right="800"/>
        <w:spacing w:after="0" w:line="282" w:lineRule="auto"/>
        <w:rPr>
          <w:sz w:val="20"/>
          <w:szCs w:val="20"/>
          <w:color w:val="auto"/>
        </w:rPr>
      </w:pPr>
      <w:r>
        <w:rPr>
          <w:rFonts w:ascii="Arial" w:cs="Arial" w:eastAsia="Arial" w:hAnsi="Arial"/>
          <w:sz w:val="14"/>
          <w:szCs w:val="14"/>
          <w:color w:val="auto"/>
        </w:rPr>
        <w:t>In connection with these voluntary prepayments, the Company wrote-off related debt issuance costs of $8 million which is included in Loss on extinguishment of debt in the Consolidated Statements of Income (Loss) for the year ended December 31, 2024.</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Senior Notes</w:t>
      </w:r>
    </w:p>
    <w:p>
      <w:pPr>
        <w:spacing w:after="0" w:line="131" w:lineRule="exact"/>
        <w:rPr>
          <w:sz w:val="20"/>
          <w:szCs w:val="20"/>
          <w:color w:val="auto"/>
        </w:rPr>
      </w:pPr>
    </w:p>
    <w:p>
      <w:pPr>
        <w:jc w:val="both"/>
        <w:ind w:right="200"/>
        <w:spacing w:after="0" w:line="265" w:lineRule="auto"/>
        <w:rPr>
          <w:sz w:val="20"/>
          <w:szCs w:val="20"/>
          <w:color w:val="auto"/>
        </w:rPr>
      </w:pPr>
      <w:r>
        <w:rPr>
          <w:rFonts w:ascii="Arial" w:cs="Arial" w:eastAsia="Arial" w:hAnsi="Arial"/>
          <w:sz w:val="14"/>
          <w:szCs w:val="14"/>
          <w:color w:val="auto"/>
        </w:rPr>
        <w:t>Concurrent with the Credit Agreement, on October 15, 2021, CBS and CSLS (collectively, the "Issuers") issued 6.00% fixed rate senior notes due 2029 ("Senior Notes"). The Senior Notes are guaranteed on a senior secured basis by the Company and existing and future material direct and indirect wholly owned domestic subsidiaries of CBS that guaranteed the obligations under the Senior Credit Facilities.</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Interest is payable semi-annually. Prior to November 1, 2024, the Issuers can redeem the Senior Notes, in whole or in part, at a price equal to the principal amount of the Senior Notes, plus a make-whole premium plus accrued and unpaid interest. The Issuers can redeem the Senior Notes, in whole or in part, at any time on or after November 1, 2024, at the redemption prices specified in the Indenture governing the Senior Notes, plus accrued and unpaid interest, if any, up to but excluding the redemption date. In addition, the Company may be required to make an offer to purchase the notes upon the sale of certain assets and upon a change of control. No Senior Notes were redeemed in 2024 or 2023.</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Interest paid on short-term and long-term debt amounted to $72 million, $106 million and $84 million for the years ended December 31, 2024, 2023 and 2022,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and interest income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Year Ended December 31,</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662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340" w:type="dxa"/>
            <w:vAlign w:val="bottom"/>
          </w:tcPr>
          <w:p>
            <w:pPr>
              <w:spacing w:after="0"/>
              <w:rPr>
                <w:sz w:val="10"/>
                <w:szCs w:val="10"/>
                <w:color w:val="auto"/>
              </w:rPr>
            </w:pPr>
          </w:p>
        </w:tc>
        <w:tc>
          <w:tcPr>
            <w:tcW w:w="1120" w:type="dxa"/>
            <w:vAlign w:val="bottom"/>
          </w:tcPr>
          <w:p>
            <w:pPr>
              <w:jc w:val="right"/>
              <w:ind w:right="544"/>
              <w:spacing w:after="0" w:line="123"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jc w:val="right"/>
              <w:ind w:right="564"/>
              <w:spacing w:after="0" w:line="123" w:lineRule="exact"/>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564"/>
              <w:spacing w:after="0" w:line="123"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expense</w:t>
            </w:r>
          </w:p>
        </w:tc>
        <w:tc>
          <w:tcPr>
            <w:tcW w:w="34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111</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84</w:t>
            </w:r>
          </w:p>
        </w:tc>
      </w:tr>
      <w:tr>
        <w:trPr>
          <w:trHeight w:val="193"/>
        </w:trPr>
        <w:tc>
          <w:tcPr>
            <w:tcW w:w="20" w:type="dxa"/>
            <w:vAlign w:val="bottom"/>
          </w:tcPr>
          <w:p>
            <w:pPr>
              <w:spacing w:after="0"/>
              <w:rPr>
                <w:sz w:val="16"/>
                <w:szCs w:val="16"/>
                <w:color w:val="auto"/>
              </w:rPr>
            </w:pPr>
          </w:p>
        </w:tc>
        <w:tc>
          <w:tcPr>
            <w:tcW w:w="6620" w:type="dxa"/>
            <w:vAlign w:val="bottom"/>
            <w:gridSpan w:val="2"/>
          </w:tcPr>
          <w:p>
            <w:pPr>
              <w:spacing w:after="0"/>
              <w:rPr>
                <w:sz w:val="20"/>
                <w:szCs w:val="20"/>
                <w:color w:val="auto"/>
              </w:rPr>
            </w:pPr>
            <w:r>
              <w:rPr>
                <w:rFonts w:ascii="Arial" w:cs="Arial" w:eastAsia="Arial" w:hAnsi="Arial"/>
                <w:sz w:val="11"/>
                <w:szCs w:val="11"/>
                <w:color w:val="auto"/>
              </w:rPr>
              <w:t>Interest income</w:t>
            </w:r>
            <w:r>
              <w:rPr>
                <w:rFonts w:ascii="Arial" w:cs="Arial" w:eastAsia="Arial" w:hAnsi="Arial"/>
                <w:sz w:val="14"/>
                <w:szCs w:val="14"/>
                <w:color w:val="auto"/>
                <w:vertAlign w:val="superscript"/>
              </w:rPr>
              <w:t>(1)</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ind w:right="4"/>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7</w:t>
            </w: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1"/>
          <w:szCs w:val="11"/>
          <w:i w:val="1"/>
          <w:iCs w:val="1"/>
          <w:color w:val="auto"/>
        </w:rPr>
        <w:t>(1) Included in Other (income) expenses, net on the Consolidated Statements of Income (Loss).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11 – Financial Instruments</w:t>
      </w:r>
    </w:p>
    <w:p>
      <w:pPr>
        <w:spacing w:after="0" w:line="123" w:lineRule="exact"/>
        <w:rPr>
          <w:sz w:val="20"/>
          <w:szCs w:val="20"/>
          <w:color w:val="auto"/>
        </w:rPr>
      </w:pPr>
    </w:p>
    <w:p>
      <w:pPr>
        <w:ind w:right="60"/>
        <w:spacing w:after="0" w:line="254" w:lineRule="auto"/>
        <w:rPr>
          <w:sz w:val="20"/>
          <w:szCs w:val="20"/>
          <w:color w:val="auto"/>
        </w:rPr>
      </w:pPr>
      <w:r>
        <w:rPr>
          <w:rFonts w:ascii="Arial" w:cs="Arial" w:eastAsia="Arial" w:hAnsi="Arial"/>
          <w:sz w:val="14"/>
          <w:szCs w:val="14"/>
          <w:color w:val="auto"/>
        </w:rPr>
        <w:t>The Company is exposed to market risk from changes in foreign currency exchange rates and interest rates, which could affect operating results, financial position and cash flows. The Company manages its exposure to these market risks through regular operating and financing activities and, when appropriate, using derivative financial instruments. These derivative financial instruments are utilized to hedge economic exposures, as well as to reduce earnings and cash flow volatility resulting from shifts in market rates. The Company enters limited types of derivative contracts to manage foreign currency exposures that it hedges. The primary foreign currency market exposures include the Philippine Peso and Indian Rupee. The fair market values of all the Company's derivative contracts change with fluctuations in interest rates or currency exchange rates and are designed so that any changes in their values are offset by changes in the values of the underlying exposures. Derivative financial instruments are held solely as risk management tools and not for trading or speculative purposes. The related cash flow impacts of all derivative activities are reflected as cash flows from operating activities.</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0" w:name="page81"/>
    <w:bookmarkEnd w:id="8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The Company does not believe there is significant risk of loss in the event of non-performance by the counterparty associated with its derivative instruments because these transactions are executed with a major financial institution. Further, the Company's policy is to deal only with counterparties having a minimum investment grade or better credit rating. Credit risk is managed through the continuous monitoring of exposures to such counterparties.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Summary of Foreign Exchange Hedging Positions</w:t>
      </w:r>
    </w:p>
    <w:p>
      <w:pPr>
        <w:spacing w:after="0" w:line="131" w:lineRule="exact"/>
        <w:rPr>
          <w:sz w:val="20"/>
          <w:szCs w:val="20"/>
          <w:color w:val="auto"/>
        </w:rPr>
      </w:pPr>
    </w:p>
    <w:p>
      <w:pPr>
        <w:ind w:right="280"/>
        <w:spacing w:after="0" w:line="282" w:lineRule="auto"/>
        <w:rPr>
          <w:sz w:val="20"/>
          <w:szCs w:val="20"/>
          <w:color w:val="auto"/>
        </w:rPr>
      </w:pPr>
      <w:r>
        <w:rPr>
          <w:rFonts w:ascii="Arial" w:cs="Arial" w:eastAsia="Arial" w:hAnsi="Arial"/>
          <w:sz w:val="14"/>
          <w:szCs w:val="14"/>
          <w:color w:val="auto"/>
        </w:rPr>
        <w:t>At December 31, 2024 and 2023, the Company had outstanding forward exchange with gross notional values of $ 203 million and $148 million, respectively. At December 31, 2024, approximately 77% of these contracts mature within three months, 9% in three to six months, 11% in six to twelve months and 3% in greater than 12 months.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primary hedging positions and corresponding fair values: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16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1"/>
                <w:szCs w:val="11"/>
                <w:color w:val="auto"/>
              </w:rPr>
              <w:t>December 31, 2024</w:t>
            </w:r>
          </w:p>
        </w:tc>
        <w:tc>
          <w:tcPr>
            <w:tcW w:w="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4"/>
          </w:tcPr>
          <w:p>
            <w:pPr>
              <w:ind w:left="500"/>
              <w:spacing w:after="0"/>
              <w:rPr>
                <w:sz w:val="20"/>
                <w:szCs w:val="20"/>
                <w:color w:val="auto"/>
              </w:rPr>
            </w:pPr>
            <w:r>
              <w:rPr>
                <w:rFonts w:ascii="Arial" w:cs="Arial" w:eastAsia="Arial" w:hAnsi="Arial"/>
                <w:sz w:val="11"/>
                <w:szCs w:val="11"/>
                <w:color w:val="auto"/>
              </w:rPr>
              <w:t>December 31, 2023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900" w:type="dxa"/>
            <w:vAlign w:val="bottom"/>
          </w:tcPr>
          <w:p>
            <w:pPr>
              <w:spacing w:after="0"/>
              <w:rPr>
                <w:sz w:val="9"/>
                <w:szCs w:val="9"/>
                <w:color w:val="auto"/>
              </w:rPr>
            </w:pPr>
          </w:p>
        </w:tc>
        <w:tc>
          <w:tcPr>
            <w:tcW w:w="860" w:type="dxa"/>
            <w:vAlign w:val="bottom"/>
          </w:tcPr>
          <w:p>
            <w:pPr>
              <w:jc w:val="center"/>
              <w:ind w:left="264"/>
              <w:spacing w:after="0" w:line="113" w:lineRule="exact"/>
              <w:rPr>
                <w:sz w:val="20"/>
                <w:szCs w:val="20"/>
                <w:color w:val="auto"/>
              </w:rPr>
            </w:pPr>
            <w:r>
              <w:rPr>
                <w:rFonts w:ascii="Arial" w:cs="Arial" w:eastAsia="Arial" w:hAnsi="Arial"/>
                <w:sz w:val="11"/>
                <w:szCs w:val="11"/>
                <w:color w:val="auto"/>
              </w:rPr>
              <w:t>Gross</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left="184"/>
              <w:spacing w:after="0" w:line="113" w:lineRule="exact"/>
              <w:rPr>
                <w:sz w:val="20"/>
                <w:szCs w:val="20"/>
                <w:color w:val="auto"/>
              </w:rPr>
            </w:pPr>
            <w:r>
              <w:rPr>
                <w:rFonts w:ascii="Arial" w:cs="Arial" w:eastAsia="Arial" w:hAnsi="Arial"/>
                <w:sz w:val="11"/>
                <w:szCs w:val="11"/>
                <w:color w:val="auto"/>
                <w:w w:val="99"/>
              </w:rPr>
              <w:t>Fair Value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tcPr>
          <w:p>
            <w:pPr>
              <w:jc w:val="center"/>
              <w:ind w:right="320"/>
              <w:spacing w:after="0" w:line="113" w:lineRule="exact"/>
              <w:rPr>
                <w:sz w:val="20"/>
                <w:szCs w:val="20"/>
                <w:color w:val="auto"/>
              </w:rPr>
            </w:pPr>
            <w:r>
              <w:rPr>
                <w:rFonts w:ascii="Arial" w:cs="Arial" w:eastAsia="Arial" w:hAnsi="Arial"/>
                <w:sz w:val="11"/>
                <w:szCs w:val="11"/>
                <w:color w:val="auto"/>
              </w:rPr>
              <w:t>Gross</w:t>
            </w:r>
          </w:p>
        </w:tc>
        <w:tc>
          <w:tcPr>
            <w:tcW w:w="200" w:type="dxa"/>
            <w:vAlign w:val="bottom"/>
          </w:tcPr>
          <w:p>
            <w:pPr>
              <w:spacing w:after="0"/>
              <w:rPr>
                <w:sz w:val="9"/>
                <w:szCs w:val="9"/>
                <w:color w:val="auto"/>
              </w:rPr>
            </w:pPr>
          </w:p>
        </w:tc>
        <w:tc>
          <w:tcPr>
            <w:tcW w:w="960" w:type="dxa"/>
            <w:vAlign w:val="bottom"/>
          </w:tcPr>
          <w:p>
            <w:pPr>
              <w:jc w:val="center"/>
              <w:ind w:right="124"/>
              <w:spacing w:after="0" w:line="113" w:lineRule="exact"/>
              <w:rPr>
                <w:sz w:val="20"/>
                <w:szCs w:val="20"/>
                <w:color w:val="auto"/>
              </w:rPr>
            </w:pPr>
            <w:r>
              <w:rPr>
                <w:rFonts w:ascii="Arial" w:cs="Arial" w:eastAsia="Arial" w:hAnsi="Arial"/>
                <w:sz w:val="11"/>
                <w:szCs w:val="11"/>
                <w:color w:val="auto"/>
                <w:w w:val="99"/>
              </w:rPr>
              <w:t>Fair Value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900" w:type="dxa"/>
            <w:vAlign w:val="bottom"/>
          </w:tcPr>
          <w:p>
            <w:pPr>
              <w:spacing w:after="0"/>
              <w:rPr>
                <w:sz w:val="9"/>
                <w:szCs w:val="9"/>
                <w:color w:val="auto"/>
              </w:rPr>
            </w:pPr>
          </w:p>
        </w:tc>
        <w:tc>
          <w:tcPr>
            <w:tcW w:w="860" w:type="dxa"/>
            <w:vAlign w:val="bottom"/>
          </w:tcPr>
          <w:p>
            <w:pPr>
              <w:jc w:val="center"/>
              <w:ind w:left="264"/>
              <w:spacing w:after="0" w:line="111" w:lineRule="exact"/>
              <w:rPr>
                <w:sz w:val="20"/>
                <w:szCs w:val="20"/>
                <w:color w:val="auto"/>
              </w:rPr>
            </w:pPr>
            <w:r>
              <w:rPr>
                <w:rFonts w:ascii="Arial" w:cs="Arial" w:eastAsia="Arial" w:hAnsi="Arial"/>
                <w:sz w:val="11"/>
                <w:szCs w:val="11"/>
                <w:color w:val="auto"/>
              </w:rPr>
              <w:t>Notional</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left="164"/>
              <w:spacing w:after="0" w:line="111" w:lineRule="exact"/>
              <w:rPr>
                <w:sz w:val="20"/>
                <w:szCs w:val="20"/>
                <w:color w:val="auto"/>
              </w:rPr>
            </w:pPr>
            <w:r>
              <w:rPr>
                <w:rFonts w:ascii="Arial" w:cs="Arial" w:eastAsia="Arial" w:hAnsi="Arial"/>
                <w:sz w:val="11"/>
                <w:szCs w:val="11"/>
                <w:color w:val="auto"/>
              </w:rPr>
              <w:t>Asset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tcPr>
          <w:p>
            <w:pPr>
              <w:jc w:val="center"/>
              <w:ind w:right="300"/>
              <w:spacing w:after="0" w:line="111" w:lineRule="exact"/>
              <w:rPr>
                <w:sz w:val="20"/>
                <w:szCs w:val="20"/>
                <w:color w:val="auto"/>
              </w:rPr>
            </w:pPr>
            <w:r>
              <w:rPr>
                <w:rFonts w:ascii="Arial" w:cs="Arial" w:eastAsia="Arial" w:hAnsi="Arial"/>
                <w:sz w:val="11"/>
                <w:szCs w:val="11"/>
                <w:color w:val="auto"/>
                <w:w w:val="99"/>
              </w:rPr>
              <w:t>Notional</w:t>
            </w:r>
          </w:p>
        </w:tc>
        <w:tc>
          <w:tcPr>
            <w:tcW w:w="200" w:type="dxa"/>
            <w:vAlign w:val="bottom"/>
          </w:tcPr>
          <w:p>
            <w:pPr>
              <w:spacing w:after="0"/>
              <w:rPr>
                <w:sz w:val="9"/>
                <w:szCs w:val="9"/>
                <w:color w:val="auto"/>
              </w:rPr>
            </w:pPr>
          </w:p>
        </w:tc>
        <w:tc>
          <w:tcPr>
            <w:tcW w:w="960" w:type="dxa"/>
            <w:vAlign w:val="bottom"/>
          </w:tcPr>
          <w:p>
            <w:pPr>
              <w:jc w:val="center"/>
              <w:ind w:right="144"/>
              <w:spacing w:after="0" w:line="111" w:lineRule="exact"/>
              <w:rPr>
                <w:sz w:val="20"/>
                <w:szCs w:val="20"/>
                <w:color w:val="auto"/>
              </w:rPr>
            </w:pPr>
            <w:r>
              <w:rPr>
                <w:rFonts w:ascii="Arial" w:cs="Arial" w:eastAsia="Arial" w:hAnsi="Arial"/>
                <w:sz w:val="11"/>
                <w:szCs w:val="11"/>
                <w:color w:val="auto"/>
              </w:rPr>
              <w:t>Asset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3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860" w:type="dxa"/>
            <w:vAlign w:val="bottom"/>
          </w:tcPr>
          <w:p>
            <w:pPr>
              <w:jc w:val="center"/>
              <w:ind w:left="264"/>
              <w:spacing w:after="0" w:line="115" w:lineRule="exact"/>
              <w:rPr>
                <w:sz w:val="20"/>
                <w:szCs w:val="20"/>
                <w:color w:val="auto"/>
              </w:rPr>
            </w:pPr>
            <w:r>
              <w:rPr>
                <w:rFonts w:ascii="Arial" w:cs="Arial" w:eastAsia="Arial" w:hAnsi="Arial"/>
                <w:sz w:val="11"/>
                <w:szCs w:val="11"/>
                <w:color w:val="auto"/>
                <w:w w:val="92"/>
              </w:rPr>
              <w:t>Value</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left="164"/>
              <w:spacing w:after="0" w:line="115" w:lineRule="exact"/>
              <w:rPr>
                <w:sz w:val="20"/>
                <w:szCs w:val="20"/>
                <w:color w:val="auto"/>
              </w:rPr>
            </w:pPr>
            <w:r>
              <w:rPr>
                <w:rFonts w:ascii="Arial" w:cs="Arial" w:eastAsia="Arial" w:hAnsi="Arial"/>
                <w:sz w:val="11"/>
                <w:szCs w:val="11"/>
                <w:color w:val="auto"/>
                <w:w w:val="98"/>
              </w:rPr>
              <w:t>(Liability)</w:t>
            </w:r>
            <w:r>
              <w:rPr>
                <w:rFonts w:ascii="Arial" w:cs="Arial" w:eastAsia="Arial" w:hAnsi="Arial"/>
                <w:sz w:val="7"/>
                <w:szCs w:val="7"/>
                <w:color w:val="auto"/>
                <w:w w:val="98"/>
              </w:rPr>
              <w:t>(1)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tcPr>
          <w:p>
            <w:pPr>
              <w:jc w:val="center"/>
              <w:ind w:right="300"/>
              <w:spacing w:after="0" w:line="115" w:lineRule="exact"/>
              <w:rPr>
                <w:sz w:val="20"/>
                <w:szCs w:val="20"/>
                <w:color w:val="auto"/>
              </w:rPr>
            </w:pPr>
            <w:r>
              <w:rPr>
                <w:rFonts w:ascii="Arial" w:cs="Arial" w:eastAsia="Arial" w:hAnsi="Arial"/>
                <w:sz w:val="11"/>
                <w:szCs w:val="11"/>
                <w:color w:val="auto"/>
                <w:w w:val="99"/>
              </w:rPr>
              <w:t>Value</w:t>
            </w:r>
          </w:p>
        </w:tc>
        <w:tc>
          <w:tcPr>
            <w:tcW w:w="200" w:type="dxa"/>
            <w:vAlign w:val="bottom"/>
          </w:tcPr>
          <w:p>
            <w:pPr>
              <w:spacing w:after="0"/>
              <w:rPr>
                <w:sz w:val="9"/>
                <w:szCs w:val="9"/>
                <w:color w:val="auto"/>
              </w:rPr>
            </w:pPr>
          </w:p>
        </w:tc>
        <w:tc>
          <w:tcPr>
            <w:tcW w:w="960" w:type="dxa"/>
            <w:vAlign w:val="bottom"/>
          </w:tcPr>
          <w:p>
            <w:pPr>
              <w:jc w:val="center"/>
              <w:ind w:right="124"/>
              <w:spacing w:after="0" w:line="115" w:lineRule="exact"/>
              <w:rPr>
                <w:sz w:val="20"/>
                <w:szCs w:val="20"/>
                <w:color w:val="auto"/>
              </w:rPr>
            </w:pPr>
            <w:r>
              <w:rPr>
                <w:rFonts w:ascii="Arial" w:cs="Arial" w:eastAsia="Arial" w:hAnsi="Arial"/>
                <w:sz w:val="11"/>
                <w:szCs w:val="11"/>
                <w:color w:val="auto"/>
              </w:rPr>
              <w:t>(Liability)</w:t>
            </w: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gridSpan w:val="2"/>
            <w:vMerge w:val="restart"/>
          </w:tcPr>
          <w:p>
            <w:pPr>
              <w:spacing w:after="0"/>
              <w:rPr>
                <w:sz w:val="20"/>
                <w:szCs w:val="20"/>
                <w:color w:val="auto"/>
              </w:rPr>
            </w:pPr>
            <w:r>
              <w:rPr>
                <w:rFonts w:ascii="Arial" w:cs="Arial" w:eastAsia="Arial" w:hAnsi="Arial"/>
                <w:sz w:val="11"/>
                <w:szCs w:val="11"/>
                <w:color w:val="auto"/>
              </w:rPr>
              <w:t>Currencies Hedged (Buy/Sell)</w:t>
            </w: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38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Philippine Peso/U.S. Dollar</w:t>
            </w:r>
          </w:p>
        </w:tc>
        <w:tc>
          <w:tcPr>
            <w:tcW w:w="860" w:type="dxa"/>
            <w:vAlign w:val="bottom"/>
            <w:shd w:val="clear" w:color="auto" w:fill="CCEEFF"/>
          </w:tcPr>
          <w:p>
            <w:pPr>
              <w:jc w:val="right"/>
              <w:ind w:right="724"/>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Indian Rupee/U.S. Dollar</w:t>
            </w:r>
          </w:p>
        </w:tc>
        <w:tc>
          <w:tcPr>
            <w:tcW w:w="8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54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Euro/U.S. Dollar</w:t>
            </w: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All Other</w:t>
            </w:r>
          </w:p>
        </w:tc>
        <w:tc>
          <w:tcPr>
            <w:tcW w:w="8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Foreign Exchange Hedging</w:t>
            </w:r>
          </w:p>
        </w:tc>
        <w:tc>
          <w:tcPr>
            <w:tcW w:w="860" w:type="dxa"/>
            <w:vAlign w:val="bottom"/>
            <w:tcBorders>
              <w:top w:val="single" w:sz="8" w:color="auto"/>
              <w:bottom w:val="single" w:sz="8" w:color="auto"/>
            </w:tcBorders>
            <w:shd w:val="clear" w:color="auto" w:fill="CCEEFF"/>
          </w:tcPr>
          <w:p>
            <w:pPr>
              <w:jc w:val="right"/>
              <w:ind w:right="724"/>
              <w:spacing w:after="0"/>
              <w:rPr>
                <w:sz w:val="20"/>
                <w:szCs w:val="20"/>
                <w:color w:val="auto"/>
              </w:rPr>
            </w:pPr>
            <w:r>
              <w:rPr>
                <w:rFonts w:ascii="Arial" w:cs="Arial" w:eastAsia="Arial" w:hAnsi="Arial"/>
                <w:sz w:val="11"/>
                <w:szCs w:val="11"/>
                <w:color w:val="auto"/>
                <w:w w:val="97"/>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2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148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____________</w:t>
      </w:r>
    </w:p>
    <w:p>
      <w:pPr>
        <w:spacing w:after="0" w:line="9" w:lineRule="exact"/>
        <w:rPr>
          <w:sz w:val="20"/>
          <w:szCs w:val="20"/>
          <w:color w:val="auto"/>
        </w:rPr>
      </w:pPr>
    </w:p>
    <w:p>
      <w:pPr>
        <w:ind w:left="360" w:hanging="357"/>
        <w:spacing w:after="0"/>
        <w:tabs>
          <w:tab w:leader="none" w:pos="360" w:val="left"/>
        </w:tabs>
        <w:numPr>
          <w:ilvl w:val="0"/>
          <w:numId w:val="45"/>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the net receivable (payable) amount included in the Consolidated Balance Sheet.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12 – Fair Value of Financial Assets and Liabilities</w:t>
      </w:r>
    </w:p>
    <w:p>
      <w:pPr>
        <w:spacing w:after="0" w:line="123"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Level 1: Fair value is determined using an unadjusted quoted price in an active market for identical assets or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Level 2: Fair value is estimated using inputs other than quoted prices included within Level 1 that are observable, either directly or indirectly.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Level 3: Fair value is estimated using unobservable inputs that are significant to the fair value of the assets or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Summary of Financial Assets and Liabilities Accounted for at Fair Value on a Recurring Basis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assets and liabilities measured at fair value on a recurring basis. The basis for the measurement at fair value in all cases was Level 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260" w:type="dxa"/>
            <w:vAlign w:val="bottom"/>
          </w:tcPr>
          <w:p>
            <w:pPr>
              <w:spacing w:after="0"/>
              <w:rPr>
                <w:sz w:val="10"/>
                <w:szCs w:val="10"/>
                <w:color w:val="auto"/>
              </w:rPr>
            </w:pPr>
          </w:p>
        </w:tc>
        <w:tc>
          <w:tcPr>
            <w:tcW w:w="1680" w:type="dxa"/>
            <w:vAlign w:val="bottom"/>
            <w:gridSpan w:val="2"/>
          </w:tcPr>
          <w:p>
            <w:pPr>
              <w:ind w:left="180"/>
              <w:spacing w:after="0"/>
              <w:rPr>
                <w:sz w:val="20"/>
                <w:szCs w:val="20"/>
                <w:color w:val="auto"/>
              </w:rPr>
            </w:pPr>
            <w:r>
              <w:rPr>
                <w:rFonts w:ascii="Arial" w:cs="Arial" w:eastAsia="Arial" w:hAnsi="Arial"/>
                <w:sz w:val="11"/>
                <w:szCs w:val="11"/>
                <w:color w:val="auto"/>
              </w:rPr>
              <w:t>December 31, 2024</w:t>
            </w:r>
          </w:p>
        </w:tc>
        <w:tc>
          <w:tcPr>
            <w:tcW w:w="260" w:type="dxa"/>
            <w:vAlign w:val="bottom"/>
          </w:tcPr>
          <w:p>
            <w:pPr>
              <w:spacing w:after="0"/>
              <w:rPr>
                <w:sz w:val="10"/>
                <w:szCs w:val="10"/>
                <w:color w:val="auto"/>
              </w:rPr>
            </w:pPr>
          </w:p>
        </w:tc>
        <w:tc>
          <w:tcPr>
            <w:tcW w:w="1580" w:type="dxa"/>
            <w:vAlign w:val="bottom"/>
          </w:tcPr>
          <w:p>
            <w:pPr>
              <w:jc w:val="right"/>
              <w:ind w:right="384"/>
              <w:spacing w:after="0"/>
              <w:rPr>
                <w:sz w:val="20"/>
                <w:szCs w:val="20"/>
                <w:color w:val="auto"/>
              </w:rPr>
            </w:pPr>
            <w:r>
              <w:rPr>
                <w:rFonts w:ascii="Arial" w:cs="Arial" w:eastAsia="Arial" w:hAnsi="Arial"/>
                <w:sz w:val="11"/>
                <w:szCs w:val="11"/>
                <w:color w:val="auto"/>
              </w:rPr>
              <w:t>December 31, 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7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Foreign exchange contracts - forward</w:t>
            </w:r>
          </w:p>
        </w:tc>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tcPr>
          <w:p>
            <w:pPr>
              <w:ind w:left="14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680" w:type="dxa"/>
            <w:vAlign w:val="bottom"/>
            <w:gridSpan w:val="2"/>
            <w:shd w:val="clear" w:color="auto" w:fill="CCEEFF"/>
          </w:tcPr>
          <w:p>
            <w:pPr>
              <w:ind w:left="14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b w:val="1"/>
                <w:bCs w:val="1"/>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vMerge w:val="continue"/>
          </w:tcPr>
          <w:p>
            <w:pPr>
              <w:spacing w:after="0"/>
              <w:rPr>
                <w:sz w:val="8"/>
                <w:szCs w:val="8"/>
                <w:color w:val="auto"/>
              </w:rPr>
            </w:pPr>
          </w:p>
        </w:tc>
        <w:tc>
          <w:tcPr>
            <w:tcW w:w="74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Foreign exchange contracts - forward</w:t>
            </w: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1"/>
                <w:szCs w:val="11"/>
                <w:color w:val="auto"/>
                <w:w w:val="88"/>
              </w:rPr>
              <w:t>(2)</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1"/>
                <w:szCs w:val="11"/>
                <w:b w:val="1"/>
                <w:bCs w:val="1"/>
                <w:color w:val="auto"/>
              </w:rPr>
              <w:t>Total Liabilities</w:t>
            </w:r>
          </w:p>
        </w:tc>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tcPr>
          <w:p>
            <w:pPr>
              <w:ind w:left="1440"/>
              <w:spacing w:after="0"/>
              <w:rPr>
                <w:sz w:val="20"/>
                <w:szCs w:val="20"/>
                <w:color w:val="auto"/>
              </w:rPr>
            </w:pPr>
            <w:r>
              <w:rPr>
                <w:rFonts w:ascii="Arial" w:cs="Arial" w:eastAsia="Arial" w:hAnsi="Arial"/>
                <w:sz w:val="11"/>
                <w:szCs w:val="11"/>
                <w:color w:val="auto"/>
                <w:w w:val="88"/>
              </w:rPr>
              <w:t>(2)</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Summary of Other Financial Assets and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estimated fair values of other financial assets and liabilities were as follows:</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1" w:name="page82"/>
    <w:bookmarkEnd w:id="8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446"/>
              <w:spacing w:after="0"/>
              <w:rPr>
                <w:sz w:val="20"/>
                <w:szCs w:val="20"/>
                <w:color w:val="auto"/>
              </w:rPr>
            </w:pPr>
            <w:r>
              <w:rPr>
                <w:rFonts w:ascii="Arial" w:cs="Arial" w:eastAsia="Arial" w:hAnsi="Arial"/>
                <w:sz w:val="11"/>
                <w:szCs w:val="11"/>
                <w:color w:val="auto"/>
                <w:w w:val="99"/>
              </w:rPr>
              <w:t>December 31, 2024</w:t>
            </w: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w w:val="99"/>
              </w:rPr>
              <w:t>December 31, 2023</w:t>
            </w:r>
          </w:p>
        </w:tc>
        <w:tc>
          <w:tcPr>
            <w:tcW w:w="820" w:type="dxa"/>
            <w:vAlign w:val="bottom"/>
            <w:tcBorders>
              <w:bottom w:val="single" w:sz="8" w:color="auto"/>
            </w:tcBorders>
          </w:tcPr>
          <w:p>
            <w:pPr>
              <w:spacing w:after="0"/>
              <w:rPr>
                <w:sz w:val="12"/>
                <w:szCs w:val="12"/>
                <w:color w:val="auto"/>
              </w:rPr>
            </w:pPr>
          </w:p>
        </w:tc>
      </w:tr>
      <w:tr>
        <w:trPr>
          <w:trHeight w:val="113"/>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Arial" w:cs="Arial" w:eastAsia="Arial" w:hAnsi="Arial"/>
                <w:sz w:val="11"/>
                <w:szCs w:val="11"/>
                <w:color w:val="auto"/>
              </w:rPr>
              <w:t>Carrying</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right"/>
              <w:ind w:right="126"/>
              <w:spacing w:after="0" w:line="113" w:lineRule="exact"/>
              <w:rPr>
                <w:sz w:val="20"/>
                <w:szCs w:val="20"/>
                <w:color w:val="auto"/>
              </w:rPr>
            </w:pPr>
            <w:r>
              <w:rPr>
                <w:rFonts w:ascii="Arial" w:cs="Arial" w:eastAsia="Arial" w:hAnsi="Arial"/>
                <w:sz w:val="11"/>
                <w:szCs w:val="11"/>
                <w:color w:val="auto"/>
              </w:rPr>
              <w:t>Fair</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Arial" w:cs="Arial" w:eastAsia="Arial" w:hAnsi="Arial"/>
                <w:sz w:val="11"/>
                <w:szCs w:val="11"/>
                <w:color w:val="auto"/>
              </w:rPr>
              <w:t>Carrying</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jc w:val="right"/>
              <w:ind w:right="506"/>
              <w:spacing w:after="0" w:line="113" w:lineRule="exact"/>
              <w:rPr>
                <w:sz w:val="20"/>
                <w:szCs w:val="20"/>
                <w:color w:val="auto"/>
              </w:rPr>
            </w:pPr>
            <w:r>
              <w:rPr>
                <w:rFonts w:ascii="Arial" w:cs="Arial" w:eastAsia="Arial" w:hAnsi="Arial"/>
                <w:sz w:val="11"/>
                <w:szCs w:val="11"/>
                <w:color w:val="auto"/>
              </w:rPr>
              <w:t>Fair</w:t>
            </w:r>
          </w:p>
        </w:tc>
      </w:tr>
      <w:tr>
        <w:trPr>
          <w:trHeight w:val="110"/>
        </w:trPr>
        <w:tc>
          <w:tcPr>
            <w:tcW w:w="20" w:type="dxa"/>
            <w:vAlign w:val="bottom"/>
          </w:tcPr>
          <w:p>
            <w:pPr>
              <w:spacing w:after="0"/>
              <w:rPr>
                <w:sz w:val="9"/>
                <w:szCs w:val="9"/>
                <w:color w:val="auto"/>
              </w:rPr>
            </w:pPr>
          </w:p>
        </w:tc>
        <w:tc>
          <w:tcPr>
            <w:tcW w:w="5720" w:type="dxa"/>
            <w:vAlign w:val="bottom"/>
            <w:gridSpan w:val="2"/>
          </w:tcPr>
          <w:p>
            <w:pPr>
              <w:spacing w:after="0" w:line="91" w:lineRule="exact"/>
              <w:rPr>
                <w:sz w:val="20"/>
                <w:szCs w:val="20"/>
                <w:color w:val="auto"/>
              </w:rPr>
            </w:pPr>
            <w:r>
              <w:rPr>
                <w:rFonts w:ascii="Arial" w:cs="Arial" w:eastAsia="Arial" w:hAnsi="Arial"/>
                <w:sz w:val="10"/>
                <w:szCs w:val="10"/>
                <w:color w:val="auto"/>
              </w:rPr>
              <w:t>(in millions)</w:t>
            </w:r>
          </w:p>
        </w:tc>
        <w:tc>
          <w:tcPr>
            <w:tcW w:w="860" w:type="dxa"/>
            <w:vAlign w:val="bottom"/>
          </w:tcPr>
          <w:p>
            <w:pPr>
              <w:jc w:val="right"/>
              <w:spacing w:after="0" w:line="91" w:lineRule="exact"/>
              <w:rPr>
                <w:sz w:val="20"/>
                <w:szCs w:val="20"/>
                <w:color w:val="auto"/>
              </w:rPr>
            </w:pPr>
            <w:r>
              <w:rPr>
                <w:rFonts w:ascii="Arial" w:cs="Arial" w:eastAsia="Arial" w:hAnsi="Arial"/>
                <w:sz w:val="10"/>
                <w:szCs w:val="10"/>
                <w:color w:val="auto"/>
              </w:rPr>
              <w:t>Amount</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right"/>
              <w:ind w:right="86"/>
              <w:spacing w:after="0" w:line="91" w:lineRule="exact"/>
              <w:rPr>
                <w:sz w:val="20"/>
                <w:szCs w:val="20"/>
                <w:color w:val="auto"/>
              </w:rPr>
            </w:pPr>
            <w:r>
              <w:rPr>
                <w:rFonts w:ascii="Arial" w:cs="Arial" w:eastAsia="Arial" w:hAnsi="Arial"/>
                <w:sz w:val="10"/>
                <w:szCs w:val="10"/>
                <w:color w:val="auto"/>
              </w:rPr>
              <w:t>Value</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right"/>
              <w:spacing w:after="0" w:line="91" w:lineRule="exact"/>
              <w:rPr>
                <w:sz w:val="20"/>
                <w:szCs w:val="20"/>
                <w:color w:val="auto"/>
              </w:rPr>
            </w:pPr>
            <w:r>
              <w:rPr>
                <w:rFonts w:ascii="Arial" w:cs="Arial" w:eastAsia="Arial" w:hAnsi="Arial"/>
                <w:sz w:val="10"/>
                <w:szCs w:val="10"/>
                <w:color w:val="auto"/>
              </w:rPr>
              <w:t>Amount</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jc w:val="right"/>
              <w:ind w:right="466"/>
              <w:spacing w:after="0" w:line="91" w:lineRule="exact"/>
              <w:rPr>
                <w:sz w:val="20"/>
                <w:szCs w:val="20"/>
                <w:color w:val="auto"/>
              </w:rPr>
            </w:pPr>
            <w:r>
              <w:rPr>
                <w:rFonts w:ascii="Arial" w:cs="Arial" w:eastAsia="Arial" w:hAnsi="Arial"/>
                <w:sz w:val="10"/>
                <w:szCs w:val="10"/>
                <w:color w:val="auto"/>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8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5720" w:type="dxa"/>
            <w:vAlign w:val="bottom"/>
            <w:gridSpan w:val="2"/>
          </w:tcPr>
          <w:p>
            <w:pPr>
              <w:ind w:left="160"/>
              <w:spacing w:after="0"/>
              <w:rPr>
                <w:sz w:val="20"/>
                <w:szCs w:val="20"/>
                <w:color w:val="auto"/>
              </w:rPr>
            </w:pPr>
            <w:r>
              <w:rPr>
                <w:rFonts w:ascii="Arial" w:cs="Arial" w:eastAsia="Arial" w:hAnsi="Arial"/>
                <w:sz w:val="11"/>
                <w:szCs w:val="11"/>
                <w:color w:val="auto"/>
              </w:rPr>
              <w:t>Long-term debt</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615</w:t>
            </w:r>
          </w:p>
        </w:tc>
        <w:tc>
          <w:tcPr>
            <w:tcW w:w="100" w:type="dxa"/>
            <w:vAlign w:val="bottom"/>
          </w:tcPr>
          <w:p>
            <w:pPr>
              <w:spacing w:after="0"/>
              <w:rPr>
                <w:sz w:val="13"/>
                <w:szCs w:val="13"/>
                <w:color w:val="auto"/>
              </w:rPr>
            </w:pPr>
          </w:p>
        </w:tc>
        <w:tc>
          <w:tcPr>
            <w:tcW w:w="940" w:type="dxa"/>
            <w:vAlign w:val="bottom"/>
          </w:tcPr>
          <w:p>
            <w:pPr>
              <w:jc w:val="right"/>
              <w:ind w:right="806"/>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4"/>
              <w:spacing w:after="0"/>
              <w:rPr>
                <w:sz w:val="20"/>
                <w:szCs w:val="20"/>
                <w:color w:val="auto"/>
              </w:rPr>
            </w:pPr>
            <w:r>
              <w:rPr>
                <w:rFonts w:ascii="Arial" w:cs="Arial" w:eastAsia="Arial" w:hAnsi="Arial"/>
                <w:sz w:val="11"/>
                <w:szCs w:val="11"/>
                <w:color w:val="auto"/>
              </w:rPr>
              <w:t>588</w:t>
            </w:r>
          </w:p>
        </w:tc>
        <w:tc>
          <w:tcPr>
            <w:tcW w:w="80" w:type="dxa"/>
            <w:vAlign w:val="bottom"/>
          </w:tcPr>
          <w:p>
            <w:pPr>
              <w:spacing w:after="0"/>
              <w:rPr>
                <w:sz w:val="13"/>
                <w:szCs w:val="13"/>
                <w:color w:val="auto"/>
              </w:rPr>
            </w:pP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
              <w:spacing w:after="0"/>
              <w:rPr>
                <w:sz w:val="20"/>
                <w:szCs w:val="20"/>
                <w:color w:val="auto"/>
              </w:rPr>
            </w:pPr>
            <w:r>
              <w:rPr>
                <w:rFonts w:ascii="Arial" w:cs="Arial" w:eastAsia="Arial" w:hAnsi="Arial"/>
                <w:sz w:val="11"/>
                <w:szCs w:val="11"/>
                <w:color w:val="auto"/>
              </w:rPr>
              <w:t>1,248</w:t>
            </w:r>
          </w:p>
        </w:tc>
        <w:tc>
          <w:tcPr>
            <w:tcW w:w="100" w:type="dxa"/>
            <w:vAlign w:val="bottom"/>
          </w:tcPr>
          <w:p>
            <w:pPr>
              <w:spacing w:after="0"/>
              <w:rPr>
                <w:sz w:val="13"/>
                <w:szCs w:val="13"/>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1,191</w:t>
            </w:r>
          </w:p>
        </w:tc>
      </w:tr>
      <w:tr>
        <w:trPr>
          <w:trHeight w:val="160"/>
        </w:trPr>
        <w:tc>
          <w:tcPr>
            <w:tcW w:w="20" w:type="dxa"/>
            <w:vAlign w:val="bottom"/>
            <w:shd w:val="clear" w:color="auto" w:fill="CCEEFF"/>
          </w:tcPr>
          <w:p>
            <w:pPr>
              <w:spacing w:after="0"/>
              <w:rPr>
                <w:sz w:val="13"/>
                <w:szCs w:val="13"/>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Liabilities held for sale</w:t>
            </w:r>
          </w:p>
        </w:tc>
        <w:tc>
          <w:tcPr>
            <w:tcW w:w="860" w:type="dxa"/>
            <w:vAlign w:val="bottom"/>
            <w:shd w:val="clear" w:color="auto" w:fill="CCEEFF"/>
          </w:tcPr>
          <w:p>
            <w:pPr>
              <w:jc w:val="right"/>
              <w:ind w:right="74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40" w:type="dxa"/>
            <w:vAlign w:val="bottom"/>
            <w:shd w:val="clear" w:color="auto" w:fill="CCEEFF"/>
          </w:tcPr>
          <w:p>
            <w:pPr>
              <w:jc w:val="right"/>
              <w:ind w:right="806"/>
              <w:spacing w:after="0"/>
              <w:rPr>
                <w:sz w:val="20"/>
                <w:szCs w:val="20"/>
                <w:color w:val="auto"/>
              </w:rPr>
            </w:pPr>
            <w:r>
              <w:rPr>
                <w:rFonts w:ascii="Arial" w:cs="Arial" w:eastAsia="Arial" w:hAnsi="Arial"/>
                <w:sz w:val="11"/>
                <w:szCs w:val="11"/>
                <w:color w:val="auto"/>
                <w:w w:val="97"/>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58</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r>
    </w:tbl>
    <w:p>
      <w:pPr>
        <w:spacing w:after="0" w:line="183" w:lineRule="exact"/>
        <w:rPr>
          <w:sz w:val="20"/>
          <w:szCs w:val="20"/>
          <w:color w:val="auto"/>
        </w:rPr>
      </w:pPr>
    </w:p>
    <w:p>
      <w:pPr>
        <w:jc w:val="both"/>
        <w:ind w:right="40"/>
        <w:spacing w:after="0" w:line="282" w:lineRule="auto"/>
        <w:rPr>
          <w:sz w:val="20"/>
          <w:szCs w:val="20"/>
          <w:color w:val="auto"/>
        </w:rPr>
      </w:pPr>
      <w:r>
        <w:rPr>
          <w:rFonts w:ascii="Arial" w:cs="Arial" w:eastAsia="Arial" w:hAnsi="Arial"/>
          <w:sz w:val="14"/>
          <w:szCs w:val="14"/>
          <w:color w:val="auto"/>
        </w:rPr>
        <w:t>The fair value amounts for Cash and cash equivalents, Restricted cash, Accounts receivable, net and Short-term debt approximate carrying amounts due to the short-term maturities of these instruments.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Long-term debt was estimated using quoted market prices for identical or similar instruments (Level 2 inputs).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13 – Employee Benefit Plans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Defined Benefit Plans</w:t>
      </w:r>
    </w:p>
    <w:p>
      <w:pPr>
        <w:spacing w:after="0" w:line="131"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The Company's remaining benefit obligations and plan assets at December 31, 2024 were $13 million and $0 million, respectively. The Company's benefit obligations and plan assets at December 31, 2023 were $13 million and $0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Defined Contribution Plans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has post-retirement savings and investment plans in several countries, including the U.S., U.K. and Canada. In many instances, employees from those defined benefit pension plans that have been amended to freeze future service accruals were transitioned to an enhanced defined contribution plan. In these plans employees are allowed to contribute a portion of their salaries and bonuses to the plans, and the Company matches a portion of the employee contributions.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recorded expenses related to its defined contribution plans of $5 million in 2024, $11 million in 2023 and $10 million in 2022.</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14 - Income Taxes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Income (loss) before income taxes was as follows:</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5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Year Ended December 31,</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19"/>
        </w:trPr>
        <w:tc>
          <w:tcPr>
            <w:tcW w:w="65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0"/>
                <w:szCs w:val="10"/>
                <w:color w:val="auto"/>
              </w:rPr>
            </w:pPr>
          </w:p>
        </w:tc>
        <w:tc>
          <w:tcPr>
            <w:tcW w:w="114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2022</w:t>
            </w:r>
          </w:p>
        </w:tc>
      </w:tr>
      <w:tr>
        <w:trPr>
          <w:trHeight w:val="20"/>
        </w:trPr>
        <w:tc>
          <w:tcPr>
            <w:tcW w:w="50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38"/>
        </w:trPr>
        <w:tc>
          <w:tcPr>
            <w:tcW w:w="6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Domestic income (loss)</w:t>
            </w: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w:t>
            </w:r>
          </w:p>
        </w:tc>
      </w:tr>
      <w:tr>
        <w:trPr>
          <w:trHeight w:val="152"/>
        </w:trPr>
        <w:tc>
          <w:tcPr>
            <w:tcW w:w="65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Foreign income</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22</w:t>
            </w:r>
          </w:p>
        </w:tc>
      </w:tr>
      <w:tr>
        <w:trPr>
          <w:trHeight w:val="176"/>
        </w:trPr>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Income (Loss) Before Income Taxes</w:t>
            </w:r>
          </w:p>
        </w:tc>
        <w:tc>
          <w:tcPr>
            <w:tcW w:w="3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504</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Provision (benefit) for income taxes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Year Ended December 31,</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5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40" w:type="dxa"/>
            <w:vAlign w:val="bottom"/>
          </w:tcPr>
          <w:p>
            <w:pPr>
              <w:spacing w:after="0"/>
              <w:rPr>
                <w:sz w:val="10"/>
                <w:szCs w:val="10"/>
                <w:color w:val="auto"/>
              </w:rPr>
            </w:pPr>
          </w:p>
        </w:tc>
        <w:tc>
          <w:tcPr>
            <w:tcW w:w="116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Federal Income Taxes</w:t>
            </w: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6560" w:type="dxa"/>
            <w:vAlign w:val="bottom"/>
            <w:gridSpan w:val="2"/>
          </w:tcPr>
          <w:p>
            <w:pPr>
              <w:ind w:left="160"/>
              <w:spacing w:after="0"/>
              <w:rPr>
                <w:sz w:val="20"/>
                <w:szCs w:val="20"/>
                <w:color w:val="auto"/>
              </w:rPr>
            </w:pPr>
            <w:r>
              <w:rPr>
                <w:rFonts w:ascii="Arial" w:cs="Arial" w:eastAsia="Arial" w:hAnsi="Arial"/>
                <w:sz w:val="11"/>
                <w:szCs w:val="11"/>
                <w:color w:val="auto"/>
              </w:rPr>
              <w:t>Current</w:t>
            </w:r>
          </w:p>
        </w:tc>
        <w:tc>
          <w:tcPr>
            <w:tcW w:w="340" w:type="dxa"/>
            <w:vAlign w:val="bottom"/>
          </w:tcPr>
          <w:p>
            <w:pPr>
              <w:jc w:val="right"/>
              <w:ind w:right="204"/>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4"/>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360" w:type="dxa"/>
            <w:vAlign w:val="bottom"/>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30</w:t>
            </w:r>
          </w:p>
        </w:tc>
      </w:tr>
      <w:tr>
        <w:trPr>
          <w:trHeight w:val="160"/>
        </w:trPr>
        <w:tc>
          <w:tcPr>
            <w:tcW w:w="20" w:type="dxa"/>
            <w:vAlign w:val="bottom"/>
            <w:shd w:val="clear" w:color="auto" w:fill="CCEEFF"/>
          </w:tcPr>
          <w:p>
            <w:pPr>
              <w:spacing w:after="0"/>
              <w:rPr>
                <w:sz w:val="13"/>
                <w:szCs w:val="13"/>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Deferred</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r>
      <w:tr>
        <w:trPr>
          <w:trHeight w:val="155"/>
        </w:trPr>
        <w:tc>
          <w:tcPr>
            <w:tcW w:w="20" w:type="dxa"/>
            <w:vAlign w:val="bottom"/>
          </w:tcPr>
          <w:p>
            <w:pPr>
              <w:spacing w:after="0"/>
              <w:rPr>
                <w:sz w:val="13"/>
                <w:szCs w:val="13"/>
                <w:color w:val="auto"/>
              </w:rPr>
            </w:pPr>
          </w:p>
        </w:tc>
        <w:tc>
          <w:tcPr>
            <w:tcW w:w="6560" w:type="dxa"/>
            <w:vAlign w:val="bottom"/>
            <w:gridSpan w:val="2"/>
          </w:tcPr>
          <w:p>
            <w:pPr>
              <w:spacing w:after="0"/>
              <w:rPr>
                <w:sz w:val="20"/>
                <w:szCs w:val="20"/>
                <w:color w:val="auto"/>
              </w:rPr>
            </w:pPr>
            <w:r>
              <w:rPr>
                <w:rFonts w:ascii="Arial" w:cs="Arial" w:eastAsia="Arial" w:hAnsi="Arial"/>
                <w:sz w:val="11"/>
                <w:szCs w:val="11"/>
                <w:b w:val="1"/>
                <w:bCs w:val="1"/>
                <w:color w:val="auto"/>
              </w:rPr>
              <w:t>Foreign Income Taxes</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7"/>
        </w:trPr>
        <w:tc>
          <w:tcPr>
            <w:tcW w:w="20" w:type="dxa"/>
            <w:vAlign w:val="bottom"/>
            <w:shd w:val="clear" w:color="auto" w:fill="CCEEFF"/>
          </w:tcPr>
          <w:p>
            <w:pPr>
              <w:spacing w:after="0"/>
              <w:rPr>
                <w:sz w:val="13"/>
                <w:szCs w:val="13"/>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Current</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r>
      <w:tr>
        <w:trPr>
          <w:trHeight w:val="152"/>
        </w:trPr>
        <w:tc>
          <w:tcPr>
            <w:tcW w:w="20" w:type="dxa"/>
            <w:vAlign w:val="bottom"/>
          </w:tcPr>
          <w:p>
            <w:pPr>
              <w:spacing w:after="0"/>
              <w:rPr>
                <w:sz w:val="13"/>
                <w:szCs w:val="13"/>
                <w:color w:val="auto"/>
              </w:rPr>
            </w:pPr>
          </w:p>
        </w:tc>
        <w:tc>
          <w:tcPr>
            <w:tcW w:w="6560" w:type="dxa"/>
            <w:vAlign w:val="bottom"/>
            <w:gridSpan w:val="2"/>
          </w:tcPr>
          <w:p>
            <w:pPr>
              <w:ind w:left="160"/>
              <w:spacing w:after="0"/>
              <w:rPr>
                <w:sz w:val="20"/>
                <w:szCs w:val="20"/>
                <w:color w:val="auto"/>
              </w:rPr>
            </w:pPr>
            <w:r>
              <w:rPr>
                <w:rFonts w:ascii="Arial" w:cs="Arial" w:eastAsia="Arial" w:hAnsi="Arial"/>
                <w:sz w:val="11"/>
                <w:szCs w:val="11"/>
                <w:color w:val="auto"/>
              </w:rPr>
              <w:t>Deferred</w:t>
            </w: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60"/>
        </w:trPr>
        <w:tc>
          <w:tcPr>
            <w:tcW w:w="20" w:type="dxa"/>
            <w:vAlign w:val="bottom"/>
            <w:shd w:val="clear" w:color="auto" w:fill="CCEEFF"/>
          </w:tcPr>
          <w:p>
            <w:pPr>
              <w:spacing w:after="0"/>
              <w:rPr>
                <w:sz w:val="13"/>
                <w:szCs w:val="13"/>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State Income Taxes</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560" w:type="dxa"/>
            <w:vAlign w:val="bottom"/>
            <w:gridSpan w:val="2"/>
          </w:tcPr>
          <w:p>
            <w:pPr>
              <w:ind w:left="160"/>
              <w:spacing w:after="0"/>
              <w:rPr>
                <w:sz w:val="20"/>
                <w:szCs w:val="20"/>
                <w:color w:val="auto"/>
              </w:rPr>
            </w:pPr>
            <w:r>
              <w:rPr>
                <w:rFonts w:ascii="Arial" w:cs="Arial" w:eastAsia="Arial" w:hAnsi="Arial"/>
                <w:sz w:val="11"/>
                <w:szCs w:val="11"/>
                <w:color w:val="auto"/>
              </w:rPr>
              <w:t>Current</w:t>
            </w:r>
          </w:p>
        </w:tc>
        <w:tc>
          <w:tcPr>
            <w:tcW w:w="340" w:type="dxa"/>
            <w:vAlign w:val="bottom"/>
          </w:tcPr>
          <w:p>
            <w:pPr>
              <w:spacing w:after="0"/>
              <w:rPr>
                <w:sz w:val="13"/>
                <w:szCs w:val="13"/>
                <w:color w:val="auto"/>
              </w:rPr>
            </w:pPr>
          </w:p>
        </w:tc>
        <w:tc>
          <w:tcPr>
            <w:tcW w:w="1160" w:type="dxa"/>
            <w:vAlign w:val="bottom"/>
          </w:tcPr>
          <w:p>
            <w:pPr>
              <w:jc w:val="right"/>
              <w:ind w:right="4"/>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w:t>
            </w:r>
          </w:p>
        </w:tc>
      </w:tr>
      <w:tr>
        <w:trPr>
          <w:trHeight w:val="156"/>
        </w:trPr>
        <w:tc>
          <w:tcPr>
            <w:tcW w:w="20" w:type="dxa"/>
            <w:vAlign w:val="bottom"/>
            <w:shd w:val="clear" w:color="auto" w:fill="CCEEFF"/>
          </w:tcPr>
          <w:p>
            <w:pPr>
              <w:spacing w:after="0"/>
              <w:rPr>
                <w:sz w:val="13"/>
                <w:szCs w:val="13"/>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Deferred</w:t>
            </w: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51"/>
        </w:trPr>
        <w:tc>
          <w:tcPr>
            <w:tcW w:w="20" w:type="dxa"/>
            <w:vAlign w:val="bottom"/>
          </w:tcPr>
          <w:p>
            <w:pPr>
              <w:spacing w:after="0"/>
              <w:rPr>
                <w:sz w:val="13"/>
                <w:szCs w:val="13"/>
                <w:color w:val="auto"/>
              </w:rPr>
            </w:pPr>
          </w:p>
        </w:tc>
        <w:tc>
          <w:tcPr>
            <w:tcW w:w="6560" w:type="dxa"/>
            <w:vAlign w:val="bottom"/>
            <w:gridSpan w:val="2"/>
          </w:tcPr>
          <w:p>
            <w:pPr>
              <w:spacing w:after="0"/>
              <w:rPr>
                <w:sz w:val="20"/>
                <w:szCs w:val="20"/>
                <w:color w:val="auto"/>
              </w:rPr>
            </w:pPr>
            <w:r>
              <w:rPr>
                <w:rFonts w:ascii="Arial" w:cs="Arial" w:eastAsia="Arial" w:hAnsi="Arial"/>
                <w:sz w:val="11"/>
                <w:szCs w:val="11"/>
                <w:b w:val="1"/>
                <w:bCs w:val="1"/>
                <w:color w:val="auto"/>
              </w:rPr>
              <w:t>Total Provision (Benefit)</w:t>
            </w:r>
          </w:p>
        </w:tc>
        <w:tc>
          <w:tcPr>
            <w:tcW w:w="340" w:type="dxa"/>
            <w:vAlign w:val="bottom"/>
            <w:tcBorders>
              <w:bottom w:val="single" w:sz="8" w:color="auto"/>
            </w:tcBorders>
          </w:tcPr>
          <w:p>
            <w:pPr>
              <w:jc w:val="right"/>
              <w:ind w:right="204"/>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2" w:name="page83"/>
    <w:bookmarkEnd w:id="8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U.S. federal statutory income tax rate to the consolidated effective income tax rate was as follows:</w:t>
      </w:r>
    </w:p>
    <w:p>
      <w:pPr>
        <w:spacing w:after="0" w:line="45" w:lineRule="exact"/>
        <w:rPr>
          <w:sz w:val="20"/>
          <w:szCs w:val="20"/>
          <w:color w:val="auto"/>
        </w:rPr>
      </w:pPr>
    </w:p>
    <w:p>
      <w:pPr>
        <w:ind w:left="8100"/>
        <w:spacing w:after="0"/>
        <w:rPr>
          <w:sz w:val="20"/>
          <w:szCs w:val="20"/>
          <w:color w:val="auto"/>
        </w:rPr>
      </w:pPr>
      <w:r>
        <w:rPr>
          <w:rFonts w:ascii="Arial" w:cs="Arial" w:eastAsia="Arial" w:hAnsi="Arial"/>
          <w:sz w:val="11"/>
          <w:szCs w:val="1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22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2024</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2023</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1"/>
                <w:szCs w:val="11"/>
                <w:color w:val="auto"/>
              </w:rPr>
              <w:t>2022</w:t>
            </w:r>
          </w:p>
        </w:tc>
      </w:tr>
      <w:tr>
        <w:trPr>
          <w:trHeight w:val="151"/>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U.S. federal statutory income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21.0 %</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21.0 %</w:t>
            </w:r>
          </w:p>
        </w:tc>
      </w:tr>
      <w:tr>
        <w:trPr>
          <w:trHeight w:val="152"/>
        </w:trPr>
        <w:tc>
          <w:tcPr>
            <w:tcW w:w="7300" w:type="dxa"/>
            <w:vAlign w:val="bottom"/>
            <w:gridSpan w:val="2"/>
          </w:tcPr>
          <w:p>
            <w:pPr>
              <w:ind w:left="20"/>
              <w:spacing w:after="0"/>
              <w:rPr>
                <w:sz w:val="20"/>
                <w:szCs w:val="20"/>
                <w:color w:val="auto"/>
              </w:rPr>
            </w:pPr>
            <w:r>
              <w:rPr>
                <w:rFonts w:ascii="Arial" w:cs="Arial" w:eastAsia="Arial" w:hAnsi="Arial"/>
                <w:sz w:val="11"/>
                <w:szCs w:val="11"/>
                <w:color w:val="auto"/>
              </w:rPr>
              <w:t>Nondeductible expenses</w:t>
            </w:r>
          </w:p>
        </w:tc>
        <w:tc>
          <w:tcPr>
            <w:tcW w:w="540" w:type="dxa"/>
            <w:vAlign w:val="bottom"/>
          </w:tcPr>
          <w:p>
            <w:pPr>
              <w:jc w:val="right"/>
              <w:spacing w:after="0"/>
              <w:rPr>
                <w:sz w:val="20"/>
                <w:szCs w:val="20"/>
                <w:color w:val="auto"/>
              </w:rPr>
            </w:pPr>
            <w:r>
              <w:rPr>
                <w:rFonts w:ascii="Arial" w:cs="Arial" w:eastAsia="Arial" w:hAnsi="Arial"/>
                <w:sz w:val="11"/>
                <w:szCs w:val="11"/>
                <w:color w:val="auto"/>
              </w:rPr>
              <w:t>1.8 %</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(3.5)%</w:t>
            </w:r>
          </w:p>
        </w:tc>
      </w:tr>
      <w:tr>
        <w:trPr>
          <w:trHeight w:val="16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Change in valuation allowance for deferred tax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1.7 %</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r>
      <w:tr>
        <w:trPr>
          <w:trHeight w:val="152"/>
        </w:trPr>
        <w:tc>
          <w:tcPr>
            <w:tcW w:w="7300" w:type="dxa"/>
            <w:vAlign w:val="bottom"/>
            <w:gridSpan w:val="2"/>
          </w:tcPr>
          <w:p>
            <w:pPr>
              <w:ind w:left="20"/>
              <w:spacing w:after="0"/>
              <w:rPr>
                <w:sz w:val="20"/>
                <w:szCs w:val="20"/>
                <w:color w:val="auto"/>
              </w:rPr>
            </w:pPr>
            <w:r>
              <w:rPr>
                <w:rFonts w:ascii="Arial" w:cs="Arial" w:eastAsia="Arial" w:hAnsi="Arial"/>
                <w:sz w:val="11"/>
                <w:szCs w:val="11"/>
                <w:color w:val="auto"/>
              </w:rPr>
              <w:t>State taxes, net of federal benefit</w:t>
            </w:r>
          </w:p>
        </w:tc>
        <w:tc>
          <w:tcPr>
            <w:tcW w:w="540" w:type="dxa"/>
            <w:vAlign w:val="bottom"/>
          </w:tcPr>
          <w:p>
            <w:pPr>
              <w:jc w:val="right"/>
              <w:spacing w:after="0"/>
              <w:rPr>
                <w:sz w:val="20"/>
                <w:szCs w:val="20"/>
                <w:color w:val="auto"/>
              </w:rPr>
            </w:pPr>
            <w:r>
              <w:rPr>
                <w:rFonts w:ascii="Arial" w:cs="Arial" w:eastAsia="Arial" w:hAnsi="Arial"/>
                <w:sz w:val="11"/>
                <w:szCs w:val="11"/>
                <w:color w:val="auto"/>
              </w:rPr>
              <w:t>3.6 %</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3.1 %</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(2.4)%</w:t>
            </w:r>
          </w:p>
        </w:tc>
      </w:tr>
      <w:tr>
        <w:trPr>
          <w:trHeight w:val="16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Tax-exempt income, credits and incentives</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3.0 %</w:t>
            </w:r>
          </w:p>
        </w:tc>
      </w:tr>
      <w:tr>
        <w:trPr>
          <w:trHeight w:val="156"/>
        </w:trPr>
        <w:tc>
          <w:tcPr>
            <w:tcW w:w="7300" w:type="dxa"/>
            <w:vAlign w:val="bottom"/>
            <w:gridSpan w:val="2"/>
          </w:tcPr>
          <w:p>
            <w:pPr>
              <w:ind w:left="20"/>
              <w:spacing w:after="0" w:line="156" w:lineRule="exact"/>
              <w:rPr>
                <w:sz w:val="20"/>
                <w:szCs w:val="20"/>
                <w:color w:val="auto"/>
              </w:rPr>
            </w:pPr>
            <w:r>
              <w:rPr>
                <w:rFonts w:ascii="Arial" w:cs="Arial" w:eastAsia="Arial" w:hAnsi="Arial"/>
                <w:sz w:val="11"/>
                <w:szCs w:val="11"/>
                <w:color w:val="auto"/>
              </w:rPr>
              <w:t>Foreign rate differential adjusted for U.S. taxation of foreign profits</w:t>
            </w:r>
            <w:r>
              <w:rPr>
                <w:rFonts w:ascii="Arial" w:cs="Arial" w:eastAsia="Arial" w:hAnsi="Arial"/>
                <w:sz w:val="14"/>
                <w:szCs w:val="14"/>
                <w:color w:val="auto"/>
                <w:vertAlign w:val="superscript"/>
              </w:rPr>
              <w:t>(1)</w:t>
            </w:r>
          </w:p>
        </w:tc>
        <w:tc>
          <w:tcPr>
            <w:tcW w:w="540" w:type="dxa"/>
            <w:vAlign w:val="bottom"/>
          </w:tcPr>
          <w:p>
            <w:pPr>
              <w:jc w:val="right"/>
              <w:spacing w:after="0"/>
              <w:rPr>
                <w:sz w:val="20"/>
                <w:szCs w:val="20"/>
                <w:color w:val="auto"/>
              </w:rPr>
            </w:pPr>
            <w:r>
              <w:rPr>
                <w:rFonts w:ascii="Arial" w:cs="Arial" w:eastAsia="Arial" w:hAnsi="Arial"/>
                <w:sz w:val="11"/>
                <w:szCs w:val="11"/>
                <w:color w:val="auto"/>
              </w:rPr>
              <w:t>0.1 %</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5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Divestitures</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w:t>
            </w:r>
          </w:p>
        </w:tc>
      </w:tr>
      <w:tr>
        <w:trPr>
          <w:trHeight w:val="152"/>
        </w:trPr>
        <w:tc>
          <w:tcPr>
            <w:tcW w:w="7300" w:type="dxa"/>
            <w:vAlign w:val="bottom"/>
            <w:gridSpan w:val="2"/>
          </w:tcPr>
          <w:p>
            <w:pPr>
              <w:ind w:left="20"/>
              <w:spacing w:after="0"/>
              <w:rPr>
                <w:sz w:val="20"/>
                <w:szCs w:val="20"/>
                <w:color w:val="auto"/>
              </w:rPr>
            </w:pPr>
            <w:r>
              <w:rPr>
                <w:rFonts w:ascii="Arial" w:cs="Arial" w:eastAsia="Arial" w:hAnsi="Arial"/>
                <w:sz w:val="11"/>
                <w:szCs w:val="11"/>
                <w:color w:val="auto"/>
              </w:rPr>
              <w:t>Internal reorganization</w:t>
            </w:r>
          </w:p>
        </w:tc>
        <w:tc>
          <w:tcPr>
            <w:tcW w:w="540" w:type="dxa"/>
            <w:vAlign w:val="bottom"/>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62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6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Impairments</w:t>
            </w:r>
            <w:r>
              <w:rPr>
                <w:rFonts w:ascii="Arial" w:cs="Arial" w:eastAsia="Arial" w:hAnsi="Arial"/>
                <w:sz w:val="14"/>
                <w:szCs w:val="14"/>
                <w:color w:val="auto"/>
                <w:vertAlign w:val="superscript"/>
              </w:rPr>
              <w:t>(2)</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0.9 %</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w:t>
            </w:r>
          </w:p>
        </w:tc>
      </w:tr>
      <w:tr>
        <w:trPr>
          <w:trHeight w:val="152"/>
        </w:trPr>
        <w:tc>
          <w:tcPr>
            <w:tcW w:w="7300" w:type="dxa"/>
            <w:vAlign w:val="bottom"/>
            <w:gridSpan w:val="2"/>
          </w:tcPr>
          <w:p>
            <w:pPr>
              <w:ind w:left="20"/>
              <w:spacing w:after="0"/>
              <w:rPr>
                <w:sz w:val="20"/>
                <w:szCs w:val="20"/>
                <w:color w:val="auto"/>
              </w:rPr>
            </w:pPr>
            <w:r>
              <w:rPr>
                <w:rFonts w:ascii="Arial" w:cs="Arial" w:eastAsia="Arial" w:hAnsi="Arial"/>
                <w:sz w:val="11"/>
                <w:szCs w:val="11"/>
                <w:color w:val="auto"/>
              </w:rPr>
              <w:t>Unrecognized tax benefits</w:t>
            </w:r>
          </w:p>
        </w:tc>
        <w:tc>
          <w:tcPr>
            <w:tcW w:w="540" w:type="dxa"/>
            <w:vAlign w:val="bottom"/>
          </w:tcPr>
          <w:p>
            <w:pPr>
              <w:jc w:val="right"/>
              <w:spacing w:after="0"/>
              <w:rPr>
                <w:sz w:val="20"/>
                <w:szCs w:val="20"/>
                <w:color w:val="auto"/>
              </w:rPr>
            </w:pPr>
            <w:r>
              <w:rPr>
                <w:rFonts w:ascii="Arial" w:cs="Arial" w:eastAsia="Arial" w:hAnsi="Arial"/>
                <w:sz w:val="11"/>
                <w:szCs w:val="11"/>
                <w:color w:val="auto"/>
              </w:rPr>
              <w:t>1.7 %</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0.4 %</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6.6 %</w:t>
            </w:r>
          </w:p>
        </w:tc>
      </w:tr>
      <w:tr>
        <w:trPr>
          <w:trHeight w:val="16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Audit and other tax adjustments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0.9 %</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r>
      <w:tr>
        <w:trPr>
          <w:trHeight w:val="152"/>
        </w:trPr>
        <w:tc>
          <w:tcPr>
            <w:tcW w:w="7300" w:type="dxa"/>
            <w:vAlign w:val="bottom"/>
            <w:gridSpan w:val="2"/>
          </w:tcPr>
          <w:p>
            <w:pPr>
              <w:ind w:left="20"/>
              <w:spacing w:after="0"/>
              <w:rPr>
                <w:sz w:val="20"/>
                <w:szCs w:val="20"/>
                <w:color w:val="auto"/>
              </w:rPr>
            </w:pPr>
            <w:r>
              <w:rPr>
                <w:rFonts w:ascii="Arial" w:cs="Arial" w:eastAsia="Arial" w:hAnsi="Arial"/>
                <w:sz w:val="11"/>
                <w:szCs w:val="11"/>
                <w:color w:val="auto"/>
              </w:rPr>
              <w:t>Excess tax benefits</w:t>
            </w:r>
          </w:p>
        </w:tc>
        <w:tc>
          <w:tcPr>
            <w:tcW w:w="1720" w:type="dxa"/>
            <w:vAlign w:val="bottom"/>
            <w:gridSpan w:val="3"/>
          </w:tcPr>
          <w:p>
            <w:pPr>
              <w:jc w:val="right"/>
              <w:ind w:right="1124"/>
              <w:spacing w:after="0"/>
              <w:rPr>
                <w:sz w:val="20"/>
                <w:szCs w:val="20"/>
                <w:color w:val="auto"/>
              </w:rPr>
            </w:pPr>
            <w:r>
              <w:rPr>
                <w:rFonts w:ascii="Arial" w:cs="Arial" w:eastAsia="Arial" w:hAnsi="Arial"/>
                <w:sz w:val="11"/>
                <w:szCs w:val="11"/>
                <w:color w:val="auto"/>
              </w:rPr>
              <w:t>— %</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620" w:type="dxa"/>
            <w:vAlign w:val="bottom"/>
          </w:tcPr>
          <w:p>
            <w:pPr>
              <w:jc w:val="right"/>
              <w:spacing w:after="0"/>
              <w:rPr>
                <w:sz w:val="20"/>
                <w:szCs w:val="20"/>
                <w:color w:val="auto"/>
              </w:rPr>
            </w:pPr>
            <w:r>
              <w:rPr>
                <w:rFonts w:ascii="Arial" w:cs="Arial" w:eastAsia="Arial" w:hAnsi="Arial"/>
                <w:sz w:val="11"/>
                <w:szCs w:val="11"/>
                <w:color w:val="auto"/>
              </w:rPr>
              <w:t>0.6 %</w:t>
            </w:r>
          </w:p>
        </w:tc>
      </w:tr>
      <w:tr>
        <w:trPr>
          <w:trHeight w:val="160"/>
        </w:trPr>
        <w:tc>
          <w:tcPr>
            <w:tcW w:w="6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(3)</w:t>
            </w:r>
          </w:p>
        </w:tc>
        <w:tc>
          <w:tcPr>
            <w:tcW w:w="10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10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00" w:type="dxa"/>
            <w:vAlign w:val="bottom"/>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w:t>
            </w:r>
          </w:p>
        </w:tc>
      </w:tr>
      <w:tr>
        <w:trPr>
          <w:trHeight w:val="147"/>
        </w:trPr>
        <w:tc>
          <w:tcPr>
            <w:tcW w:w="7300" w:type="dxa"/>
            <w:vAlign w:val="bottom"/>
            <w:gridSpan w:val="2"/>
          </w:tcPr>
          <w:p>
            <w:pPr>
              <w:ind w:left="20"/>
              <w:spacing w:after="0"/>
              <w:rPr>
                <w:sz w:val="20"/>
                <w:szCs w:val="20"/>
                <w:color w:val="auto"/>
              </w:rPr>
            </w:pPr>
            <w:r>
              <w:rPr>
                <w:rFonts w:ascii="Arial" w:cs="Arial" w:eastAsia="Arial" w:hAnsi="Arial"/>
                <w:sz w:val="11"/>
                <w:szCs w:val="11"/>
                <w:b w:val="1"/>
                <w:bCs w:val="1"/>
                <w:color w:val="auto"/>
              </w:rPr>
              <w:t>Effective Income Tax Rate</w:t>
            </w:r>
          </w:p>
        </w:tc>
        <w:tc>
          <w:tcPr>
            <w:tcW w:w="540" w:type="dxa"/>
            <w:vAlign w:val="bottom"/>
          </w:tcPr>
          <w:p>
            <w:pPr>
              <w:jc w:val="right"/>
              <w:spacing w:after="0"/>
              <w:rPr>
                <w:sz w:val="20"/>
                <w:szCs w:val="20"/>
                <w:color w:val="auto"/>
              </w:rPr>
            </w:pPr>
            <w:r>
              <w:rPr>
                <w:rFonts w:ascii="Arial" w:cs="Arial" w:eastAsia="Arial" w:hAnsi="Arial"/>
                <w:sz w:val="11"/>
                <w:szCs w:val="11"/>
                <w:color w:val="auto"/>
              </w:rPr>
              <w:t>15.5 %</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10.7 %</w:t>
            </w:r>
          </w:p>
        </w:tc>
        <w:tc>
          <w:tcPr>
            <w:tcW w:w="1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(43.9)%</w:t>
            </w:r>
          </w:p>
        </w:tc>
      </w:tr>
      <w:tr>
        <w:trPr>
          <w:trHeight w:val="20"/>
        </w:trPr>
        <w:tc>
          <w:tcPr>
            <w:tcW w:w="6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left="20"/>
        <w:spacing w:after="0"/>
        <w:rPr>
          <w:sz w:val="20"/>
          <w:szCs w:val="20"/>
          <w:color w:val="auto"/>
        </w:rPr>
      </w:pPr>
      <w:r>
        <w:rPr>
          <w:rFonts w:ascii="Arial" w:cs="Arial" w:eastAsia="Arial" w:hAnsi="Arial"/>
          <w:sz w:val="8"/>
          <w:szCs w:val="8"/>
          <w:i w:val="1"/>
          <w:iCs w:val="1"/>
          <w:color w:val="auto"/>
        </w:rPr>
        <w:t>_______________</w:t>
      </w:r>
    </w:p>
    <w:p>
      <w:pPr>
        <w:spacing w:after="0" w:line="14" w:lineRule="exact"/>
        <w:rPr>
          <w:sz w:val="20"/>
          <w:szCs w:val="20"/>
          <w:color w:val="auto"/>
        </w:rPr>
      </w:pPr>
    </w:p>
    <w:p>
      <w:pPr>
        <w:ind w:left="260" w:hanging="257"/>
        <w:spacing w:after="0"/>
        <w:tabs>
          <w:tab w:leader="none" w:pos="260" w:val="left"/>
        </w:tabs>
        <w:numPr>
          <w:ilvl w:val="0"/>
          <w:numId w:val="46"/>
        </w:numPr>
        <w:rPr>
          <w:rFonts w:ascii="Arial" w:cs="Arial" w:eastAsia="Arial" w:hAnsi="Arial"/>
          <w:sz w:val="11"/>
          <w:szCs w:val="11"/>
          <w:i w:val="1"/>
          <w:iCs w:val="1"/>
          <w:color w:val="auto"/>
        </w:rPr>
      </w:pPr>
      <w:r>
        <w:rPr>
          <w:rFonts w:ascii="Arial" w:cs="Arial" w:eastAsia="Arial" w:hAnsi="Arial"/>
          <w:sz w:val="11"/>
          <w:szCs w:val="11"/>
          <w:i w:val="1"/>
          <w:iCs w:val="1"/>
          <w:color w:val="auto"/>
        </w:rPr>
        <w:t>The “Foreign rate differential adjusted for U.S. taxation of foreign profits” includes the U.S. tax, net of foreign tax credits, associated with actual and deemed repatriations of earnings from our non-U.S. subsidiaries.</w:t>
      </w:r>
    </w:p>
    <w:p>
      <w:pPr>
        <w:spacing w:after="0" w:line="8" w:lineRule="exact"/>
        <w:rPr>
          <w:rFonts w:ascii="Arial" w:cs="Arial" w:eastAsia="Arial" w:hAnsi="Arial"/>
          <w:sz w:val="11"/>
          <w:szCs w:val="11"/>
          <w:i w:val="1"/>
          <w:iCs w:val="1"/>
          <w:color w:val="auto"/>
        </w:rPr>
      </w:pPr>
    </w:p>
    <w:p>
      <w:pPr>
        <w:ind w:left="260" w:hanging="257"/>
        <w:spacing w:after="0"/>
        <w:tabs>
          <w:tab w:leader="none" w:pos="260" w:val="left"/>
        </w:tabs>
        <w:numPr>
          <w:ilvl w:val="0"/>
          <w:numId w:val="46"/>
        </w:numPr>
        <w:rPr>
          <w:rFonts w:ascii="Arial" w:cs="Arial" w:eastAsia="Arial" w:hAnsi="Arial"/>
          <w:sz w:val="11"/>
          <w:szCs w:val="11"/>
          <w:i w:val="1"/>
          <w:iCs w:val="1"/>
          <w:color w:val="auto"/>
        </w:rPr>
      </w:pPr>
      <w:r>
        <w:rPr>
          <w:rFonts w:ascii="Arial" w:cs="Arial" w:eastAsia="Arial" w:hAnsi="Arial"/>
          <w:sz w:val="11"/>
          <w:szCs w:val="11"/>
          <w:i w:val="1"/>
          <w:iCs w:val="1"/>
          <w:color w:val="auto"/>
        </w:rPr>
        <w:t>Impairment represents adjustments for the non-deductible component of goodwill in 2024, 2023 and 2022.</w:t>
      </w:r>
    </w:p>
    <w:p>
      <w:pPr>
        <w:ind w:left="260" w:hanging="257"/>
        <w:spacing w:after="0"/>
        <w:tabs>
          <w:tab w:leader="none" w:pos="260" w:val="left"/>
        </w:tabs>
        <w:numPr>
          <w:ilvl w:val="0"/>
          <w:numId w:val="46"/>
        </w:numPr>
        <w:rPr>
          <w:rFonts w:ascii="Arial" w:cs="Arial" w:eastAsia="Arial" w:hAnsi="Arial"/>
          <w:sz w:val="11"/>
          <w:szCs w:val="11"/>
          <w:i w:val="1"/>
          <w:iCs w:val="1"/>
          <w:color w:val="auto"/>
        </w:rPr>
      </w:pPr>
      <w:r>
        <w:rPr>
          <w:rFonts w:ascii="Arial" w:cs="Arial" w:eastAsia="Arial" w:hAnsi="Arial"/>
          <w:sz w:val="11"/>
          <w:szCs w:val="11"/>
          <w:i w:val="1"/>
          <w:iCs w:val="1"/>
          <w:color w:val="auto"/>
        </w:rPr>
        <w:t>In 2024, 2023 and 2022, the "Other" line includes immaterial reconciling items. As such, the Company believes it is appropriate for these items to remain in "Other".</w:t>
      </w:r>
    </w:p>
    <w:p>
      <w:pPr>
        <w:spacing w:after="0" w:line="116" w:lineRule="exact"/>
        <w:rPr>
          <w:sz w:val="20"/>
          <w:szCs w:val="20"/>
          <w:color w:val="auto"/>
        </w:rPr>
      </w:pPr>
    </w:p>
    <w:p>
      <w:pPr>
        <w:ind w:right="220"/>
        <w:spacing w:after="0" w:line="282" w:lineRule="auto"/>
        <w:rPr>
          <w:sz w:val="20"/>
          <w:szCs w:val="20"/>
          <w:color w:val="auto"/>
        </w:rPr>
      </w:pPr>
      <w:r>
        <w:rPr>
          <w:rFonts w:ascii="Arial" w:cs="Arial" w:eastAsia="Arial" w:hAnsi="Arial"/>
          <w:sz w:val="14"/>
          <w:szCs w:val="14"/>
          <w:color w:val="auto"/>
        </w:rPr>
        <w:t>On a consolidated basis, the Company paid $44 million, $18 million and $53 million in combined income taxes to federal, foreign and state jurisdictions during the three years ended December 31, 2024, 2023 and 2022,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Unrecognized Tax Benefits and Audit Resolutions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Company recognizes tax liabilities when, despite its belief that its tax return positions are supportable, the Company believes that certain positions may not be fully sustained upon review by tax authorities. Each period the Company assesses uncertain tax positions for recognition, measurement and effective settlement. Benefits from uncertain tax positions are measured at the largest amount of benefit that is greater than 50 percent likely of being realized upon settlement. Where the Company has determined that its tax return filing position does not satisfy the more-likely-than-not recognition threshold, the Company has recorded no tax benefits.</w:t>
      </w:r>
    </w:p>
    <w:p>
      <w:pPr>
        <w:spacing w:after="0" w:line="97"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The Company is also subject to ongoing tax examinations in numerous jurisdictions due to the extensive geographical scope of its operations. The Company's ongoing assessments of the more-likely-than-not outcomes of the examinations and related tax positions require judgment and can increase or decrease the Company's effective tax rate, as well as impact its operating results. The specific timing of when the resolution of each tax position will be reached is uncertain.</w:t>
      </w:r>
    </w:p>
    <w:p>
      <w:pPr>
        <w:spacing w:after="0" w:line="92"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In the fourth quarter of 2024, the Company implemented an internal reorganization in which it sold a portion of its top tier foreign holding company to a lower tier subsidiary. This transaction and a subsequent tax election to treat the holding company as a partnership resulted in recognition of a built-in capital loss for tax purposes that offset capital gains from divestitures, resulting in net tax savings of $ 59 million. The determination of the tax characteristic of this transaction requires management to make judgments about the application of tax laws and regulations. The United States Internal Revenue Service could determine a different tax treatment that would have an adverse impact on the Company.</w:t>
      </w:r>
    </w:p>
    <w:p>
      <w:pPr>
        <w:spacing w:after="0" w:line="97"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As of December 31, 2024, the Company had $19 million of unrecognized tax benefits that, if recognized, would impact the Company's effective tax rate. Of this amount, $17 million is related to the valuation of the Company's foreign operations used in the calculation of the loss on the internal reorganization mentioned above.</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3" w:name="page84"/>
    <w:bookmarkEnd w:id="8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beginning and ending amount of unrecognized tax benefits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00" w:type="dxa"/>
            <w:vAlign w:val="bottom"/>
          </w:tcPr>
          <w:p>
            <w:pPr>
              <w:jc w:val="right"/>
              <w:ind w:right="604"/>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jc w:val="right"/>
              <w:ind w:right="584"/>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ind w:right="604"/>
              <w:spacing w:after="0"/>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January 1</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Additions related to current year</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 related to prior years positions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Reductions related to prior years positions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Settlements with taxing authorities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Lapse of Statute of limitations</w:t>
            </w: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76"/>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w:t>
            </w:r>
          </w:p>
        </w:tc>
        <w:tc>
          <w:tcPr>
            <w:tcW w:w="38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The Company maintains offsetting benefits from other jurisdictions of $2 million, $1 million and $1 million, at December 31, 2024, 2023 and 2022, respectively. The Company recognized interest and penalties accrued on unrecognized tax benefits within income tax expense. The Company had $1 million, $2 million and $3 million accrued for the payment of interest and penalties associated with unrecognized tax benefits at December 31, 2024, 2023 and 2022, respectively. We are subject to federal income tax examinations in the U.S. and to income tax examinations in various states and foreign jurisdictions. In the U.S., the Company is no longer subject to U.S. federal income tax examinations for years before 2021. With limited exceptions, as of December 31, 2024, we are no longer subject to state, local or foreign examinations by tax authorities for years before 2020.</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Deferred Income Taxes</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The Company is indefinitely reinvested in the undistributed earnings of its foreign subsidiaries with respect to the U.S. These foreign subsidiaries have aggregate cumulative undistributed earnings of $118 million as of December 31, 2024. For years after 2017, current tax law allows for certain earnings to be repatriated free from U.S. Federal taxes. However, the repatriation of earnings could give rise to additional tax liabilities. The Company has not provided for these liabilities. The Company has also not provided for deferred taxes on outside basis differences in its investments in its foreign subsidiaries. A determination of the unrecognized deferred taxes related to these other components of the Company's outside basis differences is not practicable. The Company has provided for deferred taxes with respect to certain unremitted earnings of foreign subsidiaries that are not indefinitely reinvested between foreign subsidiaries outside of the U.S.</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4" w:name="page85"/>
    <w:bookmarkEnd w:id="8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tax effects of temporary differences that give rise to significant portions of the deferred taxes were as follows: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56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1"/>
                <w:szCs w:val="11"/>
                <w:color w:val="auto"/>
              </w:rPr>
              <w:t>December 31,</w:t>
            </w:r>
          </w:p>
        </w:tc>
        <w:tc>
          <w:tcPr>
            <w:tcW w:w="1100" w:type="dxa"/>
            <w:vAlign w:val="bottom"/>
            <w:tcBorders>
              <w:bottom w:val="single" w:sz="8" w:color="auto"/>
            </w:tcBorders>
          </w:tcPr>
          <w:p>
            <w:pPr>
              <w:spacing w:after="0"/>
              <w:rPr>
                <w:sz w:val="12"/>
                <w:szCs w:val="12"/>
                <w:color w:val="auto"/>
              </w:rPr>
            </w:pPr>
          </w:p>
        </w:tc>
      </w:tr>
      <w:tr>
        <w:trPr>
          <w:trHeight w:val="123"/>
        </w:trPr>
        <w:tc>
          <w:tcPr>
            <w:tcW w:w="794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20" w:type="dxa"/>
            <w:vAlign w:val="bottom"/>
          </w:tcPr>
          <w:p>
            <w:pPr>
              <w:jc w:val="right"/>
              <w:ind w:right="624"/>
              <w:spacing w:after="0" w:line="123"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tcPr>
          <w:p>
            <w:pPr>
              <w:jc w:val="right"/>
              <w:ind w:right="624"/>
              <w:spacing w:after="0" w:line="123" w:lineRule="exact"/>
              <w:rPr>
                <w:sz w:val="20"/>
                <w:szCs w:val="20"/>
                <w:color w:val="auto"/>
              </w:rPr>
            </w:pPr>
            <w:r>
              <w:rPr>
                <w:rFonts w:ascii="Arial" w:cs="Arial" w:eastAsia="Arial" w:hAnsi="Arial"/>
                <w:sz w:val="11"/>
                <w:szCs w:val="11"/>
                <w:color w:val="auto"/>
              </w:rPr>
              <w:t>2023</w:t>
            </w: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8"/>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Deferred Tax Assets</w:t>
            </w: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Net operating losses and capital loss carryforward</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13"/>
                <w:szCs w:val="13"/>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100</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reserves, accruals and deferrals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36</w:t>
            </w: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Deferred compensation</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2</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expense capitalization</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w:t>
            </w: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Settlement reserves</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4</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lease liabilities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48</w:t>
            </w: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Tax credits</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6</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Capitalized research and experimentation costs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w:t>
            </w: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Compensation related accruals</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16</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w:t>
            </w:r>
          </w:p>
        </w:tc>
      </w:tr>
      <w:tr>
        <w:trPr>
          <w:trHeight w:val="146"/>
        </w:trPr>
        <w:tc>
          <w:tcPr>
            <w:tcW w:w="7940" w:type="dxa"/>
            <w:vAlign w:val="bottom"/>
            <w:gridSpan w:val="2"/>
          </w:tcPr>
          <w:p>
            <w:pPr>
              <w:spacing w:after="0"/>
              <w:rPr>
                <w:sz w:val="20"/>
                <w:szCs w:val="20"/>
                <w:color w:val="auto"/>
              </w:rPr>
            </w:pPr>
            <w:r>
              <w:rPr>
                <w:rFonts w:ascii="Arial" w:cs="Arial" w:eastAsia="Arial" w:hAnsi="Arial"/>
                <w:sz w:val="11"/>
                <w:szCs w:val="11"/>
                <w:b w:val="1"/>
                <w:bCs w:val="1"/>
                <w:color w:val="auto"/>
              </w:rPr>
              <w:t>Subtotal</w:t>
            </w:r>
          </w:p>
        </w:tc>
        <w:tc>
          <w:tcPr>
            <w:tcW w:w="380" w:type="dxa"/>
            <w:vAlign w:val="bottom"/>
          </w:tcPr>
          <w:p>
            <w:pPr>
              <w:spacing w:after="0"/>
              <w:rPr>
                <w:sz w:val="12"/>
                <w:szCs w:val="12"/>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241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253</w:t>
            </w:r>
          </w:p>
        </w:tc>
      </w:tr>
      <w:tr>
        <w:trPr>
          <w:trHeight w:val="153"/>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Valuation allowance</w:t>
            </w: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w:t>
            </w:r>
          </w:p>
        </w:tc>
      </w:tr>
      <w:tr>
        <w:trPr>
          <w:trHeight w:val="151"/>
        </w:trPr>
        <w:tc>
          <w:tcPr>
            <w:tcW w:w="79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146</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153</w:t>
            </w: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9"/>
        </w:trPr>
        <w:tc>
          <w:tcPr>
            <w:tcW w:w="560" w:type="dxa"/>
            <w:vAlign w:val="bottom"/>
            <w:shd w:val="clear" w:color="auto" w:fill="CCEEFF"/>
          </w:tcPr>
          <w:p>
            <w:pPr>
              <w:spacing w:after="0"/>
              <w:rPr>
                <w:sz w:val="13"/>
                <w:szCs w:val="13"/>
                <w:color w:val="auto"/>
              </w:rPr>
            </w:pPr>
          </w:p>
        </w:tc>
        <w:tc>
          <w:tcPr>
            <w:tcW w:w="7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5"/>
        </w:trPr>
        <w:tc>
          <w:tcPr>
            <w:tcW w:w="7940" w:type="dxa"/>
            <w:vAlign w:val="bottom"/>
            <w:gridSpan w:val="2"/>
          </w:tcPr>
          <w:p>
            <w:pPr>
              <w:spacing w:after="0"/>
              <w:rPr>
                <w:sz w:val="20"/>
                <w:szCs w:val="20"/>
                <w:color w:val="auto"/>
              </w:rPr>
            </w:pPr>
            <w:r>
              <w:rPr>
                <w:rFonts w:ascii="Arial" w:cs="Arial" w:eastAsia="Arial" w:hAnsi="Arial"/>
                <w:sz w:val="11"/>
                <w:szCs w:val="11"/>
                <w:b w:val="1"/>
                <w:bCs w:val="1"/>
                <w:color w:val="auto"/>
              </w:rPr>
              <w:t>Deferred Tax Liabilities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7"/>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Intangibles and goodwill</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w:t>
            </w: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Depreciation</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72</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lease right-of-use assets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43</w:t>
            </w:r>
          </w:p>
        </w:tc>
      </w:tr>
      <w:tr>
        <w:trPr>
          <w:trHeight w:val="152"/>
        </w:trPr>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18</w:t>
            </w:r>
          </w:p>
        </w:tc>
      </w:tr>
      <w:tr>
        <w:trPr>
          <w:trHeight w:val="15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147</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162</w:t>
            </w:r>
          </w:p>
        </w:tc>
      </w:tr>
      <w:tr>
        <w:trPr>
          <w:trHeight w:val="54"/>
        </w:trPr>
        <w:tc>
          <w:tcPr>
            <w:tcW w:w="560" w:type="dxa"/>
            <w:vAlign w:val="bottom"/>
            <w:tcBorders>
              <w:bottom w:val="single" w:sz="8" w:color="CCEEFF"/>
            </w:tcBorders>
          </w:tcPr>
          <w:p>
            <w:pPr>
              <w:spacing w:after="0"/>
              <w:rPr>
                <w:sz w:val="4"/>
                <w:szCs w:val="4"/>
                <w:color w:val="auto"/>
              </w:rPr>
            </w:pPr>
          </w:p>
        </w:tc>
        <w:tc>
          <w:tcPr>
            <w:tcW w:w="73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72"/>
        </w:trPr>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Deferred Tax Assets (Liabilities), Net</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w:t>
            </w: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deferred tax assets for the respective periods were assessed for recoverability and, where applicable, a valuation allowance was recorded to reduce the total deferred tax asset to an amount that will, more-likely-than-not, be realized in the future. The net change in the total valuation allowance for the years ended December 31, 2024 and 2023 was a decrease of $5 million and a decrease of $2 million, respectively. The valuation allowance relates primarily to certain net operating loss carryforwards, tax credit carryforwards and deductible temporary differences for which the Company has concluded it is more-likely-than-not that these items will not be realized in the ordinary course of operations.</w:t>
      </w:r>
    </w:p>
    <w:p>
      <w:pPr>
        <w:spacing w:after="0" w:line="97"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color w:val="auto"/>
        </w:rPr>
        <w:t>Although realization is not assured, the Company has concluded that it is more-likely-than-not that the deferred tax assets, for which a valuation allowance was determined to be unnecessary, will be realized in the ordinary course of operations based on the available positive and negative evidence, including scheduling of deferred tax liabilities and projected income from operating activities. The amount of the net deferred tax assets considered realizable, however, could be reduced in the near term if actual future income or income tax rates are lower than estimated, or if there are differences in the timing or amount of future reversals of existing taxable or deductible temporary differences.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2024, the Company had tax credit carryforwards of $10 million available to offset future income taxes, which will expire between 2027 and 2043, if not utilized.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Company's worldwide net operating loss carryforwards ("NOLs") as of December 31, 2024 and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684"/>
              <w:spacing w:after="0"/>
              <w:rPr>
                <w:sz w:val="20"/>
                <w:szCs w:val="20"/>
                <w:color w:val="auto"/>
              </w:rPr>
            </w:pPr>
            <w:r>
              <w:rPr>
                <w:rFonts w:ascii="Arial" w:cs="Arial" w:eastAsia="Arial" w:hAnsi="Arial"/>
                <w:sz w:val="11"/>
                <w:szCs w:val="11"/>
                <w:color w:val="auto"/>
              </w:rPr>
              <w:t>December 31, 2024</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December 31, 2023</w:t>
            </w:r>
          </w:p>
        </w:tc>
        <w:tc>
          <w:tcPr>
            <w:tcW w:w="1040" w:type="dxa"/>
            <w:vAlign w:val="bottom"/>
            <w:tcBorders>
              <w:bottom w:val="single" w:sz="8" w:color="auto"/>
            </w:tcBorders>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502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980" w:type="dxa"/>
            <w:vAlign w:val="bottom"/>
          </w:tcPr>
          <w:p>
            <w:pPr>
              <w:jc w:val="right"/>
              <w:ind w:right="24"/>
              <w:spacing w:after="0" w:line="123" w:lineRule="exact"/>
              <w:rPr>
                <w:sz w:val="20"/>
                <w:szCs w:val="20"/>
                <w:color w:val="auto"/>
              </w:rPr>
            </w:pPr>
            <w:r>
              <w:rPr>
                <w:rFonts w:ascii="Arial" w:cs="Arial" w:eastAsia="Arial" w:hAnsi="Arial"/>
                <w:sz w:val="11"/>
                <w:szCs w:val="11"/>
                <w:color w:val="auto"/>
              </w:rPr>
              <w:t>Gross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right"/>
              <w:ind w:right="64"/>
              <w:spacing w:after="0" w:line="123" w:lineRule="exact"/>
              <w:rPr>
                <w:sz w:val="20"/>
                <w:szCs w:val="20"/>
                <w:color w:val="auto"/>
              </w:rPr>
            </w:pPr>
            <w:r>
              <w:rPr>
                <w:rFonts w:ascii="Arial" w:cs="Arial" w:eastAsia="Arial" w:hAnsi="Arial"/>
                <w:sz w:val="11"/>
                <w:szCs w:val="11"/>
                <w:color w:val="auto"/>
              </w:rPr>
              <w:t>Tax Effected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ind w:right="24"/>
              <w:spacing w:after="0" w:line="123" w:lineRule="exact"/>
              <w:rPr>
                <w:sz w:val="20"/>
                <w:szCs w:val="20"/>
                <w:color w:val="auto"/>
              </w:rPr>
            </w:pPr>
            <w:r>
              <w:rPr>
                <w:rFonts w:ascii="Arial" w:cs="Arial" w:eastAsia="Arial" w:hAnsi="Arial"/>
                <w:sz w:val="11"/>
                <w:szCs w:val="11"/>
                <w:color w:val="auto"/>
              </w:rPr>
              <w:t>Gross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jc w:val="right"/>
              <w:ind w:right="384"/>
              <w:spacing w:after="0" w:line="123" w:lineRule="exact"/>
              <w:rPr>
                <w:sz w:val="20"/>
                <w:szCs w:val="20"/>
                <w:color w:val="auto"/>
              </w:rPr>
            </w:pPr>
            <w:r>
              <w:rPr>
                <w:rFonts w:ascii="Arial" w:cs="Arial" w:eastAsia="Arial" w:hAnsi="Arial"/>
                <w:sz w:val="11"/>
                <w:szCs w:val="11"/>
                <w:color w:val="auto"/>
                <w:w w:val="93"/>
              </w:rPr>
              <w:t>Tax Effected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U.S Federal NOLs limited by Section 382 of the Tax Code</w:t>
            </w: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044"/>
              <w:spacing w:after="0"/>
              <w:rPr>
                <w:sz w:val="20"/>
                <w:szCs w:val="20"/>
                <w:color w:val="auto"/>
              </w:rPr>
            </w:pPr>
            <w:r>
              <w:rPr>
                <w:rFonts w:ascii="Arial" w:cs="Arial" w:eastAsia="Arial" w:hAnsi="Arial"/>
                <w:sz w:val="11"/>
                <w:szCs w:val="11"/>
                <w:color w:val="auto"/>
                <w:w w:val="97"/>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24"/>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2"/>
        </w:trPr>
        <w:tc>
          <w:tcPr>
            <w:tcW w:w="20" w:type="dxa"/>
            <w:vAlign w:val="bottom"/>
          </w:tcPr>
          <w:p>
            <w:pPr>
              <w:spacing w:after="0"/>
              <w:rPr>
                <w:sz w:val="13"/>
                <w:szCs w:val="13"/>
                <w:color w:val="auto"/>
              </w:rPr>
            </w:pPr>
          </w:p>
        </w:tc>
        <w:tc>
          <w:tcPr>
            <w:tcW w:w="5020" w:type="dxa"/>
            <w:vAlign w:val="bottom"/>
            <w:gridSpan w:val="2"/>
          </w:tcPr>
          <w:p>
            <w:pPr>
              <w:spacing w:after="0"/>
              <w:rPr>
                <w:sz w:val="20"/>
                <w:szCs w:val="20"/>
                <w:color w:val="auto"/>
              </w:rPr>
            </w:pPr>
            <w:r>
              <w:rPr>
                <w:rFonts w:ascii="Arial" w:cs="Arial" w:eastAsia="Arial" w:hAnsi="Arial"/>
                <w:sz w:val="11"/>
                <w:szCs w:val="11"/>
                <w:color w:val="auto"/>
              </w:rPr>
              <w:t>U.S. State NOLs</w:t>
            </w:r>
          </w:p>
        </w:tc>
        <w:tc>
          <w:tcPr>
            <w:tcW w:w="98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Arial" w:cs="Arial" w:eastAsia="Arial" w:hAnsi="Arial"/>
                <w:sz w:val="11"/>
                <w:szCs w:val="11"/>
                <w:color w:val="auto"/>
              </w:rPr>
              <w:t>255</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jc w:val="right"/>
              <w:ind w:right="4"/>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Arial" w:cs="Arial" w:eastAsia="Arial" w:hAnsi="Arial"/>
                <w:sz w:val="11"/>
                <w:szCs w:val="11"/>
                <w:color w:val="auto"/>
              </w:rPr>
              <w:t>367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18</w:t>
            </w:r>
          </w:p>
        </w:tc>
      </w:tr>
      <w:tr>
        <w:trPr>
          <w:trHeight w:val="156"/>
        </w:trPr>
        <w:tc>
          <w:tcPr>
            <w:tcW w:w="20" w:type="dxa"/>
            <w:vAlign w:val="bottom"/>
            <w:shd w:val="clear" w:color="auto" w:fill="CCEEFF"/>
          </w:tcPr>
          <w:p>
            <w:pPr>
              <w:spacing w:after="0"/>
              <w:rPr>
                <w:sz w:val="13"/>
                <w:szCs w:val="13"/>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Foreign NOLs</w:t>
            </w:r>
          </w:p>
        </w:tc>
        <w:tc>
          <w:tcPr>
            <w:tcW w:w="9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303</w:t>
            </w:r>
          </w:p>
        </w:tc>
        <w:tc>
          <w:tcPr>
            <w:tcW w:w="80" w:type="dxa"/>
            <w:vAlign w:val="bottom"/>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71</w:t>
            </w: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308</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w:t>
            </w:r>
          </w:p>
        </w:tc>
      </w:tr>
      <w:tr>
        <w:trPr>
          <w:trHeight w:val="151"/>
        </w:trPr>
        <w:tc>
          <w:tcPr>
            <w:tcW w:w="20" w:type="dxa"/>
            <w:vAlign w:val="bottom"/>
          </w:tcPr>
          <w:p>
            <w:pPr>
              <w:spacing w:after="0"/>
              <w:rPr>
                <w:sz w:val="13"/>
                <w:szCs w:val="13"/>
                <w:color w:val="auto"/>
              </w:rPr>
            </w:pPr>
          </w:p>
        </w:tc>
        <w:tc>
          <w:tcPr>
            <w:tcW w:w="502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980" w:type="dxa"/>
            <w:vAlign w:val="bottom"/>
            <w:tcBorders>
              <w:bottom w:val="single" w:sz="8" w:color="auto"/>
            </w:tcBorders>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560</w:t>
            </w:r>
          </w:p>
        </w:tc>
        <w:tc>
          <w:tcPr>
            <w:tcW w:w="80" w:type="dxa"/>
            <w:vAlign w:val="bottom"/>
          </w:tcPr>
          <w:p>
            <w:pPr>
              <w:spacing w:after="0"/>
              <w:rPr>
                <w:sz w:val="13"/>
                <w:szCs w:val="13"/>
                <w:color w:val="auto"/>
              </w:rPr>
            </w:pPr>
          </w:p>
        </w:tc>
        <w:tc>
          <w:tcPr>
            <w:tcW w:w="1180" w:type="dxa"/>
            <w:vAlign w:val="bottom"/>
            <w:tcBorders>
              <w:bottom w:val="single" w:sz="8" w:color="auto"/>
            </w:tcBorders>
          </w:tcPr>
          <w:p>
            <w:pPr>
              <w:jc w:val="right"/>
              <w:ind w:right="1044"/>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84</w:t>
            </w:r>
          </w:p>
        </w:tc>
        <w:tc>
          <w:tcPr>
            <w:tcW w:w="80" w:type="dxa"/>
            <w:vAlign w:val="bottom"/>
          </w:tcPr>
          <w:p>
            <w:pPr>
              <w:spacing w:after="0"/>
              <w:rPr>
                <w:sz w:val="13"/>
                <w:szCs w:val="13"/>
                <w:color w:val="auto"/>
              </w:rPr>
            </w:pPr>
          </w:p>
        </w:tc>
        <w:tc>
          <w:tcPr>
            <w:tcW w:w="980" w:type="dxa"/>
            <w:vAlign w:val="bottom"/>
            <w:tcBorders>
              <w:bottom w:val="single" w:sz="8" w:color="auto"/>
            </w:tcBorders>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678</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2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5" w:name="page86"/>
    <w:bookmarkEnd w:id="8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color w:val="auto"/>
        </w:rPr>
        <w:t>The Company has $560 million of gross net operating loss carryforwards for income tax purposes including $439 million that will expire between 2025 and 2044, if not utilized, and $121 million available to offset future taxable income indefinitely. The Company had $7 million of foreign capital losses available to offset future capital gains income indefinitely. The Company does not expect to receive a tax benefit for the majority of the NOLs presented above, as valuation allowances have been recorded against most of the state and foreign NOLs and capital losses.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15 – Contingencies and Litigation</w:t>
      </w:r>
    </w:p>
    <w:p>
      <w:pPr>
        <w:spacing w:after="0" w:line="123" w:lineRule="exact"/>
        <w:rPr>
          <w:sz w:val="20"/>
          <w:szCs w:val="20"/>
          <w:color w:val="auto"/>
        </w:rPr>
      </w:pPr>
    </w:p>
    <w:p>
      <w:pPr>
        <w:ind w:right="100"/>
        <w:spacing w:after="0" w:line="251" w:lineRule="auto"/>
        <w:rPr>
          <w:sz w:val="20"/>
          <w:szCs w:val="20"/>
          <w:color w:val="auto"/>
        </w:rPr>
      </w:pPr>
      <w:r>
        <w:rPr>
          <w:rFonts w:ascii="Arial" w:cs="Arial" w:eastAsia="Arial" w:hAnsi="Arial"/>
          <w:sz w:val="14"/>
          <w:szCs w:val="14"/>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December 31, 2024.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spacing w:after="0" w:line="106" w:lineRule="exact"/>
        <w:rPr>
          <w:sz w:val="20"/>
          <w:szCs w:val="20"/>
          <w:color w:val="auto"/>
        </w:rPr>
      </w:pPr>
    </w:p>
    <w:p>
      <w:pPr>
        <w:ind w:right="60"/>
        <w:spacing w:after="0" w:line="254" w:lineRule="auto"/>
        <w:rPr>
          <w:sz w:val="20"/>
          <w:szCs w:val="20"/>
          <w:color w:val="auto"/>
        </w:rPr>
      </w:pPr>
      <w:r>
        <w:rPr>
          <w:rFonts w:ascii="Arial" w:cs="Arial" w:eastAsia="Arial" w:hAnsi="Arial"/>
          <w:sz w:val="14"/>
          <w:szCs w:val="14"/>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December 31, 2024, the Company had accrued its estimate of liability incurred under its indemnification arrangements and guarantees.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0066CC"/>
        </w:rPr>
        <w:t>Litigation Against the Company</w:t>
      </w:r>
    </w:p>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3"/>
          <w:szCs w:val="13"/>
          <w:b w:val="1"/>
          <w:bCs w:val="1"/>
          <w:i w:val="1"/>
          <w:iCs w:val="1"/>
          <w:u w:val="single" w:color="auto"/>
          <w:color w:val="1269BC"/>
        </w:rPr>
        <w:t>Skyview Capital LLC and Continuum Global Solutions, LLC v. Conduent Business Services, LLC:</w:t>
      </w:r>
      <w:r>
        <w:rPr>
          <w:rFonts w:ascii="Arial" w:cs="Arial" w:eastAsia="Arial" w:hAnsi="Arial"/>
          <w:sz w:val="13"/>
          <w:szCs w:val="13"/>
          <w:b w:val="1"/>
          <w:bCs w:val="1"/>
          <w:i w:val="1"/>
          <w:iCs w:val="1"/>
          <w:color w:val="1269BC"/>
        </w:rPr>
        <w:t xml:space="preserve"> </w:t>
      </w:r>
      <w:r>
        <w:rPr>
          <w:rFonts w:ascii="Arial" w:cs="Arial" w:eastAsia="Arial" w:hAnsi="Arial"/>
          <w:sz w:val="13"/>
          <w:szCs w:val="13"/>
          <w:color w:val="000000"/>
        </w:rPr>
        <w:t>On February 3, 2020, plaintiffs Skyview Capital LLC and Continuum Global</w:t>
      </w:r>
      <w:r>
        <w:rPr>
          <w:rFonts w:ascii="Arial" w:cs="Arial" w:eastAsia="Arial" w:hAnsi="Arial"/>
          <w:sz w:val="13"/>
          <w:szCs w:val="13"/>
          <w:b w:val="1"/>
          <w:bCs w:val="1"/>
          <w:i w:val="1"/>
          <w:iCs w:val="1"/>
          <w:color w:val="1269BC"/>
        </w:rPr>
        <w:t xml:space="preserve"> </w:t>
      </w:r>
      <w:r>
        <w:rPr>
          <w:rFonts w:ascii="Arial" w:cs="Arial" w:eastAsia="Arial" w:hAnsi="Arial"/>
          <w:sz w:val="13"/>
          <w:szCs w:val="13"/>
          <w:color w:val="000000"/>
        </w:rPr>
        <w:t>Solutions LLC (collectively "Skyview") filed a lawsuit in the Supreme Court of the State of New York, County of New York against Conduent Business Services, LLC, a wholly-owned subsidiary of the Company ("CBS"). The lawsuit relates to the sale of a portion of CBS's select standalone customer care call center business to plaintiffs, which sale closed in February 2019. Under the terms of the sale agreement, CBS received approximately $ 23 million in principal amount of promissory notes from plaintiffs (the "Notes"). The lawsuit alleges various causes of action in connection with the acquisition, including: indemnification for breach of representation and warranty; indemnification for breach of covenant; and fraud. Plaintiffs alleged that their obligation to mitigate damages and their contractual right of set-off permits them to withhold and deduct from any amounts that are owed to CBS under the Notes, and plaintiffs sought a judgment that they have no obligation to pay the Notes. On August 20, 2020, CBS filed counterclaims against Skyview seeking the outstanding balance on the Notes, the amounts owed for operating certain Jamaica-based call centers on plaintiffs' behalf pending closing (the "Jamaica Deferred Closing"), other obligations under a transition services agreement and TSA amendments (the "TSAs"), and late rent payment obligations. CBS also moved to dismiss Skyview’s claims in 2020. In May 2021, the court denied the motion and allowed the claims to proceed. Fact and expert discovery have concluded and the parties filed summary judgment motions on July 24, 2023. On December 5, 2023, the court heard oral argument on the parties’ cross-motions for summary judgment, and rendered its decision on December 8, 2023, finding there are certain material issues of fact that require trial, and also entering partial summary judgment for each side. On January 5, 2024, CBS filed its notice of appeal of the portion of the ruling that</w:t>
      </w:r>
    </w:p>
    <w:p>
      <w:pPr>
        <w:spacing w:after="0" w:line="200" w:lineRule="exact"/>
        <w:rPr>
          <w:sz w:val="20"/>
          <w:szCs w:val="20"/>
          <w:color w:val="auto"/>
        </w:rPr>
      </w:pPr>
    </w:p>
    <w:p>
      <w:pPr>
        <w:spacing w:after="0" w:line="23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6" w:name="page87"/>
    <w:bookmarkEnd w:id="8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ind w:right="380"/>
        <w:spacing w:after="0" w:line="322" w:lineRule="auto"/>
        <w:rPr>
          <w:sz w:val="20"/>
          <w:szCs w:val="20"/>
          <w:color w:val="auto"/>
        </w:rPr>
      </w:pPr>
      <w:r>
        <w:rPr>
          <w:rFonts w:ascii="Arial" w:cs="Arial" w:eastAsia="Arial" w:hAnsi="Arial"/>
          <w:sz w:val="13"/>
          <w:szCs w:val="13"/>
          <w:color w:val="auto"/>
        </w:rPr>
        <w:t>did not grant its motion for summary judgment in its entirety and that granted certain limited relief in favor of plaintiffs. On January 23, 2024, Skyview filed its own notice of appeal, challenging the decision granting a portion of CBS’s counterclaims. The parties' appeals have been fully briefed and the parties await oral argument to be scheduled by the Court.</w:t>
      </w:r>
    </w:p>
    <w:p>
      <w:pPr>
        <w:spacing w:after="0" w:line="57" w:lineRule="exact"/>
        <w:rPr>
          <w:sz w:val="20"/>
          <w:szCs w:val="20"/>
          <w:color w:val="auto"/>
        </w:rPr>
      </w:pPr>
    </w:p>
    <w:p>
      <w:pPr>
        <w:jc w:val="both"/>
        <w:ind w:right="80"/>
        <w:spacing w:after="0" w:line="265" w:lineRule="auto"/>
        <w:rPr>
          <w:sz w:val="20"/>
          <w:szCs w:val="20"/>
          <w:color w:val="auto"/>
        </w:rPr>
      </w:pPr>
      <w:r>
        <w:rPr>
          <w:rFonts w:ascii="Arial" w:cs="Arial" w:eastAsia="Arial" w:hAnsi="Arial"/>
          <w:sz w:val="14"/>
          <w:szCs w:val="14"/>
          <w:color w:val="auto"/>
        </w:rPr>
        <w:t>In July 2024, Skyview informed CBS of its intention to sell a portion of its call center business. The parties reached an agreement on August 8, 2024, under which, contemporaneously with the closing of such a transaction, Skyview would pay the outstanding principal plus interest due on the outstanding Notes, fully discharging Skyview's obligations under the Notes, and would pay certain of CBS's litigation costs.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On September 24, 2024, Skyview and the buyer announced a signed and binding asset purchase agreement. Following regulatory review, the transaction closed in December 2024, at which point Skyview paid CBS $33 million, representing the outstanding principal and interest due on the Notes and reimbursement of certain litigation costs. Skyview has withdrawn its arguments in the litigation regarding its purported right to set-off amounts due under the Notes, though Skyview's claims for alleged fraud, breach of covenant, and breach of representation and warranty otherwise are unaffected. In addition, CBS dismissed its two counterclaims related to the Notes. CBS's remaining counterclaims related to the Jamaica Deferred Closing, the TSAs, and rent payment obligations are unaffected.</w:t>
      </w:r>
    </w:p>
    <w:p>
      <w:pPr>
        <w:spacing w:after="0" w:line="100"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CBS continues to deny all of plaintiffs' allegations, believes that it has strong defenses to all of plaintiffs’ claims, and will continue to defend the litigation vigorously. The Company is not able to determine or predict the ultimate outcome of this proceeding or reasonably provide an estimate or range of estimates of the possible outcome or loss, if any, in excess of currently recorded reserves.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b w:val="1"/>
          <w:bCs w:val="1"/>
          <w:color w:val="1269BC"/>
        </w:rPr>
        <w:t>Other Matters</w:t>
      </w:r>
    </w:p>
    <w:p>
      <w:pPr>
        <w:spacing w:after="0" w:line="144"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Since 2014, Xerox Education Services, Inc. ("XES") has cooperated with several federal and state agencies regarding a variety of matters, including XES' self-disclosure to the U.S. Department of Education (the "Department") and the Consumer Financial Protection Bureau ("CFPB") that some third-party student loans under outsourcing arrangements for various financial institutions required adjustments. With the exception of one remaining state attorney general inquiry, the Company has resolved all investigations by the CFPB, several state agencies, the Department and the U.S. Department of Justice. The Company cannot provide assurance that the CFPB, another regulator, a financial institution on behalf of which XES serviced third-party student loans, or another party will not ultimately commence a legal action against XES in which fines, penalties or other liabilities are sought from XES. In view of the absence of activity by these regulators or any other party, during the fourth quarter of 2023, the Company reversed the remaining reserve pertaining to this matter.</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0066CC"/>
        </w:rPr>
        <w:t>Guarantees and Indemnifications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Indemnifications Provided as Part of Contracts and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0066CC"/>
        </w:rPr>
        <w:t>Acquisitions/Divestitures:</w:t>
      </w:r>
    </w:p>
    <w:p>
      <w:pPr>
        <w:spacing w:after="0" w:line="129"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The Company has indemnified, subject to certain deductibles and limits, the purchasers of businesses or divested assets for the occurrence of specified events under certain of its divestiture agreements. In addition, the Company customarily agrees to hold the other party harmless against losses arising from a breach of representations and covenants, including such matters as adequate title to assets sold, intellectual property rights and certain income taxes arising prior to the date of acquisition. Where appropriate, an obligation for such indemnifications is recorded as a liability at the time of the acquisition or divestiture. Since the obligated amounts of these types of indemnifications are often not explicitly stated or are contingent on the occurrence of future events, the overall maximum amount, or range of amount of the obligation under such indemnifications cannot be reasonably estimated. Other than obligations recorded as liabilities at the time of divestiture, the Company has not historically made significant payments for these indemnifications. Additionally, under certain of the Company's acquisition agreements, it has provided for additional consideration to be paid to the sellers if established financial targets are achieved within specific timeframes post-closing. The Company has recognized liabilities for these contingent obligations based on an estimate of the fair value of these contingencies at the time of acquisition. Contingent obligations related to indemnifications arising from divestitures and contingent consideration provided for by acquisitions are not expected to be material to the Company's financial position, results of operations or cash flows.</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7" w:name="page88"/>
    <w:bookmarkEnd w:id="8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0066CC"/>
        </w:rPr>
        <w:t>Other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also party to the following types of agreements pursuant to which it may be obligated to indemnify the other party with respect to certain matters:</w:t>
      </w:r>
    </w:p>
    <w:p>
      <w:pPr>
        <w:spacing w:after="0" w:line="68" w:lineRule="exact"/>
        <w:rPr>
          <w:sz w:val="20"/>
          <w:szCs w:val="20"/>
          <w:color w:val="auto"/>
        </w:rPr>
      </w:pPr>
    </w:p>
    <w:p>
      <w:pPr>
        <w:ind w:left="240" w:hanging="237"/>
        <w:spacing w:after="0"/>
        <w:tabs>
          <w:tab w:leader="none" w:pos="2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Guarantees on behalf of the Company's subsidiaries with respect to real estate leases. These lease guarantees may remain in effect after the sale of the subsidiary.</w:t>
      </w:r>
    </w:p>
    <w:p>
      <w:pPr>
        <w:spacing w:after="0" w:line="47" w:lineRule="exact"/>
        <w:rPr>
          <w:rFonts w:ascii="Arial" w:cs="Arial" w:eastAsia="Arial" w:hAnsi="Arial"/>
          <w:sz w:val="14"/>
          <w:szCs w:val="14"/>
          <w:color w:val="auto"/>
        </w:rPr>
      </w:pPr>
    </w:p>
    <w:p>
      <w:pPr>
        <w:ind w:left="260" w:right="180" w:hanging="225"/>
        <w:spacing w:after="0" w:line="279" w:lineRule="auto"/>
        <w:tabs>
          <w:tab w:leader="none" w:pos="256" w:val="left"/>
        </w:tabs>
        <w:numPr>
          <w:ilvl w:val="1"/>
          <w:numId w:val="47"/>
        </w:numPr>
        <w:rPr>
          <w:rFonts w:ascii="Arial" w:cs="Arial" w:eastAsia="Arial" w:hAnsi="Arial"/>
          <w:sz w:val="14"/>
          <w:szCs w:val="14"/>
          <w:color w:val="auto"/>
        </w:rPr>
      </w:pPr>
      <w:r>
        <w:rPr>
          <w:rFonts w:ascii="Arial" w:cs="Arial" w:eastAsia="Arial" w:hAnsi="Arial"/>
          <w:sz w:val="14"/>
          <w:szCs w:val="14"/>
          <w:color w:val="auto"/>
        </w:rPr>
        <w:t>Agreements to indemnify various service providers, trustees and bank agents from any third-party claims related to their performance on the Company's behalf, except for claims that result from the third-party's own willful misconduct or gross negligence.</w:t>
      </w:r>
    </w:p>
    <w:p>
      <w:pPr>
        <w:ind w:left="260" w:right="60" w:hanging="225"/>
        <w:spacing w:after="0" w:line="322" w:lineRule="auto"/>
        <w:tabs>
          <w:tab w:leader="none" w:pos="256" w:val="left"/>
        </w:tabs>
        <w:numPr>
          <w:ilvl w:val="1"/>
          <w:numId w:val="47"/>
        </w:numPr>
        <w:rPr>
          <w:rFonts w:ascii="Arial" w:cs="Arial" w:eastAsia="Arial" w:hAnsi="Arial"/>
          <w:sz w:val="13"/>
          <w:szCs w:val="13"/>
          <w:color w:val="auto"/>
        </w:rPr>
      </w:pPr>
      <w:r>
        <w:rPr>
          <w:rFonts w:ascii="Arial" w:cs="Arial" w:eastAsia="Arial" w:hAnsi="Arial"/>
          <w:sz w:val="13"/>
          <w:szCs w:val="13"/>
          <w:color w:val="auto"/>
        </w:rPr>
        <w:t>Guarantees of the Company's performance in certain services contracts to its customers and indirectly the performance of third parties with whom the Company has subcontracted for their services. This includes indemnifications to customers for losses that may be sustained because of the Company's performance of services at a customer's location.</w:t>
      </w:r>
    </w:p>
    <w:p>
      <w:pPr>
        <w:spacing w:after="0" w:line="57"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In each of these circumstances, payment is conditioned on the other party making a claim pursuant to the procedures specified in the particular contract and such procedures also typically allow the Company to challenge the other party's claims. In the case of lease guarantees, the Company may contest the liabilities asserted under the lease. Further, obligations under these agreements and guarantees may be limited in terms of time and/or amount, and in some instances, the Company may have recourse against third parties for certain payments it made.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Intellectual Property Indemnifications</w:t>
      </w:r>
    </w:p>
    <w:p>
      <w:pPr>
        <w:spacing w:after="0" w:line="131" w:lineRule="exact"/>
        <w:rPr>
          <w:sz w:val="20"/>
          <w:szCs w:val="20"/>
          <w:color w:val="auto"/>
        </w:rPr>
      </w:pPr>
    </w:p>
    <w:p>
      <w:pPr>
        <w:ind w:right="40"/>
        <w:spacing w:after="0" w:line="294" w:lineRule="auto"/>
        <w:rPr>
          <w:sz w:val="20"/>
          <w:szCs w:val="20"/>
          <w:color w:val="auto"/>
        </w:rPr>
      </w:pPr>
      <w:r>
        <w:rPr>
          <w:rFonts w:ascii="Arial" w:cs="Arial" w:eastAsia="Arial" w:hAnsi="Arial"/>
          <w:sz w:val="13"/>
          <w:szCs w:val="13"/>
          <w:color w:val="auto"/>
        </w:rPr>
        <w:t>The Company does not own all of the software that it uses to run its business. Instead, the Company licenses this software from a small number of primary vendors. The Company indemnifies certain software providers against claims that may arise as a result of the Company's use or its subsidiaries', customers' or resellers' use of their software in the Company's services and solutions. These indemnities usually do not include limits on the claims, provided the claim is made pursuant to the procedures required in the services contract.</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Indemnification of Officers and Directors</w:t>
      </w:r>
    </w:p>
    <w:p>
      <w:pPr>
        <w:spacing w:after="0" w:line="131" w:lineRule="exact"/>
        <w:rPr>
          <w:sz w:val="20"/>
          <w:szCs w:val="20"/>
          <w:color w:val="auto"/>
        </w:rPr>
      </w:pPr>
    </w:p>
    <w:p>
      <w:pPr>
        <w:ind w:right="100"/>
        <w:spacing w:after="0" w:line="254" w:lineRule="auto"/>
        <w:rPr>
          <w:sz w:val="20"/>
          <w:szCs w:val="20"/>
          <w:color w:val="auto"/>
        </w:rPr>
      </w:pPr>
      <w:r>
        <w:rPr>
          <w:rFonts w:ascii="Arial" w:cs="Arial" w:eastAsia="Arial" w:hAnsi="Arial"/>
          <w:sz w:val="14"/>
          <w:szCs w:val="14"/>
          <w:color w:val="auto"/>
        </w:rPr>
        <w:t>The Company's corporate by-laws require that, except to the extent expressly prohibited by law, the Company must indemnify its officers and directors against judgments, fines, penalties and amounts paid in settlement and reasonable expenses, including attorneys' fees, incurred in connection with civil or criminal action or proceedings or any appeal, as it relates to their services to the Company and its subsidiaries. Although the by-laws provide no limit on the amount of indemnification, the Company may have recourse against its insurance carriers for certain payments made by the Company. However, certain indemnification payments may not be covered under the Company's directors' and officers' insurance coverage. The Company also indemnifies certain fiduciaries of its employee benefit plans for liabilities incurred in their service as fiduciary whether or not they are officers of the Company. Finally, in connection with the Company's acquisition of businesses, it may become contractually obligated to indemnify certain former and current directors, officers and employees of those businesses in accordance with pre-acquisition by-laws or indemnification agreements or applicable state law.</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Contingencies</w:t>
      </w:r>
    </w:p>
    <w:p>
      <w:pPr>
        <w:spacing w:after="0" w:line="13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Certain contracts, primarily in the Company's Government and Transportation segments, require the Company to provide a surety bond or a letter of credit as a guarantee of performance. As of December 31, 2024, the Company had $595 million of outstanding surety bonds issued to secure its performance of contractual obligations with its clients and $168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16 - Common Stock and Preferred Stock</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Icahn Share Repurchase</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On June 8, 2024, the Company entered into a purchase agreement (the "Icahn Purchase Agreement") with Carl C. Icahn and certain of his affiliates pursuant to which the Company agreed to purchase an aggregate of approximately</w:t>
      </w:r>
    </w:p>
    <w:p>
      <w:pPr>
        <w:spacing w:after="0" w:line="200" w:lineRule="exact"/>
        <w:rPr>
          <w:sz w:val="20"/>
          <w:szCs w:val="20"/>
          <w:color w:val="auto"/>
        </w:rPr>
      </w:pPr>
    </w:p>
    <w:p>
      <w:pPr>
        <w:spacing w:after="0" w:line="23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8" w:name="page89"/>
    <w:bookmarkEnd w:id="8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38 million shares of the Company’s common stock, at a price of $3.47 per share, the closing price on June 7, 2024, the last full trading day prior to the execution of the Icahn Purchase Agreement, for an aggregate purchase price of $132 million. The purchase was completed and settled on June 10, 2024, and was funded through a combination of cash on hand and a drawdown under the Company’s Revolving Credit Facility, which has since been repaid.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Series A Preferred Stock</w:t>
      </w:r>
    </w:p>
    <w:p>
      <w:pPr>
        <w:spacing w:after="0" w:line="131"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In connection with the December 31, 2016 separation from the Company's former parent company (the "Separation"), the Company issued 120,000 shares of Series A convertible perpetual preferred stock with an aggregate liquidation preference of $120 million and an initial fair value of $142 million. The Series A convertible preferred stock pays quarterly cash dividends at a rate of 8% per year ($9.6 million per year). Each share of the Series A convertible preferred stock is convertible at any time, at the option of the holder, into 44.9438 shares of common stock for a total of 5,393,000 shares (reflecting an initial conversion price of approximately $22.25 per share of common stock), subject to customary anti-dilution adjustments.</w:t>
      </w:r>
    </w:p>
    <w:p>
      <w:pPr>
        <w:spacing w:after="0" w:line="100"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If the closing price of the Company's common stock exceeds 137% of the initial conversion price for 20 out of 30 trading days, the Company has the right to cause any or all of the Series A convertible preferred stock to be converted into shares of common stock at the then applicable conversion rate. The Series A convertible preferred stock is also convertible, at the option of the holder, upon a change in control, at the applicable conversion rate plus an additional number of shares determined by reference to the price paid for the Company's common stock upon such change in control. In addition, upon the occurrence of certain fundamental change events, including a change in control or the delisting of Conduent's common stock, the holder of Series A convertible preferred stock has the right to require the Company to redeem any or all of the Series A convertible preferred stock in cash at a redemption price per share equal to the liquidation preference and any accrued and unpaid dividends to, but not including, the redemption date. As a result of the contingent redemption feature, the Series A convertible preferred stock is classified as temporary equity and reflected separately from permanent equity in the Consolidated Balance Sheets.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17 – Shareholders’ Equity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Preferred Stock</w:t>
      </w:r>
    </w:p>
    <w:p>
      <w:pPr>
        <w:spacing w:after="0" w:line="131"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As of December 31, 2024, the Company had one class of preferred stock outstanding. Refer to Note 16 – Common Stock and Preferred Stock for further information. The Company is authorized to issue approximately 100 million shares of convertible preferred stock at $0.01 par value per share.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Common Stock</w:t>
      </w:r>
    </w:p>
    <w:p>
      <w:pPr>
        <w:spacing w:after="0" w:line="131" w:lineRule="exact"/>
        <w:rPr>
          <w:sz w:val="20"/>
          <w:szCs w:val="20"/>
          <w:color w:val="auto"/>
        </w:rPr>
      </w:pPr>
    </w:p>
    <w:p>
      <w:pPr>
        <w:ind w:right="600"/>
        <w:spacing w:after="0" w:line="282" w:lineRule="auto"/>
        <w:rPr>
          <w:sz w:val="20"/>
          <w:szCs w:val="20"/>
          <w:color w:val="auto"/>
        </w:rPr>
      </w:pPr>
      <w:r>
        <w:rPr>
          <w:rFonts w:ascii="Arial" w:cs="Arial" w:eastAsia="Arial" w:hAnsi="Arial"/>
          <w:sz w:val="14"/>
          <w:szCs w:val="14"/>
          <w:color w:val="auto"/>
        </w:rPr>
        <w:t>The Company has 1 billion authorized shares of common stock at $0.01 par value per share. At December 31, 2024, 21.6 million shares were reserved for issuance under the Company's incentive compensation plans and 5.4 million shares were reserved for conversion of the Series A convertible preferred stock.</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Stock Compensation Plans</w:t>
      </w:r>
    </w:p>
    <w:p>
      <w:pPr>
        <w:spacing w:after="0" w:line="131" w:lineRule="exact"/>
        <w:rPr>
          <w:sz w:val="20"/>
          <w:szCs w:val="20"/>
          <w:color w:val="auto"/>
        </w:rPr>
      </w:pPr>
    </w:p>
    <w:p>
      <w:pPr>
        <w:ind w:right="240"/>
        <w:spacing w:after="0" w:line="282" w:lineRule="auto"/>
        <w:rPr>
          <w:sz w:val="20"/>
          <w:szCs w:val="20"/>
          <w:color w:val="auto"/>
        </w:rPr>
      </w:pPr>
      <w:r>
        <w:rPr>
          <w:rFonts w:ascii="Arial" w:cs="Arial" w:eastAsia="Arial" w:hAnsi="Arial"/>
          <w:sz w:val="14"/>
          <w:szCs w:val="14"/>
          <w:color w:val="auto"/>
        </w:rPr>
        <w:t>Certain of the Company's employees participate in a long-term incentive plan. The Company's long-term incentive plan authorizes the issuance of restricted stock units / shares and performance stock units / share to employees. Stock-based compensation expense includes expense based on the awards and terms previously granted to the employees.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 was as follows: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123"/>
        </w:trPr>
        <w:tc>
          <w:tcPr>
            <w:tcW w:w="6100" w:type="dxa"/>
            <w:vAlign w:val="bottom"/>
            <w:gridSpan w:val="3"/>
          </w:tcPr>
          <w:p>
            <w:pPr>
              <w:ind w:left="20"/>
              <w:spacing w:after="0" w:line="123" w:lineRule="exact"/>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60" w:type="dxa"/>
            <w:vAlign w:val="bottom"/>
          </w:tcPr>
          <w:p>
            <w:pPr>
              <w:jc w:val="right"/>
              <w:ind w:right="644"/>
              <w:spacing w:after="0" w:line="123"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jc w:val="right"/>
              <w:ind w:right="664"/>
              <w:spacing w:after="0" w:line="123" w:lineRule="exact"/>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jc w:val="right"/>
              <w:ind w:right="644"/>
              <w:spacing w:after="0" w:line="123"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38"/>
        </w:trPr>
        <w:tc>
          <w:tcPr>
            <w:tcW w:w="61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 pre-tax</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r>
      <w:tr>
        <w:trPr>
          <w:trHeight w:val="149"/>
        </w:trPr>
        <w:tc>
          <w:tcPr>
            <w:tcW w:w="6100" w:type="dxa"/>
            <w:vAlign w:val="bottom"/>
            <w:gridSpan w:val="3"/>
          </w:tcPr>
          <w:p>
            <w:pPr>
              <w:ind w:left="20"/>
              <w:spacing w:after="0"/>
              <w:rPr>
                <w:sz w:val="20"/>
                <w:szCs w:val="20"/>
                <w:color w:val="auto"/>
              </w:rPr>
            </w:pPr>
            <w:r>
              <w:rPr>
                <w:rFonts w:ascii="Arial" w:cs="Arial" w:eastAsia="Arial" w:hAnsi="Arial"/>
                <w:sz w:val="11"/>
                <w:szCs w:val="11"/>
                <w:color w:val="auto"/>
              </w:rPr>
              <w:t>Income tax benefit recognized in earnings</w:t>
            </w:r>
          </w:p>
        </w:tc>
        <w:tc>
          <w:tcPr>
            <w:tcW w:w="3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w:t>
            </w:r>
          </w:p>
        </w:tc>
      </w:tr>
    </w:tbl>
    <w:p>
      <w:pPr>
        <w:spacing w:after="0" w:line="253" w:lineRule="exact"/>
        <w:rPr>
          <w:sz w:val="20"/>
          <w:szCs w:val="20"/>
          <w:color w:val="auto"/>
        </w:rPr>
      </w:pPr>
    </w:p>
    <w:p>
      <w:pPr>
        <w:jc w:val="both"/>
        <w:ind w:right="80"/>
        <w:spacing w:after="0" w:line="265" w:lineRule="auto"/>
        <w:rPr>
          <w:sz w:val="20"/>
          <w:szCs w:val="20"/>
          <w:color w:val="auto"/>
        </w:rPr>
      </w:pPr>
      <w:r>
        <w:rPr>
          <w:rFonts w:ascii="Arial" w:cs="Arial" w:eastAsia="Arial" w:hAnsi="Arial"/>
          <w:sz w:val="14"/>
          <w:szCs w:val="14"/>
          <w:b w:val="1"/>
          <w:bCs w:val="1"/>
          <w:color w:val="0066CC"/>
        </w:rPr>
        <w:t xml:space="preserve">Restricted Stock Units / Shares ("RSUs"): </w:t>
      </w:r>
      <w:r>
        <w:rPr>
          <w:rFonts w:ascii="Arial" w:cs="Arial" w:eastAsia="Arial" w:hAnsi="Arial"/>
          <w:sz w:val="14"/>
          <w:szCs w:val="14"/>
          <w:color w:val="000000"/>
        </w:rPr>
        <w:t>Compensation expense is based upon the grant date market price. The compensation expense is recorded over the vesting period based</w:t>
      </w:r>
      <w:r>
        <w:rPr>
          <w:rFonts w:ascii="Arial" w:cs="Arial" w:eastAsia="Arial" w:hAnsi="Arial"/>
          <w:sz w:val="14"/>
          <w:szCs w:val="14"/>
          <w:b w:val="1"/>
          <w:bCs w:val="1"/>
          <w:color w:val="0066CC"/>
        </w:rPr>
        <w:t xml:space="preserve"> </w:t>
      </w:r>
      <w:r>
        <w:rPr>
          <w:rFonts w:ascii="Arial" w:cs="Arial" w:eastAsia="Arial" w:hAnsi="Arial"/>
          <w:sz w:val="14"/>
          <w:szCs w:val="14"/>
          <w:color w:val="000000"/>
        </w:rPr>
        <w:t>on management's estimate of the number of shares expected to vest. The Company’s RSU awards typically vest in three separate and equal tranches over a 2.75 years period. Each tranche vests annually, at December 31, following the date of grant.</w:t>
      </w:r>
    </w:p>
    <w:p>
      <w:pPr>
        <w:spacing w:after="0" w:line="200" w:lineRule="exact"/>
        <w:rPr>
          <w:sz w:val="20"/>
          <w:szCs w:val="20"/>
          <w:color w:val="auto"/>
        </w:rPr>
      </w:pP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9" w:name="page90"/>
    <w:bookmarkEnd w:id="8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In 2024, the Company issued 408,000 Deferred Stock Units ("DSU") to non-employee members of the Board of Directors. DSU awards typically vest in accordance with certain service conditions.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 xml:space="preserve">Performance Stock Units / Shares ("PSUs"): </w:t>
      </w:r>
      <w:r>
        <w:rPr>
          <w:rFonts w:ascii="Arial" w:cs="Arial" w:eastAsia="Arial" w:hAnsi="Arial"/>
          <w:sz w:val="14"/>
          <w:szCs w:val="14"/>
          <w:color w:val="000000"/>
        </w:rPr>
        <w:t>The Company has granted PSUs under various scenarios including:</w:t>
      </w:r>
    </w:p>
    <w:p>
      <w:pPr>
        <w:spacing w:after="0" w:line="131" w:lineRule="exact"/>
        <w:rPr>
          <w:sz w:val="20"/>
          <w:szCs w:val="20"/>
          <w:color w:val="auto"/>
        </w:rPr>
      </w:pPr>
    </w:p>
    <w:p>
      <w:pPr>
        <w:ind w:left="500" w:right="20" w:hanging="247"/>
        <w:spacing w:after="0" w:line="256" w:lineRule="auto"/>
        <w:tabs>
          <w:tab w:leader="none" w:pos="496" w:val="left"/>
        </w:tabs>
        <w:numPr>
          <w:ilvl w:val="0"/>
          <w:numId w:val="48"/>
        </w:numPr>
        <w:rPr>
          <w:rFonts w:ascii="Arial" w:cs="Arial" w:eastAsia="Arial" w:hAnsi="Arial"/>
          <w:sz w:val="14"/>
          <w:szCs w:val="14"/>
          <w:color w:val="auto"/>
        </w:rPr>
      </w:pPr>
      <w:r>
        <w:rPr>
          <w:rFonts w:ascii="Arial" w:cs="Arial" w:eastAsia="Arial" w:hAnsi="Arial"/>
          <w:sz w:val="14"/>
          <w:szCs w:val="14"/>
          <w:color w:val="auto"/>
        </w:rPr>
        <w:t>PSUs that vest contingent upon its achievement of certain specified financial performance criteria that are averaged over a three-year period. If the three-year actual results exceed the stated targets, then the plan participants have the potential to earn additional shares of common stock, which cannot exceed 50% and 100% of the original grant for the awards granted in 2024 and 2023, respectively. The fair value of these PSUs is based upon the market price of Conduent's common stock on the date of the grant. Compensation expense is recognized over the vesting period, which is 2.75 years from the date of grant, based on management's estimate of the number of shares expected to vest. If the stated targets are not met, any recognized compensation cost would be reversed.</w:t>
      </w:r>
    </w:p>
    <w:p>
      <w:pPr>
        <w:spacing w:after="0" w:line="58" w:lineRule="exact"/>
        <w:rPr>
          <w:rFonts w:ascii="Arial" w:cs="Arial" w:eastAsia="Arial" w:hAnsi="Arial"/>
          <w:sz w:val="14"/>
          <w:szCs w:val="14"/>
          <w:color w:val="auto"/>
        </w:rPr>
      </w:pPr>
    </w:p>
    <w:p>
      <w:pPr>
        <w:ind w:left="500" w:right="60" w:hanging="247"/>
        <w:spacing w:after="0" w:line="256" w:lineRule="auto"/>
        <w:tabs>
          <w:tab w:leader="none" w:pos="496" w:val="left"/>
        </w:tabs>
        <w:numPr>
          <w:ilvl w:val="0"/>
          <w:numId w:val="48"/>
        </w:numPr>
        <w:rPr>
          <w:rFonts w:ascii="Arial" w:cs="Arial" w:eastAsia="Arial" w:hAnsi="Arial"/>
          <w:sz w:val="14"/>
          <w:szCs w:val="14"/>
          <w:color w:val="auto"/>
        </w:rPr>
      </w:pPr>
      <w:r>
        <w:rPr>
          <w:rFonts w:ascii="Arial" w:cs="Arial" w:eastAsia="Arial" w:hAnsi="Arial"/>
          <w:sz w:val="14"/>
          <w:szCs w:val="14"/>
          <w:color w:val="auto"/>
        </w:rPr>
        <w:t>PSUs that vest contingent upon the increase of Conduent’s stock price to certain levels over a 2.75 years period from the date of grant. The number of shares eligible to vest may be adjusted upward or downward by 50% based on total shareholder return, which measures the Company’s stock performance relative to the stock performance of the Company’s proxy peers over the measurement period. These PSUs also have a service requirement that must be met for them to vest. The fair value of these PSUs is based upon a Monte Carlo simulation. Compensation expense is recognized over the vesting period based on management's estimate of the number of shares expected to vest. The PSUs granted in 2022 were canceled at December 31, 2024 as the performance measures were not met.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0066CC"/>
        </w:rPr>
        <w:t>Summary of Stock-based Compensation Activity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color w:val="auto"/>
              </w:rPr>
              <w:t>2024</w:t>
            </w:r>
          </w:p>
        </w:tc>
        <w:tc>
          <w:tcPr>
            <w:tcW w:w="8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1"/>
                <w:szCs w:val="11"/>
                <w:color w:val="auto"/>
              </w:rPr>
              <w:t>2023</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1"/>
                <w:szCs w:val="11"/>
                <w:color w:val="auto"/>
              </w:rPr>
              <w:t>2022</w:t>
            </w:r>
          </w:p>
        </w:tc>
        <w:tc>
          <w:tcPr>
            <w:tcW w:w="11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center"/>
              <w:ind w:left="24"/>
              <w:spacing w:after="0" w:line="109" w:lineRule="exact"/>
              <w:rPr>
                <w:sz w:val="20"/>
                <w:szCs w:val="20"/>
                <w:color w:val="auto"/>
              </w:rPr>
            </w:pPr>
            <w:r>
              <w:rPr>
                <w:rFonts w:ascii="Arial" w:cs="Arial" w:eastAsia="Arial" w:hAnsi="Arial"/>
                <w:sz w:val="11"/>
                <w:szCs w:val="11"/>
                <w:color w:val="auto"/>
                <w:w w:val="98"/>
              </w:rPr>
              <w:t>Weighted</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3"/>
          </w:tcPr>
          <w:p>
            <w:pPr>
              <w:jc w:val="center"/>
              <w:ind w:right="520"/>
              <w:spacing w:after="0" w:line="109" w:lineRule="exact"/>
              <w:rPr>
                <w:sz w:val="20"/>
                <w:szCs w:val="20"/>
                <w:color w:val="auto"/>
              </w:rPr>
            </w:pPr>
            <w:r>
              <w:rPr>
                <w:rFonts w:ascii="Arial" w:cs="Arial" w:eastAsia="Arial" w:hAnsi="Arial"/>
                <w:sz w:val="11"/>
                <w:szCs w:val="11"/>
                <w:color w:val="auto"/>
                <w:w w:val="98"/>
              </w:rPr>
              <w:t>Weighted</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2"/>
          </w:tcPr>
          <w:p>
            <w:pPr>
              <w:jc w:val="center"/>
              <w:ind w:right="520"/>
              <w:spacing w:after="0" w:line="109" w:lineRule="exact"/>
              <w:rPr>
                <w:sz w:val="20"/>
                <w:szCs w:val="20"/>
                <w:color w:val="auto"/>
              </w:rPr>
            </w:pPr>
            <w:r>
              <w:rPr>
                <w:rFonts w:ascii="Arial" w:cs="Arial" w:eastAsia="Arial" w:hAnsi="Arial"/>
                <w:sz w:val="11"/>
                <w:szCs w:val="11"/>
                <w:color w:val="auto"/>
                <w:w w:val="98"/>
              </w:rPr>
              <w:t>Weighted</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center"/>
              <w:ind w:left="44"/>
              <w:spacing w:after="0" w:line="109" w:lineRule="exact"/>
              <w:rPr>
                <w:sz w:val="20"/>
                <w:szCs w:val="20"/>
                <w:color w:val="auto"/>
              </w:rPr>
            </w:pPr>
            <w:r>
              <w:rPr>
                <w:rFonts w:ascii="Arial" w:cs="Arial" w:eastAsia="Arial" w:hAnsi="Arial"/>
                <w:sz w:val="11"/>
                <w:szCs w:val="11"/>
                <w:color w:val="auto"/>
              </w:rPr>
              <w:t>Average Grant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3"/>
          </w:tcPr>
          <w:p>
            <w:pPr>
              <w:jc w:val="center"/>
              <w:ind w:right="540"/>
              <w:spacing w:after="0" w:line="109" w:lineRule="exact"/>
              <w:rPr>
                <w:sz w:val="20"/>
                <w:szCs w:val="20"/>
                <w:color w:val="auto"/>
              </w:rPr>
            </w:pPr>
            <w:r>
              <w:rPr>
                <w:rFonts w:ascii="Arial" w:cs="Arial" w:eastAsia="Arial" w:hAnsi="Arial"/>
                <w:sz w:val="11"/>
                <w:szCs w:val="11"/>
                <w:color w:val="auto"/>
              </w:rPr>
              <w:t>Average Grant</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2"/>
          </w:tcPr>
          <w:p>
            <w:pPr>
              <w:jc w:val="center"/>
              <w:ind w:right="540"/>
              <w:spacing w:after="0" w:line="109" w:lineRule="exact"/>
              <w:rPr>
                <w:sz w:val="20"/>
                <w:szCs w:val="20"/>
                <w:color w:val="auto"/>
              </w:rPr>
            </w:pPr>
            <w:r>
              <w:rPr>
                <w:rFonts w:ascii="Arial" w:cs="Arial" w:eastAsia="Arial" w:hAnsi="Arial"/>
                <w:sz w:val="11"/>
                <w:szCs w:val="11"/>
                <w:color w:val="auto"/>
              </w:rPr>
              <w:t>Average Grant</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2700" w:type="dxa"/>
            <w:vAlign w:val="bottom"/>
            <w:gridSpan w:val="4"/>
            <w:vMerge w:val="restart"/>
          </w:tcPr>
          <w:p>
            <w:pPr>
              <w:spacing w:after="0"/>
              <w:rPr>
                <w:sz w:val="20"/>
                <w:szCs w:val="20"/>
                <w:color w:val="auto"/>
              </w:rPr>
            </w:pPr>
            <w:r>
              <w:rPr>
                <w:rFonts w:ascii="Arial" w:cs="Arial" w:eastAsia="Arial" w:hAnsi="Arial"/>
                <w:sz w:val="11"/>
                <w:szCs w:val="11"/>
                <w:color w:val="auto"/>
              </w:rPr>
              <w:t>(shares in thousands)</w:t>
            </w:r>
          </w:p>
        </w:tc>
        <w:tc>
          <w:tcPr>
            <w:tcW w:w="1280" w:type="dxa"/>
            <w:vAlign w:val="bottom"/>
            <w:vMerge w:val="restart"/>
          </w:tcPr>
          <w:p>
            <w:pPr>
              <w:jc w:val="right"/>
              <w:ind w:right="404"/>
              <w:spacing w:after="0"/>
              <w:rPr>
                <w:sz w:val="20"/>
                <w:szCs w:val="20"/>
                <w:color w:val="auto"/>
              </w:rPr>
            </w:pPr>
            <w:r>
              <w:rPr>
                <w:rFonts w:ascii="Arial" w:cs="Arial" w:eastAsia="Arial" w:hAnsi="Arial"/>
                <w:sz w:val="11"/>
                <w:szCs w:val="11"/>
                <w:color w:val="auto"/>
              </w:rPr>
              <w:t>Shares</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center"/>
              <w:ind w:left="24"/>
              <w:spacing w:after="0" w:line="115" w:lineRule="exact"/>
              <w:rPr>
                <w:sz w:val="20"/>
                <w:szCs w:val="20"/>
                <w:color w:val="auto"/>
              </w:rPr>
            </w:pPr>
            <w:r>
              <w:rPr>
                <w:rFonts w:ascii="Arial" w:cs="Arial" w:eastAsia="Arial" w:hAnsi="Arial"/>
                <w:sz w:val="11"/>
                <w:szCs w:val="11"/>
                <w:color w:val="auto"/>
              </w:rPr>
              <w:t>Date Fair</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ind w:left="460"/>
              <w:spacing w:after="0"/>
              <w:rPr>
                <w:sz w:val="20"/>
                <w:szCs w:val="20"/>
                <w:color w:val="auto"/>
              </w:rPr>
            </w:pPr>
            <w:r>
              <w:rPr>
                <w:rFonts w:ascii="Arial" w:cs="Arial" w:eastAsia="Arial" w:hAnsi="Arial"/>
                <w:sz w:val="11"/>
                <w:szCs w:val="11"/>
                <w:color w:val="auto"/>
              </w:rPr>
              <w:t>Shares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3"/>
          </w:tcPr>
          <w:p>
            <w:pPr>
              <w:jc w:val="center"/>
              <w:ind w:right="520"/>
              <w:spacing w:after="0" w:line="115" w:lineRule="exact"/>
              <w:rPr>
                <w:sz w:val="20"/>
                <w:szCs w:val="20"/>
                <w:color w:val="auto"/>
              </w:rPr>
            </w:pPr>
            <w:r>
              <w:rPr>
                <w:rFonts w:ascii="Arial" w:cs="Arial" w:eastAsia="Arial" w:hAnsi="Arial"/>
                <w:sz w:val="11"/>
                <w:szCs w:val="11"/>
                <w:color w:val="auto"/>
              </w:rPr>
              <w:t>Date Fair</w:t>
            </w:r>
          </w:p>
        </w:tc>
        <w:tc>
          <w:tcPr>
            <w:tcW w:w="1020" w:type="dxa"/>
            <w:vAlign w:val="bottom"/>
            <w:gridSpan w:val="3"/>
            <w:vMerge w:val="restart"/>
          </w:tcPr>
          <w:p>
            <w:pPr>
              <w:jc w:val="right"/>
              <w:ind w:right="404"/>
              <w:spacing w:after="0"/>
              <w:rPr>
                <w:sz w:val="20"/>
                <w:szCs w:val="20"/>
                <w:color w:val="auto"/>
              </w:rPr>
            </w:pPr>
            <w:r>
              <w:rPr>
                <w:rFonts w:ascii="Arial" w:cs="Arial" w:eastAsia="Arial" w:hAnsi="Arial"/>
                <w:sz w:val="11"/>
                <w:szCs w:val="11"/>
                <w:color w:val="auto"/>
              </w:rPr>
              <w:t>Shares</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2"/>
          </w:tcPr>
          <w:p>
            <w:pPr>
              <w:jc w:val="center"/>
              <w:ind w:right="520"/>
              <w:spacing w:after="0" w:line="115" w:lineRule="exact"/>
              <w:rPr>
                <w:sz w:val="20"/>
                <w:szCs w:val="20"/>
                <w:color w:val="auto"/>
              </w:rPr>
            </w:pPr>
            <w:r>
              <w:rPr>
                <w:rFonts w:ascii="Arial" w:cs="Arial" w:eastAsia="Arial" w:hAnsi="Arial"/>
                <w:sz w:val="11"/>
                <w:szCs w:val="11"/>
                <w:color w:val="auto"/>
              </w:rPr>
              <w:t>Date Fair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700" w:type="dxa"/>
            <w:vAlign w:val="bottom"/>
            <w:gridSpan w:val="4"/>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center"/>
              <w:ind w:left="44"/>
              <w:spacing w:after="0" w:line="121" w:lineRule="exact"/>
              <w:rPr>
                <w:sz w:val="20"/>
                <w:szCs w:val="20"/>
                <w:color w:val="auto"/>
              </w:rPr>
            </w:pPr>
            <w:r>
              <w:rPr>
                <w:rFonts w:ascii="Arial" w:cs="Arial" w:eastAsia="Arial" w:hAnsi="Arial"/>
                <w:sz w:val="11"/>
                <w:szCs w:val="11"/>
                <w:color w:val="auto"/>
                <w:w w:val="99"/>
              </w:rPr>
              <w:t>Value</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3"/>
          </w:tcPr>
          <w:p>
            <w:pPr>
              <w:jc w:val="center"/>
              <w:ind w:right="540"/>
              <w:spacing w:after="0" w:line="121" w:lineRule="exact"/>
              <w:rPr>
                <w:sz w:val="20"/>
                <w:szCs w:val="20"/>
                <w:color w:val="auto"/>
              </w:rPr>
            </w:pPr>
            <w:r>
              <w:rPr>
                <w:rFonts w:ascii="Arial" w:cs="Arial" w:eastAsia="Arial" w:hAnsi="Arial"/>
                <w:sz w:val="11"/>
                <w:szCs w:val="11"/>
                <w:color w:val="auto"/>
                <w:w w:val="99"/>
              </w:rPr>
              <w:t>Value</w:t>
            </w:r>
          </w:p>
        </w:tc>
        <w:tc>
          <w:tcPr>
            <w:tcW w:w="10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center"/>
              <w:ind w:right="540"/>
              <w:spacing w:after="0" w:line="121" w:lineRule="exact"/>
              <w:rPr>
                <w:sz w:val="20"/>
                <w:szCs w:val="20"/>
                <w:color w:val="auto"/>
              </w:rPr>
            </w:pPr>
            <w:r>
              <w:rPr>
                <w:rFonts w:ascii="Arial" w:cs="Arial" w:eastAsia="Arial" w:hAnsi="Arial"/>
                <w:sz w:val="11"/>
                <w:szCs w:val="11"/>
                <w:color w:val="auto"/>
                <w:w w:val="99"/>
              </w:rPr>
              <w:t>Value</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0" w:type="dxa"/>
            <w:vAlign w:val="bottom"/>
            <w:tcBorders>
              <w:right w:val="single" w:sz="8" w:color="CCEEFF"/>
            </w:tcBorders>
          </w:tcPr>
          <w:p>
            <w:pPr>
              <w:spacing w:after="0"/>
              <w:rPr>
                <w:sz w:val="8"/>
                <w:szCs w:val="8"/>
                <w:color w:val="auto"/>
              </w:rPr>
            </w:pPr>
          </w:p>
        </w:tc>
        <w:tc>
          <w:tcPr>
            <w:tcW w:w="2700" w:type="dxa"/>
            <w:vAlign w:val="bottom"/>
            <w:gridSpan w:val="4"/>
            <w:shd w:val="clear" w:color="auto" w:fill="CCEEFF"/>
          </w:tcPr>
          <w:p>
            <w:pPr>
              <w:spacing w:after="0" w:line="96" w:lineRule="exact"/>
              <w:rPr>
                <w:sz w:val="20"/>
                <w:szCs w:val="20"/>
                <w:color w:val="auto"/>
              </w:rPr>
            </w:pPr>
            <w:r>
              <w:rPr>
                <w:rFonts w:ascii="Arial" w:cs="Arial" w:eastAsia="Arial" w:hAnsi="Arial"/>
                <w:sz w:val="11"/>
                <w:szCs w:val="11"/>
                <w:b w:val="1"/>
                <w:bCs w:val="1"/>
                <w:color w:val="auto"/>
              </w:rPr>
              <w:t>Restricted Stock Units / Shares</w:t>
            </w: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60" w:type="dxa"/>
            <w:vAlign w:val="bottom"/>
            <w:tcBorders>
              <w:right w:val="single" w:sz="8" w:color="CCEEFF"/>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60" w:type="dxa"/>
            <w:vAlign w:val="bottom"/>
          </w:tcPr>
          <w:p>
            <w:pPr>
              <w:spacing w:after="0"/>
              <w:rPr>
                <w:sz w:val="13"/>
                <w:szCs w:val="13"/>
                <w:color w:val="auto"/>
              </w:rPr>
            </w:pPr>
          </w:p>
        </w:tc>
        <w:tc>
          <w:tcPr>
            <w:tcW w:w="2700" w:type="dxa"/>
            <w:vAlign w:val="bottom"/>
            <w:gridSpan w:val="4"/>
          </w:tcPr>
          <w:p>
            <w:pPr>
              <w:spacing w:after="0"/>
              <w:rPr>
                <w:sz w:val="20"/>
                <w:szCs w:val="20"/>
                <w:color w:val="auto"/>
              </w:rPr>
            </w:pPr>
            <w:r>
              <w:rPr>
                <w:rFonts w:ascii="Arial" w:cs="Arial" w:eastAsia="Arial" w:hAnsi="Arial"/>
                <w:sz w:val="11"/>
                <w:szCs w:val="11"/>
                <w:color w:val="auto"/>
              </w:rPr>
              <w:t>Outstanding at January 1</w:t>
            </w: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5,031</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280" w:type="dxa"/>
            <w:vAlign w:val="bottom"/>
          </w:tcPr>
          <w:p>
            <w:pPr>
              <w:jc w:val="right"/>
              <w:ind w:right="4"/>
              <w:spacing w:after="0"/>
              <w:rPr>
                <w:sz w:val="20"/>
                <w:szCs w:val="20"/>
                <w:color w:val="auto"/>
              </w:rPr>
            </w:pPr>
            <w:r>
              <w:rPr>
                <w:rFonts w:ascii="Arial" w:cs="Arial" w:eastAsia="Arial" w:hAnsi="Arial"/>
                <w:sz w:val="11"/>
                <w:szCs w:val="11"/>
                <w:color w:val="auto"/>
                <w:w w:val="93"/>
              </w:rPr>
              <w:t>4.02</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3,165</w:t>
            </w:r>
          </w:p>
        </w:tc>
        <w:tc>
          <w:tcPr>
            <w:tcW w:w="280" w:type="dxa"/>
            <w:vAlign w:val="bottom"/>
            <w:gridSpan w:val="2"/>
          </w:tcPr>
          <w:p>
            <w:pPr>
              <w:jc w:val="right"/>
              <w:ind w:right="44"/>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5.39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color w:val="auto"/>
              </w:rPr>
              <w:t>3,792</w:t>
            </w: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4.57</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CCEEFF"/>
            </w:tcBorders>
          </w:tcPr>
          <w:p>
            <w:pPr>
              <w:spacing w:after="0"/>
              <w:rPr>
                <w:sz w:val="13"/>
                <w:szCs w:val="13"/>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Granted</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3,912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3"/>
              </w:rPr>
              <w:t>3.36</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5,418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3.51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3,431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5.15</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700" w:type="dxa"/>
            <w:vAlign w:val="bottom"/>
            <w:gridSpan w:val="4"/>
          </w:tcPr>
          <w:p>
            <w:pPr>
              <w:spacing w:after="0"/>
              <w:rPr>
                <w:sz w:val="20"/>
                <w:szCs w:val="20"/>
                <w:color w:val="auto"/>
              </w:rPr>
            </w:pPr>
            <w:r>
              <w:rPr>
                <w:rFonts w:ascii="Arial" w:cs="Arial" w:eastAsia="Arial" w:hAnsi="Arial"/>
                <w:sz w:val="11"/>
                <w:szCs w:val="11"/>
                <w:color w:val="auto"/>
              </w:rPr>
              <w:t>Vested</w:t>
            </w:r>
          </w:p>
        </w:tc>
        <w:tc>
          <w:tcPr>
            <w:tcW w:w="1280" w:type="dxa"/>
            <w:vAlign w:val="bottom"/>
          </w:tcPr>
          <w:p>
            <w:pPr>
              <w:jc w:val="right"/>
              <w:spacing w:after="0"/>
              <w:rPr>
                <w:sz w:val="20"/>
                <w:szCs w:val="20"/>
                <w:color w:val="auto"/>
              </w:rPr>
            </w:pPr>
            <w:r>
              <w:rPr>
                <w:rFonts w:ascii="Arial" w:cs="Arial" w:eastAsia="Arial" w:hAnsi="Arial"/>
                <w:sz w:val="11"/>
                <w:szCs w:val="11"/>
                <w:color w:val="auto"/>
              </w:rPr>
              <w:t>(3,498)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jc w:val="right"/>
              <w:ind w:right="4"/>
              <w:spacing w:after="0"/>
              <w:rPr>
                <w:sz w:val="20"/>
                <w:szCs w:val="20"/>
                <w:color w:val="auto"/>
              </w:rPr>
            </w:pPr>
            <w:r>
              <w:rPr>
                <w:rFonts w:ascii="Arial" w:cs="Arial" w:eastAsia="Arial" w:hAnsi="Arial"/>
                <w:sz w:val="11"/>
                <w:szCs w:val="11"/>
                <w:color w:val="auto"/>
                <w:w w:val="93"/>
              </w:rPr>
              <w:t>3.87</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(3,103)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4.49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color w:val="auto"/>
              </w:rPr>
              <w:t>(3,238)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4.38</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Borders>
              <w:right w:val="single" w:sz="8" w:color="CCEEFF"/>
            </w:tcBorders>
          </w:tcPr>
          <w:p>
            <w:pPr>
              <w:spacing w:after="0"/>
              <w:rPr>
                <w:sz w:val="13"/>
                <w:szCs w:val="13"/>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Canceled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3"/>
              </w:rPr>
              <w:t>3.53</w:t>
            </w:r>
          </w:p>
        </w:tc>
        <w:tc>
          <w:tcPr>
            <w:tcW w:w="1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(449)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4.26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(820)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4.56</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2700" w:type="dxa"/>
            <w:vAlign w:val="bottom"/>
            <w:gridSpan w:val="4"/>
          </w:tcPr>
          <w:p>
            <w:pPr>
              <w:spacing w:after="0"/>
              <w:rPr>
                <w:sz w:val="20"/>
                <w:szCs w:val="20"/>
                <w:color w:val="auto"/>
              </w:rPr>
            </w:pPr>
            <w:r>
              <w:rPr>
                <w:rFonts w:ascii="Arial" w:cs="Arial" w:eastAsia="Arial" w:hAnsi="Arial"/>
                <w:sz w:val="11"/>
                <w:szCs w:val="11"/>
                <w:b w:val="1"/>
                <w:bCs w:val="1"/>
                <w:color w:val="auto"/>
              </w:rPr>
              <w:t>Outstanding at December 31</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4,387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jc w:val="right"/>
              <w:ind w:right="4"/>
              <w:spacing w:after="0"/>
              <w:rPr>
                <w:sz w:val="20"/>
                <w:szCs w:val="20"/>
                <w:color w:val="auto"/>
              </w:rPr>
            </w:pPr>
            <w:r>
              <w:rPr>
                <w:rFonts w:ascii="Arial" w:cs="Arial" w:eastAsia="Arial" w:hAnsi="Arial"/>
                <w:sz w:val="11"/>
                <w:szCs w:val="11"/>
                <w:color w:val="auto"/>
                <w:w w:val="93"/>
              </w:rPr>
              <w:t>3.67</w:t>
            </w: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5,031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4.02</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3,165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5.39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0" w:type="dxa"/>
            <w:vAlign w:val="bottom"/>
            <w:tcBorders>
              <w:right w:val="single" w:sz="8" w:color="CCEEFF"/>
            </w:tcBorders>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27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Performance Stock Units / Shares</w:t>
            </w: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0" w:type="dxa"/>
            <w:vAlign w:val="bottom"/>
            <w:tcBorders>
              <w:right w:val="single" w:sz="8" w:color="CCEEFF"/>
            </w:tcBorders>
          </w:tcPr>
          <w:p>
            <w:pPr>
              <w:spacing w:after="0"/>
              <w:rPr>
                <w:sz w:val="14"/>
                <w:szCs w:val="14"/>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Outstanding at January 1</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5,013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3"/>
              </w:rPr>
              <w:t>3.97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3,097</w:t>
            </w:r>
          </w:p>
        </w:tc>
        <w:tc>
          <w:tcPr>
            <w:tcW w:w="280" w:type="dxa"/>
            <w:vAlign w:val="bottom"/>
            <w:gridSpan w:val="2"/>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5.16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3,609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4.71</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700" w:type="dxa"/>
            <w:vAlign w:val="bottom"/>
            <w:gridSpan w:val="4"/>
          </w:tcPr>
          <w:p>
            <w:pPr>
              <w:spacing w:after="0"/>
              <w:rPr>
                <w:sz w:val="20"/>
                <w:szCs w:val="20"/>
                <w:color w:val="auto"/>
              </w:rPr>
            </w:pPr>
            <w:r>
              <w:rPr>
                <w:rFonts w:ascii="Arial" w:cs="Arial" w:eastAsia="Arial" w:hAnsi="Arial"/>
                <w:sz w:val="11"/>
                <w:szCs w:val="11"/>
                <w:color w:val="auto"/>
              </w:rPr>
              <w:t>Granted</w:t>
            </w: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3,848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jc w:val="right"/>
              <w:ind w:right="4"/>
              <w:spacing w:after="0"/>
              <w:rPr>
                <w:sz w:val="20"/>
                <w:szCs w:val="20"/>
                <w:color w:val="auto"/>
              </w:rPr>
            </w:pPr>
            <w:r>
              <w:rPr>
                <w:rFonts w:ascii="Arial" w:cs="Arial" w:eastAsia="Arial" w:hAnsi="Arial"/>
                <w:sz w:val="11"/>
                <w:szCs w:val="11"/>
                <w:color w:val="auto"/>
                <w:w w:val="93"/>
              </w:rPr>
              <w:t>3.29</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3,052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3.27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color w:val="auto"/>
              </w:rPr>
              <w:t>2,186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4.80</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CCEEFF"/>
            </w:tcBorders>
          </w:tcPr>
          <w:p>
            <w:pPr>
              <w:spacing w:after="0"/>
              <w:rPr>
                <w:sz w:val="13"/>
                <w:szCs w:val="13"/>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Vested</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964"/>
              <w:spacing w:after="0"/>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(1,688)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700" w:type="dxa"/>
            <w:vAlign w:val="bottom"/>
            <w:tcBorders>
              <w:bottom w:val="single" w:sz="8" w:color="CCEEFF"/>
            </w:tcBorders>
            <w:gridSpan w:val="4"/>
          </w:tcPr>
          <w:p>
            <w:pPr>
              <w:spacing w:after="0"/>
              <w:rPr>
                <w:sz w:val="20"/>
                <w:szCs w:val="20"/>
                <w:color w:val="auto"/>
              </w:rPr>
            </w:pPr>
            <w:r>
              <w:rPr>
                <w:rFonts w:ascii="Arial" w:cs="Arial" w:eastAsia="Arial" w:hAnsi="Arial"/>
                <w:sz w:val="11"/>
                <w:szCs w:val="11"/>
                <w:color w:val="auto"/>
              </w:rPr>
              <w:t>Canceled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(2,914)</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jc w:val="right"/>
              <w:ind w:right="4"/>
              <w:spacing w:after="0"/>
              <w:rPr>
                <w:sz w:val="20"/>
                <w:szCs w:val="20"/>
                <w:color w:val="auto"/>
              </w:rPr>
            </w:pPr>
            <w:r>
              <w:rPr>
                <w:rFonts w:ascii="Arial" w:cs="Arial" w:eastAsia="Arial" w:hAnsi="Arial"/>
                <w:sz w:val="11"/>
                <w:szCs w:val="11"/>
                <w:color w:val="auto"/>
                <w:w w:val="93"/>
              </w:rPr>
              <w:t>4.47</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(1,087)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jc w:val="right"/>
              <w:ind w:right="4"/>
              <w:spacing w:after="0"/>
              <w:rPr>
                <w:sz w:val="20"/>
                <w:szCs w:val="20"/>
                <w:color w:val="auto"/>
              </w:rPr>
            </w:pPr>
            <w:r>
              <w:rPr>
                <w:rFonts w:ascii="Arial" w:cs="Arial" w:eastAsia="Arial" w:hAnsi="Arial"/>
                <w:sz w:val="11"/>
                <w:szCs w:val="11"/>
                <w:color w:val="auto"/>
              </w:rPr>
              <w:t>5.52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(1,010)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jc w:val="right"/>
              <w:ind w:right="4"/>
              <w:spacing w:after="0"/>
              <w:rPr>
                <w:sz w:val="20"/>
                <w:szCs w:val="20"/>
                <w:color w:val="auto"/>
              </w:rPr>
            </w:pPr>
            <w:r>
              <w:rPr>
                <w:rFonts w:ascii="Arial" w:cs="Arial" w:eastAsia="Arial" w:hAnsi="Arial"/>
                <w:sz w:val="11"/>
                <w:szCs w:val="11"/>
                <w:color w:val="auto"/>
              </w:rPr>
              <w:t>8.02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0" w:type="dxa"/>
            <w:vAlign w:val="bottom"/>
            <w:tcBorders>
              <w:right w:val="single" w:sz="8" w:color="CCEEFF"/>
            </w:tcBorders>
          </w:tcPr>
          <w:p>
            <w:pPr>
              <w:spacing w:after="0"/>
              <w:rPr>
                <w:sz w:val="14"/>
                <w:szCs w:val="14"/>
                <w:color w:val="auto"/>
              </w:rPr>
            </w:pPr>
          </w:p>
        </w:tc>
        <w:tc>
          <w:tcPr>
            <w:tcW w:w="2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1"/>
                <w:szCs w:val="11"/>
                <w:b w:val="1"/>
                <w:bCs w:val="1"/>
                <w:color w:val="auto"/>
              </w:rPr>
              <w:t>Outstanding at December 31</w:t>
            </w: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5,947</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w w:val="93"/>
              </w:rPr>
              <w:t>3.28</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5,013</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3.97</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3,097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5.16</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20" w:type="dxa"/>
            <w:vAlign w:val="bottom"/>
            <w:gridSpan w:val="19"/>
          </w:tcPr>
          <w:p>
            <w:pPr>
              <w:spacing w:after="0"/>
              <w:rPr>
                <w:sz w:val="20"/>
                <w:szCs w:val="20"/>
                <w:color w:val="auto"/>
              </w:rPr>
            </w:pPr>
            <w:r>
              <w:rPr>
                <w:rFonts w:ascii="Arial" w:cs="Arial" w:eastAsia="Arial" w:hAnsi="Arial"/>
                <w:sz w:val="14"/>
                <w:szCs w:val="14"/>
                <w:color w:val="auto"/>
              </w:rPr>
              <w:t>The total unrecognized compensation cost related to non-vested stock-based awards at December 31, 2024 was as follows (in millions):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76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Awards</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1"/>
                <w:szCs w:val="11"/>
                <w:color w:val="auto"/>
              </w:rPr>
              <w:t>Unrecognized Compensation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5"/>
          </w:tcPr>
          <w:p>
            <w:pPr>
              <w:jc w:val="center"/>
              <w:spacing w:after="0"/>
              <w:rPr>
                <w:sz w:val="20"/>
                <w:szCs w:val="20"/>
                <w:color w:val="auto"/>
              </w:rPr>
            </w:pPr>
            <w:r>
              <w:rPr>
                <w:rFonts w:ascii="Arial" w:cs="Arial" w:eastAsia="Arial" w:hAnsi="Arial"/>
                <w:sz w:val="11"/>
                <w:szCs w:val="11"/>
                <w:color w:val="auto"/>
              </w:rPr>
              <w:t>Remaining Weighted-Average Expense Period</w:t>
            </w:r>
          </w:p>
        </w:tc>
        <w:tc>
          <w:tcPr>
            <w:tcW w:w="0" w:type="dxa"/>
            <w:vAlign w:val="bottom"/>
          </w:tcPr>
          <w:p>
            <w:pPr>
              <w:spacing w:after="0"/>
              <w:rPr>
                <w:sz w:val="1"/>
                <w:szCs w:val="1"/>
                <w:color w:val="auto"/>
              </w:rPr>
            </w:pPr>
          </w:p>
        </w:tc>
      </w:tr>
      <w:tr>
        <w:trPr>
          <w:trHeight w:val="142"/>
        </w:trPr>
        <w:tc>
          <w:tcPr>
            <w:tcW w:w="2760" w:type="dxa"/>
            <w:vAlign w:val="bottom"/>
            <w:tcBorders>
              <w:bottom w:val="single" w:sz="8" w:color="auto"/>
            </w:tcBorders>
            <w:gridSpan w:val="5"/>
            <w:vMerge w:val="continue"/>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center"/>
              <w:ind w:right="880"/>
              <w:spacing w:after="0"/>
              <w:rPr>
                <w:sz w:val="20"/>
                <w:szCs w:val="20"/>
                <w:color w:val="auto"/>
              </w:rPr>
            </w:pPr>
            <w:r>
              <w:rPr>
                <w:rFonts w:ascii="Arial" w:cs="Arial" w:eastAsia="Arial" w:hAnsi="Arial"/>
                <w:sz w:val="11"/>
                <w:szCs w:val="11"/>
                <w:color w:val="auto"/>
                <w:w w:val="94"/>
              </w:rPr>
              <w:t>(Years)</w:t>
            </w:r>
          </w:p>
        </w:tc>
        <w:tc>
          <w:tcPr>
            <w:tcW w:w="0" w:type="dxa"/>
            <w:vAlign w:val="bottom"/>
          </w:tcPr>
          <w:p>
            <w:pPr>
              <w:spacing w:after="0"/>
              <w:rPr>
                <w:sz w:val="1"/>
                <w:szCs w:val="1"/>
                <w:color w:val="auto"/>
              </w:rPr>
            </w:pPr>
          </w:p>
        </w:tc>
      </w:tr>
      <w:tr>
        <w:trPr>
          <w:trHeight w:val="147"/>
        </w:trPr>
        <w:tc>
          <w:tcPr>
            <w:tcW w:w="2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Restricted Stock Units / Shares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1"/>
                <w:szCs w:val="11"/>
                <w:color w:val="auto"/>
                <w:w w:val="91"/>
              </w:rPr>
              <w:t>1.6</w:t>
            </w:r>
          </w:p>
        </w:tc>
        <w:tc>
          <w:tcPr>
            <w:tcW w:w="0" w:type="dxa"/>
            <w:vAlign w:val="bottom"/>
          </w:tcPr>
          <w:p>
            <w:pPr>
              <w:spacing w:after="0"/>
              <w:rPr>
                <w:sz w:val="1"/>
                <w:szCs w:val="1"/>
                <w:color w:val="auto"/>
              </w:rPr>
            </w:pPr>
          </w:p>
        </w:tc>
      </w:tr>
      <w:tr>
        <w:trPr>
          <w:trHeight w:val="152"/>
        </w:trPr>
        <w:tc>
          <w:tcPr>
            <w:tcW w:w="2760" w:type="dxa"/>
            <w:vAlign w:val="bottom"/>
            <w:tcBorders>
              <w:bottom w:val="single" w:sz="8" w:color="CCEEFF"/>
            </w:tcBorders>
            <w:gridSpan w:val="5"/>
          </w:tcPr>
          <w:p>
            <w:pPr>
              <w:ind w:left="20"/>
              <w:spacing w:after="0"/>
              <w:rPr>
                <w:sz w:val="20"/>
                <w:szCs w:val="20"/>
                <w:color w:val="auto"/>
              </w:rPr>
            </w:pPr>
            <w:r>
              <w:rPr>
                <w:rFonts w:ascii="Arial" w:cs="Arial" w:eastAsia="Arial" w:hAnsi="Arial"/>
                <w:sz w:val="11"/>
                <w:szCs w:val="11"/>
                <w:color w:val="auto"/>
              </w:rPr>
              <w:t>Performance Stock Units / Shares</w:t>
            </w:r>
          </w:p>
        </w:tc>
        <w:tc>
          <w:tcPr>
            <w:tcW w:w="12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gridSpan w:val="2"/>
          </w:tcPr>
          <w:p>
            <w:pPr>
              <w:ind w:left="1300"/>
              <w:spacing w:after="0"/>
              <w:rPr>
                <w:sz w:val="20"/>
                <w:szCs w:val="20"/>
                <w:color w:val="auto"/>
              </w:rPr>
            </w:pPr>
            <w:r>
              <w:rPr>
                <w:rFonts w:ascii="Arial" w:cs="Arial" w:eastAsia="Arial" w:hAnsi="Arial"/>
                <w:sz w:val="11"/>
                <w:szCs w:val="11"/>
                <w:color w:val="auto"/>
                <w:w w:val="91"/>
              </w:rPr>
              <w:t>1.8</w:t>
            </w:r>
          </w:p>
        </w:tc>
        <w:tc>
          <w:tcPr>
            <w:tcW w:w="0" w:type="dxa"/>
            <w:vAlign w:val="bottom"/>
          </w:tcPr>
          <w:p>
            <w:pPr>
              <w:spacing w:after="0"/>
              <w:rPr>
                <w:sz w:val="1"/>
                <w:szCs w:val="1"/>
                <w:color w:val="auto"/>
              </w:rPr>
            </w:pPr>
          </w:p>
        </w:tc>
      </w:tr>
      <w:tr>
        <w:trPr>
          <w:trHeight w:val="171"/>
        </w:trPr>
        <w:tc>
          <w:tcPr>
            <w:tcW w:w="2760" w:type="dxa"/>
            <w:vAlign w:val="bottom"/>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12"/>
            <w:vMerge w:val="restart"/>
          </w:tcPr>
          <w:p>
            <w:pPr>
              <w:spacing w:after="0"/>
              <w:rPr>
                <w:sz w:val="20"/>
                <w:szCs w:val="20"/>
                <w:color w:val="auto"/>
              </w:rPr>
            </w:pPr>
            <w:r>
              <w:rPr>
                <w:rFonts w:ascii="Arial" w:cs="Arial" w:eastAsia="Arial" w:hAnsi="Arial"/>
                <w:sz w:val="14"/>
                <w:szCs w:val="14"/>
                <w:color w:val="auto"/>
              </w:rPr>
              <w:t>The aggregate intrinsic value of outstanding RSUs and PSUs awards were as follows (in millions):</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380" w:type="dxa"/>
            <w:vAlign w:val="bottom"/>
            <w:gridSpan w:val="1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760" w:type="dxa"/>
            <w:vAlign w:val="bottom"/>
            <w:tcBorders>
              <w:bottom w:val="single" w:sz="8" w:color="CCEEFF"/>
            </w:tcBorders>
            <w:gridSpan w:val="5"/>
          </w:tcPr>
          <w:p>
            <w:pPr>
              <w:ind w:left="20"/>
              <w:spacing w:after="0"/>
              <w:rPr>
                <w:sz w:val="20"/>
                <w:szCs w:val="20"/>
                <w:color w:val="auto"/>
              </w:rPr>
            </w:pPr>
            <w:r>
              <w:rPr>
                <w:rFonts w:ascii="Arial" w:cs="Arial" w:eastAsia="Arial" w:hAnsi="Arial"/>
                <w:sz w:val="11"/>
                <w:szCs w:val="11"/>
                <w:b w:val="1"/>
                <w:bCs w:val="1"/>
                <w:color w:val="auto"/>
              </w:rPr>
              <w:t>Awards</w:t>
            </w:r>
          </w:p>
        </w:tc>
        <w:tc>
          <w:tcPr>
            <w:tcW w:w="12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600"/>
              <w:spacing w:after="0"/>
              <w:rPr>
                <w:sz w:val="20"/>
                <w:szCs w:val="20"/>
                <w:color w:val="auto"/>
              </w:rPr>
            </w:pPr>
            <w:r>
              <w:rPr>
                <w:rFonts w:ascii="Arial" w:cs="Arial" w:eastAsia="Arial" w:hAnsi="Arial"/>
                <w:sz w:val="11"/>
                <w:szCs w:val="11"/>
                <w:color w:val="auto"/>
              </w:rPr>
              <w:t>December 31, 2024</w:t>
            </w:r>
          </w:p>
        </w:tc>
        <w:tc>
          <w:tcPr>
            <w:tcW w:w="0" w:type="dxa"/>
            <w:vAlign w:val="bottom"/>
          </w:tcPr>
          <w:p>
            <w:pPr>
              <w:spacing w:after="0"/>
              <w:rPr>
                <w:sz w:val="1"/>
                <w:szCs w:val="1"/>
                <w:color w:val="auto"/>
              </w:rPr>
            </w:pPr>
          </w:p>
        </w:tc>
      </w:tr>
      <w:tr>
        <w:trPr>
          <w:trHeight w:val="148"/>
        </w:trPr>
        <w:tc>
          <w:tcPr>
            <w:tcW w:w="2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Restricted Stock Units / Shares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8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49"/>
        </w:trPr>
        <w:tc>
          <w:tcPr>
            <w:tcW w:w="2760" w:type="dxa"/>
            <w:vAlign w:val="bottom"/>
            <w:gridSpan w:val="5"/>
          </w:tcPr>
          <w:p>
            <w:pPr>
              <w:ind w:left="20"/>
              <w:spacing w:after="0"/>
              <w:rPr>
                <w:sz w:val="20"/>
                <w:szCs w:val="20"/>
                <w:color w:val="auto"/>
              </w:rPr>
            </w:pPr>
            <w:r>
              <w:rPr>
                <w:rFonts w:ascii="Arial" w:cs="Arial" w:eastAsia="Arial" w:hAnsi="Arial"/>
                <w:sz w:val="11"/>
                <w:szCs w:val="11"/>
                <w:color w:val="auto"/>
              </w:rPr>
              <w:t>Performance Stock Units / Shares</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ind w:left="1280"/>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0" w:name="page91"/>
    <w:bookmarkEnd w:id="9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total intrinsic value and actual tax benefit realized for vested stock-based awards were as follows:</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40" w:type="dxa"/>
            <w:vAlign w:val="bottom"/>
            <w:gridSpan w:val="4"/>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00" w:type="dxa"/>
            <w:vAlign w:val="bottom"/>
            <w:gridSpan w:val="4"/>
          </w:tcPr>
          <w:p>
            <w:pPr>
              <w:jc w:val="center"/>
              <w:spacing w:after="0"/>
              <w:rPr>
                <w:sz w:val="20"/>
                <w:szCs w:val="20"/>
                <w:color w:val="auto"/>
              </w:rPr>
            </w:pPr>
            <w:r>
              <w:rPr>
                <w:rFonts w:ascii="Arial" w:cs="Arial" w:eastAsia="Arial" w:hAnsi="Arial"/>
                <w:sz w:val="11"/>
                <w:szCs w:val="11"/>
                <w:color w:val="auto"/>
              </w:rPr>
              <w:t>December 31, 2024</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color w:val="auto"/>
              </w:rPr>
              <w:t>December 31, 2023</w:t>
            </w: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1"/>
                <w:szCs w:val="11"/>
                <w:color w:val="auto"/>
              </w:rPr>
              <w:t>December 31, 2022</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960" w:type="dxa"/>
            <w:vAlign w:val="bottom"/>
            <w:gridSpan w:val="3"/>
            <w:vMerge w:val="restart"/>
          </w:tcPr>
          <w:p>
            <w:pPr>
              <w:ind w:left="20"/>
              <w:spacing w:after="0"/>
              <w:rPr>
                <w:sz w:val="20"/>
                <w:szCs w:val="20"/>
                <w:color w:val="auto"/>
              </w:rPr>
            </w:pPr>
            <w:r>
              <w:rPr>
                <w:rFonts w:ascii="Arial" w:cs="Arial" w:eastAsia="Arial" w:hAnsi="Arial"/>
                <w:sz w:val="11"/>
                <w:szCs w:val="11"/>
                <w:color w:val="auto"/>
              </w:rPr>
              <w:t>Awards</w:t>
            </w:r>
          </w:p>
        </w:tc>
        <w:tc>
          <w:tcPr>
            <w:tcW w:w="8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ind w:right="84"/>
              <w:spacing w:after="0" w:line="101" w:lineRule="exact"/>
              <w:rPr>
                <w:sz w:val="20"/>
                <w:szCs w:val="20"/>
                <w:color w:val="auto"/>
              </w:rPr>
            </w:pPr>
            <w:r>
              <w:rPr>
                <w:rFonts w:ascii="Arial" w:cs="Arial" w:eastAsia="Arial" w:hAnsi="Arial"/>
                <w:sz w:val="11"/>
                <w:szCs w:val="11"/>
                <w:color w:val="auto"/>
              </w:rPr>
              <w:t>Total Intrinsic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restart"/>
          </w:tcPr>
          <w:p>
            <w:pPr>
              <w:jc w:val="center"/>
              <w:ind w:right="24"/>
              <w:spacing w:after="0"/>
              <w:rPr>
                <w:sz w:val="20"/>
                <w:szCs w:val="20"/>
                <w:color w:val="auto"/>
              </w:rPr>
            </w:pPr>
            <w:r>
              <w:rPr>
                <w:rFonts w:ascii="Arial" w:cs="Arial" w:eastAsia="Arial" w:hAnsi="Arial"/>
                <w:sz w:val="11"/>
                <w:szCs w:val="11"/>
                <w:color w:val="auto"/>
                <w:w w:val="99"/>
              </w:rPr>
              <w:t>Cash Received</w:t>
            </w:r>
          </w:p>
        </w:tc>
        <w:tc>
          <w:tcPr>
            <w:tcW w:w="80" w:type="dxa"/>
            <w:vAlign w:val="bottom"/>
            <w:vMerge w:val="restart"/>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Tax Benefit</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ind w:right="84"/>
              <w:spacing w:after="0" w:line="101" w:lineRule="exact"/>
              <w:rPr>
                <w:sz w:val="20"/>
                <w:szCs w:val="20"/>
                <w:color w:val="auto"/>
              </w:rPr>
            </w:pPr>
            <w:r>
              <w:rPr>
                <w:rFonts w:ascii="Arial" w:cs="Arial" w:eastAsia="Arial" w:hAnsi="Arial"/>
                <w:sz w:val="11"/>
                <w:szCs w:val="11"/>
                <w:color w:val="auto"/>
              </w:rPr>
              <w:t>Total Intrinsic</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restart"/>
          </w:tcPr>
          <w:p>
            <w:pPr>
              <w:jc w:val="center"/>
              <w:ind w:right="24"/>
              <w:spacing w:after="0"/>
              <w:rPr>
                <w:sz w:val="20"/>
                <w:szCs w:val="20"/>
                <w:color w:val="auto"/>
              </w:rPr>
            </w:pPr>
            <w:r>
              <w:rPr>
                <w:rFonts w:ascii="Arial" w:cs="Arial" w:eastAsia="Arial" w:hAnsi="Arial"/>
                <w:sz w:val="11"/>
                <w:szCs w:val="11"/>
                <w:color w:val="auto"/>
                <w:w w:val="99"/>
              </w:rPr>
              <w:t>Cash Received</w:t>
            </w:r>
          </w:p>
        </w:tc>
        <w:tc>
          <w:tcPr>
            <w:tcW w:w="100" w:type="dxa"/>
            <w:vAlign w:val="bottom"/>
            <w:vMerge w:val="restart"/>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Tax Benefit</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ind w:right="84"/>
              <w:spacing w:after="0" w:line="101" w:lineRule="exact"/>
              <w:rPr>
                <w:sz w:val="20"/>
                <w:szCs w:val="20"/>
                <w:color w:val="auto"/>
              </w:rPr>
            </w:pPr>
            <w:r>
              <w:rPr>
                <w:rFonts w:ascii="Arial" w:cs="Arial" w:eastAsia="Arial" w:hAnsi="Arial"/>
                <w:sz w:val="11"/>
                <w:szCs w:val="11"/>
                <w:color w:val="auto"/>
              </w:rPr>
              <w:t>Total Intrinsic</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restart"/>
          </w:tcPr>
          <w:p>
            <w:pPr>
              <w:jc w:val="center"/>
              <w:ind w:right="44"/>
              <w:spacing w:after="0"/>
              <w:rPr>
                <w:sz w:val="20"/>
                <w:szCs w:val="20"/>
                <w:color w:val="auto"/>
              </w:rPr>
            </w:pPr>
            <w:r>
              <w:rPr>
                <w:rFonts w:ascii="Arial" w:cs="Arial" w:eastAsia="Arial" w:hAnsi="Arial"/>
                <w:sz w:val="11"/>
                <w:szCs w:val="11"/>
                <w:color w:val="auto"/>
              </w:rPr>
              <w:t>Cash Received</w:t>
            </w:r>
          </w:p>
        </w:tc>
        <w:tc>
          <w:tcPr>
            <w:tcW w:w="8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800" w:type="dxa"/>
            <w:vAlign w:val="bottom"/>
            <w:vMerge w:val="restart"/>
          </w:tcPr>
          <w:p>
            <w:pPr>
              <w:jc w:val="right"/>
              <w:ind w:right="144"/>
              <w:spacing w:after="0"/>
              <w:rPr>
                <w:sz w:val="20"/>
                <w:szCs w:val="20"/>
                <w:color w:val="auto"/>
              </w:rPr>
            </w:pPr>
            <w:r>
              <w:rPr>
                <w:rFonts w:ascii="Arial" w:cs="Arial" w:eastAsia="Arial" w:hAnsi="Arial"/>
                <w:sz w:val="11"/>
                <w:szCs w:val="11"/>
                <w:color w:val="auto"/>
              </w:rPr>
              <w:t>Tax Benefit</w:t>
            </w:r>
          </w:p>
        </w:tc>
        <w:tc>
          <w:tcPr>
            <w:tcW w:w="0" w:type="dxa"/>
            <w:vAlign w:val="bottom"/>
          </w:tcPr>
          <w:p>
            <w:pPr>
              <w:spacing w:after="0"/>
              <w:rPr>
                <w:sz w:val="1"/>
                <w:szCs w:val="1"/>
                <w:color w:val="auto"/>
              </w:rPr>
            </w:pPr>
          </w:p>
        </w:tc>
      </w:tr>
      <w:tr>
        <w:trPr>
          <w:trHeight w:val="142"/>
        </w:trPr>
        <w:tc>
          <w:tcPr>
            <w:tcW w:w="1960" w:type="dxa"/>
            <w:vAlign w:val="bottom"/>
            <w:tcBorders>
              <w:bottom w:val="single" w:sz="8" w:color="auto"/>
            </w:tcBorders>
            <w:gridSpan w:val="3"/>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Value</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color w:val="auto"/>
              </w:rPr>
              <w:t>Value</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Value</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Restricted Stock Units / Shares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24"/>
              <w:spacing w:after="0"/>
              <w:rPr>
                <w:sz w:val="20"/>
                <w:szCs w:val="20"/>
                <w:color w:val="auto"/>
              </w:rPr>
            </w:pPr>
            <w:r>
              <w:rPr>
                <w:rFonts w:ascii="Arial" w:cs="Arial" w:eastAsia="Arial" w:hAnsi="Arial"/>
                <w:sz w:val="11"/>
                <w:szCs w:val="11"/>
                <w:color w:val="auto"/>
                <w:w w:val="97"/>
              </w:rPr>
              <w: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080" w:type="dxa"/>
            <w:vAlign w:val="bottom"/>
            <w:gridSpan w:val="3"/>
            <w:shd w:val="clear" w:color="auto" w:fill="CCEEFF"/>
          </w:tcPr>
          <w:p>
            <w:pPr>
              <w:ind w:left="680"/>
              <w:spacing w:after="0"/>
              <w:rPr>
                <w:sz w:val="20"/>
                <w:szCs w:val="20"/>
                <w:color w:val="auto"/>
              </w:rPr>
            </w:pPr>
            <w:r>
              <w:rPr>
                <w:rFonts w:ascii="Arial" w:cs="Arial" w:eastAsia="Arial" w:hAnsi="Arial"/>
                <w:sz w:val="11"/>
                <w:szCs w:val="11"/>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9"/>
        </w:trPr>
        <w:tc>
          <w:tcPr>
            <w:tcW w:w="2040" w:type="dxa"/>
            <w:vAlign w:val="bottom"/>
            <w:gridSpan w:val="4"/>
          </w:tcPr>
          <w:p>
            <w:pPr>
              <w:ind w:left="20"/>
              <w:spacing w:after="0"/>
              <w:rPr>
                <w:sz w:val="20"/>
                <w:szCs w:val="20"/>
                <w:color w:val="auto"/>
              </w:rPr>
            </w:pPr>
            <w:r>
              <w:rPr>
                <w:rFonts w:ascii="Arial" w:cs="Arial" w:eastAsia="Arial" w:hAnsi="Arial"/>
                <w:sz w:val="11"/>
                <w:szCs w:val="11"/>
                <w:color w:val="auto"/>
              </w:rPr>
              <w:t>Performance Stock Units / Shares</w:t>
            </w:r>
          </w:p>
        </w:tc>
        <w:tc>
          <w:tcPr>
            <w:tcW w:w="120" w:type="dxa"/>
            <w:vAlign w:val="bottom"/>
          </w:tcPr>
          <w:p>
            <w:pPr>
              <w:spacing w:after="0"/>
              <w:rPr>
                <w:sz w:val="12"/>
                <w:szCs w:val="12"/>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2"/>
                <w:szCs w:val="12"/>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68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18 – Other Comprehensive Income (Loss)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 (Loss) is comprised of the following:</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ind w:right="244"/>
              <w:spacing w:after="0"/>
              <w:rPr>
                <w:sz w:val="20"/>
                <w:szCs w:val="20"/>
                <w:color w:val="auto"/>
              </w:rPr>
            </w:pPr>
            <w:r>
              <w:rPr>
                <w:rFonts w:ascii="Arial" w:cs="Arial" w:eastAsia="Arial" w:hAnsi="Arial"/>
                <w:sz w:val="11"/>
                <w:szCs w:val="11"/>
                <w:color w:val="auto"/>
              </w:rPr>
              <w:t>Year Ended December 31,</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143"/>
        </w:trPr>
        <w:tc>
          <w:tcPr>
            <w:tcW w:w="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1"/>
                <w:szCs w:val="11"/>
                <w:color w:val="auto"/>
              </w:rPr>
              <w:t>2024</w:t>
            </w: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ind w:right="784"/>
              <w:spacing w:after="0"/>
              <w:rPr>
                <w:sz w:val="20"/>
                <w:szCs w:val="20"/>
                <w:color w:val="auto"/>
              </w:rPr>
            </w:pPr>
            <w:r>
              <w:rPr>
                <w:rFonts w:ascii="Arial" w:cs="Arial" w:eastAsia="Arial" w:hAnsi="Arial"/>
                <w:sz w:val="11"/>
                <w:szCs w:val="11"/>
                <w:color w:val="auto"/>
              </w:rPr>
              <w:t>2023</w:t>
            </w: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1"/>
                <w:szCs w:val="11"/>
                <w:color w:val="auto"/>
              </w:rPr>
              <w:t>2022</w:t>
            </w:r>
          </w:p>
        </w:tc>
        <w:tc>
          <w:tcPr>
            <w:tcW w:w="960" w:type="dxa"/>
            <w:vAlign w:val="bottom"/>
            <w:tcBorders>
              <w:bottom w:val="single" w:sz="8" w:color="auto"/>
            </w:tcBorders>
          </w:tcPr>
          <w:p>
            <w:pPr>
              <w:spacing w:after="0"/>
              <w:rPr>
                <w:sz w:val="12"/>
                <w:szCs w:val="12"/>
                <w:color w:val="auto"/>
              </w:rPr>
            </w:pPr>
          </w:p>
        </w:tc>
      </w:tr>
      <w:tr>
        <w:trPr>
          <w:trHeight w:val="123"/>
        </w:trPr>
        <w:tc>
          <w:tcPr>
            <w:tcW w:w="378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0"/>
                <w:szCs w:val="10"/>
                <w:color w:val="auto"/>
              </w:rPr>
            </w:pPr>
          </w:p>
        </w:tc>
        <w:tc>
          <w:tcPr>
            <w:tcW w:w="1020" w:type="dxa"/>
            <w:vAlign w:val="bottom"/>
            <w:gridSpan w:val="2"/>
          </w:tcPr>
          <w:p>
            <w:pPr>
              <w:ind w:left="180"/>
              <w:spacing w:after="0" w:line="123" w:lineRule="exact"/>
              <w:rPr>
                <w:sz w:val="20"/>
                <w:szCs w:val="20"/>
                <w:color w:val="auto"/>
              </w:rPr>
            </w:pPr>
            <w:r>
              <w:rPr>
                <w:rFonts w:ascii="Arial" w:cs="Arial" w:eastAsia="Arial" w:hAnsi="Arial"/>
                <w:sz w:val="11"/>
                <w:szCs w:val="11"/>
                <w:color w:val="auto"/>
              </w:rPr>
              <w:t>Pre-tax</w:t>
            </w:r>
          </w:p>
        </w:tc>
        <w:tc>
          <w:tcPr>
            <w:tcW w:w="220" w:type="dxa"/>
            <w:vAlign w:val="bottom"/>
          </w:tcPr>
          <w:p>
            <w:pPr>
              <w:spacing w:after="0"/>
              <w:rPr>
                <w:sz w:val="10"/>
                <w:szCs w:val="10"/>
                <w:color w:val="auto"/>
              </w:rPr>
            </w:pPr>
          </w:p>
        </w:tc>
        <w:tc>
          <w:tcPr>
            <w:tcW w:w="1040" w:type="dxa"/>
            <w:vAlign w:val="bottom"/>
            <w:gridSpan w:val="2"/>
          </w:tcPr>
          <w:p>
            <w:pPr>
              <w:ind w:left="120"/>
              <w:spacing w:after="0" w:line="123" w:lineRule="exact"/>
              <w:rPr>
                <w:sz w:val="20"/>
                <w:szCs w:val="20"/>
                <w:color w:val="auto"/>
              </w:rPr>
            </w:pPr>
            <w:r>
              <w:rPr>
                <w:rFonts w:ascii="Arial" w:cs="Arial" w:eastAsia="Arial" w:hAnsi="Arial"/>
                <w:sz w:val="11"/>
                <w:szCs w:val="11"/>
                <w:color w:val="auto"/>
              </w:rPr>
              <w:t>Net of Tax</w:t>
            </w:r>
          </w:p>
        </w:tc>
        <w:tc>
          <w:tcPr>
            <w:tcW w:w="240" w:type="dxa"/>
            <w:vAlign w:val="bottom"/>
          </w:tcPr>
          <w:p>
            <w:pPr>
              <w:spacing w:after="0"/>
              <w:rPr>
                <w:sz w:val="10"/>
                <w:szCs w:val="10"/>
                <w:color w:val="auto"/>
              </w:rPr>
            </w:pPr>
          </w:p>
        </w:tc>
        <w:tc>
          <w:tcPr>
            <w:tcW w:w="1020" w:type="dxa"/>
            <w:vAlign w:val="bottom"/>
            <w:gridSpan w:val="2"/>
          </w:tcPr>
          <w:p>
            <w:pPr>
              <w:ind w:left="180"/>
              <w:spacing w:after="0" w:line="123" w:lineRule="exact"/>
              <w:rPr>
                <w:sz w:val="20"/>
                <w:szCs w:val="20"/>
                <w:color w:val="auto"/>
              </w:rPr>
            </w:pPr>
            <w:r>
              <w:rPr>
                <w:rFonts w:ascii="Arial" w:cs="Arial" w:eastAsia="Arial" w:hAnsi="Arial"/>
                <w:sz w:val="11"/>
                <w:szCs w:val="11"/>
                <w:color w:val="auto"/>
              </w:rPr>
              <w:t>Pre-tax</w:t>
            </w:r>
          </w:p>
        </w:tc>
        <w:tc>
          <w:tcPr>
            <w:tcW w:w="920" w:type="dxa"/>
            <w:vAlign w:val="bottom"/>
          </w:tcPr>
          <w:p>
            <w:pPr>
              <w:jc w:val="right"/>
              <w:ind w:right="24"/>
              <w:spacing w:after="0" w:line="123" w:lineRule="exact"/>
              <w:rPr>
                <w:sz w:val="20"/>
                <w:szCs w:val="20"/>
                <w:color w:val="auto"/>
              </w:rPr>
            </w:pPr>
            <w:r>
              <w:rPr>
                <w:rFonts w:ascii="Arial" w:cs="Arial" w:eastAsia="Arial" w:hAnsi="Arial"/>
                <w:sz w:val="11"/>
                <w:szCs w:val="11"/>
                <w:color w:val="auto"/>
              </w:rPr>
              <w:t>Net of Tax</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ind w:left="180"/>
              <w:spacing w:after="0" w:line="123" w:lineRule="exact"/>
              <w:rPr>
                <w:sz w:val="20"/>
                <w:szCs w:val="20"/>
                <w:color w:val="auto"/>
              </w:rPr>
            </w:pPr>
            <w:r>
              <w:rPr>
                <w:rFonts w:ascii="Arial" w:cs="Arial" w:eastAsia="Arial" w:hAnsi="Arial"/>
                <w:sz w:val="11"/>
                <w:szCs w:val="11"/>
                <w:color w:val="auto"/>
              </w:rPr>
              <w:t>Pre-tax</w:t>
            </w:r>
          </w:p>
        </w:tc>
        <w:tc>
          <w:tcPr>
            <w:tcW w:w="220" w:type="dxa"/>
            <w:vAlign w:val="bottom"/>
          </w:tcPr>
          <w:p>
            <w:pPr>
              <w:spacing w:after="0"/>
              <w:rPr>
                <w:sz w:val="10"/>
                <w:szCs w:val="10"/>
                <w:color w:val="auto"/>
              </w:rPr>
            </w:pPr>
          </w:p>
        </w:tc>
        <w:tc>
          <w:tcPr>
            <w:tcW w:w="960" w:type="dxa"/>
            <w:vAlign w:val="bottom"/>
          </w:tcPr>
          <w:p>
            <w:pPr>
              <w:jc w:val="right"/>
              <w:ind w:right="284"/>
              <w:spacing w:after="0" w:line="123" w:lineRule="exact"/>
              <w:rPr>
                <w:sz w:val="20"/>
                <w:szCs w:val="20"/>
                <w:color w:val="auto"/>
              </w:rPr>
            </w:pPr>
            <w:r>
              <w:rPr>
                <w:rFonts w:ascii="Arial" w:cs="Arial" w:eastAsia="Arial" w:hAnsi="Arial"/>
                <w:sz w:val="11"/>
                <w:szCs w:val="11"/>
                <w:color w:val="auto"/>
              </w:rPr>
              <w:t>Net of Tax</w:t>
            </w: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28"/>
        </w:trPr>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Currency Translation</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2"/>
        </w:trPr>
        <w:tc>
          <w:tcPr>
            <w:tcW w:w="3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Currency translation adjustments, net</w:t>
            </w: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784"/>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w:t>
            </w:r>
          </w:p>
        </w:tc>
      </w:tr>
      <w:tr>
        <w:trPr>
          <w:trHeight w:val="151"/>
        </w:trPr>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Translation adjustments gains (losses)</w:t>
            </w: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r>
      <w:tr>
        <w:trPr>
          <w:trHeight w:val="135"/>
        </w:trPr>
        <w:tc>
          <w:tcPr>
            <w:tcW w:w="3780" w:type="dxa"/>
            <w:vAlign w:val="bottom"/>
            <w:gridSpan w:val="2"/>
          </w:tcPr>
          <w:p>
            <w:pPr>
              <w:spacing w:after="0"/>
              <w:rPr>
                <w:sz w:val="20"/>
                <w:szCs w:val="20"/>
                <w:color w:val="auto"/>
              </w:rPr>
            </w:pPr>
            <w:r>
              <w:rPr>
                <w:rFonts w:ascii="Arial" w:cs="Arial" w:eastAsia="Arial" w:hAnsi="Arial"/>
                <w:sz w:val="11"/>
                <w:szCs w:val="11"/>
                <w:b w:val="1"/>
                <w:bCs w:val="1"/>
                <w:color w:val="auto"/>
              </w:rPr>
              <w:t>Unrealized Gains (Losses)</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7"/>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Changes in fair value of cash flow hedges gains (losses)</w:t>
            </w: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6"/>
        </w:trPr>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Net Unrealized Gains (Losses)</w:t>
            </w: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784"/>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r>
      <w:tr>
        <w:trPr>
          <w:trHeight w:val="148"/>
        </w:trPr>
        <w:tc>
          <w:tcPr>
            <w:tcW w:w="56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5"/>
        </w:trPr>
        <w:tc>
          <w:tcPr>
            <w:tcW w:w="3780" w:type="dxa"/>
            <w:vAlign w:val="bottom"/>
            <w:gridSpan w:val="2"/>
          </w:tcPr>
          <w:p>
            <w:pPr>
              <w:spacing w:after="0"/>
              <w:rPr>
                <w:sz w:val="20"/>
                <w:szCs w:val="20"/>
                <w:color w:val="auto"/>
              </w:rPr>
            </w:pPr>
            <w:r>
              <w:rPr>
                <w:rFonts w:ascii="Arial" w:cs="Arial" w:eastAsia="Arial" w:hAnsi="Arial"/>
                <w:sz w:val="11"/>
                <w:szCs w:val="11"/>
                <w:b w:val="1"/>
                <w:bCs w:val="1"/>
                <w:color w:val="auto"/>
              </w:rPr>
              <w:t>Defined Benefit Plans Gains (Losses)</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7"/>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Net actuarial/prior service gains (losses)</w:t>
            </w: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w:t>
            </w:r>
          </w:p>
        </w:tc>
      </w:tr>
      <w:tr>
        <w:trPr>
          <w:trHeight w:val="146"/>
        </w:trPr>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Changes in Defined Benefit Plans Gains (Losses)</w:t>
            </w: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784"/>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w:t>
            </w:r>
          </w:p>
        </w:tc>
      </w:tr>
      <w:tr>
        <w:trPr>
          <w:trHeight w:val="137"/>
        </w:trPr>
        <w:tc>
          <w:tcPr>
            <w:tcW w:w="560" w:type="dxa"/>
            <w:vAlign w:val="bottom"/>
            <w:shd w:val="clear" w:color="auto" w:fill="CCEEFF"/>
          </w:tcPr>
          <w:p>
            <w:pPr>
              <w:spacing w:after="0"/>
              <w:rPr>
                <w:sz w:val="11"/>
                <w:szCs w:val="11"/>
                <w:color w:val="auto"/>
              </w:rPr>
            </w:pPr>
          </w:p>
        </w:tc>
        <w:tc>
          <w:tcPr>
            <w:tcW w:w="3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r>
      <w:tr>
        <w:trPr>
          <w:trHeight w:val="147"/>
        </w:trPr>
        <w:tc>
          <w:tcPr>
            <w:tcW w:w="3780" w:type="dxa"/>
            <w:vAlign w:val="bottom"/>
            <w:gridSpan w:val="2"/>
          </w:tcPr>
          <w:p>
            <w:pPr>
              <w:spacing w:after="0"/>
              <w:rPr>
                <w:sz w:val="20"/>
                <w:szCs w:val="20"/>
                <w:color w:val="auto"/>
              </w:rPr>
            </w:pPr>
            <w:r>
              <w:rPr>
                <w:rFonts w:ascii="Arial" w:cs="Arial" w:eastAsia="Arial" w:hAnsi="Arial"/>
                <w:sz w:val="11"/>
                <w:szCs w:val="11"/>
                <w:b w:val="1"/>
                <w:bCs w:val="1"/>
                <w:color w:val="auto"/>
              </w:rPr>
              <w:t>Other Comprehensive Income (Loss)</w:t>
            </w: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784"/>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r>
      <w:tr>
        <w:trPr>
          <w:trHeight w:val="20"/>
        </w:trPr>
        <w:tc>
          <w:tcPr>
            <w:tcW w:w="5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Accumulated Other Comprehensive Loss ("AOCL")</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Below are the balances and changes in AOCL</w:t>
      </w:r>
      <w:r>
        <w:rPr>
          <w:rFonts w:ascii="Arial" w:cs="Arial" w:eastAsia="Arial" w:hAnsi="Arial"/>
          <w:sz w:val="18"/>
          <w:szCs w:val="18"/>
          <w:color w:val="auto"/>
          <w:vertAlign w:val="superscript"/>
        </w:rPr>
        <w:t>(1)</w:t>
      </w:r>
      <w:r>
        <w:rPr>
          <w:rFonts w:ascii="Arial" w:cs="Arial" w:eastAsia="Arial" w:hAnsi="Arial"/>
          <w:sz w:val="14"/>
          <w:szCs w:val="14"/>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color w:val="auto"/>
                <w:w w:val="99"/>
              </w:rPr>
              <w:t>Currency Translation</w:t>
            </w:r>
          </w:p>
        </w:tc>
        <w:tc>
          <w:tcPr>
            <w:tcW w:w="1420" w:type="dxa"/>
            <w:vAlign w:val="bottom"/>
            <w:gridSpan w:val="3"/>
          </w:tcPr>
          <w:p>
            <w:pPr>
              <w:jc w:val="center"/>
              <w:ind w:right="100"/>
              <w:spacing w:after="0"/>
              <w:rPr>
                <w:sz w:val="20"/>
                <w:szCs w:val="20"/>
                <w:color w:val="auto"/>
              </w:rPr>
            </w:pPr>
            <w:r>
              <w:rPr>
                <w:rFonts w:ascii="Arial" w:cs="Arial" w:eastAsia="Arial" w:hAnsi="Arial"/>
                <w:sz w:val="11"/>
                <w:szCs w:val="11"/>
                <w:color w:val="auto"/>
              </w:rPr>
              <w:t>Gains (Losses) on Cash</w:t>
            </w:r>
          </w:p>
        </w:tc>
        <w:tc>
          <w:tcPr>
            <w:tcW w:w="1440" w:type="dxa"/>
            <w:vAlign w:val="bottom"/>
            <w:gridSpan w:val="3"/>
          </w:tcPr>
          <w:p>
            <w:pPr>
              <w:jc w:val="center"/>
              <w:ind w:right="100"/>
              <w:spacing w:after="0"/>
              <w:rPr>
                <w:sz w:val="20"/>
                <w:szCs w:val="20"/>
                <w:color w:val="auto"/>
              </w:rPr>
            </w:pPr>
            <w:r>
              <w:rPr>
                <w:rFonts w:ascii="Arial" w:cs="Arial" w:eastAsia="Arial" w:hAnsi="Arial"/>
                <w:sz w:val="11"/>
                <w:szCs w:val="11"/>
                <w:color w:val="auto"/>
                <w:w w:val="99"/>
              </w:rPr>
              <w:t>Defined Benefit Pension</w:t>
            </w:r>
          </w:p>
        </w:tc>
        <w:tc>
          <w:tcPr>
            <w:tcW w:w="300" w:type="dxa"/>
            <w:vAlign w:val="bottom"/>
          </w:tcPr>
          <w:p>
            <w:pPr>
              <w:spacing w:after="0"/>
              <w:rPr>
                <w:sz w:val="10"/>
                <w:szCs w:val="10"/>
                <w:color w:val="auto"/>
              </w:rPr>
            </w:pPr>
          </w:p>
        </w:tc>
        <w:tc>
          <w:tcPr>
            <w:tcW w:w="1020" w:type="dxa"/>
            <w:vAlign w:val="bottom"/>
            <w:vMerge w:val="restart"/>
          </w:tcPr>
          <w:p>
            <w:pPr>
              <w:jc w:val="right"/>
              <w:ind w:right="484"/>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6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100" w:type="dxa"/>
            <w:vAlign w:val="bottom"/>
          </w:tcPr>
          <w:p>
            <w:pPr>
              <w:spacing w:after="0"/>
              <w:rPr>
                <w:sz w:val="9"/>
                <w:szCs w:val="9"/>
                <w:color w:val="auto"/>
              </w:rPr>
            </w:pPr>
          </w:p>
        </w:tc>
        <w:tc>
          <w:tcPr>
            <w:tcW w:w="1320" w:type="dxa"/>
            <w:vAlign w:val="bottom"/>
            <w:gridSpan w:val="2"/>
          </w:tcPr>
          <w:p>
            <w:pPr>
              <w:jc w:val="center"/>
              <w:ind w:right="200"/>
              <w:spacing w:after="0" w:line="115" w:lineRule="exact"/>
              <w:rPr>
                <w:sz w:val="20"/>
                <w:szCs w:val="20"/>
                <w:color w:val="auto"/>
              </w:rPr>
            </w:pPr>
            <w:r>
              <w:rPr>
                <w:rFonts w:ascii="Arial" w:cs="Arial" w:eastAsia="Arial" w:hAnsi="Arial"/>
                <w:sz w:val="11"/>
                <w:szCs w:val="11"/>
                <w:color w:val="auto"/>
                <w:w w:val="99"/>
              </w:rPr>
              <w:t>Adjustments</w:t>
            </w:r>
          </w:p>
        </w:tc>
        <w:tc>
          <w:tcPr>
            <w:tcW w:w="200" w:type="dxa"/>
            <w:vAlign w:val="bottom"/>
          </w:tcPr>
          <w:p>
            <w:pPr>
              <w:spacing w:after="0"/>
              <w:rPr>
                <w:sz w:val="9"/>
                <w:szCs w:val="9"/>
                <w:color w:val="auto"/>
              </w:rPr>
            </w:pPr>
          </w:p>
        </w:tc>
        <w:tc>
          <w:tcPr>
            <w:tcW w:w="1220" w:type="dxa"/>
            <w:vAlign w:val="bottom"/>
            <w:gridSpan w:val="2"/>
          </w:tcPr>
          <w:p>
            <w:pPr>
              <w:jc w:val="center"/>
              <w:ind w:right="300"/>
              <w:spacing w:after="0" w:line="115" w:lineRule="exact"/>
              <w:rPr>
                <w:sz w:val="20"/>
                <w:szCs w:val="20"/>
                <w:color w:val="auto"/>
              </w:rPr>
            </w:pPr>
            <w:r>
              <w:rPr>
                <w:rFonts w:ascii="Arial" w:cs="Arial" w:eastAsia="Arial" w:hAnsi="Arial"/>
                <w:sz w:val="11"/>
                <w:szCs w:val="11"/>
                <w:color w:val="auto"/>
                <w:w w:val="99"/>
              </w:rPr>
              <w:t>Flow Hedges</w:t>
            </w:r>
          </w:p>
        </w:tc>
        <w:tc>
          <w:tcPr>
            <w:tcW w:w="300" w:type="dxa"/>
            <w:vAlign w:val="bottom"/>
          </w:tcPr>
          <w:p>
            <w:pPr>
              <w:spacing w:after="0"/>
              <w:rPr>
                <w:sz w:val="9"/>
                <w:szCs w:val="9"/>
                <w:color w:val="auto"/>
              </w:rPr>
            </w:pPr>
          </w:p>
        </w:tc>
        <w:tc>
          <w:tcPr>
            <w:tcW w:w="1140" w:type="dxa"/>
            <w:vAlign w:val="bottom"/>
            <w:gridSpan w:val="2"/>
          </w:tcPr>
          <w:p>
            <w:pPr>
              <w:jc w:val="center"/>
              <w:ind w:right="400"/>
              <w:spacing w:after="0" w:line="115" w:lineRule="exact"/>
              <w:rPr>
                <w:sz w:val="20"/>
                <w:szCs w:val="20"/>
                <w:color w:val="auto"/>
              </w:rPr>
            </w:pPr>
            <w:r>
              <w:rPr>
                <w:rFonts w:ascii="Arial" w:cs="Arial" w:eastAsia="Arial" w:hAnsi="Arial"/>
                <w:sz w:val="11"/>
                <w:szCs w:val="11"/>
                <w:color w:val="auto"/>
                <w:w w:val="96"/>
              </w:rPr>
              <w:t>Items</w:t>
            </w:r>
          </w:p>
        </w:tc>
        <w:tc>
          <w:tcPr>
            <w:tcW w:w="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60" w:type="dxa"/>
            <w:vAlign w:val="bottom"/>
            <w:gridSpan w:val="2"/>
          </w:tcPr>
          <w:p>
            <w:pPr>
              <w:ind w:left="160"/>
              <w:spacing w:after="0"/>
              <w:rPr>
                <w:sz w:val="20"/>
                <w:szCs w:val="20"/>
                <w:color w:val="auto"/>
              </w:rPr>
            </w:pPr>
            <w:r>
              <w:rPr>
                <w:rFonts w:ascii="Arial" w:cs="Arial" w:eastAsia="Arial" w:hAnsi="Arial"/>
                <w:sz w:val="11"/>
                <w:szCs w:val="11"/>
                <w:color w:val="auto"/>
              </w:rPr>
              <w:t>Other comprehensive income (loss) before reclassifications</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Amounts reclassified from accumulated other comprehensive loss</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gridSpan w:val="2"/>
          </w:tcPr>
          <w:p>
            <w:pPr>
              <w:spacing w:after="0"/>
              <w:rPr>
                <w:sz w:val="20"/>
                <w:szCs w:val="20"/>
                <w:color w:val="auto"/>
              </w:rPr>
            </w:pPr>
            <w:r>
              <w:rPr>
                <w:rFonts w:ascii="Arial" w:cs="Arial" w:eastAsia="Arial" w:hAnsi="Arial"/>
                <w:sz w:val="11"/>
                <w:szCs w:val="11"/>
                <w:color w:val="auto"/>
              </w:rPr>
              <w:t>Net current period other comprehensive income (loss)</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1"/>
                <w:szCs w:val="11"/>
                <w:color w:val="auto"/>
              </w:rPr>
              <w:t>Other comprehensive income (loss) before reclassifications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5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1"/>
                <w:szCs w:val="11"/>
                <w:color w:val="auto"/>
              </w:rPr>
              <w:t>31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jc w:val="right"/>
              <w:ind w:right="4"/>
              <w:spacing w:after="0" w:line="114"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right"/>
              <w:spacing w:after="0" w:line="114"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right"/>
              <w:spacing w:after="0" w:line="114" w:lineRule="exact"/>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Amounts reclassified from accumulated other comprehensive loss</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gridSpan w:val="2"/>
          </w:tcPr>
          <w:p>
            <w:pPr>
              <w:spacing w:after="0"/>
              <w:rPr>
                <w:sz w:val="20"/>
                <w:szCs w:val="20"/>
                <w:color w:val="auto"/>
              </w:rPr>
            </w:pPr>
            <w:r>
              <w:rPr>
                <w:rFonts w:ascii="Arial" w:cs="Arial" w:eastAsia="Arial" w:hAnsi="Arial"/>
                <w:sz w:val="11"/>
                <w:szCs w:val="11"/>
                <w:color w:val="auto"/>
              </w:rPr>
              <w:t>Net current period other comprehensive income (loss)</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1"/>
                <w:szCs w:val="11"/>
                <w:color w:val="auto"/>
              </w:rPr>
              <w:t>Other comprehensive income (loss) before reclassifications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5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1"/>
                <w:szCs w:val="11"/>
                <w:color w:val="auto"/>
              </w:rPr>
              <w:t>(37)</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jc w:val="right"/>
              <w:spacing w:after="0" w:line="114"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right"/>
              <w:ind w:right="4"/>
              <w:spacing w:after="0" w:line="114"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right"/>
              <w:spacing w:after="0" w:line="114" w:lineRule="exact"/>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Amounts reclassified from accumulated other comprehensive loss</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gridSpan w:val="2"/>
          </w:tcPr>
          <w:p>
            <w:pPr>
              <w:spacing w:after="0"/>
              <w:rPr>
                <w:sz w:val="20"/>
                <w:szCs w:val="20"/>
                <w:color w:val="auto"/>
              </w:rPr>
            </w:pPr>
            <w:r>
              <w:rPr>
                <w:rFonts w:ascii="Arial" w:cs="Arial" w:eastAsia="Arial" w:hAnsi="Arial"/>
                <w:sz w:val="11"/>
                <w:szCs w:val="11"/>
                <w:color w:val="auto"/>
              </w:rPr>
              <w:t>Net current period other comprehensive income (loss)</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spacing w:after="0"/>
        <w:rPr>
          <w:sz w:val="20"/>
          <w:szCs w:val="20"/>
          <w:color w:val="auto"/>
        </w:rPr>
      </w:pPr>
      <w:r>
        <w:rPr>
          <w:rFonts w:ascii="Arial" w:cs="Arial" w:eastAsia="Arial" w:hAnsi="Arial"/>
          <w:sz w:val="10"/>
          <w:szCs w:val="10"/>
          <w:color w:val="auto"/>
        </w:rPr>
        <w:t>__________</w:t>
      </w:r>
    </w:p>
    <w:p>
      <w:pPr>
        <w:spacing w:after="0" w:line="48"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All amounts are net of tax. Tax effects were immaterial.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1" w:name="page92"/>
    <w:bookmarkEnd w:id="9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19 – Earnings (Loss) per Share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Company did not declare any common stock dividends in the periods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of basic and diluted loss per share of common stock:</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180" w:type="dxa"/>
            <w:vAlign w:val="bottom"/>
            <w:gridSpan w:val="2"/>
          </w:tcPr>
          <w:p>
            <w:pPr>
              <w:spacing w:after="0"/>
              <w:rPr>
                <w:sz w:val="20"/>
                <w:szCs w:val="20"/>
                <w:color w:val="auto"/>
              </w:rPr>
            </w:pPr>
            <w:r>
              <w:rPr>
                <w:rFonts w:ascii="Arial" w:cs="Arial" w:eastAsia="Arial" w:hAnsi="Arial"/>
                <w:sz w:val="10"/>
                <w:szCs w:val="10"/>
                <w:color w:val="auto"/>
              </w:rPr>
              <w:t>(in millions, except per share data. Shares in thousands)</w:t>
            </w:r>
          </w:p>
        </w:tc>
        <w:tc>
          <w:tcPr>
            <w:tcW w:w="380" w:type="dxa"/>
            <w:vAlign w:val="bottom"/>
          </w:tcPr>
          <w:p>
            <w:pPr>
              <w:spacing w:after="0"/>
              <w:rPr>
                <w:sz w:val="10"/>
                <w:szCs w:val="10"/>
                <w:color w:val="auto"/>
              </w:rPr>
            </w:pPr>
          </w:p>
        </w:tc>
        <w:tc>
          <w:tcPr>
            <w:tcW w:w="1240" w:type="dxa"/>
            <w:vAlign w:val="bottom"/>
          </w:tcPr>
          <w:p>
            <w:pPr>
              <w:jc w:val="right"/>
              <w:ind w:right="624"/>
              <w:spacing w:after="0" w:line="120" w:lineRule="exact"/>
              <w:rPr>
                <w:sz w:val="20"/>
                <w:szCs w:val="20"/>
                <w:color w:val="auto"/>
              </w:rPr>
            </w:pPr>
            <w:r>
              <w:rPr>
                <w:rFonts w:ascii="Arial" w:cs="Arial" w:eastAsia="Arial" w:hAnsi="Arial"/>
                <w:sz w:val="11"/>
                <w:szCs w:val="11"/>
                <w:color w:val="auto"/>
              </w:rPr>
              <w:t>2024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jc w:val="right"/>
              <w:ind w:right="624"/>
              <w:spacing w:after="0" w:line="120"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jc w:val="right"/>
              <w:ind w:right="624"/>
              <w:spacing w:after="0" w:line="120"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Basic Net Earnings (Loss) per Share:</w:t>
            </w: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6180" w:type="dxa"/>
            <w:vAlign w:val="bottom"/>
            <w:gridSpan w:val="2"/>
          </w:tcPr>
          <w:p>
            <w:pPr>
              <w:ind w:left="160"/>
              <w:spacing w:after="0"/>
              <w:rPr>
                <w:sz w:val="20"/>
                <w:szCs w:val="20"/>
                <w:color w:val="auto"/>
              </w:rPr>
            </w:pPr>
            <w:r>
              <w:rPr>
                <w:rFonts w:ascii="Arial" w:cs="Arial" w:eastAsia="Arial" w:hAnsi="Arial"/>
                <w:sz w:val="11"/>
                <w:szCs w:val="11"/>
                <w:color w:val="auto"/>
              </w:rPr>
              <w:t>Net Income (Loss)</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426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13"/>
                <w:szCs w:val="13"/>
                <w:color w:val="auto"/>
              </w:rPr>
            </w:pP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(182)</w:t>
            </w: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Dividend - Preferred Stock</w:t>
            </w: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43"/>
        </w:trPr>
        <w:tc>
          <w:tcPr>
            <w:tcW w:w="20" w:type="dxa"/>
            <w:vAlign w:val="bottom"/>
          </w:tcPr>
          <w:p>
            <w:pPr>
              <w:spacing w:after="0"/>
              <w:rPr>
                <w:sz w:val="12"/>
                <w:szCs w:val="12"/>
                <w:color w:val="auto"/>
              </w:rPr>
            </w:pPr>
          </w:p>
        </w:tc>
        <w:tc>
          <w:tcPr>
            <w:tcW w:w="6180" w:type="dxa"/>
            <w:vAlign w:val="bottom"/>
            <w:gridSpan w:val="2"/>
          </w:tcPr>
          <w:p>
            <w:pPr>
              <w:spacing w:after="0"/>
              <w:rPr>
                <w:sz w:val="20"/>
                <w:szCs w:val="20"/>
                <w:color w:val="auto"/>
              </w:rPr>
            </w:pPr>
            <w:r>
              <w:rPr>
                <w:rFonts w:ascii="Arial" w:cs="Arial" w:eastAsia="Arial" w:hAnsi="Arial"/>
                <w:sz w:val="11"/>
                <w:szCs w:val="11"/>
                <w:b w:val="1"/>
                <w:bCs w:val="1"/>
                <w:color w:val="auto"/>
              </w:rPr>
              <w:t>Adjusted Net Income (Loss) Available to Common Shareholders - Basic</w:t>
            </w:r>
          </w:p>
        </w:tc>
        <w:tc>
          <w:tcPr>
            <w:tcW w:w="3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(306)</w:t>
            </w: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b w:val="1"/>
                <w:bCs w:val="1"/>
                <w:color w:val="auto"/>
              </w:rPr>
              <w:t>Diluted Net Earnings (Loss) per Share:</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7"/>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Net Income (Loss)</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r>
      <w:tr>
        <w:trPr>
          <w:trHeight w:val="152"/>
        </w:trPr>
        <w:tc>
          <w:tcPr>
            <w:tcW w:w="20" w:type="dxa"/>
            <w:vAlign w:val="bottom"/>
          </w:tcPr>
          <w:p>
            <w:pPr>
              <w:spacing w:after="0"/>
              <w:rPr>
                <w:sz w:val="13"/>
                <w:szCs w:val="13"/>
                <w:color w:val="auto"/>
              </w:rPr>
            </w:pPr>
          </w:p>
        </w:tc>
        <w:tc>
          <w:tcPr>
            <w:tcW w:w="6180" w:type="dxa"/>
            <w:vAlign w:val="bottom"/>
            <w:gridSpan w:val="2"/>
          </w:tcPr>
          <w:p>
            <w:pPr>
              <w:ind w:left="160"/>
              <w:spacing w:after="0"/>
              <w:rPr>
                <w:sz w:val="20"/>
                <w:szCs w:val="20"/>
                <w:color w:val="auto"/>
              </w:rPr>
            </w:pPr>
            <w:r>
              <w:rPr>
                <w:rFonts w:ascii="Arial" w:cs="Arial" w:eastAsia="Arial" w:hAnsi="Arial"/>
                <w:sz w:val="11"/>
                <w:szCs w:val="11"/>
                <w:color w:val="auto"/>
              </w:rPr>
              <w:t>Dividend - Preferred Stock</w:t>
            </w:r>
          </w:p>
        </w:tc>
        <w:tc>
          <w:tcPr>
            <w:tcW w:w="38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Adjusted Net Income (Loss) Available to Common Shareholders - Diluted</w:t>
            </w:r>
          </w:p>
        </w:tc>
        <w:tc>
          <w:tcPr>
            <w:tcW w:w="38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(192)</w:t>
            </w:r>
          </w:p>
        </w:tc>
      </w:tr>
      <w:tr>
        <w:trPr>
          <w:trHeight w:val="29"/>
        </w:trPr>
        <w:tc>
          <w:tcPr>
            <w:tcW w:w="20" w:type="dxa"/>
            <w:vAlign w:val="bottom"/>
            <w:tcBorders>
              <w:top w:val="single" w:sz="8" w:color="CCEEFF"/>
            </w:tcBorders>
          </w:tcPr>
          <w:p>
            <w:pPr>
              <w:spacing w:after="0"/>
              <w:rPr>
                <w:sz w:val="2"/>
                <w:szCs w:val="2"/>
                <w:color w:val="auto"/>
              </w:rPr>
            </w:pPr>
          </w:p>
        </w:tc>
        <w:tc>
          <w:tcPr>
            <w:tcW w:w="2420" w:type="dxa"/>
            <w:vAlign w:val="bottom"/>
            <w:tcBorders>
              <w:top w:val="single" w:sz="8" w:color="CCEEFF"/>
            </w:tcBorders>
          </w:tcPr>
          <w:p>
            <w:pPr>
              <w:spacing w:after="0"/>
              <w:rPr>
                <w:sz w:val="2"/>
                <w:szCs w:val="2"/>
                <w:color w:val="auto"/>
              </w:rPr>
            </w:pPr>
          </w:p>
        </w:tc>
        <w:tc>
          <w:tcPr>
            <w:tcW w:w="3760" w:type="dxa"/>
            <w:vAlign w:val="bottom"/>
            <w:tcBorders>
              <w:top w:val="single" w:sz="8" w:color="CCEEFF"/>
            </w:tcBorders>
          </w:tcPr>
          <w:p>
            <w:pPr>
              <w:spacing w:after="0"/>
              <w:rPr>
                <w:sz w:val="2"/>
                <w:szCs w:val="2"/>
                <w:color w:val="auto"/>
              </w:rPr>
            </w:pPr>
          </w:p>
        </w:tc>
        <w:tc>
          <w:tcPr>
            <w:tcW w:w="380" w:type="dxa"/>
            <w:vAlign w:val="bottom"/>
            <w:tcBorders>
              <w:top w:val="single" w:sz="8" w:color="CCEEFF"/>
              <w:bottom w:val="single" w:sz="8" w:color="auto"/>
            </w:tcBorders>
          </w:tcPr>
          <w:p>
            <w:pPr>
              <w:spacing w:after="0"/>
              <w:rPr>
                <w:sz w:val="2"/>
                <w:szCs w:val="2"/>
                <w:color w:val="auto"/>
              </w:rPr>
            </w:pPr>
          </w:p>
        </w:tc>
        <w:tc>
          <w:tcPr>
            <w:tcW w:w="124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20" w:type="dxa"/>
            <w:vAlign w:val="bottom"/>
            <w:tcBorders>
              <w:top w:val="single" w:sz="8" w:color="CCEEFF"/>
              <w:bottom w:val="single" w:sz="8" w:color="auto"/>
            </w:tcBorders>
          </w:tcPr>
          <w:p>
            <w:pPr>
              <w:spacing w:after="0"/>
              <w:rPr>
                <w:sz w:val="2"/>
                <w:szCs w:val="2"/>
                <w:color w:val="auto"/>
              </w:rPr>
            </w:pPr>
          </w:p>
        </w:tc>
        <w:tc>
          <w:tcPr>
            <w:tcW w:w="150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80" w:type="dxa"/>
            <w:vAlign w:val="bottom"/>
            <w:tcBorders>
              <w:top w:val="single" w:sz="8" w:color="CCEEFF"/>
              <w:bottom w:val="single" w:sz="8" w:color="auto"/>
            </w:tcBorders>
          </w:tcPr>
          <w:p>
            <w:pPr>
              <w:spacing w:after="0"/>
              <w:rPr>
                <w:sz w:val="2"/>
                <w:szCs w:val="2"/>
                <w:color w:val="auto"/>
              </w:rPr>
            </w:pPr>
          </w:p>
        </w:tc>
        <w:tc>
          <w:tcPr>
            <w:tcW w:w="1240" w:type="dxa"/>
            <w:vAlign w:val="bottom"/>
            <w:tcBorders>
              <w:top w:val="single" w:sz="8" w:color="CCEEFF"/>
              <w:bottom w:val="single" w:sz="8" w:color="auto"/>
            </w:tcBorders>
          </w:tcPr>
          <w:p>
            <w:pPr>
              <w:spacing w:after="0"/>
              <w:rPr>
                <w:sz w:val="2"/>
                <w:szCs w:val="2"/>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Weighted Average Common Shares Outstanding - Basic</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182,513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216,779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215,886</w:t>
            </w:r>
          </w:p>
        </w:tc>
      </w:tr>
      <w:tr>
        <w:trPr>
          <w:trHeight w:val="152"/>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Common Shares Issuable with Respect to:</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Restricted Stock and Performance Units / Shares</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r>
      <w:tr>
        <w:trPr>
          <w:trHeight w:val="152"/>
        </w:trPr>
        <w:tc>
          <w:tcPr>
            <w:tcW w:w="20" w:type="dxa"/>
            <w:vAlign w:val="bottom"/>
            <w:tcBorders>
              <w:bottom w:val="single" w:sz="8" w:color="CCEEFF"/>
            </w:tcBorders>
          </w:tcPr>
          <w:p>
            <w:pPr>
              <w:spacing w:after="0"/>
              <w:rPr>
                <w:sz w:val="13"/>
                <w:szCs w:val="13"/>
                <w:color w:val="auto"/>
              </w:rPr>
            </w:pPr>
          </w:p>
        </w:tc>
        <w:tc>
          <w:tcPr>
            <w:tcW w:w="6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1"/>
                <w:szCs w:val="11"/>
                <w:color w:val="auto"/>
              </w:rPr>
              <w:t>8% Convertible Preferred Stock</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5,393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Weighted Average Common Shares Outstanding - Diluted</w:t>
            </w: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191,130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216,779</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215,886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56"/>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Earnings (Loss) per Share:</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180" w:type="dxa"/>
            <w:vAlign w:val="bottom"/>
            <w:gridSpan w:val="2"/>
          </w:tcPr>
          <w:p>
            <w:pPr>
              <w:ind w:left="160"/>
              <w:spacing w:after="0"/>
              <w:rPr>
                <w:sz w:val="20"/>
                <w:szCs w:val="20"/>
                <w:color w:val="auto"/>
              </w:rPr>
            </w:pPr>
            <w:r>
              <w:rPr>
                <w:rFonts w:ascii="Arial" w:cs="Arial" w:eastAsia="Arial" w:hAnsi="Arial"/>
                <w:sz w:val="11"/>
                <w:szCs w:val="11"/>
                <w:color w:val="auto"/>
              </w:rPr>
              <w:t>Basic</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2.28</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Pr>
          <w:p>
            <w:pPr>
              <w:spacing w:after="0"/>
              <w:rPr>
                <w:sz w:val="13"/>
                <w:szCs w:val="13"/>
                <w:color w:val="auto"/>
              </w:rPr>
            </w:pP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(0.89)</w:t>
            </w: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Diluted</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(0.89)</w:t>
            </w:r>
          </w:p>
        </w:tc>
      </w:tr>
      <w:tr>
        <w:trPr>
          <w:trHeight w:val="83"/>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5380" w:type="dxa"/>
            <w:vAlign w:val="bottom"/>
            <w:gridSpan w:val="3"/>
          </w:tcPr>
          <w:p>
            <w:pPr>
              <w:spacing w:after="0"/>
              <w:rPr>
                <w:sz w:val="7"/>
                <w:szCs w:val="7"/>
                <w:color w:val="auto"/>
              </w:rPr>
            </w:pPr>
          </w:p>
        </w:tc>
        <w:tc>
          <w:tcPr>
            <w:tcW w:w="1720" w:type="dxa"/>
            <w:vAlign w:val="bottom"/>
            <w:gridSpan w:val="3"/>
          </w:tcPr>
          <w:p>
            <w:pPr>
              <w:spacing w:after="0"/>
              <w:rPr>
                <w:sz w:val="7"/>
                <w:szCs w:val="7"/>
                <w:color w:val="auto"/>
              </w:rPr>
            </w:pPr>
          </w:p>
        </w:tc>
        <w:tc>
          <w:tcPr>
            <w:tcW w:w="1720" w:type="dxa"/>
            <w:vAlign w:val="bottom"/>
            <w:gridSpan w:val="3"/>
          </w:tcPr>
          <w:p>
            <w:pPr>
              <w:spacing w:after="0"/>
              <w:rPr>
                <w:sz w:val="7"/>
                <w:szCs w:val="7"/>
                <w:color w:val="auto"/>
              </w:rPr>
            </w:pPr>
          </w:p>
        </w:tc>
      </w:tr>
      <w:tr>
        <w:trPr>
          <w:trHeight w:val="156"/>
        </w:trPr>
        <w:tc>
          <w:tcPr>
            <w:tcW w:w="20" w:type="dxa"/>
            <w:vAlign w:val="bottom"/>
            <w:shd w:val="clear" w:color="auto" w:fill="CCEEFF"/>
          </w:tcPr>
          <w:p>
            <w:pPr>
              <w:spacing w:after="0"/>
              <w:rPr>
                <w:sz w:val="13"/>
                <w:szCs w:val="13"/>
                <w:color w:val="auto"/>
              </w:rPr>
            </w:pPr>
          </w:p>
        </w:tc>
        <w:tc>
          <w:tcPr>
            <w:tcW w:w="11240" w:type="dxa"/>
            <w:vAlign w:val="bottom"/>
            <w:gridSpan w:val="10"/>
            <w:shd w:val="clear" w:color="auto" w:fill="CCEEFF"/>
          </w:tcPr>
          <w:p>
            <w:pPr>
              <w:spacing w:after="0"/>
              <w:rPr>
                <w:sz w:val="20"/>
                <w:szCs w:val="20"/>
                <w:color w:val="auto"/>
              </w:rPr>
            </w:pPr>
            <w:r>
              <w:rPr>
                <w:rFonts w:ascii="Arial" w:cs="Arial" w:eastAsia="Arial" w:hAnsi="Arial"/>
                <w:sz w:val="11"/>
                <w:szCs w:val="11"/>
                <w:color w:val="auto"/>
              </w:rPr>
              <w:t>The following securities were not included in the computation of diluted earnings per share as they were either contingently issuable shares or shares that if included would have been anti-dilutive (shares in thousands):</w:t>
            </w:r>
          </w:p>
        </w:tc>
      </w:tr>
      <w:tr>
        <w:trPr>
          <w:trHeight w:val="152"/>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Restricted stock and performance shares/units</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7,731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8,652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5,469</w:t>
            </w:r>
          </w:p>
        </w:tc>
      </w:tr>
      <w:tr>
        <w:trPr>
          <w:trHeight w:val="156"/>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Convertible preferred stock</w:t>
            </w:r>
          </w:p>
        </w:tc>
        <w:tc>
          <w:tcPr>
            <w:tcW w:w="3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5,393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5,393</w:t>
            </w:r>
          </w:p>
        </w:tc>
      </w:tr>
      <w:tr>
        <w:trPr>
          <w:trHeight w:val="151"/>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b w:val="1"/>
                <w:bCs w:val="1"/>
                <w:color w:val="auto"/>
              </w:rPr>
              <w:t>Total Anti-Dilutive and Contingently Issuable Securities</w:t>
            </w: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7,731</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14,045</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10,862</w:t>
            </w: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20 – Related Party Transactions</w:t>
      </w:r>
    </w:p>
    <w:p>
      <w:pPr>
        <w:spacing w:after="0" w:line="123"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In the normal course of business, the Company provided services to, and purchased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Revenue and purchases from these entities were included in Revenue and Costs of services or Selling, general and administrative, respectively, on the Company's Consolidated Statements of Income (Loss).</w:t>
      </w:r>
    </w:p>
    <w:p>
      <w:pPr>
        <w:spacing w:after="0" w:line="97"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Xerox Corporation ("Xerox") was historically classified as a related party due to significant shares of both Xerox and the Company being held by entities controlled by one individual. As of September 28, 2023, Xerox was no longer considered a related party due to the disposition of all Xerox stock by these entities and, therefore, the Company does not consider transactions with Xerox after that date to be transactions with related parties.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Transactions with related parties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320" w:type="dxa"/>
            <w:vAlign w:val="bottom"/>
            <w:gridSpan w:val="2"/>
          </w:tcPr>
          <w:p>
            <w:pPr>
              <w:ind w:left="20"/>
              <w:spacing w:after="0"/>
              <w:rPr>
                <w:sz w:val="20"/>
                <w:szCs w:val="20"/>
                <w:color w:val="auto"/>
              </w:rPr>
            </w:pPr>
            <w:r>
              <w:rPr>
                <w:rFonts w:ascii="Arial" w:cs="Arial" w:eastAsia="Arial" w:hAnsi="Arial"/>
                <w:sz w:val="10"/>
                <w:szCs w:val="10"/>
                <w:color w:val="auto"/>
              </w:rPr>
              <w:t>(in millions)</w:t>
            </w:r>
          </w:p>
        </w:tc>
        <w:tc>
          <w:tcPr>
            <w:tcW w:w="380" w:type="dxa"/>
            <w:vAlign w:val="bottom"/>
          </w:tcPr>
          <w:p>
            <w:pPr>
              <w:spacing w:after="0"/>
              <w:rPr>
                <w:sz w:val="10"/>
                <w:szCs w:val="10"/>
                <w:color w:val="auto"/>
              </w:rPr>
            </w:pPr>
          </w:p>
        </w:tc>
        <w:tc>
          <w:tcPr>
            <w:tcW w:w="1220" w:type="dxa"/>
            <w:vAlign w:val="bottom"/>
          </w:tcPr>
          <w:p>
            <w:pPr>
              <w:jc w:val="right"/>
              <w:ind w:right="624"/>
              <w:spacing w:after="0" w:line="120" w:lineRule="exact"/>
              <w:rPr>
                <w:sz w:val="20"/>
                <w:szCs w:val="20"/>
                <w:color w:val="auto"/>
              </w:rPr>
            </w:pPr>
            <w:r>
              <w:rPr>
                <w:rFonts w:ascii="Arial" w:cs="Arial" w:eastAsia="Arial" w:hAnsi="Arial"/>
                <w:sz w:val="11"/>
                <w:szCs w:val="11"/>
                <w:color w:val="auto"/>
              </w:rPr>
              <w:t>2024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Revenue from related parties</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300" w:type="dxa"/>
            <w:vAlign w:val="bottom"/>
            <w:gridSpan w:val="2"/>
            <w:shd w:val="clear" w:color="auto" w:fill="CCEEFF"/>
          </w:tcPr>
          <w:p>
            <w:pPr>
              <w:ind w:left="10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rPr>
                <w:sz w:val="20"/>
                <w:szCs w:val="20"/>
                <w:color w:val="auto"/>
              </w:rPr>
            </w:pPr>
            <w:r>
              <w:rPr>
                <w:rFonts w:ascii="Arial" w:cs="Arial" w:eastAsia="Arial" w:hAnsi="Arial"/>
                <w:sz w:val="11"/>
                <w:szCs w:val="11"/>
                <w:color w:val="auto"/>
              </w:rPr>
              <w:t>Purchases from related parties</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300" w:type="dxa"/>
            <w:vAlign w:val="bottom"/>
            <w:gridSpan w:val="2"/>
          </w:tcPr>
          <w:p>
            <w:pPr>
              <w:ind w:left="10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2"/>
                <w:szCs w:val="12"/>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26</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The Company had no receivable or payable balances with related party entities as of December 31, 2024 and 2023.</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2" w:name="page93"/>
    <w:bookmarkEnd w:id="9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 CHANGES IN AND DISAGREEMENTS WITH ACCOUNTANTS ON ACCOUNTING AND FINANCIAL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9A. CONTROLS AND PROCEDURES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Management's Responsibility for Financial Statements</w:t>
      </w:r>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color w:val="auto"/>
        </w:rPr>
        <w:t>Management is responsible for the integrity and objectivity of all information presented in this Annual Report on Form 10-K.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w:t>
      </w:r>
    </w:p>
    <w:p>
      <w:pPr>
        <w:spacing w:after="0" w:line="97" w:lineRule="exact"/>
        <w:rPr>
          <w:sz w:val="20"/>
          <w:szCs w:val="20"/>
          <w:color w:val="auto"/>
        </w:rPr>
      </w:pPr>
    </w:p>
    <w:p>
      <w:pPr>
        <w:ind w:right="400"/>
        <w:spacing w:after="0" w:line="259" w:lineRule="auto"/>
        <w:rPr>
          <w:sz w:val="20"/>
          <w:szCs w:val="20"/>
          <w:color w:val="auto"/>
        </w:rPr>
      </w:pPr>
      <w:r>
        <w:rPr>
          <w:rFonts w:ascii="Arial" w:cs="Arial" w:eastAsia="Arial" w:hAnsi="Arial"/>
          <w:sz w:val="14"/>
          <w:szCs w:val="14"/>
          <w:color w:val="auto"/>
        </w:rPr>
        <w:t>The Audit Committee of the Board of Directors, which is composed solely of independent directors, meets regularly with the independent registered public accountants,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registered public accountants. The independent registered public accountants and internal auditors have access to the Audit Committee.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Disclosure Controls and Procedures</w:t>
      </w:r>
    </w:p>
    <w:p>
      <w:pPr>
        <w:spacing w:after="0" w:line="131"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The Company’s management evaluated, with the participation of our principal executive officer and principal financial officer, the effectiveness of our disclosure controls and procedures, as defined in Rules 13a-15(e) and 15d-15(e) under the Securities Exchange Act of 1934, as amended, as of December 31, 2024, the end of the period covered by this Annual Report on Form 10-K. Based on this evaluation, our principal executive officer and principal financial officer have concluded that, as of the end of the period covered by this Annual Report on Form 10-K, our disclosure controls and procedures were effective to ensure that information we are required to disclose in the reports that we file or submit under the Securities Exchange Act of 1934, as amended, is recorded, processed, summarized and reported within the time periods specified in the Securities and Exchange Commission’s rules and forms relating to Conduent Incorporated,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Management's Report on Internal Control over Financial Reporting</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as such term is defined in Rules 13a-15(f) and 15d-15(f) promulgated under the Securities Exchange Act of 1934, as amended. Under the supervision and with the participation of our management, including our principal executive officer, principal financial officer and principal accounting officer, we have conducted an evaluation of the effectiveness of our internal control over financial reporting based on the framework in "Internal Control - Integrated Framework" (2013) issued by the Committee of Sponsoring Organizations of the Treadway Commission.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Based on the above evaluation, management concluded that our internal control over financial reporting was effective as of December 31, 2024.</w:t>
      </w:r>
    </w:p>
    <w:p>
      <w:pPr>
        <w:spacing w:after="0" w:line="131" w:lineRule="exact"/>
        <w:rPr>
          <w:sz w:val="20"/>
          <w:szCs w:val="20"/>
          <w:color w:val="auto"/>
        </w:rPr>
      </w:pPr>
    </w:p>
    <w:p>
      <w:pPr>
        <w:ind w:right="560"/>
        <w:spacing w:after="0" w:line="282" w:lineRule="auto"/>
        <w:rPr>
          <w:sz w:val="20"/>
          <w:szCs w:val="20"/>
          <w:color w:val="auto"/>
        </w:rPr>
      </w:pPr>
      <w:r>
        <w:rPr>
          <w:rFonts w:ascii="Arial" w:cs="Arial" w:eastAsia="Arial" w:hAnsi="Arial"/>
          <w:sz w:val="14"/>
          <w:szCs w:val="14"/>
          <w:color w:val="auto"/>
        </w:rPr>
        <w:t>The effectiveness of our internal control over financial reporting as of December 31, 2024 has been audited by PricewaterhouseCoopers LLP, an independent registered public accounting firm, as stated in their report which appears in Part II, Item 8 of this Form 10-K.</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3" w:name="page94"/>
    <w:bookmarkEnd w:id="9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Changes in Internal Control over Financial Reporting</w:t>
      </w:r>
    </w:p>
    <w:p>
      <w:pPr>
        <w:spacing w:after="0" w:line="131" w:lineRule="exact"/>
        <w:rPr>
          <w:sz w:val="20"/>
          <w:szCs w:val="20"/>
          <w:color w:val="auto"/>
        </w:rPr>
      </w:pPr>
    </w:p>
    <w:p>
      <w:pPr>
        <w:ind w:right="180"/>
        <w:spacing w:after="0" w:line="322" w:lineRule="auto"/>
        <w:rPr>
          <w:sz w:val="20"/>
          <w:szCs w:val="20"/>
          <w:color w:val="auto"/>
        </w:rPr>
      </w:pPr>
      <w:r>
        <w:rPr>
          <w:rFonts w:ascii="Arial" w:cs="Arial" w:eastAsia="Arial" w:hAnsi="Arial"/>
          <w:sz w:val="13"/>
          <w:szCs w:val="13"/>
          <w:color w:val="auto"/>
        </w:rPr>
        <w:t>In connection with the evaluation required by paragraph (d) of Rule 13a-15 under the Exchange Act, there was no change identified in our internal control over financial reporting that occurred during the last fiscal quarter ended December 31, 2024 that has materially affected, or is reasonably likely to materially affect, our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9B. 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10b5-1 Plans</w:t>
      </w:r>
    </w:p>
    <w:p>
      <w:pPr>
        <w:spacing w:after="0" w:line="131"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During the three months ended December 31, 2024,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9C. DISCLOSURE REGARDING FOREIGN JURISDICTIONS THAT PREVENT INSPECTIONS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III</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10. DIRECTORS, EXECUTIVE OFFICERS AND CORPORATE GOVERNANCE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information regarding our executive officers required by Item 10 of Part III is set forth in Item 1 of Part I "Business–Information About Our Executive Officers." The information regarding directors is incorporated herein by reference to the section entitled “Proposal 1 - Election of Directors” in our definitive Proxy Statement to be filed pursuant to Regulation 14A of the Securities Exchange Act of 1934, as amended, for our 2025 Annual Meeting of Stockholders (the "2025 Proxy Statement"). The 2025 Proxy Statement is expected to be filed within 120 days after the end of our fiscal year ended December 31, 2024.</w:t>
      </w:r>
    </w:p>
    <w:p>
      <w:pPr>
        <w:spacing w:after="0" w:line="97"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If applicable, the information regarding compliance with Section 16(a) of the Securities and Exchange Act of 1934 is incorporated herein by reference to the section entitled “Delinquent Section 16(a) Reports" of our 2025 Proxy Statement.</w:t>
      </w:r>
    </w:p>
    <w:p>
      <w:pPr>
        <w:spacing w:after="0" w:line="80" w:lineRule="exact"/>
        <w:rPr>
          <w:sz w:val="20"/>
          <w:szCs w:val="20"/>
          <w:color w:val="auto"/>
        </w:rPr>
      </w:pPr>
    </w:p>
    <w:p>
      <w:pPr>
        <w:ind w:right="220"/>
        <w:spacing w:after="0" w:line="282" w:lineRule="auto"/>
        <w:rPr>
          <w:sz w:val="20"/>
          <w:szCs w:val="20"/>
          <w:color w:val="auto"/>
        </w:rPr>
      </w:pPr>
      <w:r>
        <w:rPr>
          <w:rFonts w:ascii="Arial" w:cs="Arial" w:eastAsia="Arial" w:hAnsi="Arial"/>
          <w:sz w:val="14"/>
          <w:szCs w:val="14"/>
          <w:color w:val="auto"/>
        </w:rPr>
        <w:t>The information required by this Item regarding the Audit Committee, its members and the Audit Committee financial experts is incorporated by reference herein from the subsection entitled “Committee Functions, Membership and Meetings” in the section entitled “Board of Directors and Board Committees” in our 2025 Proxy Statement.</w:t>
      </w:r>
    </w:p>
    <w:p>
      <w:pPr>
        <w:spacing w:after="0" w:line="80"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The information required by this Item regarding our insider trading policy is incorporated by reference herein from the subsection entitled "Trading, Hedging and Pledging" in our 2025 Proxy Statement.</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have adopted a code of ethics applicable to our principal executive officer, principal financial officer and principal accounting officer (the "Finance Code of Conduct"). The Finance Code of Conduct can be found on our website at: https://www.conduent.com/corporate-governance/ethics-and-compliance/. Information concerning our Finance Code of Conduct can be found under "Corporate Governance" in our 2025 Proxy Statement and is incorporated here by reference. The reference to our website address does not constitute incorporation by reference of any of the information contained on the website, and such information is not a part of this Annual Report.</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4" w:name="page95"/>
    <w:bookmarkEnd w:id="9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11. EXECUTIVE COMPENSATION</w:t>
      </w:r>
    </w:p>
    <w:p>
      <w:pPr>
        <w:spacing w:after="0" w:line="123"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The information required by this Item included under the following captions in our 2025 Proxy Statement is incorporated herein by reference: “Compensation Discussion and Analysis” (including the “Summary Compensation Table”, “Grants of Plan-Based Awards in 2024”, “Outstanding Equity Awards at 2024 Fiscal Year-End”, “Option Exercises and Stock Vested in 2024”, “Potential Payments upon Termination or Change in Control”, and “Compensation Committee Report” subsections), “Annual Director Compensation” and “Compensation Committee Interlocks and Insider Participation”. The information included under the heading “Compensation Committee Report” in our 2025 Proxy Statement is incorporated herein by reference; however, this information shall not be deemed to be “soliciting material” or to be “filed” with the SEC or subject to Regulation 14A or 14C, or to the liabilities of Section 18 of the Exchange Act.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12. SECURITY OWNERSHIP OF CERTAIN BENEFICIAL OWNERS AND MANAGEMENT AND RELATED STOCKHOLDER MATTERS</w:t>
      </w:r>
    </w:p>
    <w:p>
      <w:pPr>
        <w:spacing w:after="0" w:line="123"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Information required by this Item is incorporated herein by reference to the subsections entitled "Securities Ownership," and “Equity Compensation Plan Information” in our 2025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13. CERTAIN RELATIONSHIPS, RELATED TRANSACTIONS AND DIRECTOR INDEPENDENCE</w:t>
      </w:r>
    </w:p>
    <w:p>
      <w:pPr>
        <w:spacing w:after="0" w:line="134"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Information required by this Item is incorporated herein by reference to the subsection entitled “Certain Relationships and Related Person Transactions” in our 2025 Proxy Statement. The information regarding director independence is incorporated herein by reference to the subsections entitled “Corporate Governance” and “Director Independence” in the section entitled “Proposal 1 - Election of Directors” in our 2025 Proxy Statement.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14. PRINCIPAL ACCOUNTANT FEES AND SERVICES</w:t>
      </w:r>
    </w:p>
    <w:p>
      <w:pPr>
        <w:spacing w:after="0" w:line="110"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The information required by this Item is incorporated herein by reference to the section entitled “Proposal 2 - Ratification of Appointment of Independent Registered Public Accounting Firm” in our 2025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IV</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15. EXHIBITS AND FINANCIAL STATEMENT SCHEDULES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20" w:lineRule="exact"/>
        <w:rPr>
          <w:sz w:val="20"/>
          <w:szCs w:val="20"/>
          <w:color w:val="auto"/>
        </w:rPr>
      </w:pPr>
    </w:p>
    <w:p>
      <w:pPr>
        <w:ind w:left="1060" w:hanging="557"/>
        <w:spacing w:after="0"/>
        <w:tabs>
          <w:tab w:leader="none" w:pos="10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Index to Financial Statements filed as part of this report:</w:t>
      </w:r>
    </w:p>
    <w:p>
      <w:pPr>
        <w:spacing w:after="0" w:line="179" w:lineRule="exact"/>
        <w:rPr>
          <w:sz w:val="20"/>
          <w:szCs w:val="20"/>
          <w:color w:val="auto"/>
        </w:rPr>
      </w:pPr>
    </w:p>
    <w:p>
      <w:pPr>
        <w:ind w:left="1380" w:hanging="314"/>
        <w:spacing w:after="0"/>
        <w:tabs>
          <w:tab w:leader="none" w:pos="1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Report of Independent Registered Public Accounting Firm (PCAOB ID: 238);</w:t>
      </w:r>
    </w:p>
    <w:p>
      <w:pPr>
        <w:spacing w:after="0" w:line="20" w:lineRule="exact"/>
        <w:rPr>
          <w:sz w:val="20"/>
          <w:szCs w:val="20"/>
          <w:color w:val="auto"/>
        </w:rPr>
      </w:pPr>
    </w:p>
    <w:p>
      <w:pPr>
        <w:ind w:left="1380" w:hanging="314"/>
        <w:spacing w:after="0"/>
        <w:tabs>
          <w:tab w:leader="none" w:pos="13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Consolidated Statements of Income (Loss) for each of the years in the three-year period ended December 31, 2024;</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Consolidated Statements of Comprehensive Income (Loss) for each of the years in the three-year period ended December 31, 2024;</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Consolidated Balance Sheets as of December 31, 2024 and 2023;</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Consolidated Statements of Cash Flows for each of the years in the three-year period ended December 31, 2024;</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Consolidated Statements of Shareholders' Equity for each of the years in the three-year period ended December 31, 2024;</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Notes to the Consolidated Financial Statements; and</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All other schedules are omitted as they are not applicable, or the information required is included in the financial statements or notes thereto.</w:t>
      </w:r>
    </w:p>
    <w:p>
      <w:pPr>
        <w:spacing w:after="0" w:line="179" w:lineRule="exact"/>
        <w:rPr>
          <w:rFonts w:ascii="Arial" w:cs="Arial" w:eastAsia="Arial" w:hAnsi="Arial"/>
          <w:sz w:val="14"/>
          <w:szCs w:val="14"/>
          <w:color w:val="auto"/>
        </w:rPr>
      </w:pPr>
    </w:p>
    <w:p>
      <w:pPr>
        <w:ind w:left="1060" w:hanging="557"/>
        <w:spacing w:after="0"/>
        <w:tabs>
          <w:tab w:leader="none" w:pos="10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Financial Statement Schedules:</w:t>
      </w:r>
    </w:p>
    <w:p>
      <w:pPr>
        <w:spacing w:after="0" w:line="193" w:lineRule="exact"/>
        <w:rPr>
          <w:rFonts w:ascii="Arial" w:cs="Arial" w:eastAsia="Arial" w:hAnsi="Arial"/>
          <w:sz w:val="14"/>
          <w:szCs w:val="14"/>
          <w:color w:val="auto"/>
        </w:rPr>
      </w:pPr>
    </w:p>
    <w:p>
      <w:pPr>
        <w:ind w:left="1380" w:hanging="314"/>
        <w:spacing w:after="0"/>
        <w:tabs>
          <w:tab w:leader="none" w:pos="13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Schedule II–Valuation and Qualifying Accounts for each of the three years in the period ended December 31, 2024.</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5" w:name="page96"/>
    <w:bookmarkEnd w:id="9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3.</w:t>
      </w:r>
      <w:r>
        <w:rPr>
          <w:rFonts w:ascii="Arial" w:cs="Arial" w:eastAsia="Arial" w:hAnsi="Arial"/>
          <w:sz w:val="13"/>
          <w:szCs w:val="13"/>
          <w:color w:val="auto"/>
        </w:rPr>
        <w:t>The exhibits filed herewith are set forth in the exhibit Index included herein.</w:t>
      </w:r>
    </w:p>
    <w:p>
      <w:pPr>
        <w:spacing w:after="0" w:line="193" w:lineRule="exact"/>
        <w:rPr>
          <w:sz w:val="20"/>
          <w:szCs w:val="20"/>
          <w:color w:val="auto"/>
        </w:rPr>
      </w:pPr>
    </w:p>
    <w:p>
      <w:pPr>
        <w:ind w:left="500" w:right="160" w:hanging="497"/>
        <w:spacing w:after="0" w:line="282" w:lineRule="auto"/>
        <w:tabs>
          <w:tab w:leader="none" w:pos="324" w:val="left"/>
        </w:tabs>
        <w:numPr>
          <w:ilvl w:val="0"/>
          <w:numId w:val="52"/>
        </w:numPr>
        <w:rPr>
          <w:rFonts w:ascii="Arial" w:cs="Arial" w:eastAsia="Arial" w:hAnsi="Arial"/>
          <w:sz w:val="14"/>
          <w:szCs w:val="14"/>
          <w:color w:val="auto"/>
        </w:rPr>
      </w:pPr>
      <w:r>
        <w:rPr>
          <w:rFonts w:ascii="Arial" w:cs="Arial" w:eastAsia="Arial" w:hAnsi="Arial"/>
          <w:sz w:val="14"/>
          <w:szCs w:val="14"/>
          <w:color w:val="auto"/>
        </w:rPr>
        <w:t>Management contracts or compensatory plans or arrangements listed that are applicable to the executive officers named in the Summary Compensation Table which appears in the Registrant's 2025 Proxy Statement or to our directors are preceded by an asterisk (*).</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SCHEDULE II</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and Qualifying Accounts</w:t>
      </w:r>
    </w:p>
    <w:p>
      <w:pPr>
        <w:spacing w:after="0" w:line="193"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No allowances or recoveries for credit losses were recorded for the three years ended December 31, 2024. Activity in tax valuation allowances for the three years ended December 31, 2024 is shown below:</w:t>
      </w: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left="217"/>
              <w:spacing w:after="0" w:line="126" w:lineRule="exact"/>
              <w:rPr>
                <w:sz w:val="20"/>
                <w:szCs w:val="20"/>
                <w:color w:val="auto"/>
              </w:rPr>
            </w:pPr>
            <w:r>
              <w:rPr>
                <w:rFonts w:ascii="Arial" w:cs="Arial" w:eastAsia="Arial" w:hAnsi="Arial"/>
                <w:sz w:val="13"/>
                <w:szCs w:val="13"/>
                <w:color w:val="auto"/>
                <w:w w:val="97"/>
              </w:rPr>
              <w:t>Balance</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ind w:right="100"/>
              <w:spacing w:after="0" w:line="126" w:lineRule="exact"/>
              <w:rPr>
                <w:sz w:val="20"/>
                <w:szCs w:val="20"/>
                <w:color w:val="auto"/>
              </w:rPr>
            </w:pPr>
            <w:r>
              <w:rPr>
                <w:rFonts w:ascii="Arial" w:cs="Arial" w:eastAsia="Arial" w:hAnsi="Arial"/>
                <w:sz w:val="13"/>
                <w:szCs w:val="13"/>
                <w:color w:val="auto"/>
                <w:w w:val="93"/>
              </w:rPr>
              <w:t>Additions</w:t>
            </w:r>
          </w:p>
        </w:tc>
        <w:tc>
          <w:tcPr>
            <w:tcW w:w="1780" w:type="dxa"/>
            <w:vAlign w:val="bottom"/>
            <w:gridSpan w:val="2"/>
          </w:tcPr>
          <w:p>
            <w:pPr>
              <w:jc w:val="center"/>
              <w:ind w:right="80"/>
              <w:spacing w:after="0" w:line="126" w:lineRule="exact"/>
              <w:rPr>
                <w:sz w:val="20"/>
                <w:szCs w:val="20"/>
                <w:color w:val="auto"/>
              </w:rPr>
            </w:pPr>
            <w:r>
              <w:rPr>
                <w:rFonts w:ascii="Arial" w:cs="Arial" w:eastAsia="Arial" w:hAnsi="Arial"/>
                <w:sz w:val="13"/>
                <w:szCs w:val="13"/>
                <w:color w:val="auto"/>
                <w:w w:val="96"/>
              </w:rPr>
              <w:t>Amounts (credited)</w:t>
            </w:r>
          </w:p>
        </w:tc>
        <w:tc>
          <w:tcPr>
            <w:tcW w:w="1420" w:type="dxa"/>
            <w:vAlign w:val="bottom"/>
            <w:gridSpan w:val="2"/>
          </w:tcPr>
          <w:p>
            <w:pPr>
              <w:jc w:val="center"/>
              <w:ind w:right="80"/>
              <w:spacing w:after="0" w:line="126" w:lineRule="exact"/>
              <w:rPr>
                <w:sz w:val="20"/>
                <w:szCs w:val="20"/>
                <w:color w:val="auto"/>
              </w:rPr>
            </w:pPr>
            <w:r>
              <w:rPr>
                <w:rFonts w:ascii="Arial" w:cs="Arial" w:eastAsia="Arial" w:hAnsi="Arial"/>
                <w:sz w:val="13"/>
                <w:szCs w:val="13"/>
                <w:color w:val="auto"/>
                <w:w w:val="95"/>
              </w:rPr>
              <w:t>Deductions</w:t>
            </w:r>
          </w:p>
        </w:tc>
        <w:tc>
          <w:tcPr>
            <w:tcW w:w="1400" w:type="dxa"/>
            <w:vAlign w:val="bottom"/>
          </w:tcPr>
          <w:p>
            <w:pPr>
              <w:jc w:val="center"/>
              <w:spacing w:after="0" w:line="126" w:lineRule="exact"/>
              <w:rPr>
                <w:sz w:val="20"/>
                <w:szCs w:val="20"/>
                <w:color w:val="auto"/>
              </w:rPr>
            </w:pPr>
            <w:r>
              <w:rPr>
                <w:rFonts w:ascii="Arial" w:cs="Arial" w:eastAsia="Arial" w:hAnsi="Arial"/>
                <w:sz w:val="13"/>
                <w:szCs w:val="13"/>
                <w:color w:val="auto"/>
                <w:w w:val="97"/>
              </w:rPr>
              <w:t>Balance</w:t>
            </w:r>
          </w:p>
        </w:tc>
      </w:tr>
      <w:tr>
        <w:trPr>
          <w:trHeight w:val="125"/>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left="237"/>
              <w:spacing w:after="0" w:line="125" w:lineRule="exact"/>
              <w:rPr>
                <w:sz w:val="20"/>
                <w:szCs w:val="20"/>
                <w:color w:val="auto"/>
              </w:rPr>
            </w:pPr>
            <w:r>
              <w:rPr>
                <w:rFonts w:ascii="Arial" w:cs="Arial" w:eastAsia="Arial" w:hAnsi="Arial"/>
                <w:sz w:val="13"/>
                <w:szCs w:val="13"/>
                <w:color w:val="auto"/>
                <w:w w:val="95"/>
              </w:rPr>
              <w:t>at beginning</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tcPr>
          <w:p>
            <w:pPr>
              <w:jc w:val="center"/>
              <w:ind w:right="100"/>
              <w:spacing w:after="0" w:line="125" w:lineRule="exact"/>
              <w:rPr>
                <w:sz w:val="20"/>
                <w:szCs w:val="20"/>
                <w:color w:val="auto"/>
              </w:rPr>
            </w:pPr>
            <w:r>
              <w:rPr>
                <w:rFonts w:ascii="Arial" w:cs="Arial" w:eastAsia="Arial" w:hAnsi="Arial"/>
                <w:sz w:val="13"/>
                <w:szCs w:val="13"/>
                <w:color w:val="auto"/>
                <w:w w:val="94"/>
              </w:rPr>
              <w:t>charged to</w:t>
            </w:r>
          </w:p>
        </w:tc>
        <w:tc>
          <w:tcPr>
            <w:tcW w:w="1780" w:type="dxa"/>
            <w:vAlign w:val="bottom"/>
            <w:gridSpan w:val="2"/>
          </w:tcPr>
          <w:p>
            <w:pPr>
              <w:jc w:val="center"/>
              <w:ind w:right="80"/>
              <w:spacing w:after="0" w:line="125" w:lineRule="exact"/>
              <w:rPr>
                <w:sz w:val="20"/>
                <w:szCs w:val="20"/>
                <w:color w:val="auto"/>
              </w:rPr>
            </w:pPr>
            <w:r>
              <w:rPr>
                <w:rFonts w:ascii="Arial" w:cs="Arial" w:eastAsia="Arial" w:hAnsi="Arial"/>
                <w:sz w:val="13"/>
                <w:szCs w:val="13"/>
                <w:color w:val="auto"/>
                <w:w w:val="95"/>
              </w:rPr>
              <w:t>charged to other income</w:t>
            </w:r>
          </w:p>
        </w:tc>
        <w:tc>
          <w:tcPr>
            <w:tcW w:w="1420" w:type="dxa"/>
            <w:vAlign w:val="bottom"/>
            <w:gridSpan w:val="2"/>
          </w:tcPr>
          <w:p>
            <w:pPr>
              <w:jc w:val="center"/>
              <w:ind w:right="80"/>
              <w:spacing w:after="0" w:line="125" w:lineRule="exact"/>
              <w:rPr>
                <w:sz w:val="20"/>
                <w:szCs w:val="20"/>
                <w:color w:val="auto"/>
              </w:rPr>
            </w:pPr>
            <w:r>
              <w:rPr>
                <w:rFonts w:ascii="Arial" w:cs="Arial" w:eastAsia="Arial" w:hAnsi="Arial"/>
                <w:sz w:val="13"/>
                <w:szCs w:val="13"/>
                <w:color w:val="auto"/>
                <w:w w:val="97"/>
              </w:rPr>
              <w:t>and other, net</w:t>
            </w:r>
          </w:p>
        </w:tc>
        <w:tc>
          <w:tcPr>
            <w:tcW w:w="1400" w:type="dxa"/>
            <w:vAlign w:val="bottom"/>
          </w:tcPr>
          <w:p>
            <w:pPr>
              <w:jc w:val="center"/>
              <w:spacing w:after="0" w:line="125" w:lineRule="exact"/>
              <w:rPr>
                <w:sz w:val="20"/>
                <w:szCs w:val="20"/>
                <w:color w:val="auto"/>
              </w:rPr>
            </w:pPr>
            <w:r>
              <w:rPr>
                <w:rFonts w:ascii="Arial" w:cs="Arial" w:eastAsia="Arial" w:hAnsi="Arial"/>
                <w:sz w:val="13"/>
                <w:szCs w:val="13"/>
                <w:color w:val="auto"/>
                <w:w w:val="93"/>
              </w:rPr>
              <w:t>at end</w:t>
            </w:r>
          </w:p>
        </w:tc>
      </w:tr>
      <w:tr>
        <w:trPr>
          <w:trHeight w:val="135"/>
        </w:trPr>
        <w:tc>
          <w:tcPr>
            <w:tcW w:w="20" w:type="dxa"/>
            <w:vAlign w:val="bottom"/>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8"/>
              </w:rPr>
              <w:t>(in millions)</w:t>
            </w:r>
          </w:p>
        </w:tc>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left="197"/>
              <w:spacing w:after="0" w:line="136" w:lineRule="exact"/>
              <w:rPr>
                <w:sz w:val="20"/>
                <w:szCs w:val="20"/>
                <w:color w:val="auto"/>
              </w:rPr>
            </w:pPr>
            <w:r>
              <w:rPr>
                <w:rFonts w:ascii="Arial" w:cs="Arial" w:eastAsia="Arial" w:hAnsi="Arial"/>
                <w:sz w:val="13"/>
                <w:szCs w:val="13"/>
                <w:color w:val="auto"/>
                <w:w w:val="94"/>
              </w:rPr>
              <w:t>of period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line="136" w:lineRule="exact"/>
              <w:rPr>
                <w:sz w:val="20"/>
                <w:szCs w:val="20"/>
                <w:color w:val="auto"/>
              </w:rPr>
            </w:pPr>
            <w:r>
              <w:rPr>
                <w:rFonts w:ascii="Arial" w:cs="Arial" w:eastAsia="Arial" w:hAnsi="Arial"/>
                <w:sz w:val="13"/>
                <w:szCs w:val="13"/>
                <w:color w:val="auto"/>
                <w:w w:val="93"/>
              </w:rPr>
              <w:t>expense</w:t>
            </w:r>
          </w:p>
        </w:tc>
        <w:tc>
          <w:tcPr>
            <w:tcW w:w="1780" w:type="dxa"/>
            <w:vAlign w:val="bottom"/>
            <w:gridSpan w:val="2"/>
          </w:tcPr>
          <w:p>
            <w:pPr>
              <w:jc w:val="center"/>
              <w:ind w:right="100"/>
              <w:spacing w:after="0" w:line="136" w:lineRule="exact"/>
              <w:rPr>
                <w:sz w:val="20"/>
                <w:szCs w:val="20"/>
                <w:color w:val="auto"/>
              </w:rPr>
            </w:pPr>
            <w:r>
              <w:rPr>
                <w:rFonts w:ascii="Arial" w:cs="Arial" w:eastAsia="Arial" w:hAnsi="Arial"/>
                <w:sz w:val="13"/>
                <w:szCs w:val="13"/>
                <w:color w:val="auto"/>
                <w:w w:val="95"/>
              </w:rPr>
              <w:t>statement accounts</w:t>
            </w:r>
          </w:p>
        </w:tc>
        <w:tc>
          <w:tcPr>
            <w:tcW w:w="1420" w:type="dxa"/>
            <w:vAlign w:val="bottom"/>
            <w:gridSpan w:val="2"/>
          </w:tcPr>
          <w:p>
            <w:pPr>
              <w:jc w:val="center"/>
              <w:ind w:right="80"/>
              <w:spacing w:after="0" w:line="136" w:lineRule="exact"/>
              <w:rPr>
                <w:sz w:val="20"/>
                <w:szCs w:val="20"/>
                <w:color w:val="auto"/>
              </w:rPr>
            </w:pPr>
            <w:r>
              <w:rPr>
                <w:rFonts w:ascii="Arial" w:cs="Arial" w:eastAsia="Arial" w:hAnsi="Arial"/>
                <w:sz w:val="13"/>
                <w:szCs w:val="13"/>
                <w:color w:val="auto"/>
                <w:w w:val="94"/>
              </w:rPr>
              <w:t>of recoveries</w:t>
            </w:r>
          </w:p>
        </w:tc>
        <w:tc>
          <w:tcPr>
            <w:tcW w:w="1400" w:type="dxa"/>
            <w:vAlign w:val="bottom"/>
          </w:tcPr>
          <w:p>
            <w:pPr>
              <w:jc w:val="center"/>
              <w:spacing w:after="0" w:line="136" w:lineRule="exact"/>
              <w:rPr>
                <w:sz w:val="20"/>
                <w:szCs w:val="20"/>
                <w:color w:val="auto"/>
              </w:rPr>
            </w:pPr>
            <w:r>
              <w:rPr>
                <w:rFonts w:ascii="Arial" w:cs="Arial" w:eastAsia="Arial" w:hAnsi="Arial"/>
                <w:sz w:val="13"/>
                <w:szCs w:val="13"/>
                <w:color w:val="auto"/>
                <w:w w:val="98"/>
              </w:rPr>
              <w:t>of period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3020" w:type="dxa"/>
            <w:vAlign w:val="bottom"/>
            <w:gridSpan w:val="3"/>
            <w:shd w:val="clear" w:color="auto" w:fill="CCEEFF"/>
          </w:tcPr>
          <w:p>
            <w:pPr>
              <w:spacing w:after="0" w:line="138" w:lineRule="exact"/>
              <w:rPr>
                <w:sz w:val="20"/>
                <w:szCs w:val="20"/>
                <w:color w:val="auto"/>
              </w:rPr>
            </w:pPr>
            <w:r>
              <w:rPr>
                <w:rFonts w:ascii="Arial" w:cs="Arial" w:eastAsia="Arial" w:hAnsi="Arial"/>
                <w:sz w:val="12"/>
                <w:szCs w:val="12"/>
                <w:b w:val="1"/>
                <w:bCs w:val="1"/>
                <w:color w:val="auto"/>
              </w:rPr>
              <w:t>Tax Valuation Allowance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w:t>
            </w: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168"/>
        </w:trPr>
        <w:tc>
          <w:tcPr>
            <w:tcW w:w="5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2024</w:t>
            </w:r>
          </w:p>
        </w:tc>
        <w:tc>
          <w:tcPr>
            <w:tcW w:w="242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Tax Valuation</w:t>
            </w:r>
          </w:p>
        </w:tc>
        <w:tc>
          <w:tcPr>
            <w:tcW w:w="1100" w:type="dxa"/>
            <w:vAlign w:val="bottom"/>
            <w:gridSpan w:val="2"/>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100</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1780" w:type="dxa"/>
            <w:vAlign w:val="bottom"/>
            <w:gridSpan w:val="2"/>
          </w:tcPr>
          <w:p>
            <w:pPr>
              <w:ind w:left="150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95</w:t>
            </w:r>
          </w:p>
        </w:tc>
      </w:tr>
      <w:tr>
        <w:trPr>
          <w:trHeight w:val="177"/>
        </w:trPr>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35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Tax Valuation</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102</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150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84"/>
        </w:trPr>
        <w:tc>
          <w:tcPr>
            <w:tcW w:w="540" w:type="dxa"/>
            <w:vAlign w:val="bottom"/>
            <w:gridSpan w:val="2"/>
          </w:tcPr>
          <w:p>
            <w:pPr>
              <w:ind w:left="20"/>
              <w:spacing w:after="0"/>
              <w:rPr>
                <w:sz w:val="20"/>
                <w:szCs w:val="20"/>
                <w:color w:val="auto"/>
              </w:rPr>
            </w:pPr>
            <w:r>
              <w:rPr>
                <w:rFonts w:ascii="Arial" w:cs="Arial" w:eastAsia="Arial" w:hAnsi="Arial"/>
                <w:sz w:val="14"/>
                <w:szCs w:val="14"/>
                <w:color w:val="auto"/>
              </w:rPr>
              <w:t>2022</w:t>
            </w:r>
          </w:p>
        </w:tc>
        <w:tc>
          <w:tcPr>
            <w:tcW w:w="3520" w:type="dxa"/>
            <w:vAlign w:val="bottom"/>
            <w:gridSpan w:val="3"/>
          </w:tcPr>
          <w:p>
            <w:pPr>
              <w:ind w:left="160"/>
              <w:spacing w:after="0"/>
              <w:rPr>
                <w:sz w:val="20"/>
                <w:szCs w:val="20"/>
                <w:color w:val="auto"/>
              </w:rPr>
            </w:pPr>
            <w:r>
              <w:rPr>
                <w:rFonts w:ascii="Arial" w:cs="Arial" w:eastAsia="Arial" w:hAnsi="Arial"/>
                <w:sz w:val="14"/>
                <w:szCs w:val="14"/>
                <w:color w:val="auto"/>
              </w:rPr>
              <w:t>Tax Valuation</w:t>
            </w:r>
          </w:p>
        </w:tc>
        <w:tc>
          <w:tcPr>
            <w:tcW w:w="28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5"/>
                <w:szCs w:val="15"/>
                <w:color w:val="auto"/>
              </w:rPr>
            </w:pPr>
          </w:p>
        </w:tc>
        <w:tc>
          <w:tcPr>
            <w:tcW w:w="1780" w:type="dxa"/>
            <w:vAlign w:val="bottom"/>
            <w:gridSpan w:val="2"/>
          </w:tcPr>
          <w:p>
            <w:pPr>
              <w:ind w:left="150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102</w:t>
            </w:r>
          </w:p>
        </w:tc>
      </w:tr>
    </w:tbl>
    <w:p>
      <w:pPr>
        <w:spacing w:after="0" w:line="60"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w:t>
      </w:r>
    </w:p>
    <w:p>
      <w:pPr>
        <w:spacing w:after="0" w:line="9" w:lineRule="exact"/>
        <w:rPr>
          <w:sz w:val="20"/>
          <w:szCs w:val="20"/>
          <w:color w:val="auto"/>
        </w:rPr>
      </w:pPr>
    </w:p>
    <w:p>
      <w:pPr>
        <w:ind w:left="260" w:right="180" w:hanging="124"/>
        <w:spacing w:after="0" w:line="272" w:lineRule="auto"/>
        <w:rPr>
          <w:sz w:val="20"/>
          <w:szCs w:val="20"/>
          <w:color w:val="auto"/>
        </w:rPr>
      </w:pPr>
      <w:r>
        <w:rPr>
          <w:rFonts w:ascii="Arial" w:cs="Arial" w:eastAsia="Arial" w:hAnsi="Arial"/>
          <w:sz w:val="7"/>
          <w:szCs w:val="7"/>
          <w:i w:val="1"/>
          <w:iCs w:val="1"/>
          <w:color w:val="auto"/>
        </w:rPr>
        <w:t>(1)</w:t>
      </w:r>
      <w:r>
        <w:rPr>
          <w:rFonts w:ascii="Arial" w:cs="Arial" w:eastAsia="Arial" w:hAnsi="Arial"/>
          <w:sz w:val="11"/>
          <w:szCs w:val="11"/>
          <w:i w:val="1"/>
          <w:iCs w:val="1"/>
          <w:color w:val="auto"/>
        </w:rPr>
        <w:t>Tax valuation allowances are primarily related to certain net operating loss carryforwards, tax credit carryforwards and deductible temporary differences for which we have concluded it is more-likely-than-not that these items</w:t>
      </w:r>
      <w:r>
        <w:rPr>
          <w:rFonts w:ascii="Arial" w:cs="Arial" w:eastAsia="Arial" w:hAnsi="Arial"/>
          <w:sz w:val="7"/>
          <w:szCs w:val="7"/>
          <w:i w:val="1"/>
          <w:iCs w:val="1"/>
          <w:color w:val="auto"/>
        </w:rPr>
        <w:t xml:space="preserve"> </w:t>
      </w:r>
      <w:r>
        <w:rPr>
          <w:rFonts w:ascii="Arial" w:cs="Arial" w:eastAsia="Arial" w:hAnsi="Arial"/>
          <w:sz w:val="11"/>
          <w:szCs w:val="11"/>
          <w:i w:val="1"/>
          <w:iCs w:val="1"/>
          <w:color w:val="auto"/>
        </w:rPr>
        <w:t>will not be realized in the ordinary course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16. FORM 10-K SUMMARY</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6" w:name="page97"/>
    <w:bookmarkEnd w:id="9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color w:val="auto"/>
              </w:rPr>
              <w:t>Incorporated by Reference</w:t>
            </w:r>
          </w:p>
        </w:tc>
      </w:tr>
      <w:tr>
        <w:trPr>
          <w:trHeight w:val="158"/>
        </w:trPr>
        <w:tc>
          <w:tcPr>
            <w:tcW w:w="1260" w:type="dxa"/>
            <w:vAlign w:val="bottom"/>
            <w:gridSpan w:val="2"/>
          </w:tcPr>
          <w:p>
            <w:pPr>
              <w:ind w:left="20"/>
              <w:spacing w:after="0"/>
              <w:rPr>
                <w:sz w:val="20"/>
                <w:szCs w:val="20"/>
                <w:color w:val="auto"/>
              </w:rPr>
            </w:pPr>
            <w:r>
              <w:rPr>
                <w:rFonts w:ascii="Arial" w:cs="Arial" w:eastAsia="Arial" w:hAnsi="Arial"/>
                <w:sz w:val="13"/>
                <w:szCs w:val="13"/>
                <w:color w:val="auto"/>
              </w:rPr>
              <w:t>Exhibit No.</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20" w:type="dxa"/>
            <w:vAlign w:val="bottom"/>
            <w:gridSpan w:val="28"/>
          </w:tcPr>
          <w:p>
            <w:pPr>
              <w:ind w:left="280"/>
              <w:spacing w:after="0"/>
              <w:rPr>
                <w:sz w:val="20"/>
                <w:szCs w:val="20"/>
                <w:color w:val="auto"/>
              </w:rPr>
            </w:pPr>
            <w:r>
              <w:rPr>
                <w:rFonts w:ascii="Arial" w:cs="Arial" w:eastAsia="Arial" w:hAnsi="Arial"/>
                <w:sz w:val="13"/>
                <w:szCs w:val="13"/>
                <w:color w:val="auto"/>
              </w:rPr>
              <w:t>Description</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Filed Herewith</w:t>
            </w:r>
          </w:p>
        </w:tc>
        <w:tc>
          <w:tcPr>
            <w:tcW w:w="1080" w:type="dxa"/>
            <w:vAlign w:val="bottom"/>
          </w:tcPr>
          <w:p>
            <w:pPr>
              <w:ind w:left="420"/>
              <w:spacing w:after="0"/>
              <w:rPr>
                <w:sz w:val="20"/>
                <w:szCs w:val="20"/>
                <w:color w:val="auto"/>
              </w:rPr>
            </w:pPr>
            <w:r>
              <w:rPr>
                <w:rFonts w:ascii="Arial" w:cs="Arial" w:eastAsia="Arial" w:hAnsi="Arial"/>
                <w:sz w:val="13"/>
                <w:szCs w:val="13"/>
                <w:color w:val="auto"/>
              </w:rPr>
              <w:t>Form</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ind w:left="300"/>
              <w:spacing w:after="0"/>
              <w:rPr>
                <w:sz w:val="20"/>
                <w:szCs w:val="20"/>
                <w:color w:val="auto"/>
              </w:rPr>
            </w:pPr>
            <w:r>
              <w:rPr>
                <w:rFonts w:ascii="Arial" w:cs="Arial" w:eastAsia="Arial" w:hAnsi="Arial"/>
                <w:sz w:val="13"/>
                <w:szCs w:val="13"/>
                <w:color w:val="auto"/>
              </w:rPr>
              <w:t>Exhibit No.</w:t>
            </w:r>
          </w:p>
        </w:tc>
        <w:tc>
          <w:tcPr>
            <w:tcW w:w="1240" w:type="dxa"/>
            <w:vAlign w:val="bottom"/>
          </w:tcPr>
          <w:p>
            <w:pPr>
              <w:ind w:left="320"/>
              <w:spacing w:after="0"/>
              <w:rPr>
                <w:sz w:val="20"/>
                <w:szCs w:val="20"/>
                <w:color w:val="auto"/>
              </w:rPr>
            </w:pPr>
            <w:r>
              <w:rPr>
                <w:rFonts w:ascii="Arial" w:cs="Arial" w:eastAsia="Arial" w:hAnsi="Arial"/>
                <w:sz w:val="13"/>
                <w:szCs w:val="13"/>
                <w:color w:val="auto"/>
              </w:rPr>
              <w:t>Filing Date</w:t>
            </w:r>
          </w:p>
        </w:tc>
      </w:tr>
      <w:tr>
        <w:trPr>
          <w:trHeight w:val="127"/>
        </w:trPr>
        <w:tc>
          <w:tcPr>
            <w:tcW w:w="1160" w:type="dxa"/>
            <w:vAlign w:val="bottom"/>
            <w:tcBorders>
              <w:top w:val="single" w:sz="8" w:color="auto"/>
            </w:tcBorders>
            <w:shd w:val="clear" w:color="auto" w:fill="CCEEFF"/>
          </w:tcPr>
          <w:p>
            <w:pPr>
              <w:ind w:left="20"/>
              <w:spacing w:after="0" w:line="127" w:lineRule="exact"/>
              <w:rPr>
                <w:sz w:val="20"/>
                <w:szCs w:val="20"/>
                <w:color w:val="auto"/>
              </w:rPr>
            </w:pPr>
            <w:r>
              <w:rPr>
                <w:rFonts w:ascii="Arial" w:cs="Arial" w:eastAsia="Arial" w:hAnsi="Arial"/>
                <w:sz w:val="13"/>
                <w:szCs w:val="13"/>
                <w:color w:val="auto"/>
              </w:rPr>
              <w:t>2.1</w:t>
            </w: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5280" w:type="dxa"/>
            <w:vAlign w:val="bottom"/>
            <w:tcBorders>
              <w:top w:val="single" w:sz="8" w:color="auto"/>
            </w:tcBorders>
            <w:gridSpan w:val="34"/>
            <w:shd w:val="clear" w:color="auto" w:fill="CCEEFF"/>
          </w:tcPr>
          <w:p>
            <w:pPr>
              <w:spacing w:after="0" w:line="127" w:lineRule="exact"/>
              <w:rPr>
                <w:rFonts w:ascii="Arial" w:cs="Arial" w:eastAsia="Arial" w:hAnsi="Arial"/>
                <w:sz w:val="13"/>
                <w:szCs w:val="13"/>
                <w:color w:val="0000FF"/>
                <w:w w:val="97"/>
              </w:rPr>
            </w:pPr>
            <w:hyperlink r:id="rId115">
              <w:r>
                <w:rPr>
                  <w:rFonts w:ascii="Arial" w:cs="Arial" w:eastAsia="Arial" w:hAnsi="Arial"/>
                  <w:sz w:val="13"/>
                  <w:szCs w:val="13"/>
                  <w:color w:val="0000FF"/>
                  <w:w w:val="97"/>
                </w:rPr>
                <w:t>Custodial Transfer and Purchase Agreement, between Conduent Business Services, LLC and</w:t>
              </w:r>
            </w:hyperlink>
          </w:p>
        </w:tc>
        <w:tc>
          <w:tcPr>
            <w:tcW w:w="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line="127" w:lineRule="exact"/>
              <w:rPr>
                <w:sz w:val="20"/>
                <w:szCs w:val="20"/>
                <w:color w:val="auto"/>
              </w:rPr>
            </w:pPr>
            <w:r>
              <w:rPr>
                <w:rFonts w:ascii="Arial" w:cs="Arial" w:eastAsia="Arial" w:hAnsi="Arial"/>
                <w:sz w:val="13"/>
                <w:szCs w:val="13"/>
                <w:color w:val="auto"/>
              </w:rPr>
              <w:t>8-K</w:t>
            </w: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line="127" w:lineRule="exact"/>
              <w:rPr>
                <w:sz w:val="20"/>
                <w:szCs w:val="20"/>
                <w:color w:val="auto"/>
              </w:rPr>
            </w:pPr>
            <w:r>
              <w:rPr>
                <w:rFonts w:ascii="Arial" w:cs="Arial" w:eastAsia="Arial" w:hAnsi="Arial"/>
                <w:sz w:val="13"/>
                <w:szCs w:val="13"/>
                <w:color w:val="auto"/>
              </w:rPr>
              <w:t>2.1</w:t>
            </w:r>
          </w:p>
        </w:tc>
        <w:tc>
          <w:tcPr>
            <w:tcW w:w="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line="127" w:lineRule="exact"/>
              <w:rPr>
                <w:sz w:val="20"/>
                <w:szCs w:val="20"/>
                <w:color w:val="auto"/>
              </w:rPr>
            </w:pPr>
            <w:r>
              <w:rPr>
                <w:rFonts w:ascii="Arial" w:cs="Arial" w:eastAsia="Arial" w:hAnsi="Arial"/>
                <w:sz w:val="13"/>
                <w:szCs w:val="13"/>
                <w:color w:val="auto"/>
              </w:rPr>
              <w:t>9/19/2023</w:t>
            </w:r>
          </w:p>
        </w:tc>
      </w:tr>
      <w:tr>
        <w:trPr>
          <w:trHeight w:val="116"/>
        </w:trPr>
        <w:tc>
          <w:tcPr>
            <w:tcW w:w="1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2860" w:type="dxa"/>
            <w:vAlign w:val="bottom"/>
            <w:tcBorders>
              <w:top w:val="single" w:sz="8" w:color="0000FF"/>
              <w:bottom w:val="single" w:sz="8" w:color="0000FF"/>
            </w:tcBorders>
            <w:gridSpan w:val="8"/>
            <w:shd w:val="clear" w:color="auto" w:fill="CCEEFF"/>
          </w:tcPr>
          <w:p>
            <w:pPr>
              <w:spacing w:after="0" w:line="105" w:lineRule="exact"/>
              <w:rPr>
                <w:rFonts w:ascii="Arial" w:cs="Arial" w:eastAsia="Arial" w:hAnsi="Arial"/>
                <w:sz w:val="11"/>
                <w:szCs w:val="11"/>
                <w:color w:val="0000FF"/>
              </w:rPr>
            </w:pPr>
            <w:hyperlink r:id="rId115">
              <w:r>
                <w:rPr>
                  <w:rFonts w:ascii="Arial" w:cs="Arial" w:eastAsia="Arial" w:hAnsi="Arial"/>
                  <w:sz w:val="11"/>
                  <w:szCs w:val="11"/>
                  <w:color w:val="0000FF"/>
                </w:rPr>
                <w:t>HealthEquity, Inc., dated as of September 18, 2023.</w:t>
              </w:r>
            </w:hyperlink>
          </w:p>
        </w:tc>
        <w:tc>
          <w:tcPr>
            <w:tcW w:w="2340" w:type="dxa"/>
            <w:vAlign w:val="bottom"/>
            <w:tcBorders>
              <w:top w:val="single" w:sz="8" w:color="0000FF"/>
              <w:bottom w:val="single" w:sz="8" w:color="CCEEFF"/>
            </w:tcBorders>
            <w:gridSpan w:val="2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8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4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35"/>
        </w:trPr>
        <w:tc>
          <w:tcPr>
            <w:tcW w:w="1160" w:type="dxa"/>
            <w:vAlign w:val="bottom"/>
          </w:tcPr>
          <w:p>
            <w:pPr>
              <w:ind w:left="20"/>
              <w:spacing w:after="0" w:line="136"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5340" w:type="dxa"/>
            <w:vAlign w:val="bottom"/>
            <w:gridSpan w:val="35"/>
          </w:tcPr>
          <w:p>
            <w:pPr>
              <w:spacing w:after="0" w:line="136" w:lineRule="exact"/>
              <w:rPr>
                <w:rFonts w:ascii="Arial" w:cs="Arial" w:eastAsia="Arial" w:hAnsi="Arial"/>
                <w:sz w:val="13"/>
                <w:szCs w:val="13"/>
                <w:color w:val="0000FF"/>
              </w:rPr>
            </w:pPr>
            <w:hyperlink r:id="rId116">
              <w:r>
                <w:rPr>
                  <w:rFonts w:ascii="Arial" w:cs="Arial" w:eastAsia="Arial" w:hAnsi="Arial"/>
                  <w:sz w:val="13"/>
                  <w:szCs w:val="13"/>
                  <w:color w:val="0000FF"/>
                </w:rPr>
                <w:t>First Amendment to Custodial Transfer and Purchase Agreement, between Conduent</w:t>
              </w:r>
            </w:hyperlink>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10-Q</w:t>
            </w:r>
          </w:p>
        </w:tc>
        <w:tc>
          <w:tcPr>
            <w:tcW w:w="1340" w:type="dxa"/>
            <w:vAlign w:val="bottom"/>
            <w:gridSpan w:val="3"/>
          </w:tcPr>
          <w:p>
            <w:pPr>
              <w:ind w:left="140"/>
              <w:spacing w:after="0" w:line="136" w:lineRule="exact"/>
              <w:rPr>
                <w:sz w:val="20"/>
                <w:szCs w:val="20"/>
                <w:color w:val="auto"/>
              </w:rPr>
            </w:pPr>
            <w:r>
              <w:rPr>
                <w:rFonts w:ascii="Arial" w:cs="Arial" w:eastAsia="Arial" w:hAnsi="Arial"/>
                <w:sz w:val="13"/>
                <w:szCs w:val="13"/>
                <w:color w:val="auto"/>
              </w:rPr>
              <w:t>2.2</w:t>
            </w:r>
          </w:p>
        </w:tc>
        <w:tc>
          <w:tcPr>
            <w:tcW w:w="80" w:type="dxa"/>
            <w:vAlign w:val="bottom"/>
          </w:tcPr>
          <w:p>
            <w:pPr>
              <w:spacing w:after="0"/>
              <w:rPr>
                <w:sz w:val="11"/>
                <w:szCs w:val="11"/>
                <w:color w:val="auto"/>
              </w:rPr>
            </w:pP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8/7/2024</w:t>
            </w: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700" w:type="dxa"/>
            <w:vAlign w:val="bottom"/>
            <w:tcBorders>
              <w:top w:val="single" w:sz="8" w:color="0000FF"/>
            </w:tcBorders>
            <w:gridSpan w:val="16"/>
          </w:tcPr>
          <w:p>
            <w:pPr>
              <w:spacing w:after="0" w:line="105" w:lineRule="exact"/>
              <w:rPr>
                <w:rFonts w:ascii="Arial" w:cs="Arial" w:eastAsia="Arial" w:hAnsi="Arial"/>
                <w:sz w:val="11"/>
                <w:szCs w:val="11"/>
                <w:color w:val="0000FF"/>
              </w:rPr>
            </w:pPr>
            <w:hyperlink r:id="rId116">
              <w:r>
                <w:rPr>
                  <w:rFonts w:ascii="Arial" w:cs="Arial" w:eastAsia="Arial" w:hAnsi="Arial"/>
                  <w:sz w:val="11"/>
                  <w:szCs w:val="11"/>
                  <w:color w:val="0000FF"/>
                </w:rPr>
                <w:t>Business Services, LLC and HealthEquity, Inc., dated as of March 7, 2024.</w:t>
              </w:r>
            </w:hyperlink>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6"/>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60" w:type="dxa"/>
            <w:vAlign w:val="bottom"/>
            <w:tcBorders>
              <w:left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1"/>
        </w:trPr>
        <w:tc>
          <w:tcPr>
            <w:tcW w:w="116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3.1</w:t>
            </w:r>
          </w:p>
        </w:tc>
        <w:tc>
          <w:tcPr>
            <w:tcW w:w="100" w:type="dxa"/>
            <w:vAlign w:val="bottom"/>
            <w:tcBorders>
              <w:right w:val="single" w:sz="8" w:color="CCEEFF"/>
            </w:tcBorders>
            <w:shd w:val="clear" w:color="auto" w:fill="CCEEFF"/>
          </w:tcPr>
          <w:p>
            <w:pPr>
              <w:spacing w:after="0"/>
              <w:rPr>
                <w:sz w:val="12"/>
                <w:szCs w:val="12"/>
                <w:color w:val="auto"/>
              </w:rPr>
            </w:pPr>
          </w:p>
        </w:tc>
        <w:tc>
          <w:tcPr>
            <w:tcW w:w="5340" w:type="dxa"/>
            <w:vAlign w:val="bottom"/>
            <w:gridSpan w:val="35"/>
            <w:shd w:val="clear" w:color="auto" w:fill="CCEEFF"/>
          </w:tcPr>
          <w:p>
            <w:pPr>
              <w:spacing w:after="0" w:line="141" w:lineRule="exact"/>
              <w:rPr>
                <w:rFonts w:ascii="Arial" w:cs="Arial" w:eastAsia="Arial" w:hAnsi="Arial"/>
                <w:sz w:val="13"/>
                <w:szCs w:val="13"/>
                <w:color w:val="0000FF"/>
              </w:rPr>
            </w:pPr>
            <w:hyperlink r:id="rId117">
              <w:r>
                <w:rPr>
                  <w:rFonts w:ascii="Arial" w:cs="Arial" w:eastAsia="Arial" w:hAnsi="Arial"/>
                  <w:sz w:val="13"/>
                  <w:szCs w:val="13"/>
                  <w:color w:val="0000FF"/>
                </w:rPr>
                <w:t>Restated Certificate of Incorporation of Registrant filed with the Department of the State of</w:t>
              </w:r>
            </w:hyperlink>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8-K</w:t>
            </w:r>
          </w:p>
        </w:tc>
        <w:tc>
          <w:tcPr>
            <w:tcW w:w="1340" w:type="dxa"/>
            <w:vAlign w:val="bottom"/>
            <w:gridSpan w:val="3"/>
            <w:shd w:val="clear" w:color="auto" w:fill="CCEEFF"/>
          </w:tcPr>
          <w:p>
            <w:pPr>
              <w:ind w:left="140"/>
              <w:spacing w:after="0" w:line="141" w:lineRule="exact"/>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12/23/2016</w:t>
            </w:r>
          </w:p>
        </w:tc>
      </w:tr>
      <w:tr>
        <w:trPr>
          <w:trHeight w:val="105"/>
        </w:trPr>
        <w:tc>
          <w:tcPr>
            <w:tcW w:w="1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5000" w:type="dxa"/>
            <w:vAlign w:val="bottom"/>
            <w:tcBorders>
              <w:top w:val="single" w:sz="8" w:color="0000FF"/>
            </w:tcBorders>
            <w:gridSpan w:val="23"/>
            <w:shd w:val="clear" w:color="auto" w:fill="CCEEFF"/>
          </w:tcPr>
          <w:p>
            <w:pPr>
              <w:spacing w:after="0" w:line="105" w:lineRule="exact"/>
              <w:rPr>
                <w:rFonts w:ascii="Arial" w:cs="Arial" w:eastAsia="Arial" w:hAnsi="Arial"/>
                <w:sz w:val="11"/>
                <w:szCs w:val="11"/>
                <w:color w:val="0000FF"/>
              </w:rPr>
            </w:pPr>
            <w:hyperlink r:id="rId117">
              <w:r>
                <w:rPr>
                  <w:rFonts w:ascii="Arial" w:cs="Arial" w:eastAsia="Arial" w:hAnsi="Arial"/>
                  <w:sz w:val="11"/>
                  <w:szCs w:val="11"/>
                  <w:color w:val="0000FF"/>
                </w:rPr>
                <w:t>New York on December 31, 2016.</w:t>
              </w:r>
            </w:hyperlink>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right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gridSpan w:val="2"/>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CCEEFF"/>
            </w:tcBorders>
            <w:shd w:val="clear" w:color="auto" w:fill="CCEEFF"/>
          </w:tcPr>
          <w:p>
            <w:pPr>
              <w:spacing w:after="0"/>
              <w:rPr>
                <w:sz w:val="9"/>
                <w:szCs w:val="9"/>
                <w:color w:val="auto"/>
              </w:rPr>
            </w:pPr>
          </w:p>
        </w:tc>
      </w:tr>
      <w:tr>
        <w:trPr>
          <w:trHeight w:val="31"/>
        </w:trPr>
        <w:tc>
          <w:tcPr>
            <w:tcW w:w="1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r>
        <w:trPr>
          <w:trHeight w:val="135"/>
        </w:trPr>
        <w:tc>
          <w:tcPr>
            <w:tcW w:w="1160" w:type="dxa"/>
            <w:vAlign w:val="bottom"/>
          </w:tcPr>
          <w:p>
            <w:pPr>
              <w:ind w:left="20"/>
              <w:spacing w:after="0" w:line="136" w:lineRule="exact"/>
              <w:rPr>
                <w:sz w:val="20"/>
                <w:szCs w:val="20"/>
                <w:color w:val="auto"/>
              </w:rPr>
            </w:pPr>
            <w:r>
              <w:rPr>
                <w:rFonts w:ascii="Arial" w:cs="Arial" w:eastAsia="Arial" w:hAnsi="Arial"/>
                <w:sz w:val="13"/>
                <w:szCs w:val="13"/>
                <w:color w:val="auto"/>
              </w:rPr>
              <w:t>3.2</w:t>
            </w:r>
          </w:p>
        </w:tc>
        <w:tc>
          <w:tcPr>
            <w:tcW w:w="100" w:type="dxa"/>
            <w:vAlign w:val="bottom"/>
          </w:tcPr>
          <w:p>
            <w:pPr>
              <w:spacing w:after="0"/>
              <w:rPr>
                <w:sz w:val="11"/>
                <w:szCs w:val="11"/>
                <w:color w:val="auto"/>
              </w:rPr>
            </w:pPr>
          </w:p>
        </w:tc>
        <w:tc>
          <w:tcPr>
            <w:tcW w:w="5340" w:type="dxa"/>
            <w:vAlign w:val="bottom"/>
            <w:gridSpan w:val="35"/>
          </w:tcPr>
          <w:p>
            <w:pPr>
              <w:spacing w:after="0" w:line="136" w:lineRule="exact"/>
              <w:rPr>
                <w:rFonts w:ascii="Arial" w:cs="Arial" w:eastAsia="Arial" w:hAnsi="Arial"/>
                <w:sz w:val="13"/>
                <w:szCs w:val="13"/>
                <w:color w:val="0000FF"/>
              </w:rPr>
            </w:pPr>
            <w:hyperlink r:id="rId118">
              <w:r>
                <w:rPr>
                  <w:rFonts w:ascii="Arial" w:cs="Arial" w:eastAsia="Arial" w:hAnsi="Arial"/>
                  <w:sz w:val="13"/>
                  <w:szCs w:val="13"/>
                  <w:color w:val="0000FF"/>
                </w:rPr>
                <w:t>Amended and Restated By-Laws of Registrant as amended through October 31, 2023.</w:t>
              </w:r>
            </w:hyperlink>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10-Q</w:t>
            </w:r>
          </w:p>
        </w:tc>
        <w:tc>
          <w:tcPr>
            <w:tcW w:w="1340" w:type="dxa"/>
            <w:vAlign w:val="bottom"/>
            <w:gridSpan w:val="3"/>
          </w:tcPr>
          <w:p>
            <w:pPr>
              <w:ind w:left="140"/>
              <w:spacing w:after="0" w:line="136" w:lineRule="exact"/>
              <w:rPr>
                <w:sz w:val="20"/>
                <w:szCs w:val="20"/>
                <w:color w:val="auto"/>
              </w:rPr>
            </w:pPr>
            <w:r>
              <w:rPr>
                <w:rFonts w:ascii="Arial" w:cs="Arial" w:eastAsia="Arial" w:hAnsi="Arial"/>
                <w:sz w:val="13"/>
                <w:szCs w:val="13"/>
                <w:color w:val="auto"/>
              </w:rPr>
              <w:t>3.2</w:t>
            </w:r>
          </w:p>
        </w:tc>
        <w:tc>
          <w:tcPr>
            <w:tcW w:w="80" w:type="dxa"/>
            <w:vAlign w:val="bottom"/>
          </w:tcPr>
          <w:p>
            <w:pPr>
              <w:spacing w:after="0"/>
              <w:rPr>
                <w:sz w:val="11"/>
                <w:szCs w:val="11"/>
                <w:color w:val="auto"/>
              </w:rPr>
            </w:pP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11/1/2023</w:t>
            </w:r>
          </w:p>
        </w:tc>
      </w:tr>
      <w:tr>
        <w:trPr>
          <w:trHeight w:val="26"/>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60" w:type="dxa"/>
            <w:vAlign w:val="bottom"/>
            <w:tcBorders>
              <w:lef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1"/>
        </w:trPr>
        <w:tc>
          <w:tcPr>
            <w:tcW w:w="116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4.1</w:t>
            </w:r>
          </w:p>
        </w:tc>
        <w:tc>
          <w:tcPr>
            <w:tcW w:w="100" w:type="dxa"/>
            <w:vAlign w:val="bottom"/>
            <w:tcBorders>
              <w:right w:val="single" w:sz="8" w:color="CCEEFF"/>
            </w:tcBorders>
            <w:shd w:val="clear" w:color="auto" w:fill="CCEEFF"/>
          </w:tcPr>
          <w:p>
            <w:pPr>
              <w:spacing w:after="0"/>
              <w:rPr>
                <w:sz w:val="12"/>
                <w:szCs w:val="12"/>
                <w:color w:val="auto"/>
              </w:rPr>
            </w:pPr>
          </w:p>
        </w:tc>
        <w:tc>
          <w:tcPr>
            <w:tcW w:w="5340" w:type="dxa"/>
            <w:vAlign w:val="bottom"/>
            <w:gridSpan w:val="35"/>
            <w:shd w:val="clear" w:color="auto" w:fill="CCEEFF"/>
          </w:tcPr>
          <w:p>
            <w:pPr>
              <w:spacing w:after="0" w:line="141" w:lineRule="exact"/>
              <w:rPr>
                <w:rFonts w:ascii="Arial" w:cs="Arial" w:eastAsia="Arial" w:hAnsi="Arial"/>
                <w:sz w:val="13"/>
                <w:szCs w:val="13"/>
                <w:color w:val="0000FF"/>
                <w:w w:val="99"/>
              </w:rPr>
            </w:pPr>
            <w:hyperlink r:id="rId119">
              <w:r>
                <w:rPr>
                  <w:rFonts w:ascii="Arial" w:cs="Arial" w:eastAsia="Arial" w:hAnsi="Arial"/>
                  <w:sz w:val="13"/>
                  <w:szCs w:val="13"/>
                  <w:color w:val="0000FF"/>
                  <w:w w:val="99"/>
                </w:rPr>
                <w:t>Indenture, dated as of October 15, 2021, among Conduent Incorporated, Conduent Business</w:t>
              </w:r>
            </w:hyperlink>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10-Q</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4.4(g)</w:t>
            </w:r>
          </w:p>
        </w:tc>
        <w:tc>
          <w:tcPr>
            <w:tcW w:w="1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11/4/2021</w:t>
            </w:r>
          </w:p>
        </w:tc>
      </w:tr>
      <w:tr>
        <w:trPr>
          <w:trHeight w:val="105"/>
        </w:trPr>
        <w:tc>
          <w:tcPr>
            <w:tcW w:w="1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5140" w:type="dxa"/>
            <w:vAlign w:val="bottom"/>
            <w:tcBorders>
              <w:top w:val="single" w:sz="8" w:color="0000FF"/>
            </w:tcBorders>
            <w:gridSpan w:val="27"/>
            <w:shd w:val="clear" w:color="auto" w:fill="CCEEFF"/>
          </w:tcPr>
          <w:p>
            <w:pPr>
              <w:spacing w:after="0" w:line="105" w:lineRule="exact"/>
              <w:rPr>
                <w:rFonts w:ascii="Arial" w:cs="Arial" w:eastAsia="Arial" w:hAnsi="Arial"/>
                <w:sz w:val="11"/>
                <w:szCs w:val="11"/>
                <w:color w:val="0000FF"/>
              </w:rPr>
            </w:pPr>
            <w:hyperlink r:id="rId119">
              <w:r>
                <w:rPr>
                  <w:rFonts w:ascii="Arial" w:cs="Arial" w:eastAsia="Arial" w:hAnsi="Arial"/>
                  <w:sz w:val="11"/>
                  <w:szCs w:val="11"/>
                  <w:color w:val="0000FF"/>
                </w:rPr>
                <w:t>Services, LLC, Conduent State &amp; Local Solutions, Inc., Affiliated Business Services</w:t>
              </w:r>
            </w:hyperlink>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gridSpan w:val="2"/>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CCEEFF"/>
            </w:tcBorders>
            <w:shd w:val="clear" w:color="auto" w:fill="CCEEFF"/>
          </w:tcPr>
          <w:p>
            <w:pPr>
              <w:spacing w:after="0"/>
              <w:rPr>
                <w:sz w:val="9"/>
                <w:szCs w:val="9"/>
                <w:color w:val="auto"/>
              </w:rPr>
            </w:pPr>
          </w:p>
        </w:tc>
      </w:tr>
      <w:tr>
        <w:trPr>
          <w:trHeight w:val="105"/>
        </w:trPr>
        <w:tc>
          <w:tcPr>
            <w:tcW w:w="1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4580" w:type="dxa"/>
            <w:vAlign w:val="bottom"/>
            <w:tcBorders>
              <w:top w:val="single" w:sz="8" w:color="0000FF"/>
            </w:tcBorders>
            <w:gridSpan w:val="14"/>
            <w:shd w:val="clear" w:color="auto" w:fill="CCEEFF"/>
          </w:tcPr>
          <w:p>
            <w:pPr>
              <w:spacing w:after="0" w:line="105" w:lineRule="exact"/>
              <w:rPr>
                <w:rFonts w:ascii="Arial" w:cs="Arial" w:eastAsia="Arial" w:hAnsi="Arial"/>
                <w:sz w:val="11"/>
                <w:szCs w:val="11"/>
                <w:color w:val="0000FF"/>
              </w:rPr>
            </w:pPr>
            <w:hyperlink r:id="rId119">
              <w:r>
                <w:rPr>
                  <w:rFonts w:ascii="Arial" w:cs="Arial" w:eastAsia="Arial" w:hAnsi="Arial"/>
                  <w:sz w:val="11"/>
                  <w:szCs w:val="11"/>
                  <w:color w:val="0000FF"/>
                </w:rPr>
                <w:t>International, B.V., the Guarantors party thereto from time to time, the Lenders and</w:t>
              </w:r>
            </w:hyperlink>
          </w:p>
        </w:tc>
        <w:tc>
          <w:tcPr>
            <w:tcW w:w="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CCEEFF"/>
            </w:tcBorders>
            <w:gridSpan w:val="20"/>
            <w:shd w:val="clear" w:color="auto" w:fill="CCEEFF"/>
          </w:tcPr>
          <w:p>
            <w:pPr>
              <w:spacing w:after="0" w:line="105" w:lineRule="exact"/>
              <w:rPr>
                <w:rFonts w:ascii="Arial" w:cs="Arial" w:eastAsia="Arial" w:hAnsi="Arial"/>
                <w:sz w:val="11"/>
                <w:szCs w:val="11"/>
                <w:color w:val="0000FF"/>
              </w:rPr>
            </w:pPr>
            <w:hyperlink r:id="rId119">
              <w:r>
                <w:rPr>
                  <w:rFonts w:ascii="Arial" w:cs="Arial" w:eastAsia="Arial" w:hAnsi="Arial"/>
                  <w:sz w:val="11"/>
                  <w:szCs w:val="11"/>
                  <w:color w:val="0000FF"/>
                </w:rPr>
                <w:t>L/C Issuers</w:t>
              </w:r>
            </w:hyperlink>
          </w:p>
        </w:tc>
        <w:tc>
          <w:tcPr>
            <w:tcW w:w="8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CCEEFF"/>
            </w:tcBorders>
            <w:shd w:val="clear" w:color="auto" w:fill="CCEEFF"/>
          </w:tcPr>
          <w:p>
            <w:pPr>
              <w:spacing w:after="0"/>
              <w:rPr>
                <w:sz w:val="9"/>
                <w:szCs w:val="9"/>
                <w:color w:val="auto"/>
              </w:rPr>
            </w:pPr>
          </w:p>
        </w:tc>
      </w:tr>
      <w:tr>
        <w:trPr>
          <w:trHeight w:val="116"/>
        </w:trPr>
        <w:tc>
          <w:tcPr>
            <w:tcW w:w="1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4600" w:type="dxa"/>
            <w:vAlign w:val="bottom"/>
            <w:tcBorders>
              <w:top w:val="single" w:sz="8" w:color="0000FF"/>
              <w:bottom w:val="single" w:sz="8" w:color="0000FF"/>
            </w:tcBorders>
            <w:gridSpan w:val="15"/>
            <w:shd w:val="clear" w:color="auto" w:fill="CCEEFF"/>
          </w:tcPr>
          <w:p>
            <w:pPr>
              <w:spacing w:after="0" w:line="105" w:lineRule="exact"/>
              <w:rPr>
                <w:rFonts w:ascii="Arial" w:cs="Arial" w:eastAsia="Arial" w:hAnsi="Arial"/>
                <w:sz w:val="11"/>
                <w:szCs w:val="11"/>
                <w:color w:val="0000FF"/>
              </w:rPr>
            </w:pPr>
            <w:hyperlink r:id="rId119">
              <w:r>
                <w:rPr>
                  <w:rFonts w:ascii="Arial" w:cs="Arial" w:eastAsia="Arial" w:hAnsi="Arial"/>
                  <w:sz w:val="11"/>
                  <w:szCs w:val="11"/>
                  <w:color w:val="0000FF"/>
                </w:rPr>
                <w:t>party thereto from time to time and Bank of America, N.A., as Administrative Agent.</w:t>
              </w:r>
            </w:hyperlink>
          </w:p>
        </w:tc>
        <w:tc>
          <w:tcPr>
            <w:tcW w:w="640" w:type="dxa"/>
            <w:vAlign w:val="bottom"/>
            <w:tcBorders>
              <w:top w:val="single" w:sz="8" w:color="0000FF"/>
              <w:bottom w:val="single" w:sz="8" w:color="CCEEFF"/>
            </w:tcBorders>
            <w:gridSpan w:val="17"/>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8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4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35"/>
        </w:trPr>
        <w:tc>
          <w:tcPr>
            <w:tcW w:w="1160" w:type="dxa"/>
            <w:vAlign w:val="bottom"/>
          </w:tcPr>
          <w:p>
            <w:pPr>
              <w:ind w:left="20"/>
              <w:spacing w:after="0" w:line="136" w:lineRule="exact"/>
              <w:rPr>
                <w:sz w:val="20"/>
                <w:szCs w:val="20"/>
                <w:color w:val="auto"/>
              </w:rPr>
            </w:pPr>
            <w:r>
              <w:rPr>
                <w:rFonts w:ascii="Arial" w:cs="Arial" w:eastAsia="Arial" w:hAnsi="Arial"/>
                <w:sz w:val="13"/>
                <w:szCs w:val="13"/>
                <w:color w:val="auto"/>
              </w:rPr>
              <w:t>4.2</w:t>
            </w:r>
          </w:p>
        </w:tc>
        <w:tc>
          <w:tcPr>
            <w:tcW w:w="100" w:type="dxa"/>
            <w:vAlign w:val="bottom"/>
          </w:tcPr>
          <w:p>
            <w:pPr>
              <w:spacing w:after="0"/>
              <w:rPr>
                <w:sz w:val="11"/>
                <w:szCs w:val="11"/>
                <w:color w:val="auto"/>
              </w:rPr>
            </w:pPr>
          </w:p>
        </w:tc>
        <w:tc>
          <w:tcPr>
            <w:tcW w:w="5340" w:type="dxa"/>
            <w:vAlign w:val="bottom"/>
            <w:gridSpan w:val="35"/>
          </w:tcPr>
          <w:p>
            <w:pPr>
              <w:spacing w:after="0" w:line="136" w:lineRule="exact"/>
              <w:rPr>
                <w:rFonts w:ascii="Arial" w:cs="Arial" w:eastAsia="Arial" w:hAnsi="Arial"/>
                <w:sz w:val="13"/>
                <w:szCs w:val="13"/>
                <w:color w:val="0000FF"/>
              </w:rPr>
            </w:pPr>
            <w:hyperlink r:id="rId120">
              <w:r>
                <w:rPr>
                  <w:rFonts w:ascii="Arial" w:cs="Arial" w:eastAsia="Arial" w:hAnsi="Arial"/>
                  <w:sz w:val="13"/>
                  <w:szCs w:val="13"/>
                  <w:color w:val="0000FF"/>
                </w:rPr>
                <w:t>Description of Securities.</w:t>
              </w:r>
            </w:hyperlink>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10-K</w:t>
            </w:r>
          </w:p>
        </w:tc>
        <w:tc>
          <w:tcPr>
            <w:tcW w:w="1340" w:type="dxa"/>
            <w:vAlign w:val="bottom"/>
            <w:gridSpan w:val="3"/>
          </w:tcPr>
          <w:p>
            <w:pPr>
              <w:ind w:left="140"/>
              <w:spacing w:after="0" w:line="136" w:lineRule="exact"/>
              <w:rPr>
                <w:sz w:val="20"/>
                <w:szCs w:val="20"/>
                <w:color w:val="auto"/>
              </w:rPr>
            </w:pPr>
            <w:r>
              <w:rPr>
                <w:rFonts w:ascii="Arial" w:cs="Arial" w:eastAsia="Arial" w:hAnsi="Arial"/>
                <w:sz w:val="13"/>
                <w:szCs w:val="13"/>
                <w:color w:val="auto"/>
              </w:rPr>
              <w:t>4.2</w:t>
            </w:r>
          </w:p>
        </w:tc>
        <w:tc>
          <w:tcPr>
            <w:tcW w:w="80" w:type="dxa"/>
            <w:vAlign w:val="bottom"/>
          </w:tcPr>
          <w:p>
            <w:pPr>
              <w:spacing w:after="0"/>
              <w:rPr>
                <w:sz w:val="11"/>
                <w:szCs w:val="11"/>
                <w:color w:val="auto"/>
              </w:rPr>
            </w:pP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2/26/2020</w:t>
            </w:r>
          </w:p>
        </w:tc>
      </w:tr>
      <w:tr>
        <w:trPr>
          <w:trHeight w:val="32"/>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35"/>
        </w:trPr>
        <w:tc>
          <w:tcPr>
            <w:tcW w:w="1160" w:type="dxa"/>
            <w:vAlign w:val="bottom"/>
            <w:tcBorders>
              <w:bottom w:val="single" w:sz="8" w:color="CCEEFF"/>
            </w:tcBorders>
            <w:shd w:val="clear" w:color="auto" w:fill="CCEEFF"/>
          </w:tcPr>
          <w:p>
            <w:pPr>
              <w:ind w:left="20"/>
              <w:spacing w:after="0" w:line="136" w:lineRule="exact"/>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right w:val="single" w:sz="8" w:color="CCEEFF"/>
            </w:tcBorders>
            <w:shd w:val="clear" w:color="auto" w:fill="CCEEFF"/>
          </w:tcPr>
          <w:p>
            <w:pPr>
              <w:spacing w:after="0"/>
              <w:rPr>
                <w:sz w:val="11"/>
                <w:szCs w:val="11"/>
                <w:color w:val="auto"/>
              </w:rPr>
            </w:pPr>
          </w:p>
        </w:tc>
        <w:tc>
          <w:tcPr>
            <w:tcW w:w="5080" w:type="dxa"/>
            <w:vAlign w:val="bottom"/>
            <w:tcBorders>
              <w:bottom w:val="single" w:sz="8" w:color="0000FF"/>
              <w:right w:val="single" w:sz="8" w:color="CCEEFF"/>
            </w:tcBorders>
            <w:gridSpan w:val="25"/>
            <w:shd w:val="clear" w:color="auto" w:fill="CCEEFF"/>
          </w:tcPr>
          <w:p>
            <w:pPr>
              <w:spacing w:after="0" w:line="136" w:lineRule="exact"/>
              <w:rPr>
                <w:rFonts w:ascii="Arial" w:cs="Arial" w:eastAsia="Arial" w:hAnsi="Arial"/>
                <w:sz w:val="13"/>
                <w:szCs w:val="13"/>
                <w:color w:val="0000FF"/>
                <w:w w:val="96"/>
              </w:rPr>
            </w:pPr>
            <w:hyperlink r:id="rId121">
              <w:r>
                <w:rPr>
                  <w:rFonts w:ascii="Arial" w:cs="Arial" w:eastAsia="Arial" w:hAnsi="Arial"/>
                  <w:sz w:val="13"/>
                  <w:szCs w:val="13"/>
                  <w:color w:val="0000FF"/>
                  <w:w w:val="96"/>
                </w:rPr>
                <w:t>Credit Agreement, dated as of October 15, 2021, among Conduent Incorporated, Conduent</w:t>
              </w:r>
            </w:hyperlink>
          </w:p>
        </w:tc>
        <w:tc>
          <w:tcPr>
            <w:tcW w:w="260" w:type="dxa"/>
            <w:vAlign w:val="bottom"/>
            <w:tcBorders>
              <w:bottom w:val="single" w:sz="8" w:color="CCEEFF"/>
            </w:tcBorders>
            <w:gridSpan w:val="10"/>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3"/>
                <w:szCs w:val="13"/>
                <w:color w:val="auto"/>
              </w:rPr>
              <w:t>10-Q</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gridSpan w:val="2"/>
            <w:shd w:val="clear" w:color="auto" w:fill="CCEEFF"/>
          </w:tcPr>
          <w:p>
            <w:pPr>
              <w:spacing w:after="0" w:line="136" w:lineRule="exact"/>
              <w:rPr>
                <w:sz w:val="20"/>
                <w:szCs w:val="20"/>
                <w:color w:val="auto"/>
              </w:rPr>
            </w:pPr>
            <w:r>
              <w:rPr>
                <w:rFonts w:ascii="Arial" w:cs="Arial" w:eastAsia="Arial" w:hAnsi="Arial"/>
                <w:sz w:val="13"/>
                <w:szCs w:val="13"/>
                <w:color w:val="auto"/>
              </w:rPr>
              <w:t>10.6(f)</w:t>
            </w:r>
          </w:p>
        </w:tc>
        <w:tc>
          <w:tcPr>
            <w:tcW w:w="1240" w:type="dxa"/>
            <w:vAlign w:val="bottom"/>
            <w:tcBorders>
              <w:bottom w:val="single" w:sz="8" w:color="CCEEFF"/>
            </w:tcBorders>
            <w:shd w:val="clear" w:color="auto" w:fill="CCEEFF"/>
          </w:tcPr>
          <w:p>
            <w:pPr>
              <w:spacing w:after="0" w:line="136" w:lineRule="exact"/>
              <w:rPr>
                <w:sz w:val="20"/>
                <w:szCs w:val="20"/>
                <w:color w:val="auto"/>
              </w:rPr>
            </w:pPr>
            <w:r>
              <w:rPr>
                <w:rFonts w:ascii="Arial" w:cs="Arial" w:eastAsia="Arial" w:hAnsi="Arial"/>
                <w:sz w:val="13"/>
                <w:szCs w:val="13"/>
                <w:color w:val="auto"/>
              </w:rPr>
              <w:t>11/14/2021</w:t>
            </w:r>
          </w:p>
        </w:tc>
      </w:tr>
      <w:tr>
        <w:trPr>
          <w:trHeight w:val="105"/>
        </w:trPr>
        <w:tc>
          <w:tcPr>
            <w:tcW w:w="11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340" w:type="dxa"/>
            <w:vAlign w:val="bottom"/>
            <w:gridSpan w:val="35"/>
            <w:shd w:val="clear" w:color="auto" w:fill="CCEEFF"/>
          </w:tcPr>
          <w:p>
            <w:pPr>
              <w:spacing w:after="0" w:line="105" w:lineRule="exact"/>
              <w:rPr>
                <w:rFonts w:ascii="Arial" w:cs="Arial" w:eastAsia="Arial" w:hAnsi="Arial"/>
                <w:sz w:val="11"/>
                <w:szCs w:val="11"/>
                <w:color w:val="0000FF"/>
              </w:rPr>
            </w:pPr>
            <w:hyperlink r:id="rId121">
              <w:r>
                <w:rPr>
                  <w:rFonts w:ascii="Arial" w:cs="Arial" w:eastAsia="Arial" w:hAnsi="Arial"/>
                  <w:sz w:val="11"/>
                  <w:szCs w:val="11"/>
                  <w:color w:val="0000FF"/>
                </w:rPr>
                <w:t>Business Services, LLC, Conduent State &amp; Local Solutions, Inc., Affiliated Computer Services</w:t>
              </w:r>
            </w:hyperlink>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105"/>
        </w:trPr>
        <w:tc>
          <w:tcPr>
            <w:tcW w:w="11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5180" w:type="dxa"/>
            <w:vAlign w:val="bottom"/>
            <w:tcBorders>
              <w:top w:val="single" w:sz="8" w:color="0000FF"/>
              <w:bottom w:val="single" w:sz="8" w:color="0000FF"/>
            </w:tcBorders>
            <w:gridSpan w:val="29"/>
            <w:shd w:val="clear" w:color="auto" w:fill="CCEEFF"/>
          </w:tcPr>
          <w:p>
            <w:pPr>
              <w:spacing w:after="0" w:line="105" w:lineRule="exact"/>
              <w:rPr>
                <w:rFonts w:ascii="Arial" w:cs="Arial" w:eastAsia="Arial" w:hAnsi="Arial"/>
                <w:sz w:val="11"/>
                <w:szCs w:val="11"/>
                <w:color w:val="0000FF"/>
              </w:rPr>
            </w:pPr>
            <w:hyperlink r:id="rId121">
              <w:r>
                <w:rPr>
                  <w:rFonts w:ascii="Arial" w:cs="Arial" w:eastAsia="Arial" w:hAnsi="Arial"/>
                  <w:sz w:val="11"/>
                  <w:szCs w:val="11"/>
                  <w:color w:val="0000FF"/>
                </w:rPr>
                <w:t>International B.V., the Guarantors party thereto from time to time, the Lenders and L/C Issuers</w:t>
              </w:r>
            </w:hyperlink>
          </w:p>
        </w:tc>
        <w:tc>
          <w:tcPr>
            <w:tcW w:w="40" w:type="dxa"/>
            <w:vAlign w:val="bottom"/>
            <w:tcBorders>
              <w:top w:val="single" w:sz="8" w:color="CCEEFF"/>
              <w:bottom w:val="single" w:sz="8" w:color="0000FF"/>
            </w:tcBorders>
            <w:gridSpan w:val="2"/>
            <w:shd w:val="clear" w:color="auto" w:fill="CCEEFF"/>
          </w:tcPr>
          <w:p>
            <w:pPr>
              <w:spacing w:after="0"/>
              <w:rPr>
                <w:sz w:val="9"/>
                <w:szCs w:val="9"/>
                <w:color w:val="auto"/>
              </w:rPr>
            </w:pPr>
          </w:p>
        </w:tc>
        <w:tc>
          <w:tcPr>
            <w:tcW w:w="4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8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8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08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20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24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116"/>
        </w:trPr>
        <w:tc>
          <w:tcPr>
            <w:tcW w:w="1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right w:val="single" w:sz="8" w:color="CCEEFF"/>
            </w:tcBorders>
            <w:shd w:val="clear" w:color="auto" w:fill="CCEEFF"/>
          </w:tcPr>
          <w:p>
            <w:pPr>
              <w:spacing w:after="0"/>
              <w:rPr>
                <w:sz w:val="10"/>
                <w:szCs w:val="10"/>
                <w:color w:val="auto"/>
              </w:rPr>
            </w:pPr>
          </w:p>
        </w:tc>
        <w:tc>
          <w:tcPr>
            <w:tcW w:w="4600" w:type="dxa"/>
            <w:vAlign w:val="bottom"/>
            <w:tcBorders>
              <w:bottom w:val="single" w:sz="8" w:color="0000FF"/>
            </w:tcBorders>
            <w:gridSpan w:val="15"/>
            <w:shd w:val="clear" w:color="auto" w:fill="CCEEFF"/>
          </w:tcPr>
          <w:p>
            <w:pPr>
              <w:spacing w:after="0" w:line="105" w:lineRule="exact"/>
              <w:rPr>
                <w:rFonts w:ascii="Arial" w:cs="Arial" w:eastAsia="Arial" w:hAnsi="Arial"/>
                <w:sz w:val="11"/>
                <w:szCs w:val="11"/>
                <w:color w:val="0000FF"/>
              </w:rPr>
            </w:pPr>
            <w:hyperlink r:id="rId121">
              <w:r>
                <w:rPr>
                  <w:rFonts w:ascii="Arial" w:cs="Arial" w:eastAsia="Arial" w:hAnsi="Arial"/>
                  <w:sz w:val="11"/>
                  <w:szCs w:val="11"/>
                  <w:color w:val="0000FF"/>
                </w:rPr>
                <w:t>party thereto from time to time and Bank of America, N.A., as Administrative Agent.</w:t>
              </w:r>
            </w:hyperlink>
          </w:p>
        </w:tc>
        <w:tc>
          <w:tcPr>
            <w:tcW w:w="620" w:type="dxa"/>
            <w:vAlign w:val="bottom"/>
            <w:tcBorders>
              <w:bottom w:val="single" w:sz="8" w:color="CCEEFF"/>
            </w:tcBorders>
            <w:gridSpan w:val="16"/>
            <w:shd w:val="clear" w:color="auto" w:fill="CCEEFF"/>
          </w:tcPr>
          <w:p>
            <w:pPr>
              <w:spacing w:after="0"/>
              <w:rPr>
                <w:sz w:val="10"/>
                <w:szCs w:val="10"/>
                <w:color w:val="auto"/>
              </w:rPr>
            </w:pPr>
          </w:p>
        </w:tc>
        <w:tc>
          <w:tcPr>
            <w:tcW w:w="40" w:type="dxa"/>
            <w:vAlign w:val="bottom"/>
            <w:tcBorders>
              <w:bottom w:val="single" w:sz="8" w:color="CCEEFF"/>
            </w:tcBorders>
            <w:gridSpan w:val="2"/>
            <w:shd w:val="clear" w:color="auto" w:fill="CCEEFF"/>
          </w:tcPr>
          <w:p>
            <w:pPr>
              <w:spacing w:after="0"/>
              <w:rPr>
                <w:sz w:val="10"/>
                <w:szCs w:val="10"/>
                <w:color w:val="auto"/>
              </w:rPr>
            </w:pPr>
          </w:p>
        </w:tc>
        <w:tc>
          <w:tcPr>
            <w:tcW w:w="80" w:type="dxa"/>
            <w:vAlign w:val="bottom"/>
            <w:tcBorders>
              <w:bottom w:val="single" w:sz="8" w:color="CCEEFF"/>
            </w:tcBorders>
            <w:gridSpan w:val="2"/>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r>
      <w:tr>
        <w:trPr>
          <w:trHeight w:val="135"/>
        </w:trPr>
        <w:tc>
          <w:tcPr>
            <w:tcW w:w="12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10.2(a)</w:t>
            </w:r>
          </w:p>
        </w:tc>
        <w:tc>
          <w:tcPr>
            <w:tcW w:w="5340" w:type="dxa"/>
            <w:vAlign w:val="bottom"/>
            <w:gridSpan w:val="35"/>
          </w:tcPr>
          <w:p>
            <w:pPr>
              <w:spacing w:after="0" w:line="136" w:lineRule="exact"/>
              <w:rPr>
                <w:rFonts w:ascii="Arial" w:cs="Arial" w:eastAsia="Arial" w:hAnsi="Arial"/>
                <w:sz w:val="13"/>
                <w:szCs w:val="13"/>
                <w:color w:val="0000FF"/>
                <w:w w:val="99"/>
              </w:rPr>
            </w:pPr>
            <w:hyperlink r:id="rId122">
              <w:r>
                <w:rPr>
                  <w:rFonts w:ascii="Arial" w:cs="Arial" w:eastAsia="Arial" w:hAnsi="Arial"/>
                  <w:sz w:val="13"/>
                  <w:szCs w:val="13"/>
                  <w:color w:val="0000FF"/>
                  <w:w w:val="99"/>
                </w:rPr>
                <w:t>Joinder Agreement to Agreement, dated December 31, 2016, among Conduent Incorporated,</w:t>
              </w:r>
            </w:hyperlink>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8-K</w:t>
            </w:r>
          </w:p>
        </w:tc>
        <w:tc>
          <w:tcPr>
            <w:tcW w:w="1340" w:type="dxa"/>
            <w:vAlign w:val="bottom"/>
            <w:gridSpan w:val="3"/>
          </w:tcPr>
          <w:p>
            <w:pPr>
              <w:ind w:left="140"/>
              <w:spacing w:after="0" w:line="136" w:lineRule="exact"/>
              <w:rPr>
                <w:sz w:val="20"/>
                <w:szCs w:val="20"/>
                <w:color w:val="auto"/>
              </w:rPr>
            </w:pPr>
            <w:r>
              <w:rPr>
                <w:rFonts w:ascii="Arial" w:cs="Arial" w:eastAsia="Arial" w:hAnsi="Arial"/>
                <w:sz w:val="13"/>
                <w:szCs w:val="13"/>
                <w:color w:val="auto"/>
              </w:rPr>
              <w:t>10.6</w:t>
            </w:r>
          </w:p>
        </w:tc>
        <w:tc>
          <w:tcPr>
            <w:tcW w:w="80" w:type="dxa"/>
            <w:vAlign w:val="bottom"/>
          </w:tcPr>
          <w:p>
            <w:pPr>
              <w:spacing w:after="0"/>
              <w:rPr>
                <w:sz w:val="11"/>
                <w:szCs w:val="11"/>
                <w:color w:val="auto"/>
              </w:rPr>
            </w:pP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1/3/2017</w:t>
            </w: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160" w:type="dxa"/>
            <w:vAlign w:val="bottom"/>
            <w:tcBorders>
              <w:top w:val="single" w:sz="8" w:color="0000FF"/>
            </w:tcBorders>
            <w:gridSpan w:val="28"/>
          </w:tcPr>
          <w:p>
            <w:pPr>
              <w:spacing w:after="0" w:line="105" w:lineRule="exact"/>
              <w:rPr>
                <w:rFonts w:ascii="Arial" w:cs="Arial" w:eastAsia="Arial" w:hAnsi="Arial"/>
                <w:sz w:val="11"/>
                <w:szCs w:val="11"/>
                <w:color w:val="0000FF"/>
              </w:rPr>
            </w:pPr>
            <w:hyperlink r:id="rId122">
              <w:r>
                <w:rPr>
                  <w:rFonts w:ascii="Arial" w:cs="Arial" w:eastAsia="Arial" w:hAnsi="Arial"/>
                  <w:sz w:val="11"/>
                  <w:szCs w:val="11"/>
                  <w:color w:val="0000FF"/>
                </w:rPr>
                <w:t>Xerox Corporation, Icahn Partners Master Fund LP, Icahn Partners LP, Icahn Onshore LP,</w:t>
              </w:r>
            </w:hyperlink>
          </w:p>
        </w:tc>
        <w:tc>
          <w:tcPr>
            <w:tcW w:w="100" w:type="dxa"/>
            <w:vAlign w:val="bottom"/>
            <w:gridSpan w:val="5"/>
          </w:tcPr>
          <w:p>
            <w:pPr>
              <w:spacing w:after="0"/>
              <w:rPr>
                <w:sz w:val="9"/>
                <w:szCs w:val="9"/>
                <w:color w:val="auto"/>
              </w:rPr>
            </w:pPr>
          </w:p>
        </w:tc>
        <w:tc>
          <w:tcPr>
            <w:tcW w:w="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980" w:type="dxa"/>
            <w:vAlign w:val="bottom"/>
            <w:tcBorders>
              <w:top w:val="single" w:sz="8" w:color="0000FF"/>
            </w:tcBorders>
            <w:gridSpan w:val="22"/>
          </w:tcPr>
          <w:p>
            <w:pPr>
              <w:spacing w:after="0" w:line="105" w:lineRule="exact"/>
              <w:rPr>
                <w:rFonts w:ascii="Arial" w:cs="Arial" w:eastAsia="Arial" w:hAnsi="Arial"/>
                <w:sz w:val="11"/>
                <w:szCs w:val="11"/>
                <w:color w:val="0000FF"/>
              </w:rPr>
            </w:pPr>
            <w:hyperlink r:id="rId122">
              <w:r>
                <w:rPr>
                  <w:rFonts w:ascii="Arial" w:cs="Arial" w:eastAsia="Arial" w:hAnsi="Arial"/>
                  <w:sz w:val="11"/>
                  <w:szCs w:val="11"/>
                  <w:color w:val="0000FF"/>
                </w:rPr>
                <w:t>Icahn Offshore LP, Icahn Capital LP, IPH GP LLC, Icahn Enterprises Holdings L.P., Icahn</w:t>
              </w:r>
            </w:hyperlink>
          </w:p>
        </w:tc>
        <w:tc>
          <w:tcPr>
            <w:tcW w:w="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900" w:type="dxa"/>
            <w:vAlign w:val="bottom"/>
            <w:tcBorders>
              <w:top w:val="single" w:sz="8" w:color="0000FF"/>
              <w:bottom w:val="single" w:sz="8" w:color="0000FF"/>
            </w:tcBorders>
            <w:gridSpan w:val="18"/>
          </w:tcPr>
          <w:p>
            <w:pPr>
              <w:spacing w:after="0" w:line="105" w:lineRule="exact"/>
              <w:rPr>
                <w:rFonts w:ascii="Arial" w:cs="Arial" w:eastAsia="Arial" w:hAnsi="Arial"/>
                <w:sz w:val="11"/>
                <w:szCs w:val="11"/>
                <w:color w:val="0000FF"/>
              </w:rPr>
            </w:pPr>
            <w:hyperlink r:id="rId122">
              <w:r>
                <w:rPr>
                  <w:rFonts w:ascii="Arial" w:cs="Arial" w:eastAsia="Arial" w:hAnsi="Arial"/>
                  <w:sz w:val="11"/>
                  <w:szCs w:val="11"/>
                  <w:color w:val="0000FF"/>
                </w:rPr>
                <w:t>Enterprises G.P. Inc., Beckton Corp., High River Limited Partnership, Hopper Investments</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960" w:type="dxa"/>
            <w:vAlign w:val="bottom"/>
            <w:gridSpan w:val="21"/>
          </w:tcPr>
          <w:p>
            <w:pPr>
              <w:spacing w:after="0" w:line="105" w:lineRule="exact"/>
              <w:rPr>
                <w:rFonts w:ascii="Arial" w:cs="Arial" w:eastAsia="Arial" w:hAnsi="Arial"/>
                <w:sz w:val="11"/>
                <w:szCs w:val="11"/>
                <w:color w:val="0000FF"/>
              </w:rPr>
            </w:pPr>
            <w:hyperlink r:id="rId122">
              <w:r>
                <w:rPr>
                  <w:rFonts w:ascii="Arial" w:cs="Arial" w:eastAsia="Arial" w:hAnsi="Arial"/>
                  <w:sz w:val="11"/>
                  <w:szCs w:val="11"/>
                  <w:color w:val="0000FF"/>
                </w:rPr>
                <w:t>LLC, Barberry Corp., Jonathan Christodoro and Carl C. Icahn.</w:t>
              </w:r>
            </w:hyperlink>
          </w:p>
        </w:tc>
        <w:tc>
          <w:tcPr>
            <w:tcW w:w="6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6"/>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1"/>
        </w:trPr>
        <w:tc>
          <w:tcPr>
            <w:tcW w:w="1260" w:type="dxa"/>
            <w:vAlign w:val="bottom"/>
            <w:tcBorders>
              <w:right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10.2(b)</w:t>
            </w:r>
          </w:p>
        </w:tc>
        <w:tc>
          <w:tcPr>
            <w:tcW w:w="5340" w:type="dxa"/>
            <w:vAlign w:val="bottom"/>
            <w:gridSpan w:val="35"/>
            <w:shd w:val="clear" w:color="auto" w:fill="CCEEFF"/>
          </w:tcPr>
          <w:p>
            <w:pPr>
              <w:spacing w:after="0" w:line="141" w:lineRule="exact"/>
              <w:rPr>
                <w:rFonts w:ascii="Arial" w:cs="Arial" w:eastAsia="Arial" w:hAnsi="Arial"/>
                <w:sz w:val="13"/>
                <w:szCs w:val="13"/>
                <w:color w:val="0000FF"/>
              </w:rPr>
            </w:pPr>
            <w:hyperlink r:id="rId123">
              <w:r>
                <w:rPr>
                  <w:rFonts w:ascii="Arial" w:cs="Arial" w:eastAsia="Arial" w:hAnsi="Arial"/>
                  <w:sz w:val="13"/>
                  <w:szCs w:val="13"/>
                  <w:color w:val="0000FF"/>
                </w:rPr>
                <w:t>Agreement, dated January 28, 2016, among Xerox Corporation, Icahn Partners Master Fund</w:t>
              </w:r>
            </w:hyperlink>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Amend-</w:t>
            </w:r>
          </w:p>
        </w:tc>
        <w:tc>
          <w:tcPr>
            <w:tcW w:w="1340" w:type="dxa"/>
            <w:vAlign w:val="bottom"/>
            <w:gridSpan w:val="3"/>
            <w:shd w:val="clear" w:color="auto" w:fill="CCEEFF"/>
          </w:tcPr>
          <w:p>
            <w:pPr>
              <w:ind w:left="140"/>
              <w:spacing w:after="0" w:line="141" w:lineRule="exact"/>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8/15/2016</w:t>
            </w:r>
          </w:p>
        </w:tc>
      </w:tr>
      <w:tr>
        <w:trPr>
          <w:trHeight w:val="105"/>
        </w:trPr>
        <w:tc>
          <w:tcPr>
            <w:tcW w:w="1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5120" w:type="dxa"/>
            <w:vAlign w:val="bottom"/>
            <w:tcBorders>
              <w:top w:val="single" w:sz="8" w:color="0000FF"/>
            </w:tcBorders>
            <w:gridSpan w:val="26"/>
            <w:shd w:val="clear" w:color="auto" w:fill="CCEEFF"/>
          </w:tcPr>
          <w:p>
            <w:pPr>
              <w:spacing w:after="0" w:line="105" w:lineRule="exact"/>
              <w:rPr>
                <w:rFonts w:ascii="Arial" w:cs="Arial" w:eastAsia="Arial" w:hAnsi="Arial"/>
                <w:sz w:val="11"/>
                <w:szCs w:val="11"/>
                <w:color w:val="0000FF"/>
              </w:rPr>
            </w:pPr>
            <w:hyperlink r:id="rId123">
              <w:r>
                <w:rPr>
                  <w:rFonts w:ascii="Arial" w:cs="Arial" w:eastAsia="Arial" w:hAnsi="Arial"/>
                  <w:sz w:val="11"/>
                  <w:szCs w:val="11"/>
                  <w:color w:val="0000FF"/>
                </w:rPr>
                <w:t>LP, Icahn Partners LP, Icahn Onshore LP, Icahn Offshore LP, Icahn Capital LP, IPH GP LLC,</w:t>
              </w:r>
            </w:hyperlink>
          </w:p>
        </w:tc>
        <w:tc>
          <w:tcPr>
            <w:tcW w:w="140" w:type="dxa"/>
            <w:vAlign w:val="bottom"/>
            <w:tcBorders>
              <w:top w:val="single" w:sz="8" w:color="CCEEFF"/>
            </w:tcBorders>
            <w:gridSpan w:val="7"/>
            <w:shd w:val="clear" w:color="auto" w:fill="CCEEFF"/>
          </w:tcPr>
          <w:p>
            <w:pPr>
              <w:spacing w:after="0"/>
              <w:rPr>
                <w:sz w:val="9"/>
                <w:szCs w:val="9"/>
                <w:color w:val="auto"/>
              </w:rPr>
            </w:pPr>
          </w:p>
        </w:tc>
        <w:tc>
          <w:tcPr>
            <w:tcW w:w="80" w:type="dxa"/>
            <w:vAlign w:val="bottom"/>
            <w:tcBorders>
              <w:top w:val="single" w:sz="8" w:color="CCEEFF"/>
            </w:tcBorders>
            <w:gridSpan w:val="2"/>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spacing w:after="0" w:line="105" w:lineRule="exact"/>
              <w:rPr>
                <w:sz w:val="20"/>
                <w:szCs w:val="20"/>
                <w:color w:val="auto"/>
              </w:rPr>
            </w:pPr>
            <w:r>
              <w:rPr>
                <w:rFonts w:ascii="Arial" w:cs="Arial" w:eastAsia="Arial" w:hAnsi="Arial"/>
                <w:sz w:val="11"/>
                <w:szCs w:val="11"/>
                <w:color w:val="auto"/>
              </w:rPr>
              <w:t>ment 1 to Form 10</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CCEEFF"/>
            </w:tcBorders>
            <w:shd w:val="clear" w:color="auto" w:fill="CCEEFF"/>
          </w:tcPr>
          <w:p>
            <w:pPr>
              <w:spacing w:after="0"/>
              <w:rPr>
                <w:sz w:val="9"/>
                <w:szCs w:val="9"/>
                <w:color w:val="auto"/>
              </w:rPr>
            </w:pP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8"/>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05"/>
        </w:trPr>
        <w:tc>
          <w:tcPr>
            <w:tcW w:w="11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340" w:type="dxa"/>
            <w:vAlign w:val="bottom"/>
            <w:gridSpan w:val="35"/>
            <w:shd w:val="clear" w:color="auto" w:fill="CCEEFF"/>
          </w:tcPr>
          <w:p>
            <w:pPr>
              <w:spacing w:after="0" w:line="105" w:lineRule="exact"/>
              <w:rPr>
                <w:rFonts w:ascii="Arial" w:cs="Arial" w:eastAsia="Arial" w:hAnsi="Arial"/>
                <w:sz w:val="11"/>
                <w:szCs w:val="11"/>
                <w:color w:val="0000FF"/>
              </w:rPr>
            </w:pPr>
            <w:hyperlink r:id="rId123">
              <w:r>
                <w:rPr>
                  <w:rFonts w:ascii="Arial" w:cs="Arial" w:eastAsia="Arial" w:hAnsi="Arial"/>
                  <w:sz w:val="11"/>
                  <w:szCs w:val="11"/>
                  <w:color w:val="0000FF"/>
                </w:rPr>
                <w:t>Icahn Enterprises Holdings L.P., Icahn Enterprises G.P. Inc., Beckton Corp., High River Limited</w:t>
              </w:r>
            </w:hyperlink>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105"/>
        </w:trPr>
        <w:tc>
          <w:tcPr>
            <w:tcW w:w="1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5260" w:type="dxa"/>
            <w:vAlign w:val="bottom"/>
            <w:tcBorders>
              <w:top w:val="single" w:sz="8" w:color="0000FF"/>
            </w:tcBorders>
            <w:gridSpan w:val="33"/>
            <w:shd w:val="clear" w:color="auto" w:fill="CCEEFF"/>
          </w:tcPr>
          <w:p>
            <w:pPr>
              <w:spacing w:after="0" w:line="105" w:lineRule="exact"/>
              <w:rPr>
                <w:rFonts w:ascii="Arial" w:cs="Arial" w:eastAsia="Arial" w:hAnsi="Arial"/>
                <w:sz w:val="11"/>
                <w:szCs w:val="11"/>
                <w:color w:val="0000FF"/>
              </w:rPr>
            </w:pPr>
            <w:hyperlink r:id="rId123">
              <w:r>
                <w:rPr>
                  <w:rFonts w:ascii="Arial" w:cs="Arial" w:eastAsia="Arial" w:hAnsi="Arial"/>
                  <w:sz w:val="11"/>
                  <w:szCs w:val="11"/>
                  <w:color w:val="0000FF"/>
                </w:rPr>
                <w:t>Partnership, Hopper Investments LLC, Barberry Corp., Jonathan Christodoro and Carl C.</w:t>
              </w:r>
            </w:hyperlink>
          </w:p>
        </w:tc>
        <w:tc>
          <w:tcPr>
            <w:tcW w:w="80" w:type="dxa"/>
            <w:vAlign w:val="bottom"/>
            <w:tcBorders>
              <w:top w:val="single" w:sz="8" w:color="CCEEFF"/>
            </w:tcBorders>
            <w:gridSpan w:val="2"/>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CCEEFF"/>
            </w:tcBorders>
            <w:shd w:val="clear" w:color="auto" w:fill="CCEEFF"/>
          </w:tcPr>
          <w:p>
            <w:pPr>
              <w:spacing w:after="0"/>
              <w:rPr>
                <w:sz w:val="9"/>
                <w:szCs w:val="9"/>
                <w:color w:val="auto"/>
              </w:rPr>
            </w:pPr>
          </w:p>
        </w:tc>
      </w:tr>
      <w:tr>
        <w:trPr>
          <w:trHeight w:val="116"/>
        </w:trPr>
        <w:tc>
          <w:tcPr>
            <w:tcW w:w="1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340" w:type="dxa"/>
            <w:vAlign w:val="bottom"/>
            <w:tcBorders>
              <w:top w:val="single" w:sz="8" w:color="0000FF"/>
              <w:bottom w:val="single" w:sz="8" w:color="0000FF"/>
            </w:tcBorders>
            <w:gridSpan w:val="2"/>
            <w:shd w:val="clear" w:color="auto" w:fill="CCEEFF"/>
          </w:tcPr>
          <w:p>
            <w:pPr>
              <w:spacing w:after="0" w:line="105" w:lineRule="exact"/>
              <w:rPr>
                <w:rFonts w:ascii="Arial" w:cs="Arial" w:eastAsia="Arial" w:hAnsi="Arial"/>
                <w:sz w:val="11"/>
                <w:szCs w:val="11"/>
                <w:color w:val="0000FF"/>
              </w:rPr>
            </w:pPr>
            <w:hyperlink r:id="rId123">
              <w:r>
                <w:rPr>
                  <w:rFonts w:ascii="Arial" w:cs="Arial" w:eastAsia="Arial" w:hAnsi="Arial"/>
                  <w:sz w:val="11"/>
                  <w:szCs w:val="11"/>
                  <w:color w:val="0000FF"/>
                </w:rPr>
                <w:t>Icahn.</w:t>
              </w:r>
            </w:hyperlink>
          </w:p>
        </w:tc>
        <w:tc>
          <w:tcPr>
            <w:tcW w:w="4580" w:type="dxa"/>
            <w:vAlign w:val="bottom"/>
            <w:tcBorders>
              <w:top w:val="single" w:sz="8" w:color="0000FF"/>
              <w:bottom w:val="single" w:sz="8" w:color="CCEEFF"/>
            </w:tcBorders>
            <w:gridSpan w:val="17"/>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gridSpan w:val="4"/>
            <w:shd w:val="clear" w:color="auto" w:fill="CCEEFF"/>
          </w:tcPr>
          <w:p>
            <w:pPr>
              <w:spacing w:after="0"/>
              <w:rPr>
                <w:sz w:val="10"/>
                <w:szCs w:val="10"/>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gridSpan w:val="10"/>
            <w:shd w:val="clear" w:color="auto" w:fill="CCEEFF"/>
          </w:tcPr>
          <w:p>
            <w:pPr>
              <w:spacing w:after="0"/>
              <w:rPr>
                <w:sz w:val="10"/>
                <w:szCs w:val="10"/>
                <w:color w:val="auto"/>
              </w:rPr>
            </w:pPr>
          </w:p>
        </w:tc>
        <w:tc>
          <w:tcPr>
            <w:tcW w:w="8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4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35"/>
        </w:trPr>
        <w:tc>
          <w:tcPr>
            <w:tcW w:w="12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10.3(a)</w:t>
            </w:r>
          </w:p>
        </w:tc>
        <w:tc>
          <w:tcPr>
            <w:tcW w:w="5340" w:type="dxa"/>
            <w:vAlign w:val="bottom"/>
            <w:gridSpan w:val="35"/>
          </w:tcPr>
          <w:p>
            <w:pPr>
              <w:spacing w:after="0" w:line="136" w:lineRule="exact"/>
              <w:rPr>
                <w:rFonts w:ascii="Arial" w:cs="Arial" w:eastAsia="Arial" w:hAnsi="Arial"/>
                <w:sz w:val="13"/>
                <w:szCs w:val="13"/>
                <w:color w:val="0000FF"/>
              </w:rPr>
            </w:pPr>
            <w:hyperlink r:id="rId124">
              <w:r>
                <w:rPr>
                  <w:rFonts w:ascii="Arial" w:cs="Arial" w:eastAsia="Arial" w:hAnsi="Arial"/>
                  <w:sz w:val="13"/>
                  <w:szCs w:val="13"/>
                  <w:color w:val="0000FF"/>
                </w:rPr>
                <w:t>Exchange Agreement dated October 27, 2016 by and among Darwin A. Deason, Conduent</w:t>
              </w:r>
            </w:hyperlink>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Amend-</w:t>
            </w:r>
          </w:p>
        </w:tc>
        <w:tc>
          <w:tcPr>
            <w:tcW w:w="1340" w:type="dxa"/>
            <w:vAlign w:val="bottom"/>
            <w:gridSpan w:val="3"/>
          </w:tcPr>
          <w:p>
            <w:pPr>
              <w:ind w:left="140"/>
              <w:spacing w:after="0" w:line="136" w:lineRule="exact"/>
              <w:rPr>
                <w:sz w:val="20"/>
                <w:szCs w:val="20"/>
                <w:color w:val="auto"/>
              </w:rPr>
            </w:pPr>
            <w:r>
              <w:rPr>
                <w:rFonts w:ascii="Arial" w:cs="Arial" w:eastAsia="Arial" w:hAnsi="Arial"/>
                <w:sz w:val="13"/>
                <w:szCs w:val="13"/>
                <w:color w:val="auto"/>
              </w:rPr>
              <w:t>10.14</w:t>
            </w:r>
          </w:p>
        </w:tc>
        <w:tc>
          <w:tcPr>
            <w:tcW w:w="80" w:type="dxa"/>
            <w:vAlign w:val="bottom"/>
          </w:tcPr>
          <w:p>
            <w:pPr>
              <w:spacing w:after="0"/>
              <w:rPr>
                <w:sz w:val="11"/>
                <w:szCs w:val="11"/>
                <w:color w:val="auto"/>
              </w:rPr>
            </w:pP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10/28/2016</w:t>
            </w: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80" w:type="dxa"/>
            <w:vAlign w:val="bottom"/>
            <w:tcBorders>
              <w:top w:val="single" w:sz="8" w:color="0000FF"/>
            </w:tcBorders>
            <w:gridSpan w:val="25"/>
          </w:tcPr>
          <w:p>
            <w:pPr>
              <w:spacing w:after="0" w:line="105" w:lineRule="exact"/>
              <w:rPr>
                <w:rFonts w:ascii="Arial" w:cs="Arial" w:eastAsia="Arial" w:hAnsi="Arial"/>
                <w:sz w:val="11"/>
                <w:szCs w:val="11"/>
                <w:color w:val="0000FF"/>
              </w:rPr>
            </w:pPr>
            <w:hyperlink r:id="rId124">
              <w:r>
                <w:rPr>
                  <w:rFonts w:ascii="Arial" w:cs="Arial" w:eastAsia="Arial" w:hAnsi="Arial"/>
                  <w:sz w:val="11"/>
                  <w:szCs w:val="11"/>
                  <w:color w:val="0000FF"/>
                </w:rPr>
                <w:t>Incorporated and Xerox Corporation.</w:t>
              </w:r>
            </w:hyperlink>
          </w:p>
        </w:tc>
        <w:tc>
          <w:tcPr>
            <w:tcW w:w="260" w:type="dxa"/>
            <w:vAlign w:val="bottom"/>
            <w:gridSpan w:val="10"/>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line="105" w:lineRule="exact"/>
              <w:rPr>
                <w:sz w:val="20"/>
                <w:szCs w:val="20"/>
                <w:color w:val="auto"/>
              </w:rPr>
            </w:pPr>
            <w:r>
              <w:rPr>
                <w:rFonts w:ascii="Arial" w:cs="Arial" w:eastAsia="Arial" w:hAnsi="Arial"/>
                <w:sz w:val="11"/>
                <w:szCs w:val="11"/>
                <w:color w:val="auto"/>
              </w:rPr>
              <w:t>ment 5 to Form 10</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6"/>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1"/>
        </w:trPr>
        <w:tc>
          <w:tcPr>
            <w:tcW w:w="1260" w:type="dxa"/>
            <w:vAlign w:val="bottom"/>
            <w:tcBorders>
              <w:right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10.3(b)</w:t>
            </w:r>
          </w:p>
        </w:tc>
        <w:tc>
          <w:tcPr>
            <w:tcW w:w="5340" w:type="dxa"/>
            <w:vAlign w:val="bottom"/>
            <w:gridSpan w:val="35"/>
            <w:shd w:val="clear" w:color="auto" w:fill="CCEEFF"/>
          </w:tcPr>
          <w:p>
            <w:pPr>
              <w:spacing w:after="0" w:line="141" w:lineRule="exact"/>
              <w:rPr>
                <w:rFonts w:ascii="Arial" w:cs="Arial" w:eastAsia="Arial" w:hAnsi="Arial"/>
                <w:sz w:val="13"/>
                <w:szCs w:val="13"/>
                <w:color w:val="0000FF"/>
              </w:rPr>
            </w:pPr>
            <w:hyperlink r:id="rId125">
              <w:r>
                <w:rPr>
                  <w:rFonts w:ascii="Arial" w:cs="Arial" w:eastAsia="Arial" w:hAnsi="Arial"/>
                  <w:sz w:val="13"/>
                  <w:szCs w:val="13"/>
                  <w:color w:val="0000FF"/>
                </w:rPr>
                <w:t>Shareholders Agreement dated December 18, 2018 by and between Darwin Deason and</w:t>
              </w:r>
            </w:hyperlink>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8-K</w:t>
            </w:r>
          </w:p>
        </w:tc>
        <w:tc>
          <w:tcPr>
            <w:tcW w:w="1340" w:type="dxa"/>
            <w:vAlign w:val="bottom"/>
            <w:gridSpan w:val="3"/>
            <w:shd w:val="clear" w:color="auto" w:fill="CCEEFF"/>
          </w:tcPr>
          <w:p>
            <w:pPr>
              <w:ind w:left="140"/>
              <w:spacing w:after="0" w:line="141" w:lineRule="exact"/>
              <w:rPr>
                <w:sz w:val="20"/>
                <w:szCs w:val="20"/>
                <w:color w:val="auto"/>
              </w:rPr>
            </w:pPr>
            <w:r>
              <w:rPr>
                <w:rFonts w:ascii="Arial" w:cs="Arial" w:eastAsia="Arial" w:hAnsi="Arial"/>
                <w:sz w:val="13"/>
                <w:szCs w:val="13"/>
                <w:color w:val="auto"/>
              </w:rPr>
              <w:t>10.1</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12/18/2018</w:t>
            </w:r>
          </w:p>
        </w:tc>
      </w:tr>
      <w:tr>
        <w:trPr>
          <w:trHeight w:val="116"/>
        </w:trPr>
        <w:tc>
          <w:tcPr>
            <w:tcW w:w="1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1320" w:type="dxa"/>
            <w:vAlign w:val="bottom"/>
            <w:tcBorders>
              <w:top w:val="single" w:sz="8" w:color="0000FF"/>
              <w:bottom w:val="single" w:sz="8" w:color="0000FF"/>
            </w:tcBorders>
            <w:gridSpan w:val="4"/>
            <w:shd w:val="clear" w:color="auto" w:fill="CCEEFF"/>
          </w:tcPr>
          <w:p>
            <w:pPr>
              <w:spacing w:after="0" w:line="105" w:lineRule="exact"/>
              <w:rPr>
                <w:rFonts w:ascii="Arial" w:cs="Arial" w:eastAsia="Arial" w:hAnsi="Arial"/>
                <w:sz w:val="11"/>
                <w:szCs w:val="11"/>
                <w:color w:val="0000FF"/>
              </w:rPr>
            </w:pPr>
            <w:hyperlink r:id="rId125">
              <w:r>
                <w:rPr>
                  <w:rFonts w:ascii="Arial" w:cs="Arial" w:eastAsia="Arial" w:hAnsi="Arial"/>
                  <w:sz w:val="11"/>
                  <w:szCs w:val="11"/>
                  <w:color w:val="0000FF"/>
                </w:rPr>
                <w:t>Conduent Incorporated.</w:t>
              </w:r>
            </w:hyperlink>
          </w:p>
        </w:tc>
        <w:tc>
          <w:tcPr>
            <w:tcW w:w="3620" w:type="dxa"/>
            <w:vAlign w:val="bottom"/>
            <w:tcBorders>
              <w:top w:val="single" w:sz="8" w:color="0000FF"/>
              <w:bottom w:val="single" w:sz="8" w:color="CCEEFF"/>
            </w:tcBorders>
            <w:gridSpan w:val="16"/>
            <w:shd w:val="clear" w:color="auto" w:fill="CCEEFF"/>
          </w:tcPr>
          <w:p>
            <w:pPr>
              <w:spacing w:after="0"/>
              <w:rPr>
                <w:sz w:val="10"/>
                <w:szCs w:val="10"/>
                <w:color w:val="auto"/>
              </w:rPr>
            </w:pPr>
          </w:p>
        </w:tc>
        <w:tc>
          <w:tcPr>
            <w:tcW w:w="80" w:type="dxa"/>
            <w:vAlign w:val="bottom"/>
            <w:tcBorders>
              <w:top w:val="single" w:sz="8" w:color="CCEEFF"/>
              <w:bottom w:val="single" w:sz="8" w:color="CCEEFF"/>
            </w:tcBorders>
            <w:gridSpan w:val="4"/>
            <w:shd w:val="clear" w:color="auto" w:fill="CCEEFF"/>
          </w:tcPr>
          <w:p>
            <w:pPr>
              <w:spacing w:after="0"/>
              <w:rPr>
                <w:sz w:val="10"/>
                <w:szCs w:val="10"/>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gridSpan w:val="10"/>
            <w:shd w:val="clear" w:color="auto" w:fill="CCEEFF"/>
          </w:tcPr>
          <w:p>
            <w:pPr>
              <w:spacing w:after="0"/>
              <w:rPr>
                <w:sz w:val="10"/>
                <w:szCs w:val="10"/>
                <w:color w:val="auto"/>
              </w:rPr>
            </w:pPr>
          </w:p>
        </w:tc>
        <w:tc>
          <w:tcPr>
            <w:tcW w:w="8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4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41"/>
        </w:trPr>
        <w:tc>
          <w:tcPr>
            <w:tcW w:w="12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*10.4(a)(i)</w:t>
            </w:r>
          </w:p>
        </w:tc>
        <w:tc>
          <w:tcPr>
            <w:tcW w:w="3800" w:type="dxa"/>
            <w:vAlign w:val="bottom"/>
            <w:tcBorders>
              <w:bottom w:val="single" w:sz="8" w:color="0000FF"/>
            </w:tcBorders>
            <w:gridSpan w:val="11"/>
          </w:tcPr>
          <w:p>
            <w:pPr>
              <w:spacing w:after="0" w:line="136" w:lineRule="exact"/>
              <w:rPr>
                <w:rFonts w:ascii="Arial" w:cs="Arial" w:eastAsia="Arial" w:hAnsi="Arial"/>
                <w:sz w:val="13"/>
                <w:szCs w:val="13"/>
                <w:color w:val="0000FF"/>
                <w:w w:val="95"/>
              </w:rPr>
            </w:pPr>
            <w:hyperlink r:id="rId126">
              <w:r>
                <w:rPr>
                  <w:rFonts w:ascii="Arial" w:cs="Arial" w:eastAsia="Arial" w:hAnsi="Arial"/>
                  <w:sz w:val="13"/>
                  <w:szCs w:val="13"/>
                  <w:color w:val="0000FF"/>
                  <w:w w:val="95"/>
                </w:rPr>
                <w:t>Form of Restricted Stock Unit Award Agreement 2020 under the PIP.</w:t>
              </w:r>
            </w:hyperlink>
          </w:p>
        </w:tc>
        <w:tc>
          <w:tcPr>
            <w:tcW w:w="1540" w:type="dxa"/>
            <w:vAlign w:val="bottom"/>
            <w:gridSpan w:val="24"/>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10-Q</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spacing w:after="0" w:line="136" w:lineRule="exact"/>
              <w:rPr>
                <w:sz w:val="20"/>
                <w:szCs w:val="20"/>
                <w:color w:val="auto"/>
              </w:rPr>
            </w:pPr>
            <w:r>
              <w:rPr>
                <w:rFonts w:ascii="Arial" w:cs="Arial" w:eastAsia="Arial" w:hAnsi="Arial"/>
                <w:sz w:val="13"/>
                <w:szCs w:val="13"/>
                <w:color w:val="auto"/>
              </w:rPr>
              <w:t>10.6(a)(vi)</w:t>
            </w: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5/8/2020</w:t>
            </w:r>
          </w:p>
        </w:tc>
      </w:tr>
      <w:tr>
        <w:trPr>
          <w:trHeight w:val="152"/>
        </w:trPr>
        <w:tc>
          <w:tcPr>
            <w:tcW w:w="1260" w:type="dxa"/>
            <w:vAlign w:val="bottom"/>
            <w:tcBorders>
              <w:right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*10.4(a)(ii)</w:t>
            </w:r>
          </w:p>
        </w:tc>
        <w:tc>
          <w:tcPr>
            <w:tcW w:w="5340" w:type="dxa"/>
            <w:vAlign w:val="bottom"/>
            <w:gridSpan w:val="35"/>
            <w:shd w:val="clear" w:color="auto" w:fill="CCEEFF"/>
          </w:tcPr>
          <w:p>
            <w:pPr>
              <w:spacing w:after="0" w:line="141" w:lineRule="exact"/>
              <w:rPr>
                <w:rFonts w:ascii="Arial" w:cs="Arial" w:eastAsia="Arial" w:hAnsi="Arial"/>
                <w:sz w:val="13"/>
                <w:szCs w:val="13"/>
                <w:color w:val="0000FF"/>
              </w:rPr>
            </w:pPr>
            <w:hyperlink r:id="rId127">
              <w:r>
                <w:rPr>
                  <w:rFonts w:ascii="Arial" w:cs="Arial" w:eastAsia="Arial" w:hAnsi="Arial"/>
                  <w:sz w:val="13"/>
                  <w:szCs w:val="13"/>
                  <w:color w:val="0000FF"/>
                </w:rPr>
                <w:t>Form of Performance Restricted Stock Unit Award Agreement 2020 under the PIP.</w:t>
              </w:r>
            </w:hyperlink>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10-Q</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10.6(a)(vii)</w:t>
            </w:r>
          </w:p>
        </w:tc>
        <w:tc>
          <w:tcPr>
            <w:tcW w:w="1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5/8/2020</w:t>
            </w:r>
          </w:p>
        </w:tc>
      </w:tr>
      <w:tr>
        <w:trPr>
          <w:trHeight w:val="135"/>
        </w:trPr>
        <w:tc>
          <w:tcPr>
            <w:tcW w:w="1260" w:type="dxa"/>
            <w:vAlign w:val="bottom"/>
            <w:tcBorders>
              <w:top w:val="single" w:sz="8" w:color="CCEEFF"/>
            </w:tcBorders>
            <w:gridSpan w:val="2"/>
          </w:tcPr>
          <w:p>
            <w:pPr>
              <w:ind w:left="20"/>
              <w:spacing w:after="0" w:line="136" w:lineRule="exact"/>
              <w:rPr>
                <w:sz w:val="20"/>
                <w:szCs w:val="20"/>
                <w:color w:val="auto"/>
              </w:rPr>
            </w:pPr>
            <w:r>
              <w:rPr>
                <w:rFonts w:ascii="Arial" w:cs="Arial" w:eastAsia="Arial" w:hAnsi="Arial"/>
                <w:sz w:val="13"/>
                <w:szCs w:val="13"/>
                <w:color w:val="auto"/>
              </w:rPr>
              <w:t>*10.4(a)(iii)</w:t>
            </w:r>
          </w:p>
        </w:tc>
        <w:tc>
          <w:tcPr>
            <w:tcW w:w="4540" w:type="dxa"/>
            <w:vAlign w:val="bottom"/>
            <w:tcBorders>
              <w:top w:val="single" w:sz="8" w:color="0000FF"/>
            </w:tcBorders>
            <w:gridSpan w:val="13"/>
          </w:tcPr>
          <w:p>
            <w:pPr>
              <w:spacing w:after="0" w:line="136" w:lineRule="exact"/>
              <w:rPr>
                <w:rFonts w:ascii="Arial" w:cs="Arial" w:eastAsia="Arial" w:hAnsi="Arial"/>
                <w:sz w:val="13"/>
                <w:szCs w:val="13"/>
                <w:color w:val="0000FF"/>
              </w:rPr>
            </w:pPr>
            <w:hyperlink r:id="rId128">
              <w:r>
                <w:rPr>
                  <w:rFonts w:ascii="Arial" w:cs="Arial" w:eastAsia="Arial" w:hAnsi="Arial"/>
                  <w:sz w:val="13"/>
                  <w:szCs w:val="13"/>
                  <w:color w:val="0000FF"/>
                </w:rPr>
                <w:t>Registrant’s 2021 Performance Incentive Plan (“2021 PIP”)</w:t>
              </w:r>
            </w:hyperlink>
            <w:r>
              <w:rPr>
                <w:rFonts w:ascii="Arial" w:cs="Arial" w:eastAsia="Arial" w:hAnsi="Arial"/>
                <w:sz w:val="13"/>
                <w:szCs w:val="13"/>
                <w:color w:val="000000"/>
              </w:rPr>
              <w:t>.</w:t>
            </w:r>
          </w:p>
        </w:tc>
        <w:tc>
          <w:tcPr>
            <w:tcW w:w="800" w:type="dxa"/>
            <w:vAlign w:val="bottom"/>
            <w:tcBorders>
              <w:top w:val="single" w:sz="8" w:color="CCEEFF"/>
            </w:tcBorders>
            <w:gridSpan w:val="22"/>
          </w:tcPr>
          <w:p>
            <w:pPr>
              <w:spacing w:after="0"/>
              <w:rPr>
                <w:sz w:val="11"/>
                <w:szCs w:val="11"/>
                <w:color w:val="auto"/>
              </w:rPr>
            </w:pPr>
          </w:p>
        </w:tc>
        <w:tc>
          <w:tcPr>
            <w:tcW w:w="8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80" w:type="dxa"/>
            <w:vAlign w:val="bottom"/>
            <w:tcBorders>
              <w:top w:val="single" w:sz="8" w:color="CCEEFF"/>
            </w:tcBorders>
          </w:tcPr>
          <w:p>
            <w:pPr>
              <w:spacing w:after="0" w:line="136" w:lineRule="exact"/>
              <w:rPr>
                <w:sz w:val="20"/>
                <w:szCs w:val="20"/>
                <w:color w:val="auto"/>
              </w:rPr>
            </w:pPr>
            <w:r>
              <w:rPr>
                <w:rFonts w:ascii="Arial" w:cs="Arial" w:eastAsia="Arial" w:hAnsi="Arial"/>
                <w:sz w:val="13"/>
                <w:szCs w:val="13"/>
                <w:color w:val="auto"/>
              </w:rPr>
              <w:t>DEF 14A</w:t>
            </w: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80" w:type="dxa"/>
            <w:vAlign w:val="bottom"/>
            <w:tcBorders>
              <w:top w:val="single" w:sz="8" w:color="CCEEFF"/>
            </w:tcBorders>
            <w:gridSpan w:val="2"/>
          </w:tcPr>
          <w:p>
            <w:pPr>
              <w:spacing w:after="0" w:line="136" w:lineRule="exact"/>
              <w:rPr>
                <w:sz w:val="20"/>
                <w:szCs w:val="20"/>
                <w:color w:val="auto"/>
              </w:rPr>
            </w:pPr>
            <w:r>
              <w:rPr>
                <w:rFonts w:ascii="Arial" w:cs="Arial" w:eastAsia="Arial" w:hAnsi="Arial"/>
                <w:sz w:val="13"/>
                <w:szCs w:val="13"/>
                <w:color w:val="auto"/>
              </w:rPr>
              <w:t>Annex A</w:t>
            </w:r>
          </w:p>
        </w:tc>
        <w:tc>
          <w:tcPr>
            <w:tcW w:w="1240" w:type="dxa"/>
            <w:vAlign w:val="bottom"/>
            <w:tcBorders>
              <w:top w:val="single" w:sz="8" w:color="CCEEFF"/>
            </w:tcBorders>
          </w:tcPr>
          <w:p>
            <w:pPr>
              <w:spacing w:after="0" w:line="136" w:lineRule="exact"/>
              <w:rPr>
                <w:sz w:val="20"/>
                <w:szCs w:val="20"/>
                <w:color w:val="auto"/>
              </w:rPr>
            </w:pPr>
            <w:r>
              <w:rPr>
                <w:rFonts w:ascii="Arial" w:cs="Arial" w:eastAsia="Arial" w:hAnsi="Arial"/>
                <w:sz w:val="13"/>
                <w:szCs w:val="13"/>
                <w:color w:val="auto"/>
              </w:rPr>
              <w:t>4/9/2021</w:t>
            </w:r>
          </w:p>
        </w:tc>
      </w:tr>
      <w:tr>
        <w:trPr>
          <w:trHeight w:val="26"/>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1"/>
        </w:trPr>
        <w:tc>
          <w:tcPr>
            <w:tcW w:w="1260" w:type="dxa"/>
            <w:vAlign w:val="bottom"/>
            <w:tcBorders>
              <w:right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*10.4(a)(iv)</w:t>
            </w:r>
          </w:p>
        </w:tc>
        <w:tc>
          <w:tcPr>
            <w:tcW w:w="5340" w:type="dxa"/>
            <w:vAlign w:val="bottom"/>
            <w:gridSpan w:val="35"/>
            <w:shd w:val="clear" w:color="auto" w:fill="CCEEFF"/>
          </w:tcPr>
          <w:p>
            <w:pPr>
              <w:spacing w:after="0" w:line="141" w:lineRule="exact"/>
              <w:rPr>
                <w:rFonts w:ascii="Arial" w:cs="Arial" w:eastAsia="Arial" w:hAnsi="Arial"/>
                <w:sz w:val="13"/>
                <w:szCs w:val="13"/>
                <w:color w:val="0000FF"/>
              </w:rPr>
            </w:pPr>
            <w:hyperlink r:id="rId129">
              <w:r>
                <w:rPr>
                  <w:rFonts w:ascii="Arial" w:cs="Arial" w:eastAsia="Arial" w:hAnsi="Arial"/>
                  <w:sz w:val="13"/>
                  <w:szCs w:val="13"/>
                  <w:color w:val="0000FF"/>
                </w:rPr>
                <w:t>Form of Restricted Stock Unit Award Agreement 2021 under the 2021 PIP.</w:t>
              </w:r>
            </w:hyperlink>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10-Q</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10.6(a)(x)</w:t>
            </w:r>
          </w:p>
        </w:tc>
        <w:tc>
          <w:tcPr>
            <w:tcW w:w="1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8/5/2021</w:t>
            </w:r>
          </w:p>
        </w:tc>
      </w:tr>
      <w:tr>
        <w:trPr>
          <w:trHeight w:val="31"/>
        </w:trPr>
        <w:tc>
          <w:tcPr>
            <w:tcW w:w="1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r>
        <w:trPr>
          <w:trHeight w:val="135"/>
        </w:trPr>
        <w:tc>
          <w:tcPr>
            <w:tcW w:w="12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*10.4(a)(v)</w:t>
            </w:r>
          </w:p>
        </w:tc>
        <w:tc>
          <w:tcPr>
            <w:tcW w:w="5340" w:type="dxa"/>
            <w:vAlign w:val="bottom"/>
            <w:gridSpan w:val="35"/>
          </w:tcPr>
          <w:p>
            <w:pPr>
              <w:spacing w:after="0" w:line="136" w:lineRule="exact"/>
              <w:rPr>
                <w:rFonts w:ascii="Arial" w:cs="Arial" w:eastAsia="Arial" w:hAnsi="Arial"/>
                <w:sz w:val="13"/>
                <w:szCs w:val="13"/>
                <w:color w:val="0000FF"/>
              </w:rPr>
            </w:pPr>
            <w:hyperlink r:id="rId130">
              <w:r>
                <w:rPr>
                  <w:rFonts w:ascii="Arial" w:cs="Arial" w:eastAsia="Arial" w:hAnsi="Arial"/>
                  <w:sz w:val="13"/>
                  <w:szCs w:val="13"/>
                  <w:color w:val="0000FF"/>
                </w:rPr>
                <w:t>Form of Performance Stock Unit Award Agreement 2021 ("Revenue Metric") under the 2021</w:t>
              </w:r>
            </w:hyperlink>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10-Q</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spacing w:after="0" w:line="136" w:lineRule="exact"/>
              <w:rPr>
                <w:sz w:val="20"/>
                <w:szCs w:val="20"/>
                <w:color w:val="auto"/>
              </w:rPr>
            </w:pPr>
            <w:r>
              <w:rPr>
                <w:rFonts w:ascii="Arial" w:cs="Arial" w:eastAsia="Arial" w:hAnsi="Arial"/>
                <w:sz w:val="13"/>
                <w:szCs w:val="13"/>
                <w:color w:val="auto"/>
              </w:rPr>
              <w:t>10.6(a)(xi)</w:t>
            </w: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8/5/2021</w:t>
            </w:r>
          </w:p>
        </w:tc>
      </w:tr>
      <w:tr>
        <w:trPr>
          <w:trHeight w:val="111"/>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0000FF"/>
              <w:bottom w:val="single" w:sz="8" w:color="0000FF"/>
            </w:tcBorders>
          </w:tcPr>
          <w:p>
            <w:pPr>
              <w:spacing w:after="0" w:line="105" w:lineRule="exact"/>
              <w:rPr>
                <w:rFonts w:ascii="Arial" w:cs="Arial" w:eastAsia="Arial" w:hAnsi="Arial"/>
                <w:sz w:val="11"/>
                <w:szCs w:val="11"/>
                <w:color w:val="0000FF"/>
                <w:w w:val="95"/>
              </w:rPr>
            </w:pPr>
            <w:hyperlink r:id="rId130">
              <w:r>
                <w:rPr>
                  <w:rFonts w:ascii="Arial" w:cs="Arial" w:eastAsia="Arial" w:hAnsi="Arial"/>
                  <w:sz w:val="11"/>
                  <w:szCs w:val="11"/>
                  <w:color w:val="0000FF"/>
                  <w:w w:val="95"/>
                </w:rPr>
                <w:t>PIP.</w:t>
              </w:r>
            </w:hyperlink>
          </w:p>
        </w:tc>
        <w:tc>
          <w:tcPr>
            <w:tcW w:w="4860" w:type="dxa"/>
            <w:vAlign w:val="bottom"/>
            <w:tcBorders>
              <w:top w:val="single" w:sz="8" w:color="0000FF"/>
            </w:tcBorders>
            <w:gridSpan w:val="24"/>
          </w:tcPr>
          <w:p>
            <w:pPr>
              <w:spacing w:after="0"/>
              <w:rPr>
                <w:sz w:val="9"/>
                <w:szCs w:val="9"/>
                <w:color w:val="auto"/>
              </w:rPr>
            </w:pPr>
          </w:p>
        </w:tc>
        <w:tc>
          <w:tcPr>
            <w:tcW w:w="260" w:type="dxa"/>
            <w:vAlign w:val="bottom"/>
            <w:gridSpan w:val="10"/>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41"/>
        </w:trPr>
        <w:tc>
          <w:tcPr>
            <w:tcW w:w="1260" w:type="dxa"/>
            <w:vAlign w:val="bottom"/>
            <w:tcBorders>
              <w:right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*10.4(a)(vi)</w:t>
            </w:r>
          </w:p>
        </w:tc>
        <w:tc>
          <w:tcPr>
            <w:tcW w:w="5340" w:type="dxa"/>
            <w:vAlign w:val="bottom"/>
            <w:gridSpan w:val="35"/>
            <w:shd w:val="clear" w:color="auto" w:fill="CCEEFF"/>
          </w:tcPr>
          <w:p>
            <w:pPr>
              <w:spacing w:after="0" w:line="141" w:lineRule="exact"/>
              <w:rPr>
                <w:rFonts w:ascii="Arial" w:cs="Arial" w:eastAsia="Arial" w:hAnsi="Arial"/>
                <w:sz w:val="13"/>
                <w:szCs w:val="13"/>
                <w:color w:val="0000FF"/>
              </w:rPr>
            </w:pPr>
            <w:hyperlink r:id="rId131">
              <w:r>
                <w:rPr>
                  <w:rFonts w:ascii="Arial" w:cs="Arial" w:eastAsia="Arial" w:hAnsi="Arial"/>
                  <w:sz w:val="13"/>
                  <w:szCs w:val="13"/>
                  <w:color w:val="0000FF"/>
                </w:rPr>
                <w:t>Form of Performance Stock Unit Award Agreement 2021 ("Share Hurdle Metric") under the</w:t>
              </w:r>
            </w:hyperlink>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10-Q</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10.6(a)(xii)</w:t>
            </w:r>
          </w:p>
        </w:tc>
        <w:tc>
          <w:tcPr>
            <w:tcW w:w="1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8/5/2021</w:t>
            </w:r>
          </w:p>
        </w:tc>
      </w:tr>
      <w:tr>
        <w:trPr>
          <w:trHeight w:val="105"/>
        </w:trPr>
        <w:tc>
          <w:tcPr>
            <w:tcW w:w="1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5020" w:type="dxa"/>
            <w:vAlign w:val="bottom"/>
            <w:tcBorders>
              <w:top w:val="single" w:sz="8" w:color="0000FF"/>
            </w:tcBorders>
            <w:gridSpan w:val="24"/>
            <w:shd w:val="clear" w:color="auto" w:fill="CCEEFF"/>
          </w:tcPr>
          <w:p>
            <w:pPr>
              <w:spacing w:after="0" w:line="105" w:lineRule="exact"/>
              <w:rPr>
                <w:rFonts w:ascii="Arial" w:cs="Arial" w:eastAsia="Arial" w:hAnsi="Arial"/>
                <w:sz w:val="11"/>
                <w:szCs w:val="11"/>
                <w:color w:val="0000FF"/>
              </w:rPr>
            </w:pPr>
            <w:hyperlink r:id="rId131">
              <w:r>
                <w:rPr>
                  <w:rFonts w:ascii="Arial" w:cs="Arial" w:eastAsia="Arial" w:hAnsi="Arial"/>
                  <w:sz w:val="11"/>
                  <w:szCs w:val="11"/>
                  <w:color w:val="0000FF"/>
                </w:rPr>
                <w:t>2021 PIP.</w:t>
              </w:r>
            </w:hyperlink>
          </w:p>
        </w:tc>
        <w:tc>
          <w:tcPr>
            <w:tcW w:w="320" w:type="dxa"/>
            <w:vAlign w:val="bottom"/>
            <w:tcBorders>
              <w:top w:val="single" w:sz="8" w:color="CCEEFF"/>
            </w:tcBorders>
            <w:gridSpan w:val="11"/>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CCEEFF"/>
            </w:tcBorders>
            <w:shd w:val="clear" w:color="auto" w:fill="CCEEFF"/>
          </w:tcPr>
          <w:p>
            <w:pPr>
              <w:spacing w:after="0"/>
              <w:rPr>
                <w:sz w:val="9"/>
                <w:szCs w:val="9"/>
                <w:color w:val="auto"/>
              </w:rPr>
            </w:pPr>
          </w:p>
        </w:tc>
      </w:tr>
      <w:tr>
        <w:trPr>
          <w:trHeight w:val="31"/>
        </w:trPr>
        <w:tc>
          <w:tcPr>
            <w:tcW w:w="1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tcBorders>
              <w:lef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r>
        <w:trPr>
          <w:trHeight w:val="135"/>
        </w:trPr>
        <w:tc>
          <w:tcPr>
            <w:tcW w:w="12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*10.4(a)(vii)</w:t>
            </w:r>
          </w:p>
        </w:tc>
        <w:tc>
          <w:tcPr>
            <w:tcW w:w="5340" w:type="dxa"/>
            <w:vAlign w:val="bottom"/>
            <w:gridSpan w:val="35"/>
          </w:tcPr>
          <w:p>
            <w:pPr>
              <w:spacing w:after="0" w:line="136" w:lineRule="exact"/>
              <w:rPr>
                <w:rFonts w:ascii="Arial" w:cs="Arial" w:eastAsia="Arial" w:hAnsi="Arial"/>
                <w:sz w:val="13"/>
                <w:szCs w:val="13"/>
                <w:color w:val="0000FF"/>
              </w:rPr>
            </w:pPr>
            <w:hyperlink r:id="rId132">
              <w:r>
                <w:rPr>
                  <w:rFonts w:ascii="Arial" w:cs="Arial" w:eastAsia="Arial" w:hAnsi="Arial"/>
                  <w:sz w:val="13"/>
                  <w:szCs w:val="13"/>
                  <w:color w:val="0000FF"/>
                </w:rPr>
                <w:t>Form of Restricted Stock Unit Award Agreement 2022 under the 2021 PIP</w:t>
              </w:r>
            </w:hyperlink>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10-Q</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spacing w:after="0" w:line="136" w:lineRule="exact"/>
              <w:rPr>
                <w:sz w:val="20"/>
                <w:szCs w:val="20"/>
                <w:color w:val="auto"/>
              </w:rPr>
            </w:pPr>
            <w:r>
              <w:rPr>
                <w:rFonts w:ascii="Arial" w:cs="Arial" w:eastAsia="Arial" w:hAnsi="Arial"/>
                <w:sz w:val="13"/>
                <w:szCs w:val="13"/>
                <w:color w:val="auto"/>
              </w:rPr>
              <w:t>10.6(a)(ix)</w:t>
            </w: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5/3/2022</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7" w:name="page98"/>
    <w:bookmarkEnd w:id="9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*10.4(a)(viii)</w:t>
            </w:r>
          </w:p>
        </w:tc>
        <w:tc>
          <w:tcPr>
            <w:tcW w:w="5240" w:type="dxa"/>
            <w:vAlign w:val="bottom"/>
            <w:gridSpan w:val="29"/>
            <w:shd w:val="clear" w:color="auto" w:fill="CCEEFF"/>
          </w:tcPr>
          <w:p>
            <w:pPr>
              <w:spacing w:after="0"/>
              <w:rPr>
                <w:rFonts w:ascii="Arial" w:cs="Arial" w:eastAsia="Arial" w:hAnsi="Arial"/>
                <w:sz w:val="13"/>
                <w:szCs w:val="13"/>
                <w:color w:val="0000FF"/>
              </w:rPr>
            </w:pPr>
            <w:hyperlink r:id="rId134">
              <w:r>
                <w:rPr>
                  <w:rFonts w:ascii="Arial" w:cs="Arial" w:eastAsia="Arial" w:hAnsi="Arial"/>
                  <w:sz w:val="13"/>
                  <w:szCs w:val="13"/>
                  <w:color w:val="0000FF"/>
                </w:rPr>
                <w:t>Form of Performance Restricted Stock Unit Award Agreement 2022 under the 2021 PIP</w:t>
              </w:r>
            </w:hyperlink>
          </w:p>
        </w:tc>
        <w:tc>
          <w:tcPr>
            <w:tcW w:w="222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10-Q</w:t>
            </w:r>
          </w:p>
        </w:tc>
        <w:tc>
          <w:tcPr>
            <w:tcW w:w="1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10.6(a)(x)</w:t>
            </w:r>
          </w:p>
        </w:tc>
        <w:tc>
          <w:tcPr>
            <w:tcW w:w="15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5/3/2022</w:t>
            </w:r>
          </w:p>
        </w:tc>
      </w:tr>
      <w:tr>
        <w:trPr>
          <w:trHeight w:val="135"/>
        </w:trPr>
        <w:tc>
          <w:tcPr>
            <w:tcW w:w="1240" w:type="dxa"/>
            <w:vAlign w:val="bottom"/>
            <w:tcBorders>
              <w:top w:val="single" w:sz="8" w:color="CCEEFF"/>
            </w:tcBorders>
          </w:tcPr>
          <w:p>
            <w:pPr>
              <w:ind w:left="20"/>
              <w:spacing w:after="0" w:line="136" w:lineRule="exact"/>
              <w:rPr>
                <w:sz w:val="20"/>
                <w:szCs w:val="20"/>
                <w:color w:val="auto"/>
              </w:rPr>
            </w:pPr>
            <w:r>
              <w:rPr>
                <w:rFonts w:ascii="Arial" w:cs="Arial" w:eastAsia="Arial" w:hAnsi="Arial"/>
                <w:sz w:val="13"/>
                <w:szCs w:val="13"/>
                <w:color w:val="auto"/>
              </w:rPr>
              <w:t>*10.4(a)(ix)</w:t>
            </w:r>
          </w:p>
        </w:tc>
        <w:tc>
          <w:tcPr>
            <w:tcW w:w="4840" w:type="dxa"/>
            <w:vAlign w:val="bottom"/>
            <w:tcBorders>
              <w:top w:val="single" w:sz="8" w:color="0000FF"/>
            </w:tcBorders>
            <w:gridSpan w:val="20"/>
          </w:tcPr>
          <w:p>
            <w:pPr>
              <w:spacing w:after="0" w:line="136" w:lineRule="exact"/>
              <w:rPr>
                <w:rFonts w:ascii="Arial" w:cs="Arial" w:eastAsia="Arial" w:hAnsi="Arial"/>
                <w:sz w:val="13"/>
                <w:szCs w:val="13"/>
                <w:color w:val="0000FF"/>
              </w:rPr>
            </w:pPr>
            <w:hyperlink r:id="rId135">
              <w:r>
                <w:rPr>
                  <w:rFonts w:ascii="Arial" w:cs="Arial" w:eastAsia="Arial" w:hAnsi="Arial"/>
                  <w:sz w:val="13"/>
                  <w:szCs w:val="13"/>
                  <w:color w:val="0000FF"/>
                </w:rPr>
                <w:t>Form of Agreement for Non-Employee Directors under 2021 PIP.</w:t>
              </w:r>
            </w:hyperlink>
          </w:p>
        </w:tc>
        <w:tc>
          <w:tcPr>
            <w:tcW w:w="400" w:type="dxa"/>
            <w:vAlign w:val="bottom"/>
            <w:tcBorders>
              <w:top w:val="single" w:sz="8" w:color="CCEEFF"/>
            </w:tcBorders>
            <w:gridSpan w:val="9"/>
          </w:tcPr>
          <w:p>
            <w:pPr>
              <w:spacing w:after="0"/>
              <w:rPr>
                <w:sz w:val="11"/>
                <w:szCs w:val="11"/>
                <w:color w:val="auto"/>
              </w:rPr>
            </w:pPr>
          </w:p>
        </w:tc>
        <w:tc>
          <w:tcPr>
            <w:tcW w:w="2220" w:type="dxa"/>
            <w:vAlign w:val="bottom"/>
            <w:tcBorders>
              <w:top w:val="single" w:sz="8" w:color="CCEEFF"/>
            </w:tcBorders>
          </w:tcPr>
          <w:p>
            <w:pPr>
              <w:ind w:left="1060"/>
              <w:spacing w:after="0" w:line="136" w:lineRule="exact"/>
              <w:rPr>
                <w:sz w:val="20"/>
                <w:szCs w:val="20"/>
                <w:color w:val="auto"/>
              </w:rPr>
            </w:pPr>
            <w:r>
              <w:rPr>
                <w:rFonts w:ascii="Arial" w:cs="Arial" w:eastAsia="Arial" w:hAnsi="Arial"/>
                <w:sz w:val="13"/>
                <w:szCs w:val="13"/>
                <w:color w:val="auto"/>
              </w:rPr>
              <w:t>10-Q</w:t>
            </w:r>
          </w:p>
        </w:tc>
        <w:tc>
          <w:tcPr>
            <w:tcW w:w="1020" w:type="dxa"/>
            <w:vAlign w:val="bottom"/>
            <w:tcBorders>
              <w:top w:val="single" w:sz="8" w:color="CCEEFF"/>
            </w:tcBorders>
          </w:tcPr>
          <w:p>
            <w:pPr>
              <w:ind w:left="60"/>
              <w:spacing w:after="0" w:line="136" w:lineRule="exact"/>
              <w:rPr>
                <w:sz w:val="20"/>
                <w:szCs w:val="20"/>
                <w:color w:val="auto"/>
              </w:rPr>
            </w:pPr>
            <w:r>
              <w:rPr>
                <w:rFonts w:ascii="Arial" w:cs="Arial" w:eastAsia="Arial" w:hAnsi="Arial"/>
                <w:sz w:val="13"/>
                <w:szCs w:val="13"/>
                <w:color w:val="auto"/>
              </w:rPr>
              <w:t>10.6(a)(xiii)</w:t>
            </w:r>
          </w:p>
        </w:tc>
        <w:tc>
          <w:tcPr>
            <w:tcW w:w="1560" w:type="dxa"/>
            <w:vAlign w:val="bottom"/>
            <w:tcBorders>
              <w:top w:val="single" w:sz="8" w:color="CCEEFF"/>
            </w:tcBorders>
          </w:tcPr>
          <w:p>
            <w:pPr>
              <w:ind w:left="320"/>
              <w:spacing w:after="0" w:line="136" w:lineRule="exact"/>
              <w:rPr>
                <w:sz w:val="20"/>
                <w:szCs w:val="20"/>
                <w:color w:val="auto"/>
              </w:rPr>
            </w:pPr>
            <w:r>
              <w:rPr>
                <w:rFonts w:ascii="Arial" w:cs="Arial" w:eastAsia="Arial" w:hAnsi="Arial"/>
                <w:sz w:val="13"/>
                <w:szCs w:val="13"/>
                <w:color w:val="auto"/>
              </w:rPr>
              <w:t>8/5/2021</w:t>
            </w:r>
          </w:p>
        </w:tc>
      </w:tr>
      <w:tr>
        <w:trPr>
          <w:trHeight w:val="26"/>
        </w:trPr>
        <w:tc>
          <w:tcPr>
            <w:tcW w:w="124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31"/>
        </w:trPr>
        <w:tc>
          <w:tcPr>
            <w:tcW w:w="124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*10.4(a)(x)</w:t>
            </w:r>
          </w:p>
        </w:tc>
        <w:tc>
          <w:tcPr>
            <w:tcW w:w="5240" w:type="dxa"/>
            <w:vAlign w:val="bottom"/>
            <w:gridSpan w:val="29"/>
            <w:shd w:val="clear" w:color="auto" w:fill="CCEEFF"/>
          </w:tcPr>
          <w:p>
            <w:pPr>
              <w:spacing w:after="0" w:line="131" w:lineRule="exact"/>
              <w:rPr>
                <w:rFonts w:ascii="Arial" w:cs="Arial" w:eastAsia="Arial" w:hAnsi="Arial"/>
                <w:sz w:val="13"/>
                <w:szCs w:val="13"/>
                <w:color w:val="0000FF"/>
                <w:w w:val="96"/>
              </w:rPr>
            </w:pPr>
            <w:hyperlink r:id="rId136">
              <w:r>
                <w:rPr>
                  <w:rFonts w:ascii="Arial" w:cs="Arial" w:eastAsia="Arial" w:hAnsi="Arial"/>
                  <w:sz w:val="13"/>
                  <w:szCs w:val="13"/>
                  <w:color w:val="0000FF"/>
                  <w:w w:val="96"/>
                </w:rPr>
                <w:t>Registrant’s Equity Compensation Plan for Non-Employee Directors dated as of December 15,</w:t>
              </w:r>
            </w:hyperlink>
          </w:p>
        </w:tc>
        <w:tc>
          <w:tcPr>
            <w:tcW w:w="2220" w:type="dxa"/>
            <w:vAlign w:val="bottom"/>
            <w:shd w:val="clear" w:color="auto" w:fill="CCEEFF"/>
          </w:tcPr>
          <w:p>
            <w:pPr>
              <w:ind w:left="1060"/>
              <w:spacing w:after="0"/>
              <w:rPr>
                <w:sz w:val="20"/>
                <w:szCs w:val="20"/>
                <w:color w:val="auto"/>
              </w:rPr>
            </w:pPr>
            <w:r>
              <w:rPr>
                <w:rFonts w:ascii="Arial" w:cs="Arial" w:eastAsia="Arial" w:hAnsi="Arial"/>
                <w:sz w:val="11"/>
                <w:szCs w:val="11"/>
                <w:color w:val="auto"/>
              </w:rPr>
              <w:t>Registration</w:t>
            </w:r>
          </w:p>
        </w:tc>
        <w:tc>
          <w:tcPr>
            <w:tcW w:w="1020" w:type="dxa"/>
            <w:vAlign w:val="bottom"/>
            <w:shd w:val="clear" w:color="auto" w:fill="CCEEFF"/>
          </w:tcPr>
          <w:p>
            <w:pPr>
              <w:ind w:left="60"/>
              <w:spacing w:after="0" w:line="131" w:lineRule="exact"/>
              <w:rPr>
                <w:sz w:val="20"/>
                <w:szCs w:val="20"/>
                <w:color w:val="auto"/>
              </w:rPr>
            </w:pPr>
            <w:r>
              <w:rPr>
                <w:rFonts w:ascii="Arial" w:cs="Arial" w:eastAsia="Arial" w:hAnsi="Arial"/>
                <w:sz w:val="13"/>
                <w:szCs w:val="13"/>
                <w:color w:val="auto"/>
              </w:rPr>
              <w:t>4.4</w:t>
            </w:r>
          </w:p>
        </w:tc>
        <w:tc>
          <w:tcPr>
            <w:tcW w:w="1560" w:type="dxa"/>
            <w:vAlign w:val="bottom"/>
            <w:shd w:val="clear" w:color="auto" w:fill="CCEEFF"/>
          </w:tcPr>
          <w:p>
            <w:pPr>
              <w:ind w:left="320"/>
              <w:spacing w:after="0" w:line="131" w:lineRule="exact"/>
              <w:rPr>
                <w:sz w:val="20"/>
                <w:szCs w:val="20"/>
                <w:color w:val="auto"/>
              </w:rPr>
            </w:pPr>
            <w:r>
              <w:rPr>
                <w:rFonts w:ascii="Arial" w:cs="Arial" w:eastAsia="Arial" w:hAnsi="Arial"/>
                <w:sz w:val="13"/>
                <w:szCs w:val="13"/>
                <w:color w:val="auto"/>
              </w:rPr>
              <w:t>12/29/2016</w:t>
            </w:r>
          </w:p>
        </w:tc>
      </w:tr>
      <w:tr>
        <w:trPr>
          <w:trHeight w:val="105"/>
        </w:trPr>
        <w:tc>
          <w:tcPr>
            <w:tcW w:w="1240" w:type="dxa"/>
            <w:vAlign w:val="bottom"/>
            <w:tcBorders>
              <w:top w:val="single" w:sz="8" w:color="CCEEFF"/>
            </w:tcBorders>
            <w:shd w:val="clear" w:color="auto" w:fill="CCEEFF"/>
          </w:tcPr>
          <w:p>
            <w:pPr>
              <w:spacing w:after="0"/>
              <w:rPr>
                <w:sz w:val="9"/>
                <w:szCs w:val="9"/>
                <w:color w:val="auto"/>
              </w:rPr>
            </w:pPr>
          </w:p>
        </w:tc>
        <w:tc>
          <w:tcPr>
            <w:tcW w:w="5220" w:type="dxa"/>
            <w:vAlign w:val="bottom"/>
            <w:tcBorders>
              <w:top w:val="single" w:sz="8" w:color="0000FF"/>
            </w:tcBorders>
            <w:gridSpan w:val="28"/>
            <w:shd w:val="clear" w:color="auto" w:fill="CCEEFF"/>
          </w:tcPr>
          <w:p>
            <w:pPr>
              <w:spacing w:after="0" w:line="104" w:lineRule="exact"/>
              <w:rPr>
                <w:rFonts w:ascii="Arial" w:cs="Arial" w:eastAsia="Arial" w:hAnsi="Arial"/>
                <w:sz w:val="11"/>
                <w:szCs w:val="11"/>
                <w:color w:val="0000FF"/>
              </w:rPr>
            </w:pPr>
            <w:hyperlink r:id="rId136">
              <w:r>
                <w:rPr>
                  <w:rFonts w:ascii="Arial" w:cs="Arial" w:eastAsia="Arial" w:hAnsi="Arial"/>
                  <w:sz w:val="11"/>
                  <w:szCs w:val="11"/>
                  <w:color w:val="0000FF"/>
                </w:rPr>
                <w:t>2016 (“ECPNED”).</w:t>
              </w:r>
            </w:hyperlink>
          </w:p>
        </w:tc>
        <w:tc>
          <w:tcPr>
            <w:tcW w:w="20" w:type="dxa"/>
            <w:vAlign w:val="bottom"/>
            <w:tcBorders>
              <w:top w:val="single" w:sz="8" w:color="CCEEFF"/>
            </w:tcBorders>
            <w:shd w:val="clear" w:color="auto" w:fill="CCEEFF"/>
          </w:tcPr>
          <w:p>
            <w:pPr>
              <w:spacing w:after="0"/>
              <w:rPr>
                <w:sz w:val="9"/>
                <w:szCs w:val="9"/>
                <w:color w:val="auto"/>
              </w:rPr>
            </w:pPr>
          </w:p>
        </w:tc>
        <w:tc>
          <w:tcPr>
            <w:tcW w:w="2220" w:type="dxa"/>
            <w:vAlign w:val="bottom"/>
            <w:tcBorders>
              <w:top w:val="single" w:sz="8" w:color="CCEEFF"/>
            </w:tcBorders>
            <w:shd w:val="clear" w:color="auto" w:fill="CCEEFF"/>
          </w:tcPr>
          <w:p>
            <w:pPr>
              <w:ind w:left="1060"/>
              <w:spacing w:after="0" w:line="104" w:lineRule="exact"/>
              <w:rPr>
                <w:sz w:val="20"/>
                <w:szCs w:val="20"/>
                <w:color w:val="auto"/>
              </w:rPr>
            </w:pPr>
            <w:r>
              <w:rPr>
                <w:rFonts w:ascii="Arial" w:cs="Arial" w:eastAsia="Arial" w:hAnsi="Arial"/>
                <w:sz w:val="11"/>
                <w:szCs w:val="11"/>
                <w:color w:val="auto"/>
              </w:rPr>
              <w:t>Statement on Form S-</w:t>
            </w:r>
          </w:p>
        </w:tc>
        <w:tc>
          <w:tcPr>
            <w:tcW w:w="1020" w:type="dxa"/>
            <w:vAlign w:val="bottom"/>
            <w:tcBorders>
              <w:top w:val="single" w:sz="8" w:color="CCEEFF"/>
            </w:tcBorders>
            <w:shd w:val="clear" w:color="auto" w:fill="CCEEFF"/>
          </w:tcPr>
          <w:p>
            <w:pPr>
              <w:spacing w:after="0"/>
              <w:rPr>
                <w:sz w:val="9"/>
                <w:szCs w:val="9"/>
                <w:color w:val="auto"/>
              </w:rPr>
            </w:pPr>
          </w:p>
        </w:tc>
        <w:tc>
          <w:tcPr>
            <w:tcW w:w="1560" w:type="dxa"/>
            <w:vAlign w:val="bottom"/>
            <w:tcBorders>
              <w:top w:val="single" w:sz="8" w:color="CCEEFF"/>
            </w:tcBorders>
            <w:shd w:val="clear" w:color="auto" w:fill="CCEEFF"/>
          </w:tcPr>
          <w:p>
            <w:pPr>
              <w:spacing w:after="0"/>
              <w:rPr>
                <w:sz w:val="9"/>
                <w:szCs w:val="9"/>
                <w:color w:val="auto"/>
              </w:rPr>
            </w:pPr>
          </w:p>
        </w:tc>
      </w:tr>
      <w:tr>
        <w:trPr>
          <w:trHeight w:val="104"/>
        </w:trPr>
        <w:tc>
          <w:tcPr>
            <w:tcW w:w="12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0000FF"/>
            </w:tcBorders>
            <w:shd w:val="clear" w:color="auto" w:fill="CCEEFF"/>
          </w:tcPr>
          <w:p>
            <w:pPr>
              <w:spacing w:after="0"/>
              <w:rPr>
                <w:sz w:val="9"/>
                <w:szCs w:val="9"/>
                <w:color w:val="auto"/>
              </w:rPr>
            </w:pPr>
          </w:p>
        </w:tc>
        <w:tc>
          <w:tcPr>
            <w:tcW w:w="200" w:type="dxa"/>
            <w:vAlign w:val="bottom"/>
            <w:tcBorders>
              <w:top w:val="single" w:sz="8" w:color="0000FF"/>
            </w:tcBorders>
            <w:shd w:val="clear" w:color="auto" w:fill="CCEEFF"/>
          </w:tcPr>
          <w:p>
            <w:pPr>
              <w:spacing w:after="0"/>
              <w:rPr>
                <w:sz w:val="9"/>
                <w:szCs w:val="9"/>
                <w:color w:val="auto"/>
              </w:rPr>
            </w:pPr>
          </w:p>
        </w:tc>
        <w:tc>
          <w:tcPr>
            <w:tcW w:w="320" w:type="dxa"/>
            <w:vAlign w:val="bottom"/>
            <w:tcBorders>
              <w:top w:val="single" w:sz="8" w:color="0000FF"/>
            </w:tcBorders>
            <w:shd w:val="clear" w:color="auto" w:fill="CCEEFF"/>
          </w:tcPr>
          <w:p>
            <w:pPr>
              <w:spacing w:after="0"/>
              <w:rPr>
                <w:sz w:val="9"/>
                <w:szCs w:val="9"/>
                <w:color w:val="auto"/>
              </w:rPr>
            </w:pPr>
          </w:p>
        </w:tc>
        <w:tc>
          <w:tcPr>
            <w:tcW w:w="300" w:type="dxa"/>
            <w:vAlign w:val="bottom"/>
            <w:tcBorders>
              <w:top w:val="single" w:sz="8" w:color="0000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220" w:type="dxa"/>
            <w:vAlign w:val="bottom"/>
            <w:tcBorders>
              <w:top w:val="single" w:sz="8" w:color="CCEEFF"/>
            </w:tcBorders>
            <w:shd w:val="clear" w:color="auto" w:fill="CCEEFF"/>
          </w:tcPr>
          <w:p>
            <w:pPr>
              <w:ind w:left="1060"/>
              <w:spacing w:after="0" w:line="104" w:lineRule="exact"/>
              <w:rPr>
                <w:sz w:val="20"/>
                <w:szCs w:val="20"/>
                <w:color w:val="auto"/>
              </w:rPr>
            </w:pPr>
            <w:r>
              <w:rPr>
                <w:rFonts w:ascii="Arial" w:cs="Arial" w:eastAsia="Arial" w:hAnsi="Arial"/>
                <w:sz w:val="11"/>
                <w:szCs w:val="11"/>
                <w:color w:val="auto"/>
              </w:rPr>
              <w:t>8 (No. 333-215361)</w:t>
            </w:r>
          </w:p>
        </w:tc>
        <w:tc>
          <w:tcPr>
            <w:tcW w:w="1020" w:type="dxa"/>
            <w:vAlign w:val="bottom"/>
            <w:tcBorders>
              <w:top w:val="single" w:sz="8" w:color="CCEEFF"/>
            </w:tcBorders>
            <w:shd w:val="clear" w:color="auto" w:fill="CCEEFF"/>
          </w:tcPr>
          <w:p>
            <w:pPr>
              <w:spacing w:after="0"/>
              <w:rPr>
                <w:sz w:val="9"/>
                <w:szCs w:val="9"/>
                <w:color w:val="auto"/>
              </w:rPr>
            </w:pPr>
          </w:p>
        </w:tc>
        <w:tc>
          <w:tcPr>
            <w:tcW w:w="1560" w:type="dxa"/>
            <w:vAlign w:val="bottom"/>
            <w:tcBorders>
              <w:top w:val="single" w:sz="8" w:color="CCEEFF"/>
            </w:tcBorders>
            <w:shd w:val="clear" w:color="auto" w:fill="CCEEFF"/>
          </w:tcPr>
          <w:p>
            <w:pPr>
              <w:spacing w:after="0"/>
              <w:rPr>
                <w:sz w:val="9"/>
                <w:szCs w:val="9"/>
                <w:color w:val="auto"/>
              </w:rPr>
            </w:pPr>
          </w:p>
        </w:tc>
      </w:tr>
      <w:tr>
        <w:trPr>
          <w:trHeight w:val="141"/>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*10.4(a)(xi)</w:t>
            </w:r>
          </w:p>
        </w:tc>
        <w:tc>
          <w:tcPr>
            <w:tcW w:w="4120" w:type="dxa"/>
            <w:vAlign w:val="bottom"/>
            <w:tcBorders>
              <w:bottom w:val="single" w:sz="8" w:color="0000FF"/>
            </w:tcBorders>
            <w:gridSpan w:val="16"/>
          </w:tcPr>
          <w:p>
            <w:pPr>
              <w:spacing w:after="0" w:line="136" w:lineRule="exact"/>
              <w:rPr>
                <w:rFonts w:ascii="Arial" w:cs="Arial" w:eastAsia="Arial" w:hAnsi="Arial"/>
                <w:sz w:val="13"/>
                <w:szCs w:val="13"/>
                <w:color w:val="0000FF"/>
                <w:w w:val="95"/>
              </w:rPr>
            </w:pPr>
            <w:hyperlink r:id="rId137">
              <w:r>
                <w:rPr>
                  <w:rFonts w:ascii="Arial" w:cs="Arial" w:eastAsia="Arial" w:hAnsi="Arial"/>
                  <w:sz w:val="13"/>
                  <w:szCs w:val="13"/>
                  <w:color w:val="0000FF"/>
                  <w:w w:val="95"/>
                </w:rPr>
                <w:t>Form of Restricted Stock Unit Award Agreement 2023 under the 2021 PIP.</w:t>
              </w:r>
            </w:hyperlink>
          </w:p>
        </w:tc>
        <w:tc>
          <w:tcPr>
            <w:tcW w:w="1120" w:type="dxa"/>
            <w:vAlign w:val="bottom"/>
            <w:gridSpan w:val="13"/>
          </w:tcPr>
          <w:p>
            <w:pPr>
              <w:spacing w:after="0"/>
              <w:rPr>
                <w:sz w:val="12"/>
                <w:szCs w:val="12"/>
                <w:color w:val="auto"/>
              </w:rPr>
            </w:pPr>
          </w:p>
        </w:tc>
        <w:tc>
          <w:tcPr>
            <w:tcW w:w="2220" w:type="dxa"/>
            <w:vAlign w:val="bottom"/>
          </w:tcPr>
          <w:p>
            <w:pPr>
              <w:ind w:left="1060"/>
              <w:spacing w:after="0" w:line="136" w:lineRule="exact"/>
              <w:rPr>
                <w:sz w:val="20"/>
                <w:szCs w:val="20"/>
                <w:color w:val="auto"/>
              </w:rPr>
            </w:pPr>
            <w:r>
              <w:rPr>
                <w:rFonts w:ascii="Arial" w:cs="Arial" w:eastAsia="Arial" w:hAnsi="Arial"/>
                <w:sz w:val="13"/>
                <w:szCs w:val="13"/>
                <w:color w:val="auto"/>
              </w:rPr>
              <w:t>10-Q</w:t>
            </w:r>
          </w:p>
        </w:tc>
        <w:tc>
          <w:tcPr>
            <w:tcW w:w="1020" w:type="dxa"/>
            <w:vAlign w:val="bottom"/>
          </w:tcPr>
          <w:p>
            <w:pPr>
              <w:ind w:left="60"/>
              <w:spacing w:after="0" w:line="136" w:lineRule="exact"/>
              <w:rPr>
                <w:sz w:val="20"/>
                <w:szCs w:val="20"/>
                <w:color w:val="auto"/>
              </w:rPr>
            </w:pPr>
            <w:r>
              <w:rPr>
                <w:rFonts w:ascii="Arial" w:cs="Arial" w:eastAsia="Arial" w:hAnsi="Arial"/>
                <w:sz w:val="13"/>
                <w:szCs w:val="13"/>
                <w:color w:val="auto"/>
              </w:rPr>
              <w:t>10.6(a)(i)</w:t>
            </w:r>
          </w:p>
        </w:tc>
        <w:tc>
          <w:tcPr>
            <w:tcW w:w="1560" w:type="dxa"/>
            <w:vAlign w:val="bottom"/>
          </w:tcPr>
          <w:p>
            <w:pPr>
              <w:ind w:left="320"/>
              <w:spacing w:after="0" w:line="136" w:lineRule="exact"/>
              <w:rPr>
                <w:sz w:val="20"/>
                <w:szCs w:val="20"/>
                <w:color w:val="auto"/>
              </w:rPr>
            </w:pPr>
            <w:r>
              <w:rPr>
                <w:rFonts w:ascii="Arial" w:cs="Arial" w:eastAsia="Arial" w:hAnsi="Arial"/>
                <w:sz w:val="13"/>
                <w:szCs w:val="13"/>
                <w:color w:val="auto"/>
              </w:rPr>
              <w:t>5/3/2023</w:t>
            </w:r>
          </w:p>
        </w:tc>
      </w:tr>
      <w:tr>
        <w:trPr>
          <w:trHeight w:val="141"/>
        </w:trPr>
        <w:tc>
          <w:tcPr>
            <w:tcW w:w="12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*10.4(a)(xii)</w:t>
            </w:r>
          </w:p>
        </w:tc>
        <w:tc>
          <w:tcPr>
            <w:tcW w:w="5240" w:type="dxa"/>
            <w:vAlign w:val="bottom"/>
            <w:gridSpan w:val="29"/>
            <w:shd w:val="clear" w:color="auto" w:fill="CCEEFF"/>
          </w:tcPr>
          <w:p>
            <w:pPr>
              <w:spacing w:after="0" w:line="141" w:lineRule="exact"/>
              <w:rPr>
                <w:rFonts w:ascii="Arial" w:cs="Arial" w:eastAsia="Arial" w:hAnsi="Arial"/>
                <w:sz w:val="13"/>
                <w:szCs w:val="13"/>
                <w:color w:val="0000FF"/>
                <w:w w:val="99"/>
              </w:rPr>
            </w:pPr>
            <w:hyperlink r:id="rId138">
              <w:r>
                <w:rPr>
                  <w:rFonts w:ascii="Arial" w:cs="Arial" w:eastAsia="Arial" w:hAnsi="Arial"/>
                  <w:sz w:val="13"/>
                  <w:szCs w:val="13"/>
                  <w:color w:val="0000FF"/>
                  <w:w w:val="99"/>
                </w:rPr>
                <w:t>Form of Performance Stock Unit Award Agreement 2023 (Revenue Growth) under the 2021</w:t>
              </w:r>
            </w:hyperlink>
          </w:p>
        </w:tc>
        <w:tc>
          <w:tcPr>
            <w:tcW w:w="2220" w:type="dxa"/>
            <w:vAlign w:val="bottom"/>
            <w:shd w:val="clear" w:color="auto" w:fill="CCEEFF"/>
          </w:tcPr>
          <w:p>
            <w:pPr>
              <w:ind w:left="1060"/>
              <w:spacing w:after="0" w:line="141" w:lineRule="exact"/>
              <w:rPr>
                <w:sz w:val="20"/>
                <w:szCs w:val="20"/>
                <w:color w:val="auto"/>
              </w:rPr>
            </w:pPr>
            <w:r>
              <w:rPr>
                <w:rFonts w:ascii="Arial" w:cs="Arial" w:eastAsia="Arial" w:hAnsi="Arial"/>
                <w:sz w:val="13"/>
                <w:szCs w:val="13"/>
                <w:color w:val="auto"/>
              </w:rPr>
              <w:t>10-Q</w:t>
            </w:r>
          </w:p>
        </w:tc>
        <w:tc>
          <w:tcPr>
            <w:tcW w:w="1020" w:type="dxa"/>
            <w:vAlign w:val="bottom"/>
            <w:shd w:val="clear" w:color="auto" w:fill="CCEEFF"/>
          </w:tcPr>
          <w:p>
            <w:pPr>
              <w:ind w:left="60"/>
              <w:spacing w:after="0" w:line="141" w:lineRule="exact"/>
              <w:rPr>
                <w:sz w:val="20"/>
                <w:szCs w:val="20"/>
                <w:color w:val="auto"/>
              </w:rPr>
            </w:pPr>
            <w:r>
              <w:rPr>
                <w:rFonts w:ascii="Arial" w:cs="Arial" w:eastAsia="Arial" w:hAnsi="Arial"/>
                <w:sz w:val="13"/>
                <w:szCs w:val="13"/>
                <w:color w:val="auto"/>
              </w:rPr>
              <w:t>10.6(a)(ii)</w:t>
            </w:r>
          </w:p>
        </w:tc>
        <w:tc>
          <w:tcPr>
            <w:tcW w:w="1560" w:type="dxa"/>
            <w:vAlign w:val="bottom"/>
            <w:shd w:val="clear" w:color="auto" w:fill="CCEEFF"/>
          </w:tcPr>
          <w:p>
            <w:pPr>
              <w:ind w:left="320"/>
              <w:spacing w:after="0" w:line="141" w:lineRule="exact"/>
              <w:rPr>
                <w:sz w:val="20"/>
                <w:szCs w:val="20"/>
                <w:color w:val="auto"/>
              </w:rPr>
            </w:pPr>
            <w:r>
              <w:rPr>
                <w:rFonts w:ascii="Arial" w:cs="Arial" w:eastAsia="Arial" w:hAnsi="Arial"/>
                <w:sz w:val="13"/>
                <w:szCs w:val="13"/>
                <w:color w:val="auto"/>
              </w:rPr>
              <w:t>5/3/2023</w:t>
            </w:r>
          </w:p>
        </w:tc>
      </w:tr>
      <w:tr>
        <w:trPr>
          <w:trHeight w:val="105"/>
        </w:trPr>
        <w:tc>
          <w:tcPr>
            <w:tcW w:w="1240" w:type="dxa"/>
            <w:vAlign w:val="bottom"/>
            <w:tcBorders>
              <w:top w:val="single" w:sz="8" w:color="CCEEFF"/>
            </w:tcBorders>
            <w:shd w:val="clear" w:color="auto" w:fill="CCEEFF"/>
          </w:tcPr>
          <w:p>
            <w:pPr>
              <w:spacing w:after="0"/>
              <w:rPr>
                <w:sz w:val="9"/>
                <w:szCs w:val="9"/>
                <w:color w:val="auto"/>
              </w:rPr>
            </w:pPr>
          </w:p>
        </w:tc>
        <w:tc>
          <w:tcPr>
            <w:tcW w:w="5100" w:type="dxa"/>
            <w:vAlign w:val="bottom"/>
            <w:tcBorders>
              <w:top w:val="single" w:sz="8" w:color="0000FF"/>
            </w:tcBorders>
            <w:gridSpan w:val="26"/>
            <w:shd w:val="clear" w:color="auto" w:fill="CCEEFF"/>
          </w:tcPr>
          <w:p>
            <w:pPr>
              <w:spacing w:after="0" w:line="105" w:lineRule="exact"/>
              <w:rPr>
                <w:rFonts w:ascii="Arial" w:cs="Arial" w:eastAsia="Arial" w:hAnsi="Arial"/>
                <w:sz w:val="11"/>
                <w:szCs w:val="11"/>
                <w:color w:val="0000FF"/>
              </w:rPr>
            </w:pPr>
            <w:hyperlink r:id="rId138">
              <w:r>
                <w:rPr>
                  <w:rFonts w:ascii="Arial" w:cs="Arial" w:eastAsia="Arial" w:hAnsi="Arial"/>
                  <w:sz w:val="11"/>
                  <w:szCs w:val="11"/>
                  <w:color w:val="0000FF"/>
                </w:rPr>
                <w:t>PIP.</w:t>
              </w:r>
            </w:hyperlink>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gridSpan w:val="2"/>
            <w:shd w:val="clear" w:color="auto" w:fill="CCEEFF"/>
          </w:tcPr>
          <w:p>
            <w:pPr>
              <w:spacing w:after="0"/>
              <w:rPr>
                <w:sz w:val="9"/>
                <w:szCs w:val="9"/>
                <w:color w:val="auto"/>
              </w:rPr>
            </w:pPr>
          </w:p>
        </w:tc>
        <w:tc>
          <w:tcPr>
            <w:tcW w:w="222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CCEEFF"/>
            </w:tcBorders>
            <w:shd w:val="clear" w:color="auto" w:fill="CCEEFF"/>
          </w:tcPr>
          <w:p>
            <w:pPr>
              <w:spacing w:after="0"/>
              <w:rPr>
                <w:sz w:val="9"/>
                <w:szCs w:val="9"/>
                <w:color w:val="auto"/>
              </w:rPr>
            </w:pPr>
          </w:p>
        </w:tc>
        <w:tc>
          <w:tcPr>
            <w:tcW w:w="1560" w:type="dxa"/>
            <w:vAlign w:val="bottom"/>
            <w:tcBorders>
              <w:top w:val="single" w:sz="8" w:color="CCEEFF"/>
            </w:tcBorders>
            <w:shd w:val="clear" w:color="auto" w:fill="CCEEFF"/>
          </w:tcPr>
          <w:p>
            <w:pPr>
              <w:spacing w:after="0"/>
              <w:rPr>
                <w:sz w:val="9"/>
                <w:szCs w:val="9"/>
                <w:color w:val="auto"/>
              </w:rPr>
            </w:pPr>
          </w:p>
        </w:tc>
      </w:tr>
      <w:tr>
        <w:trPr>
          <w:trHeight w:val="31"/>
        </w:trPr>
        <w:tc>
          <w:tcPr>
            <w:tcW w:w="1240" w:type="dxa"/>
            <w:vAlign w:val="bottom"/>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r>
        <w:trPr>
          <w:trHeight w:val="141"/>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*10.4(a)(xiii)</w:t>
            </w:r>
          </w:p>
        </w:tc>
        <w:tc>
          <w:tcPr>
            <w:tcW w:w="4680" w:type="dxa"/>
            <w:vAlign w:val="bottom"/>
            <w:tcBorders>
              <w:bottom w:val="single" w:sz="8" w:color="0000FF"/>
            </w:tcBorders>
            <w:gridSpan w:val="18"/>
          </w:tcPr>
          <w:p>
            <w:pPr>
              <w:spacing w:after="0" w:line="136" w:lineRule="exact"/>
              <w:rPr>
                <w:rFonts w:ascii="Arial" w:cs="Arial" w:eastAsia="Arial" w:hAnsi="Arial"/>
                <w:sz w:val="13"/>
                <w:szCs w:val="13"/>
                <w:color w:val="0000FF"/>
                <w:w w:val="95"/>
              </w:rPr>
            </w:pPr>
            <w:hyperlink r:id="rId139">
              <w:r>
                <w:rPr>
                  <w:rFonts w:ascii="Arial" w:cs="Arial" w:eastAsia="Arial" w:hAnsi="Arial"/>
                  <w:sz w:val="13"/>
                  <w:szCs w:val="13"/>
                  <w:color w:val="0000FF"/>
                  <w:w w:val="95"/>
                </w:rPr>
                <w:t>Form of Performance Stock Unit Award Agreement 2023 (rTSR) under the 2021 PIP.</w:t>
              </w:r>
            </w:hyperlink>
          </w:p>
        </w:tc>
        <w:tc>
          <w:tcPr>
            <w:tcW w:w="560" w:type="dxa"/>
            <w:vAlign w:val="bottom"/>
            <w:gridSpan w:val="11"/>
          </w:tcPr>
          <w:p>
            <w:pPr>
              <w:spacing w:after="0"/>
              <w:rPr>
                <w:sz w:val="12"/>
                <w:szCs w:val="12"/>
                <w:color w:val="auto"/>
              </w:rPr>
            </w:pPr>
          </w:p>
        </w:tc>
        <w:tc>
          <w:tcPr>
            <w:tcW w:w="2220" w:type="dxa"/>
            <w:vAlign w:val="bottom"/>
          </w:tcPr>
          <w:p>
            <w:pPr>
              <w:ind w:left="1060"/>
              <w:spacing w:after="0" w:line="136" w:lineRule="exact"/>
              <w:rPr>
                <w:sz w:val="20"/>
                <w:szCs w:val="20"/>
                <w:color w:val="auto"/>
              </w:rPr>
            </w:pPr>
            <w:r>
              <w:rPr>
                <w:rFonts w:ascii="Arial" w:cs="Arial" w:eastAsia="Arial" w:hAnsi="Arial"/>
                <w:sz w:val="13"/>
                <w:szCs w:val="13"/>
                <w:color w:val="auto"/>
              </w:rPr>
              <w:t>10-Q</w:t>
            </w:r>
          </w:p>
        </w:tc>
        <w:tc>
          <w:tcPr>
            <w:tcW w:w="1020" w:type="dxa"/>
            <w:vAlign w:val="bottom"/>
          </w:tcPr>
          <w:p>
            <w:pPr>
              <w:ind w:left="60"/>
              <w:spacing w:after="0" w:line="136" w:lineRule="exact"/>
              <w:rPr>
                <w:sz w:val="20"/>
                <w:szCs w:val="20"/>
                <w:color w:val="auto"/>
              </w:rPr>
            </w:pPr>
            <w:r>
              <w:rPr>
                <w:rFonts w:ascii="Arial" w:cs="Arial" w:eastAsia="Arial" w:hAnsi="Arial"/>
                <w:sz w:val="13"/>
                <w:szCs w:val="13"/>
                <w:color w:val="auto"/>
              </w:rPr>
              <w:t>10.6(a)(iii)</w:t>
            </w:r>
          </w:p>
        </w:tc>
        <w:tc>
          <w:tcPr>
            <w:tcW w:w="1560" w:type="dxa"/>
            <w:vAlign w:val="bottom"/>
          </w:tcPr>
          <w:p>
            <w:pPr>
              <w:ind w:left="320"/>
              <w:spacing w:after="0" w:line="136" w:lineRule="exact"/>
              <w:rPr>
                <w:sz w:val="20"/>
                <w:szCs w:val="20"/>
                <w:color w:val="auto"/>
              </w:rPr>
            </w:pPr>
            <w:r>
              <w:rPr>
                <w:rFonts w:ascii="Arial" w:cs="Arial" w:eastAsia="Arial" w:hAnsi="Arial"/>
                <w:sz w:val="13"/>
                <w:szCs w:val="13"/>
                <w:color w:val="auto"/>
              </w:rPr>
              <w:t>5/3/2023</w:t>
            </w:r>
          </w:p>
        </w:tc>
      </w:tr>
      <w:tr>
        <w:trPr>
          <w:trHeight w:val="152"/>
        </w:trPr>
        <w:tc>
          <w:tcPr>
            <w:tcW w:w="124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*10.4(a)(xiv)</w:t>
            </w:r>
          </w:p>
        </w:tc>
        <w:tc>
          <w:tcPr>
            <w:tcW w:w="4100" w:type="dxa"/>
            <w:vAlign w:val="bottom"/>
            <w:tcBorders>
              <w:bottom w:val="single" w:sz="8" w:color="0000FF"/>
            </w:tcBorders>
            <w:gridSpan w:val="15"/>
            <w:shd w:val="clear" w:color="auto" w:fill="CCEEFF"/>
          </w:tcPr>
          <w:p>
            <w:pPr>
              <w:spacing w:after="0" w:line="141" w:lineRule="exact"/>
              <w:rPr>
                <w:rFonts w:ascii="Arial" w:cs="Arial" w:eastAsia="Arial" w:hAnsi="Arial"/>
                <w:sz w:val="13"/>
                <w:szCs w:val="13"/>
                <w:color w:val="0000FF"/>
                <w:w w:val="95"/>
              </w:rPr>
            </w:pPr>
            <w:hyperlink r:id="rId140">
              <w:r>
                <w:rPr>
                  <w:rFonts w:ascii="Arial" w:cs="Arial" w:eastAsia="Arial" w:hAnsi="Arial"/>
                  <w:sz w:val="13"/>
                  <w:szCs w:val="13"/>
                  <w:color w:val="0000FF"/>
                  <w:w w:val="95"/>
                </w:rPr>
                <w:t>Form of Restricted Stock Unit Award Agreement 2024 under the 2021 PIP</w:t>
              </w:r>
            </w:hyperlink>
          </w:p>
        </w:tc>
        <w:tc>
          <w:tcPr>
            <w:tcW w:w="1140" w:type="dxa"/>
            <w:vAlign w:val="bottom"/>
            <w:tcBorders>
              <w:bottom w:val="single" w:sz="8" w:color="CCEEFF"/>
            </w:tcBorders>
            <w:gridSpan w:val="14"/>
            <w:shd w:val="clear" w:color="auto" w:fill="CCEEFF"/>
          </w:tcPr>
          <w:p>
            <w:pPr>
              <w:spacing w:after="0"/>
              <w:rPr>
                <w:sz w:val="13"/>
                <w:szCs w:val="13"/>
                <w:color w:val="auto"/>
              </w:rPr>
            </w:pPr>
          </w:p>
        </w:tc>
        <w:tc>
          <w:tcPr>
            <w:tcW w:w="2220" w:type="dxa"/>
            <w:vAlign w:val="bottom"/>
            <w:tcBorders>
              <w:bottom w:val="single" w:sz="8" w:color="CCEEFF"/>
            </w:tcBorders>
            <w:shd w:val="clear" w:color="auto" w:fill="CCEEFF"/>
          </w:tcPr>
          <w:p>
            <w:pPr>
              <w:ind w:left="1060"/>
              <w:spacing w:after="0" w:line="141" w:lineRule="exact"/>
              <w:rPr>
                <w:sz w:val="20"/>
                <w:szCs w:val="20"/>
                <w:color w:val="auto"/>
              </w:rPr>
            </w:pPr>
            <w:r>
              <w:rPr>
                <w:rFonts w:ascii="Arial" w:cs="Arial" w:eastAsia="Arial" w:hAnsi="Arial"/>
                <w:sz w:val="13"/>
                <w:szCs w:val="13"/>
                <w:color w:val="auto"/>
              </w:rPr>
              <w:t>10-Q</w:t>
            </w:r>
          </w:p>
        </w:tc>
        <w:tc>
          <w:tcPr>
            <w:tcW w:w="1020" w:type="dxa"/>
            <w:vAlign w:val="bottom"/>
            <w:tcBorders>
              <w:bottom w:val="single" w:sz="8" w:color="CCEEFF"/>
            </w:tcBorders>
            <w:shd w:val="clear" w:color="auto" w:fill="CCEEFF"/>
          </w:tcPr>
          <w:p>
            <w:pPr>
              <w:ind w:left="60"/>
              <w:spacing w:after="0" w:line="141" w:lineRule="exact"/>
              <w:rPr>
                <w:sz w:val="20"/>
                <w:szCs w:val="20"/>
                <w:color w:val="auto"/>
              </w:rPr>
            </w:pPr>
            <w:r>
              <w:rPr>
                <w:rFonts w:ascii="Arial" w:cs="Arial" w:eastAsia="Arial" w:hAnsi="Arial"/>
                <w:sz w:val="13"/>
                <w:szCs w:val="13"/>
                <w:color w:val="auto"/>
              </w:rPr>
              <w:t>10.6(a)(i)</w:t>
            </w:r>
          </w:p>
        </w:tc>
        <w:tc>
          <w:tcPr>
            <w:tcW w:w="1560" w:type="dxa"/>
            <w:vAlign w:val="bottom"/>
            <w:tcBorders>
              <w:bottom w:val="single" w:sz="8" w:color="CCEEFF"/>
            </w:tcBorders>
            <w:shd w:val="clear" w:color="auto" w:fill="CCEEFF"/>
          </w:tcPr>
          <w:p>
            <w:pPr>
              <w:ind w:left="320"/>
              <w:spacing w:after="0" w:line="141" w:lineRule="exact"/>
              <w:rPr>
                <w:sz w:val="20"/>
                <w:szCs w:val="20"/>
                <w:color w:val="auto"/>
              </w:rPr>
            </w:pPr>
            <w:r>
              <w:rPr>
                <w:rFonts w:ascii="Arial" w:cs="Arial" w:eastAsia="Arial" w:hAnsi="Arial"/>
                <w:sz w:val="13"/>
                <w:szCs w:val="13"/>
                <w:color w:val="auto"/>
              </w:rPr>
              <w:t>5/2/2024</w:t>
            </w: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*10.4(a)(xv)</w:t>
            </w:r>
          </w:p>
        </w:tc>
        <w:tc>
          <w:tcPr>
            <w:tcW w:w="5240" w:type="dxa"/>
            <w:vAlign w:val="bottom"/>
            <w:gridSpan w:val="29"/>
          </w:tcPr>
          <w:p>
            <w:pPr>
              <w:spacing w:after="0" w:line="136" w:lineRule="exact"/>
              <w:rPr>
                <w:rFonts w:ascii="Arial" w:cs="Arial" w:eastAsia="Arial" w:hAnsi="Arial"/>
                <w:sz w:val="13"/>
                <w:szCs w:val="13"/>
                <w:color w:val="0000FF"/>
                <w:w w:val="99"/>
              </w:rPr>
            </w:pPr>
            <w:hyperlink r:id="rId141">
              <w:r>
                <w:rPr>
                  <w:rFonts w:ascii="Arial" w:cs="Arial" w:eastAsia="Arial" w:hAnsi="Arial"/>
                  <w:sz w:val="13"/>
                  <w:szCs w:val="13"/>
                  <w:color w:val="0000FF"/>
                  <w:w w:val="99"/>
                </w:rPr>
                <w:t>Form of Performance Stock Unit Award Agreement 2024 (Adjusted Revenue Growth) under</w:t>
              </w:r>
            </w:hyperlink>
          </w:p>
        </w:tc>
        <w:tc>
          <w:tcPr>
            <w:tcW w:w="2220" w:type="dxa"/>
            <w:vAlign w:val="bottom"/>
          </w:tcPr>
          <w:p>
            <w:pPr>
              <w:ind w:left="1060"/>
              <w:spacing w:after="0" w:line="136" w:lineRule="exact"/>
              <w:rPr>
                <w:sz w:val="20"/>
                <w:szCs w:val="20"/>
                <w:color w:val="auto"/>
              </w:rPr>
            </w:pPr>
            <w:r>
              <w:rPr>
                <w:rFonts w:ascii="Arial" w:cs="Arial" w:eastAsia="Arial" w:hAnsi="Arial"/>
                <w:sz w:val="13"/>
                <w:szCs w:val="13"/>
                <w:color w:val="auto"/>
              </w:rPr>
              <w:t>10-Q</w:t>
            </w:r>
          </w:p>
        </w:tc>
        <w:tc>
          <w:tcPr>
            <w:tcW w:w="1020" w:type="dxa"/>
            <w:vAlign w:val="bottom"/>
          </w:tcPr>
          <w:p>
            <w:pPr>
              <w:ind w:left="60"/>
              <w:spacing w:after="0" w:line="136" w:lineRule="exact"/>
              <w:rPr>
                <w:sz w:val="20"/>
                <w:szCs w:val="20"/>
                <w:color w:val="auto"/>
              </w:rPr>
            </w:pPr>
            <w:r>
              <w:rPr>
                <w:rFonts w:ascii="Arial" w:cs="Arial" w:eastAsia="Arial" w:hAnsi="Arial"/>
                <w:sz w:val="13"/>
                <w:szCs w:val="13"/>
                <w:color w:val="auto"/>
              </w:rPr>
              <w:t>10.6(a)(ii)</w:t>
            </w:r>
          </w:p>
        </w:tc>
        <w:tc>
          <w:tcPr>
            <w:tcW w:w="1560" w:type="dxa"/>
            <w:vAlign w:val="bottom"/>
          </w:tcPr>
          <w:p>
            <w:pPr>
              <w:ind w:left="320"/>
              <w:spacing w:after="0" w:line="136" w:lineRule="exact"/>
              <w:rPr>
                <w:sz w:val="20"/>
                <w:szCs w:val="20"/>
                <w:color w:val="auto"/>
              </w:rPr>
            </w:pPr>
            <w:r>
              <w:rPr>
                <w:rFonts w:ascii="Arial" w:cs="Arial" w:eastAsia="Arial" w:hAnsi="Arial"/>
                <w:sz w:val="13"/>
                <w:szCs w:val="13"/>
                <w:color w:val="auto"/>
              </w:rPr>
              <w:t>5/2/2024</w:t>
            </w:r>
          </w:p>
        </w:tc>
      </w:tr>
      <w:tr>
        <w:trPr>
          <w:trHeight w:val="105"/>
        </w:trPr>
        <w:tc>
          <w:tcPr>
            <w:tcW w:w="1240" w:type="dxa"/>
            <w:vAlign w:val="bottom"/>
          </w:tcPr>
          <w:p>
            <w:pPr>
              <w:spacing w:after="0"/>
              <w:rPr>
                <w:sz w:val="9"/>
                <w:szCs w:val="9"/>
                <w:color w:val="auto"/>
              </w:rPr>
            </w:pPr>
          </w:p>
        </w:tc>
        <w:tc>
          <w:tcPr>
            <w:tcW w:w="5080" w:type="dxa"/>
            <w:vAlign w:val="bottom"/>
            <w:tcBorders>
              <w:top w:val="single" w:sz="8" w:color="0000FF"/>
            </w:tcBorders>
            <w:gridSpan w:val="25"/>
          </w:tcPr>
          <w:p>
            <w:pPr>
              <w:spacing w:after="0" w:line="105" w:lineRule="exact"/>
              <w:rPr>
                <w:rFonts w:ascii="Arial" w:cs="Arial" w:eastAsia="Arial" w:hAnsi="Arial"/>
                <w:sz w:val="11"/>
                <w:szCs w:val="11"/>
                <w:color w:val="0000FF"/>
              </w:rPr>
            </w:pPr>
            <w:hyperlink r:id="rId141">
              <w:r>
                <w:rPr>
                  <w:rFonts w:ascii="Arial" w:cs="Arial" w:eastAsia="Arial" w:hAnsi="Arial"/>
                  <w:sz w:val="11"/>
                  <w:szCs w:val="11"/>
                  <w:color w:val="0000FF"/>
                </w:rPr>
                <w:t>the 2021 PIP.</w:t>
              </w:r>
            </w:hyperlink>
          </w:p>
        </w:tc>
        <w:tc>
          <w:tcPr>
            <w:tcW w:w="6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2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26"/>
        </w:trPr>
        <w:tc>
          <w:tcPr>
            <w:tcW w:w="124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52"/>
        </w:trPr>
        <w:tc>
          <w:tcPr>
            <w:tcW w:w="124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*10.4(a)(xvi)</w:t>
            </w:r>
          </w:p>
        </w:tc>
        <w:tc>
          <w:tcPr>
            <w:tcW w:w="4680" w:type="dxa"/>
            <w:vAlign w:val="bottom"/>
            <w:tcBorders>
              <w:bottom w:val="single" w:sz="8" w:color="0000FF"/>
            </w:tcBorders>
            <w:gridSpan w:val="18"/>
            <w:shd w:val="clear" w:color="auto" w:fill="CCEEFF"/>
          </w:tcPr>
          <w:p>
            <w:pPr>
              <w:spacing w:after="0" w:line="141" w:lineRule="exact"/>
              <w:rPr>
                <w:rFonts w:ascii="Arial" w:cs="Arial" w:eastAsia="Arial" w:hAnsi="Arial"/>
                <w:sz w:val="13"/>
                <w:szCs w:val="13"/>
                <w:color w:val="0000FF"/>
                <w:w w:val="95"/>
              </w:rPr>
            </w:pPr>
            <w:hyperlink r:id="rId142">
              <w:r>
                <w:rPr>
                  <w:rFonts w:ascii="Arial" w:cs="Arial" w:eastAsia="Arial" w:hAnsi="Arial"/>
                  <w:sz w:val="13"/>
                  <w:szCs w:val="13"/>
                  <w:color w:val="0000FF"/>
                  <w:w w:val="95"/>
                </w:rPr>
                <w:t>Form of Performance Stock Unit Award Agreement 2024 (rTSR) under the 2021 PIP.</w:t>
              </w:r>
            </w:hyperlink>
          </w:p>
        </w:tc>
        <w:tc>
          <w:tcPr>
            <w:tcW w:w="560" w:type="dxa"/>
            <w:vAlign w:val="bottom"/>
            <w:tcBorders>
              <w:bottom w:val="single" w:sz="8" w:color="CCEEFF"/>
            </w:tcBorders>
            <w:gridSpan w:val="11"/>
            <w:shd w:val="clear" w:color="auto" w:fill="CCEEFF"/>
          </w:tcPr>
          <w:p>
            <w:pPr>
              <w:spacing w:after="0"/>
              <w:rPr>
                <w:sz w:val="13"/>
                <w:szCs w:val="13"/>
                <w:color w:val="auto"/>
              </w:rPr>
            </w:pPr>
          </w:p>
        </w:tc>
        <w:tc>
          <w:tcPr>
            <w:tcW w:w="2220" w:type="dxa"/>
            <w:vAlign w:val="bottom"/>
            <w:tcBorders>
              <w:bottom w:val="single" w:sz="8" w:color="CCEEFF"/>
            </w:tcBorders>
            <w:shd w:val="clear" w:color="auto" w:fill="CCEEFF"/>
          </w:tcPr>
          <w:p>
            <w:pPr>
              <w:ind w:left="1060"/>
              <w:spacing w:after="0" w:line="141" w:lineRule="exact"/>
              <w:rPr>
                <w:sz w:val="20"/>
                <w:szCs w:val="20"/>
                <w:color w:val="auto"/>
              </w:rPr>
            </w:pPr>
            <w:r>
              <w:rPr>
                <w:rFonts w:ascii="Arial" w:cs="Arial" w:eastAsia="Arial" w:hAnsi="Arial"/>
                <w:sz w:val="13"/>
                <w:szCs w:val="13"/>
                <w:color w:val="auto"/>
              </w:rPr>
              <w:t>10-Q</w:t>
            </w:r>
          </w:p>
        </w:tc>
        <w:tc>
          <w:tcPr>
            <w:tcW w:w="1020" w:type="dxa"/>
            <w:vAlign w:val="bottom"/>
            <w:tcBorders>
              <w:bottom w:val="single" w:sz="8" w:color="CCEEFF"/>
            </w:tcBorders>
            <w:shd w:val="clear" w:color="auto" w:fill="CCEEFF"/>
          </w:tcPr>
          <w:p>
            <w:pPr>
              <w:ind w:left="60"/>
              <w:spacing w:after="0" w:line="141" w:lineRule="exact"/>
              <w:rPr>
                <w:sz w:val="20"/>
                <w:szCs w:val="20"/>
                <w:color w:val="auto"/>
              </w:rPr>
            </w:pPr>
            <w:r>
              <w:rPr>
                <w:rFonts w:ascii="Arial" w:cs="Arial" w:eastAsia="Arial" w:hAnsi="Arial"/>
                <w:sz w:val="13"/>
                <w:szCs w:val="13"/>
                <w:color w:val="auto"/>
              </w:rPr>
              <w:t>10.6(a)(iii)</w:t>
            </w:r>
          </w:p>
        </w:tc>
        <w:tc>
          <w:tcPr>
            <w:tcW w:w="1560" w:type="dxa"/>
            <w:vAlign w:val="bottom"/>
            <w:tcBorders>
              <w:bottom w:val="single" w:sz="8" w:color="CCEEFF"/>
            </w:tcBorders>
            <w:shd w:val="clear" w:color="auto" w:fill="CCEEFF"/>
          </w:tcPr>
          <w:p>
            <w:pPr>
              <w:ind w:left="320"/>
              <w:spacing w:after="0" w:line="141" w:lineRule="exact"/>
              <w:rPr>
                <w:sz w:val="20"/>
                <w:szCs w:val="20"/>
                <w:color w:val="auto"/>
              </w:rPr>
            </w:pPr>
            <w:r>
              <w:rPr>
                <w:rFonts w:ascii="Arial" w:cs="Arial" w:eastAsia="Arial" w:hAnsi="Arial"/>
                <w:sz w:val="13"/>
                <w:szCs w:val="13"/>
                <w:color w:val="auto"/>
              </w:rPr>
              <w:t>5/2/2024</w:t>
            </w: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*10.4(b)</w:t>
            </w:r>
          </w:p>
        </w:tc>
        <w:tc>
          <w:tcPr>
            <w:tcW w:w="5240" w:type="dxa"/>
            <w:vAlign w:val="bottom"/>
            <w:gridSpan w:val="29"/>
          </w:tcPr>
          <w:p>
            <w:pPr>
              <w:spacing w:after="0" w:line="136" w:lineRule="exact"/>
              <w:rPr>
                <w:sz w:val="20"/>
                <w:szCs w:val="20"/>
                <w:color w:val="auto"/>
              </w:rPr>
            </w:pPr>
            <w:r>
              <w:rPr>
                <w:rFonts w:ascii="Arial" w:cs="Arial" w:eastAsia="Arial" w:hAnsi="Arial"/>
                <w:sz w:val="13"/>
                <w:szCs w:val="13"/>
                <w:color w:val="0000FF"/>
              </w:rPr>
              <w:t>Registrant's Amended and Restated Executive Change in Control Severance Plan.</w:t>
            </w:r>
          </w:p>
        </w:tc>
        <w:tc>
          <w:tcPr>
            <w:tcW w:w="2220" w:type="dxa"/>
            <w:vAlign w:val="bottom"/>
          </w:tcPr>
          <w:p>
            <w:pPr>
              <w:ind w:left="500"/>
              <w:spacing w:after="0" w:line="136" w:lineRule="exact"/>
              <w:rPr>
                <w:sz w:val="20"/>
                <w:szCs w:val="20"/>
                <w:color w:val="auto"/>
              </w:rPr>
            </w:pPr>
            <w:r>
              <w:rPr>
                <w:rFonts w:ascii="Arial" w:cs="Arial" w:eastAsia="Arial" w:hAnsi="Arial"/>
                <w:sz w:val="13"/>
                <w:szCs w:val="13"/>
                <w:color w:val="auto"/>
              </w:rPr>
              <w:t>X</w:t>
            </w:r>
          </w:p>
        </w:tc>
        <w:tc>
          <w:tcPr>
            <w:tcW w:w="102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26"/>
        </w:trPr>
        <w:tc>
          <w:tcPr>
            <w:tcW w:w="124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41"/>
        </w:trPr>
        <w:tc>
          <w:tcPr>
            <w:tcW w:w="12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*10.4(c)(i)</w:t>
            </w:r>
          </w:p>
        </w:tc>
        <w:tc>
          <w:tcPr>
            <w:tcW w:w="5240" w:type="dxa"/>
            <w:vAlign w:val="bottom"/>
            <w:gridSpan w:val="29"/>
            <w:shd w:val="clear" w:color="auto" w:fill="CCEEFF"/>
          </w:tcPr>
          <w:p>
            <w:pPr>
              <w:spacing w:after="0" w:line="141" w:lineRule="exact"/>
              <w:rPr>
                <w:rFonts w:ascii="Arial" w:cs="Arial" w:eastAsia="Arial" w:hAnsi="Arial"/>
                <w:sz w:val="13"/>
                <w:szCs w:val="13"/>
                <w:color w:val="0000FF"/>
                <w:w w:val="99"/>
              </w:rPr>
            </w:pPr>
            <w:hyperlink r:id="rId143">
              <w:r>
                <w:rPr>
                  <w:rFonts w:ascii="Arial" w:cs="Arial" w:eastAsia="Arial" w:hAnsi="Arial"/>
                  <w:sz w:val="13"/>
                  <w:szCs w:val="13"/>
                  <w:color w:val="0000FF"/>
                  <w:w w:val="99"/>
                </w:rPr>
                <w:t>Letter Agreement dated May 21, 2019 between Conduent Incorporated and Clifford Skelton</w:t>
              </w:r>
            </w:hyperlink>
          </w:p>
        </w:tc>
        <w:tc>
          <w:tcPr>
            <w:tcW w:w="2220" w:type="dxa"/>
            <w:vAlign w:val="bottom"/>
            <w:shd w:val="clear" w:color="auto" w:fill="CCEEFF"/>
          </w:tcPr>
          <w:p>
            <w:pPr>
              <w:ind w:left="1060"/>
              <w:spacing w:after="0" w:line="141" w:lineRule="exact"/>
              <w:rPr>
                <w:sz w:val="20"/>
                <w:szCs w:val="20"/>
                <w:color w:val="auto"/>
              </w:rPr>
            </w:pPr>
            <w:r>
              <w:rPr>
                <w:rFonts w:ascii="Arial" w:cs="Arial" w:eastAsia="Arial" w:hAnsi="Arial"/>
                <w:sz w:val="13"/>
                <w:szCs w:val="13"/>
                <w:color w:val="auto"/>
              </w:rPr>
              <w:t>8-K</w:t>
            </w:r>
          </w:p>
        </w:tc>
        <w:tc>
          <w:tcPr>
            <w:tcW w:w="1020" w:type="dxa"/>
            <w:vAlign w:val="bottom"/>
            <w:shd w:val="clear" w:color="auto" w:fill="CCEEFF"/>
          </w:tcPr>
          <w:p>
            <w:pPr>
              <w:ind w:left="60"/>
              <w:spacing w:after="0" w:line="141" w:lineRule="exact"/>
              <w:rPr>
                <w:sz w:val="20"/>
                <w:szCs w:val="20"/>
                <w:color w:val="auto"/>
              </w:rPr>
            </w:pPr>
            <w:r>
              <w:rPr>
                <w:rFonts w:ascii="Arial" w:cs="Arial" w:eastAsia="Arial" w:hAnsi="Arial"/>
                <w:sz w:val="13"/>
                <w:szCs w:val="13"/>
                <w:color w:val="auto"/>
              </w:rPr>
              <w:t>10.6(h)</w:t>
            </w:r>
          </w:p>
        </w:tc>
        <w:tc>
          <w:tcPr>
            <w:tcW w:w="1560" w:type="dxa"/>
            <w:vAlign w:val="bottom"/>
            <w:shd w:val="clear" w:color="auto" w:fill="CCEEFF"/>
          </w:tcPr>
          <w:p>
            <w:pPr>
              <w:ind w:left="320"/>
              <w:spacing w:after="0" w:line="141" w:lineRule="exact"/>
              <w:rPr>
                <w:sz w:val="20"/>
                <w:szCs w:val="20"/>
                <w:color w:val="auto"/>
              </w:rPr>
            </w:pPr>
            <w:r>
              <w:rPr>
                <w:rFonts w:ascii="Arial" w:cs="Arial" w:eastAsia="Arial" w:hAnsi="Arial"/>
                <w:sz w:val="13"/>
                <w:szCs w:val="13"/>
                <w:color w:val="auto"/>
              </w:rPr>
              <w:t>5/28/2019</w:t>
            </w:r>
          </w:p>
        </w:tc>
      </w:tr>
      <w:tr>
        <w:trPr>
          <w:trHeight w:val="105"/>
        </w:trPr>
        <w:tc>
          <w:tcPr>
            <w:tcW w:w="1240" w:type="dxa"/>
            <w:vAlign w:val="bottom"/>
            <w:tcBorders>
              <w:top w:val="single" w:sz="8" w:color="CCEEFF"/>
            </w:tcBorders>
            <w:shd w:val="clear" w:color="auto" w:fill="CCEEFF"/>
          </w:tcPr>
          <w:p>
            <w:pPr>
              <w:spacing w:after="0"/>
              <w:rPr>
                <w:sz w:val="9"/>
                <w:szCs w:val="9"/>
                <w:color w:val="auto"/>
              </w:rPr>
            </w:pPr>
          </w:p>
        </w:tc>
        <w:tc>
          <w:tcPr>
            <w:tcW w:w="5060" w:type="dxa"/>
            <w:vAlign w:val="bottom"/>
            <w:tcBorders>
              <w:top w:val="single" w:sz="8" w:color="0000FF"/>
            </w:tcBorders>
            <w:gridSpan w:val="24"/>
            <w:shd w:val="clear" w:color="auto" w:fill="CCEEFF"/>
          </w:tcPr>
          <w:p>
            <w:pPr>
              <w:spacing w:after="0" w:line="105" w:lineRule="exact"/>
              <w:rPr>
                <w:rFonts w:ascii="Arial" w:cs="Arial" w:eastAsia="Arial" w:hAnsi="Arial"/>
                <w:sz w:val="11"/>
                <w:szCs w:val="11"/>
                <w:color w:val="0000FF"/>
              </w:rPr>
            </w:pPr>
            <w:hyperlink r:id="rId143">
              <w:r>
                <w:rPr>
                  <w:rFonts w:ascii="Arial" w:cs="Arial" w:eastAsia="Arial" w:hAnsi="Arial"/>
                  <w:sz w:val="11"/>
                  <w:szCs w:val="11"/>
                  <w:color w:val="0000FF"/>
                </w:rPr>
                <w:t>regarding compensation arrangements.</w:t>
              </w:r>
            </w:hyperlink>
          </w:p>
        </w:tc>
        <w:tc>
          <w:tcPr>
            <w:tcW w:w="80" w:type="dxa"/>
            <w:vAlign w:val="bottom"/>
            <w:tcBorders>
              <w:top w:val="single" w:sz="8" w:color="CCEEFF"/>
            </w:tcBorders>
            <w:gridSpan w:val="3"/>
            <w:shd w:val="clear" w:color="auto" w:fill="CCEEFF"/>
          </w:tcPr>
          <w:p>
            <w:pPr>
              <w:spacing w:after="0"/>
              <w:rPr>
                <w:sz w:val="9"/>
                <w:szCs w:val="9"/>
                <w:color w:val="auto"/>
              </w:rPr>
            </w:pPr>
          </w:p>
        </w:tc>
        <w:tc>
          <w:tcPr>
            <w:tcW w:w="100" w:type="dxa"/>
            <w:vAlign w:val="bottom"/>
            <w:tcBorders>
              <w:top w:val="single" w:sz="8" w:color="CCEEFF"/>
            </w:tcBorders>
            <w:gridSpan w:val="2"/>
            <w:shd w:val="clear" w:color="auto" w:fill="CCEEFF"/>
          </w:tcPr>
          <w:p>
            <w:pPr>
              <w:spacing w:after="0"/>
              <w:rPr>
                <w:sz w:val="9"/>
                <w:szCs w:val="9"/>
                <w:color w:val="auto"/>
              </w:rPr>
            </w:pPr>
          </w:p>
        </w:tc>
        <w:tc>
          <w:tcPr>
            <w:tcW w:w="222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CCEEFF"/>
            </w:tcBorders>
            <w:shd w:val="clear" w:color="auto" w:fill="CCEEFF"/>
          </w:tcPr>
          <w:p>
            <w:pPr>
              <w:spacing w:after="0"/>
              <w:rPr>
                <w:sz w:val="9"/>
                <w:szCs w:val="9"/>
                <w:color w:val="auto"/>
              </w:rPr>
            </w:pPr>
          </w:p>
        </w:tc>
        <w:tc>
          <w:tcPr>
            <w:tcW w:w="1560" w:type="dxa"/>
            <w:vAlign w:val="bottom"/>
            <w:tcBorders>
              <w:top w:val="single" w:sz="8" w:color="CCEEFF"/>
            </w:tcBorders>
            <w:shd w:val="clear" w:color="auto" w:fill="CCEEFF"/>
          </w:tcPr>
          <w:p>
            <w:pPr>
              <w:spacing w:after="0"/>
              <w:rPr>
                <w:sz w:val="9"/>
                <w:szCs w:val="9"/>
                <w:color w:val="auto"/>
              </w:rPr>
            </w:pPr>
          </w:p>
        </w:tc>
      </w:tr>
      <w:tr>
        <w:trPr>
          <w:trHeight w:val="31"/>
        </w:trPr>
        <w:tc>
          <w:tcPr>
            <w:tcW w:w="1240" w:type="dxa"/>
            <w:vAlign w:val="bottom"/>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10.4(c)(ii)</w:t>
            </w:r>
          </w:p>
        </w:tc>
        <w:tc>
          <w:tcPr>
            <w:tcW w:w="5240" w:type="dxa"/>
            <w:vAlign w:val="bottom"/>
            <w:gridSpan w:val="29"/>
          </w:tcPr>
          <w:p>
            <w:pPr>
              <w:spacing w:after="0" w:line="136" w:lineRule="exact"/>
              <w:rPr>
                <w:rFonts w:ascii="Arial" w:cs="Arial" w:eastAsia="Arial" w:hAnsi="Arial"/>
                <w:sz w:val="13"/>
                <w:szCs w:val="13"/>
                <w:color w:val="0000FF"/>
                <w:w w:val="97"/>
              </w:rPr>
            </w:pPr>
            <w:hyperlink r:id="rId144">
              <w:r>
                <w:rPr>
                  <w:rFonts w:ascii="Arial" w:cs="Arial" w:eastAsia="Arial" w:hAnsi="Arial"/>
                  <w:sz w:val="13"/>
                  <w:szCs w:val="13"/>
                  <w:color w:val="0000FF"/>
                  <w:w w:val="97"/>
                </w:rPr>
                <w:t>Letter Agreement dated August 6, 2019 between Conduent Incorporated and Clifford Skelton</w:t>
              </w:r>
            </w:hyperlink>
          </w:p>
        </w:tc>
        <w:tc>
          <w:tcPr>
            <w:tcW w:w="2220" w:type="dxa"/>
            <w:vAlign w:val="bottom"/>
          </w:tcPr>
          <w:p>
            <w:pPr>
              <w:ind w:left="1060"/>
              <w:spacing w:after="0" w:line="136" w:lineRule="exact"/>
              <w:rPr>
                <w:sz w:val="20"/>
                <w:szCs w:val="20"/>
                <w:color w:val="auto"/>
              </w:rPr>
            </w:pPr>
            <w:r>
              <w:rPr>
                <w:rFonts w:ascii="Arial" w:cs="Arial" w:eastAsia="Arial" w:hAnsi="Arial"/>
                <w:sz w:val="13"/>
                <w:szCs w:val="13"/>
                <w:color w:val="auto"/>
              </w:rPr>
              <w:t>8-K</w:t>
            </w:r>
          </w:p>
        </w:tc>
        <w:tc>
          <w:tcPr>
            <w:tcW w:w="1020" w:type="dxa"/>
            <w:vAlign w:val="bottom"/>
          </w:tcPr>
          <w:p>
            <w:pPr>
              <w:ind w:left="60"/>
              <w:spacing w:after="0" w:line="136" w:lineRule="exact"/>
              <w:rPr>
                <w:sz w:val="20"/>
                <w:szCs w:val="20"/>
                <w:color w:val="auto"/>
              </w:rPr>
            </w:pPr>
            <w:r>
              <w:rPr>
                <w:rFonts w:ascii="Arial" w:cs="Arial" w:eastAsia="Arial" w:hAnsi="Arial"/>
                <w:sz w:val="13"/>
                <w:szCs w:val="13"/>
                <w:color w:val="auto"/>
              </w:rPr>
              <w:t>10.6(j)</w:t>
            </w:r>
          </w:p>
        </w:tc>
        <w:tc>
          <w:tcPr>
            <w:tcW w:w="1560" w:type="dxa"/>
            <w:vAlign w:val="bottom"/>
          </w:tcPr>
          <w:p>
            <w:pPr>
              <w:ind w:left="320"/>
              <w:spacing w:after="0" w:line="136" w:lineRule="exact"/>
              <w:rPr>
                <w:sz w:val="20"/>
                <w:szCs w:val="20"/>
                <w:color w:val="auto"/>
              </w:rPr>
            </w:pPr>
            <w:r>
              <w:rPr>
                <w:rFonts w:ascii="Arial" w:cs="Arial" w:eastAsia="Arial" w:hAnsi="Arial"/>
                <w:sz w:val="13"/>
                <w:szCs w:val="13"/>
                <w:color w:val="auto"/>
              </w:rPr>
              <w:t>8/7/2019</w:t>
            </w:r>
          </w:p>
        </w:tc>
      </w:tr>
      <w:tr>
        <w:trPr>
          <w:trHeight w:val="126"/>
        </w:trPr>
        <w:tc>
          <w:tcPr>
            <w:tcW w:w="1240" w:type="dxa"/>
            <w:vAlign w:val="bottom"/>
          </w:tcPr>
          <w:p>
            <w:pPr>
              <w:spacing w:after="0"/>
              <w:rPr>
                <w:sz w:val="10"/>
                <w:szCs w:val="10"/>
                <w:color w:val="auto"/>
              </w:rPr>
            </w:pPr>
          </w:p>
        </w:tc>
        <w:tc>
          <w:tcPr>
            <w:tcW w:w="5140" w:type="dxa"/>
            <w:vAlign w:val="bottom"/>
            <w:tcBorders>
              <w:top w:val="single" w:sz="8" w:color="0000FF"/>
            </w:tcBorders>
            <w:gridSpan w:val="27"/>
          </w:tcPr>
          <w:p>
            <w:pPr>
              <w:spacing w:after="0" w:line="126" w:lineRule="exact"/>
              <w:rPr>
                <w:rFonts w:ascii="Arial" w:cs="Arial" w:eastAsia="Arial" w:hAnsi="Arial"/>
                <w:sz w:val="13"/>
                <w:szCs w:val="13"/>
                <w:color w:val="0000FF"/>
              </w:rPr>
            </w:pPr>
            <w:hyperlink r:id="rId144">
              <w:r>
                <w:rPr>
                  <w:rFonts w:ascii="Arial" w:cs="Arial" w:eastAsia="Arial" w:hAnsi="Arial"/>
                  <w:sz w:val="13"/>
                  <w:szCs w:val="13"/>
                  <w:color w:val="0000FF"/>
                </w:rPr>
                <w:t>regarding compensation arrangements.</w:t>
              </w:r>
            </w:hyperlink>
          </w:p>
        </w:tc>
        <w:tc>
          <w:tcPr>
            <w:tcW w:w="100" w:type="dxa"/>
            <w:vAlign w:val="bottom"/>
            <w:gridSpan w:val="2"/>
          </w:tcPr>
          <w:p>
            <w:pPr>
              <w:spacing w:after="0"/>
              <w:rPr>
                <w:sz w:val="10"/>
                <w:szCs w:val="10"/>
                <w:color w:val="auto"/>
              </w:rPr>
            </w:pPr>
          </w:p>
        </w:tc>
        <w:tc>
          <w:tcPr>
            <w:tcW w:w="2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32"/>
        </w:trPr>
        <w:tc>
          <w:tcPr>
            <w:tcW w:w="12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35"/>
        </w:trPr>
        <w:tc>
          <w:tcPr>
            <w:tcW w:w="124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*10.4(c)(iii)</w:t>
            </w:r>
          </w:p>
        </w:tc>
        <w:tc>
          <w:tcPr>
            <w:tcW w:w="5240" w:type="dxa"/>
            <w:vAlign w:val="bottom"/>
            <w:gridSpan w:val="29"/>
            <w:shd w:val="clear" w:color="auto" w:fill="CCEEFF"/>
          </w:tcPr>
          <w:p>
            <w:pPr>
              <w:spacing w:after="0" w:line="136" w:lineRule="exact"/>
              <w:rPr>
                <w:rFonts w:ascii="Arial" w:cs="Arial" w:eastAsia="Arial" w:hAnsi="Arial"/>
                <w:sz w:val="13"/>
                <w:szCs w:val="13"/>
                <w:color w:val="0000FF"/>
              </w:rPr>
            </w:pPr>
            <w:hyperlink r:id="rId145">
              <w:r>
                <w:rPr>
                  <w:rFonts w:ascii="Arial" w:cs="Arial" w:eastAsia="Arial" w:hAnsi="Arial"/>
                  <w:sz w:val="13"/>
                  <w:szCs w:val="13"/>
                  <w:color w:val="0000FF"/>
                </w:rPr>
                <w:t>Letter Agreement dated February 25, 2020 between Conduent Incorporated and Clifford</w:t>
              </w:r>
            </w:hyperlink>
          </w:p>
        </w:tc>
        <w:tc>
          <w:tcPr>
            <w:tcW w:w="2220" w:type="dxa"/>
            <w:vAlign w:val="bottom"/>
            <w:shd w:val="clear" w:color="auto" w:fill="CCEEFF"/>
          </w:tcPr>
          <w:p>
            <w:pPr>
              <w:ind w:left="1060"/>
              <w:spacing w:after="0" w:line="136" w:lineRule="exact"/>
              <w:rPr>
                <w:sz w:val="20"/>
                <w:szCs w:val="20"/>
                <w:color w:val="auto"/>
              </w:rPr>
            </w:pPr>
            <w:r>
              <w:rPr>
                <w:rFonts w:ascii="Arial" w:cs="Arial" w:eastAsia="Arial" w:hAnsi="Arial"/>
                <w:sz w:val="13"/>
                <w:szCs w:val="13"/>
                <w:color w:val="auto"/>
              </w:rPr>
              <w:t>10-K</w:t>
            </w:r>
          </w:p>
        </w:tc>
        <w:tc>
          <w:tcPr>
            <w:tcW w:w="1020" w:type="dxa"/>
            <w:vAlign w:val="bottom"/>
            <w:shd w:val="clear" w:color="auto" w:fill="CCEEFF"/>
          </w:tcPr>
          <w:p>
            <w:pPr>
              <w:ind w:left="60"/>
              <w:spacing w:after="0" w:line="136" w:lineRule="exact"/>
              <w:rPr>
                <w:sz w:val="20"/>
                <w:szCs w:val="20"/>
                <w:color w:val="auto"/>
              </w:rPr>
            </w:pPr>
            <w:r>
              <w:rPr>
                <w:rFonts w:ascii="Arial" w:cs="Arial" w:eastAsia="Arial" w:hAnsi="Arial"/>
                <w:sz w:val="13"/>
                <w:szCs w:val="13"/>
                <w:color w:val="auto"/>
              </w:rPr>
              <w:t>10.6(e)(ii)</w:t>
            </w:r>
          </w:p>
        </w:tc>
        <w:tc>
          <w:tcPr>
            <w:tcW w:w="1560" w:type="dxa"/>
            <w:vAlign w:val="bottom"/>
            <w:shd w:val="clear" w:color="auto" w:fill="CCEEFF"/>
          </w:tcPr>
          <w:p>
            <w:pPr>
              <w:ind w:left="320"/>
              <w:spacing w:after="0" w:line="136" w:lineRule="exact"/>
              <w:rPr>
                <w:sz w:val="20"/>
                <w:szCs w:val="20"/>
                <w:color w:val="auto"/>
              </w:rPr>
            </w:pPr>
            <w:r>
              <w:rPr>
                <w:rFonts w:ascii="Arial" w:cs="Arial" w:eastAsia="Arial" w:hAnsi="Arial"/>
                <w:sz w:val="13"/>
                <w:szCs w:val="13"/>
                <w:color w:val="auto"/>
              </w:rPr>
              <w:t>2/26/2020</w:t>
            </w:r>
          </w:p>
        </w:tc>
      </w:tr>
      <w:tr>
        <w:trPr>
          <w:trHeight w:val="116"/>
        </w:trPr>
        <w:tc>
          <w:tcPr>
            <w:tcW w:w="1240" w:type="dxa"/>
            <w:vAlign w:val="bottom"/>
            <w:tcBorders>
              <w:top w:val="single" w:sz="8" w:color="CCEEFF"/>
              <w:bottom w:val="single" w:sz="8" w:color="CCEEFF"/>
            </w:tcBorders>
            <w:shd w:val="clear" w:color="auto" w:fill="CCEEFF"/>
          </w:tcPr>
          <w:p>
            <w:pPr>
              <w:spacing w:after="0"/>
              <w:rPr>
                <w:sz w:val="10"/>
                <w:szCs w:val="10"/>
                <w:color w:val="auto"/>
              </w:rPr>
            </w:pPr>
          </w:p>
        </w:tc>
        <w:tc>
          <w:tcPr>
            <w:tcW w:w="2640" w:type="dxa"/>
            <w:vAlign w:val="bottom"/>
            <w:tcBorders>
              <w:top w:val="single" w:sz="8" w:color="0000FF"/>
              <w:bottom w:val="single" w:sz="8" w:color="0000FF"/>
            </w:tcBorders>
            <w:gridSpan w:val="11"/>
            <w:shd w:val="clear" w:color="auto" w:fill="CCEEFF"/>
          </w:tcPr>
          <w:p>
            <w:pPr>
              <w:spacing w:after="0" w:line="105" w:lineRule="exact"/>
              <w:rPr>
                <w:rFonts w:ascii="Arial" w:cs="Arial" w:eastAsia="Arial" w:hAnsi="Arial"/>
                <w:sz w:val="11"/>
                <w:szCs w:val="11"/>
                <w:color w:val="0000FF"/>
              </w:rPr>
            </w:pPr>
            <w:hyperlink r:id="rId145">
              <w:r>
                <w:rPr>
                  <w:rFonts w:ascii="Arial" w:cs="Arial" w:eastAsia="Arial" w:hAnsi="Arial"/>
                  <w:sz w:val="11"/>
                  <w:szCs w:val="11"/>
                  <w:color w:val="0000FF"/>
                </w:rPr>
                <w:t>Skelton regarding compensation arrangements.</w:t>
              </w:r>
            </w:hyperlink>
          </w:p>
        </w:tc>
        <w:tc>
          <w:tcPr>
            <w:tcW w:w="2220" w:type="dxa"/>
            <w:vAlign w:val="bottom"/>
            <w:tcBorders>
              <w:top w:val="single" w:sz="8" w:color="0000FF"/>
              <w:bottom w:val="single" w:sz="8" w:color="CCEEFF"/>
            </w:tcBorders>
            <w:gridSpan w:val="10"/>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gridSpan w:val="5"/>
            <w:shd w:val="clear" w:color="auto" w:fill="CCEEFF"/>
          </w:tcPr>
          <w:p>
            <w:pPr>
              <w:spacing w:after="0"/>
              <w:rPr>
                <w:sz w:val="10"/>
                <w:szCs w:val="10"/>
                <w:color w:val="auto"/>
              </w:rPr>
            </w:pPr>
          </w:p>
        </w:tc>
        <w:tc>
          <w:tcPr>
            <w:tcW w:w="2220" w:type="dxa"/>
            <w:vAlign w:val="bottom"/>
            <w:tcBorders>
              <w:top w:val="single" w:sz="8" w:color="CCEEFF"/>
              <w:bottom w:val="single" w:sz="8" w:color="CCEEFF"/>
            </w:tcBorders>
            <w:shd w:val="clear" w:color="auto" w:fill="CCEEFF"/>
          </w:tcPr>
          <w:p>
            <w:pPr>
              <w:spacing w:after="0"/>
              <w:rPr>
                <w:sz w:val="10"/>
                <w:szCs w:val="10"/>
                <w:color w:val="auto"/>
              </w:rPr>
            </w:pPr>
          </w:p>
        </w:tc>
        <w:tc>
          <w:tcPr>
            <w:tcW w:w="1020" w:type="dxa"/>
            <w:vAlign w:val="bottom"/>
            <w:tcBorders>
              <w:top w:val="single" w:sz="8" w:color="CCEEFF"/>
              <w:bottom w:val="single" w:sz="8" w:color="CCEEFF"/>
            </w:tcBorders>
            <w:shd w:val="clear" w:color="auto" w:fill="CCEEFF"/>
          </w:tcPr>
          <w:p>
            <w:pPr>
              <w:spacing w:after="0"/>
              <w:rPr>
                <w:sz w:val="10"/>
                <w:szCs w:val="10"/>
                <w:color w:val="auto"/>
              </w:rPr>
            </w:pPr>
          </w:p>
        </w:tc>
        <w:tc>
          <w:tcPr>
            <w:tcW w:w="156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*10.4(c)(iv)</w:t>
            </w:r>
          </w:p>
        </w:tc>
        <w:tc>
          <w:tcPr>
            <w:tcW w:w="5240" w:type="dxa"/>
            <w:vAlign w:val="bottom"/>
            <w:gridSpan w:val="29"/>
          </w:tcPr>
          <w:p>
            <w:pPr>
              <w:spacing w:after="0" w:line="136" w:lineRule="exact"/>
              <w:rPr>
                <w:rFonts w:ascii="Arial" w:cs="Arial" w:eastAsia="Arial" w:hAnsi="Arial"/>
                <w:sz w:val="13"/>
                <w:szCs w:val="13"/>
                <w:color w:val="0000FF"/>
              </w:rPr>
            </w:pPr>
            <w:hyperlink r:id="rId146">
              <w:r>
                <w:rPr>
                  <w:rFonts w:ascii="Arial" w:cs="Arial" w:eastAsia="Arial" w:hAnsi="Arial"/>
                  <w:sz w:val="13"/>
                  <w:szCs w:val="13"/>
                  <w:color w:val="0000FF"/>
                </w:rPr>
                <w:t>Letter Agreement dated February 23, 2021 between Conduent Incorporated and Clifford</w:t>
              </w:r>
            </w:hyperlink>
          </w:p>
        </w:tc>
        <w:tc>
          <w:tcPr>
            <w:tcW w:w="2220" w:type="dxa"/>
            <w:vAlign w:val="bottom"/>
          </w:tcPr>
          <w:p>
            <w:pPr>
              <w:ind w:left="1060"/>
              <w:spacing w:after="0" w:line="136" w:lineRule="exact"/>
              <w:rPr>
                <w:sz w:val="20"/>
                <w:szCs w:val="20"/>
                <w:color w:val="auto"/>
              </w:rPr>
            </w:pPr>
            <w:r>
              <w:rPr>
                <w:rFonts w:ascii="Arial" w:cs="Arial" w:eastAsia="Arial" w:hAnsi="Arial"/>
                <w:sz w:val="13"/>
                <w:szCs w:val="13"/>
                <w:color w:val="auto"/>
              </w:rPr>
              <w:t>10-K</w:t>
            </w:r>
          </w:p>
        </w:tc>
        <w:tc>
          <w:tcPr>
            <w:tcW w:w="1020" w:type="dxa"/>
            <w:vAlign w:val="bottom"/>
          </w:tcPr>
          <w:p>
            <w:pPr>
              <w:ind w:left="60"/>
              <w:spacing w:after="0" w:line="136" w:lineRule="exact"/>
              <w:rPr>
                <w:sz w:val="20"/>
                <w:szCs w:val="20"/>
                <w:color w:val="auto"/>
              </w:rPr>
            </w:pPr>
            <w:r>
              <w:rPr>
                <w:rFonts w:ascii="Arial" w:cs="Arial" w:eastAsia="Arial" w:hAnsi="Arial"/>
                <w:sz w:val="13"/>
                <w:szCs w:val="13"/>
                <w:color w:val="auto"/>
              </w:rPr>
              <w:t>10.6(d)(iii)</w:t>
            </w:r>
          </w:p>
        </w:tc>
        <w:tc>
          <w:tcPr>
            <w:tcW w:w="1560" w:type="dxa"/>
            <w:vAlign w:val="bottom"/>
          </w:tcPr>
          <w:p>
            <w:pPr>
              <w:ind w:left="320"/>
              <w:spacing w:after="0" w:line="136" w:lineRule="exact"/>
              <w:rPr>
                <w:sz w:val="20"/>
                <w:szCs w:val="20"/>
                <w:color w:val="auto"/>
              </w:rPr>
            </w:pPr>
            <w:r>
              <w:rPr>
                <w:rFonts w:ascii="Arial" w:cs="Arial" w:eastAsia="Arial" w:hAnsi="Arial"/>
                <w:sz w:val="13"/>
                <w:szCs w:val="13"/>
                <w:color w:val="auto"/>
              </w:rPr>
              <w:t>2/24/2021</w:t>
            </w:r>
          </w:p>
        </w:tc>
      </w:tr>
      <w:tr>
        <w:trPr>
          <w:trHeight w:val="111"/>
        </w:trPr>
        <w:tc>
          <w:tcPr>
            <w:tcW w:w="1240" w:type="dxa"/>
            <w:vAlign w:val="bottom"/>
          </w:tcPr>
          <w:p>
            <w:pPr>
              <w:spacing w:after="0"/>
              <w:rPr>
                <w:sz w:val="9"/>
                <w:szCs w:val="9"/>
                <w:color w:val="auto"/>
              </w:rPr>
            </w:pPr>
          </w:p>
        </w:tc>
        <w:tc>
          <w:tcPr>
            <w:tcW w:w="2640" w:type="dxa"/>
            <w:vAlign w:val="bottom"/>
            <w:tcBorders>
              <w:top w:val="single" w:sz="8" w:color="0000FF"/>
              <w:bottom w:val="single" w:sz="8" w:color="0000FF"/>
            </w:tcBorders>
            <w:gridSpan w:val="11"/>
          </w:tcPr>
          <w:p>
            <w:pPr>
              <w:spacing w:after="0" w:line="105" w:lineRule="exact"/>
              <w:rPr>
                <w:rFonts w:ascii="Arial" w:cs="Arial" w:eastAsia="Arial" w:hAnsi="Arial"/>
                <w:sz w:val="11"/>
                <w:szCs w:val="11"/>
                <w:color w:val="0000FF"/>
              </w:rPr>
            </w:pPr>
            <w:hyperlink r:id="rId146">
              <w:r>
                <w:rPr>
                  <w:rFonts w:ascii="Arial" w:cs="Arial" w:eastAsia="Arial" w:hAnsi="Arial"/>
                  <w:sz w:val="11"/>
                  <w:szCs w:val="11"/>
                  <w:color w:val="0000FF"/>
                </w:rPr>
                <w:t>Skelton regarding compensation arrangements.</w:t>
              </w:r>
            </w:hyperlink>
          </w:p>
        </w:tc>
        <w:tc>
          <w:tcPr>
            <w:tcW w:w="2220" w:type="dxa"/>
            <w:vAlign w:val="bottom"/>
            <w:tcBorders>
              <w:top w:val="single" w:sz="8" w:color="0000FF"/>
            </w:tcBorders>
            <w:gridSpan w:val="10"/>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gridSpan w:val="5"/>
          </w:tcPr>
          <w:p>
            <w:pPr>
              <w:spacing w:after="0"/>
              <w:rPr>
                <w:sz w:val="9"/>
                <w:szCs w:val="9"/>
                <w:color w:val="auto"/>
              </w:rPr>
            </w:pPr>
          </w:p>
        </w:tc>
        <w:tc>
          <w:tcPr>
            <w:tcW w:w="2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41"/>
        </w:trPr>
        <w:tc>
          <w:tcPr>
            <w:tcW w:w="12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*10.4(d)</w:t>
            </w:r>
          </w:p>
        </w:tc>
        <w:tc>
          <w:tcPr>
            <w:tcW w:w="5240" w:type="dxa"/>
            <w:vAlign w:val="bottom"/>
            <w:gridSpan w:val="29"/>
            <w:shd w:val="clear" w:color="auto" w:fill="CCEEFF"/>
          </w:tcPr>
          <w:p>
            <w:pPr>
              <w:spacing w:after="0" w:line="141" w:lineRule="exact"/>
              <w:rPr>
                <w:rFonts w:ascii="Arial" w:cs="Arial" w:eastAsia="Arial" w:hAnsi="Arial"/>
                <w:sz w:val="13"/>
                <w:szCs w:val="13"/>
                <w:color w:val="0000FF"/>
              </w:rPr>
            </w:pPr>
            <w:hyperlink r:id="rId147">
              <w:r>
                <w:rPr>
                  <w:rFonts w:ascii="Arial" w:cs="Arial" w:eastAsia="Arial" w:hAnsi="Arial"/>
                  <w:sz w:val="13"/>
                  <w:szCs w:val="13"/>
                  <w:color w:val="0000FF"/>
                </w:rPr>
                <w:t>Letter Agreement dated May 5, 2021 between Conduent Incorporated and Stephen Wood</w:t>
              </w:r>
            </w:hyperlink>
          </w:p>
        </w:tc>
        <w:tc>
          <w:tcPr>
            <w:tcW w:w="2220" w:type="dxa"/>
            <w:vAlign w:val="bottom"/>
            <w:shd w:val="clear" w:color="auto" w:fill="CCEEFF"/>
          </w:tcPr>
          <w:p>
            <w:pPr>
              <w:ind w:left="1060"/>
              <w:spacing w:after="0" w:line="141" w:lineRule="exact"/>
              <w:rPr>
                <w:sz w:val="20"/>
                <w:szCs w:val="20"/>
                <w:color w:val="auto"/>
              </w:rPr>
            </w:pPr>
            <w:r>
              <w:rPr>
                <w:rFonts w:ascii="Arial" w:cs="Arial" w:eastAsia="Arial" w:hAnsi="Arial"/>
                <w:sz w:val="13"/>
                <w:szCs w:val="13"/>
                <w:color w:val="auto"/>
              </w:rPr>
              <w:t>8-K</w:t>
            </w:r>
          </w:p>
        </w:tc>
        <w:tc>
          <w:tcPr>
            <w:tcW w:w="1020" w:type="dxa"/>
            <w:vAlign w:val="bottom"/>
            <w:shd w:val="clear" w:color="auto" w:fill="CCEEFF"/>
          </w:tcPr>
          <w:p>
            <w:pPr>
              <w:ind w:left="60"/>
              <w:spacing w:after="0" w:line="141" w:lineRule="exact"/>
              <w:rPr>
                <w:sz w:val="20"/>
                <w:szCs w:val="20"/>
                <w:color w:val="auto"/>
              </w:rPr>
            </w:pPr>
            <w:r>
              <w:rPr>
                <w:rFonts w:ascii="Arial" w:cs="Arial" w:eastAsia="Arial" w:hAnsi="Arial"/>
                <w:sz w:val="13"/>
                <w:szCs w:val="13"/>
                <w:color w:val="auto"/>
              </w:rPr>
              <w:t>10.1</w:t>
            </w:r>
          </w:p>
        </w:tc>
        <w:tc>
          <w:tcPr>
            <w:tcW w:w="1560" w:type="dxa"/>
            <w:vAlign w:val="bottom"/>
            <w:shd w:val="clear" w:color="auto" w:fill="CCEEFF"/>
          </w:tcPr>
          <w:p>
            <w:pPr>
              <w:ind w:left="320"/>
              <w:spacing w:after="0" w:line="141" w:lineRule="exact"/>
              <w:rPr>
                <w:sz w:val="20"/>
                <w:szCs w:val="20"/>
                <w:color w:val="auto"/>
              </w:rPr>
            </w:pPr>
            <w:r>
              <w:rPr>
                <w:rFonts w:ascii="Arial" w:cs="Arial" w:eastAsia="Arial" w:hAnsi="Arial"/>
                <w:sz w:val="13"/>
                <w:szCs w:val="13"/>
                <w:color w:val="auto"/>
              </w:rPr>
              <w:t>5/5/2021</w:t>
            </w:r>
          </w:p>
        </w:tc>
      </w:tr>
      <w:tr>
        <w:trPr>
          <w:trHeight w:val="115"/>
        </w:trPr>
        <w:tc>
          <w:tcPr>
            <w:tcW w:w="1240" w:type="dxa"/>
            <w:vAlign w:val="bottom"/>
            <w:tcBorders>
              <w:top w:val="single" w:sz="8" w:color="CCEEFF"/>
            </w:tcBorders>
            <w:shd w:val="clear" w:color="auto" w:fill="CCEEFF"/>
          </w:tcPr>
          <w:p>
            <w:pPr>
              <w:spacing w:after="0"/>
              <w:rPr>
                <w:sz w:val="10"/>
                <w:szCs w:val="10"/>
                <w:color w:val="auto"/>
              </w:rPr>
            </w:pPr>
          </w:p>
        </w:tc>
        <w:tc>
          <w:tcPr>
            <w:tcW w:w="4960" w:type="dxa"/>
            <w:vAlign w:val="bottom"/>
            <w:tcBorders>
              <w:top w:val="single" w:sz="8" w:color="0000FF"/>
            </w:tcBorders>
            <w:gridSpan w:val="23"/>
            <w:shd w:val="clear" w:color="auto" w:fill="CCEEFF"/>
          </w:tcPr>
          <w:p>
            <w:pPr>
              <w:spacing w:after="0" w:line="116" w:lineRule="exact"/>
              <w:rPr>
                <w:rFonts w:ascii="Arial" w:cs="Arial" w:eastAsia="Arial" w:hAnsi="Arial"/>
                <w:sz w:val="13"/>
                <w:szCs w:val="13"/>
                <w:color w:val="0000FF"/>
              </w:rPr>
            </w:pPr>
            <w:hyperlink r:id="rId147">
              <w:r>
                <w:rPr>
                  <w:rFonts w:ascii="Arial" w:cs="Arial" w:eastAsia="Arial" w:hAnsi="Arial"/>
                  <w:sz w:val="13"/>
                  <w:szCs w:val="13"/>
                  <w:color w:val="0000FF"/>
                </w:rPr>
                <w:t>regarding compensation arrangements.</w:t>
              </w:r>
            </w:hyperlink>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gridSpan w:val="5"/>
            <w:shd w:val="clear" w:color="auto" w:fill="CCEEFF"/>
          </w:tcPr>
          <w:p>
            <w:pPr>
              <w:spacing w:after="0"/>
              <w:rPr>
                <w:sz w:val="10"/>
                <w:szCs w:val="10"/>
                <w:color w:val="auto"/>
              </w:rPr>
            </w:pPr>
          </w:p>
        </w:tc>
        <w:tc>
          <w:tcPr>
            <w:tcW w:w="2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CCEEFF"/>
            </w:tcBorders>
            <w:shd w:val="clear" w:color="auto" w:fill="CCEEFF"/>
          </w:tcPr>
          <w:p>
            <w:pPr>
              <w:spacing w:after="0"/>
              <w:rPr>
                <w:sz w:val="10"/>
                <w:szCs w:val="10"/>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*10.4(e)</w:t>
            </w:r>
          </w:p>
        </w:tc>
        <w:tc>
          <w:tcPr>
            <w:tcW w:w="5240" w:type="dxa"/>
            <w:vAlign w:val="bottom"/>
            <w:gridSpan w:val="29"/>
          </w:tcPr>
          <w:p>
            <w:pPr>
              <w:spacing w:after="0" w:line="136" w:lineRule="exact"/>
              <w:rPr>
                <w:rFonts w:ascii="Arial" w:cs="Arial" w:eastAsia="Arial" w:hAnsi="Arial"/>
                <w:sz w:val="13"/>
                <w:szCs w:val="13"/>
                <w:color w:val="0000FF"/>
              </w:rPr>
            </w:pPr>
            <w:hyperlink r:id="rId148">
              <w:r>
                <w:rPr>
                  <w:rFonts w:ascii="Arial" w:cs="Arial" w:eastAsia="Arial" w:hAnsi="Arial"/>
                  <w:sz w:val="13"/>
                  <w:szCs w:val="13"/>
                  <w:color w:val="0000FF"/>
                </w:rPr>
                <w:t>Letter Agreement dated November 5, 2019 between Conduent Incorporated and Michael</w:t>
              </w:r>
            </w:hyperlink>
          </w:p>
        </w:tc>
        <w:tc>
          <w:tcPr>
            <w:tcW w:w="2220" w:type="dxa"/>
            <w:vAlign w:val="bottom"/>
          </w:tcPr>
          <w:p>
            <w:pPr>
              <w:ind w:left="1060"/>
              <w:spacing w:after="0" w:line="136" w:lineRule="exact"/>
              <w:rPr>
                <w:sz w:val="20"/>
                <w:szCs w:val="20"/>
                <w:color w:val="auto"/>
              </w:rPr>
            </w:pPr>
            <w:r>
              <w:rPr>
                <w:rFonts w:ascii="Arial" w:cs="Arial" w:eastAsia="Arial" w:hAnsi="Arial"/>
                <w:sz w:val="13"/>
                <w:szCs w:val="13"/>
                <w:color w:val="auto"/>
              </w:rPr>
              <w:t>10-K</w:t>
            </w:r>
          </w:p>
        </w:tc>
        <w:tc>
          <w:tcPr>
            <w:tcW w:w="1020" w:type="dxa"/>
            <w:vAlign w:val="bottom"/>
          </w:tcPr>
          <w:p>
            <w:pPr>
              <w:ind w:left="60"/>
              <w:spacing w:after="0" w:line="136" w:lineRule="exact"/>
              <w:rPr>
                <w:sz w:val="20"/>
                <w:szCs w:val="20"/>
                <w:color w:val="auto"/>
              </w:rPr>
            </w:pPr>
            <w:r>
              <w:rPr>
                <w:rFonts w:ascii="Arial" w:cs="Arial" w:eastAsia="Arial" w:hAnsi="Arial"/>
                <w:sz w:val="13"/>
                <w:szCs w:val="13"/>
                <w:color w:val="auto"/>
              </w:rPr>
              <w:t>10.6(i)</w:t>
            </w:r>
          </w:p>
        </w:tc>
        <w:tc>
          <w:tcPr>
            <w:tcW w:w="1560" w:type="dxa"/>
            <w:vAlign w:val="bottom"/>
          </w:tcPr>
          <w:p>
            <w:pPr>
              <w:ind w:left="320"/>
              <w:spacing w:after="0" w:line="136" w:lineRule="exact"/>
              <w:rPr>
                <w:sz w:val="20"/>
                <w:szCs w:val="20"/>
                <w:color w:val="auto"/>
              </w:rPr>
            </w:pPr>
            <w:r>
              <w:rPr>
                <w:rFonts w:ascii="Arial" w:cs="Arial" w:eastAsia="Arial" w:hAnsi="Arial"/>
                <w:sz w:val="13"/>
                <w:szCs w:val="13"/>
                <w:color w:val="auto"/>
              </w:rPr>
              <w:t>2/26/2020</w:t>
            </w:r>
          </w:p>
        </w:tc>
      </w:tr>
      <w:tr>
        <w:trPr>
          <w:trHeight w:val="126"/>
        </w:trPr>
        <w:tc>
          <w:tcPr>
            <w:tcW w:w="1240" w:type="dxa"/>
            <w:vAlign w:val="bottom"/>
          </w:tcPr>
          <w:p>
            <w:pPr>
              <w:spacing w:after="0"/>
              <w:rPr>
                <w:sz w:val="10"/>
                <w:szCs w:val="10"/>
                <w:color w:val="auto"/>
              </w:rPr>
            </w:pPr>
          </w:p>
        </w:tc>
        <w:tc>
          <w:tcPr>
            <w:tcW w:w="4920" w:type="dxa"/>
            <w:vAlign w:val="bottom"/>
            <w:tcBorders>
              <w:top w:val="single" w:sz="8" w:color="0000FF"/>
            </w:tcBorders>
            <w:gridSpan w:val="22"/>
          </w:tcPr>
          <w:p>
            <w:pPr>
              <w:spacing w:after="0" w:line="126" w:lineRule="exact"/>
              <w:rPr>
                <w:rFonts w:ascii="Arial" w:cs="Arial" w:eastAsia="Arial" w:hAnsi="Arial"/>
                <w:sz w:val="13"/>
                <w:szCs w:val="13"/>
                <w:color w:val="0000FF"/>
              </w:rPr>
            </w:pPr>
            <w:hyperlink r:id="rId148">
              <w:r>
                <w:rPr>
                  <w:rFonts w:ascii="Arial" w:cs="Arial" w:eastAsia="Arial" w:hAnsi="Arial"/>
                  <w:sz w:val="13"/>
                  <w:szCs w:val="13"/>
                  <w:color w:val="0000FF"/>
                </w:rPr>
                <w:t>Krawitz</w:t>
              </w:r>
              <w:r>
                <w:rPr>
                  <w:rFonts w:ascii="Arial" w:cs="Arial" w:eastAsia="Arial" w:hAnsi="Arial"/>
                  <w:sz w:val="13"/>
                  <w:szCs w:val="13"/>
                  <w:color w:val="000000"/>
                </w:rPr>
                <w:t>.</w:t>
              </w:r>
            </w:hyperlink>
          </w:p>
        </w:tc>
        <w:tc>
          <w:tcPr>
            <w:tcW w:w="140" w:type="dxa"/>
            <w:vAlign w:val="bottom"/>
            <w:gridSpan w:val="2"/>
          </w:tcPr>
          <w:p>
            <w:pPr>
              <w:spacing w:after="0"/>
              <w:rPr>
                <w:sz w:val="10"/>
                <w:szCs w:val="10"/>
                <w:color w:val="auto"/>
              </w:rPr>
            </w:pPr>
          </w:p>
        </w:tc>
        <w:tc>
          <w:tcPr>
            <w:tcW w:w="180" w:type="dxa"/>
            <w:vAlign w:val="bottom"/>
            <w:gridSpan w:val="5"/>
          </w:tcPr>
          <w:p>
            <w:pPr>
              <w:spacing w:after="0"/>
              <w:rPr>
                <w:sz w:val="10"/>
                <w:szCs w:val="10"/>
                <w:color w:val="auto"/>
              </w:rPr>
            </w:pPr>
          </w:p>
        </w:tc>
        <w:tc>
          <w:tcPr>
            <w:tcW w:w="2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32"/>
        </w:trPr>
        <w:tc>
          <w:tcPr>
            <w:tcW w:w="12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47"/>
        </w:trPr>
        <w:tc>
          <w:tcPr>
            <w:tcW w:w="1240" w:type="dxa"/>
            <w:vAlign w:val="bottom"/>
            <w:tcBorders>
              <w:bottom w:val="single" w:sz="8" w:color="CCEEFF"/>
            </w:tcBorders>
            <w:shd w:val="clear" w:color="auto" w:fill="CCEEFF"/>
          </w:tcPr>
          <w:p>
            <w:pPr>
              <w:ind w:left="20"/>
              <w:spacing w:after="0" w:line="136" w:lineRule="exact"/>
              <w:rPr>
                <w:sz w:val="20"/>
                <w:szCs w:val="20"/>
                <w:color w:val="auto"/>
              </w:rPr>
            </w:pPr>
            <w:r>
              <w:rPr>
                <w:rFonts w:ascii="Arial" w:cs="Arial" w:eastAsia="Arial" w:hAnsi="Arial"/>
                <w:sz w:val="13"/>
                <w:szCs w:val="13"/>
                <w:color w:val="auto"/>
              </w:rPr>
              <w:t>*10.4(f)</w:t>
            </w:r>
          </w:p>
        </w:tc>
        <w:tc>
          <w:tcPr>
            <w:tcW w:w="2580" w:type="dxa"/>
            <w:vAlign w:val="bottom"/>
            <w:tcBorders>
              <w:bottom w:val="single" w:sz="8" w:color="0000FF"/>
            </w:tcBorders>
            <w:gridSpan w:val="10"/>
            <w:shd w:val="clear" w:color="auto" w:fill="CCEEFF"/>
          </w:tcPr>
          <w:p>
            <w:pPr>
              <w:spacing w:after="0" w:line="136" w:lineRule="exact"/>
              <w:rPr>
                <w:sz w:val="20"/>
                <w:szCs w:val="20"/>
                <w:color w:val="auto"/>
              </w:rPr>
            </w:pPr>
            <w:r>
              <w:rPr>
                <w:rFonts w:ascii="Arial" w:cs="Arial" w:eastAsia="Arial" w:hAnsi="Arial"/>
                <w:sz w:val="13"/>
                <w:szCs w:val="13"/>
                <w:color w:val="0000FF"/>
                <w:w w:val="95"/>
              </w:rPr>
              <w:t>U.S. Executive Severance Policy, as amended</w:t>
            </w:r>
          </w:p>
        </w:tc>
        <w:tc>
          <w:tcPr>
            <w:tcW w:w="2660" w:type="dxa"/>
            <w:vAlign w:val="bottom"/>
            <w:tcBorders>
              <w:bottom w:val="single" w:sz="8" w:color="CCEEFF"/>
            </w:tcBorders>
            <w:gridSpan w:val="19"/>
            <w:shd w:val="clear" w:color="auto" w:fill="CCEEFF"/>
          </w:tcPr>
          <w:p>
            <w:pPr>
              <w:spacing w:after="0"/>
              <w:rPr>
                <w:sz w:val="12"/>
                <w:szCs w:val="12"/>
                <w:color w:val="auto"/>
              </w:rPr>
            </w:pPr>
          </w:p>
        </w:tc>
        <w:tc>
          <w:tcPr>
            <w:tcW w:w="2220" w:type="dxa"/>
            <w:vAlign w:val="bottom"/>
            <w:tcBorders>
              <w:bottom w:val="single" w:sz="8" w:color="CCEEFF"/>
            </w:tcBorders>
            <w:shd w:val="clear" w:color="auto" w:fill="CCEEFF"/>
          </w:tcPr>
          <w:p>
            <w:pPr>
              <w:ind w:left="500"/>
              <w:spacing w:after="0" w:line="136" w:lineRule="exact"/>
              <w:rPr>
                <w:sz w:val="20"/>
                <w:szCs w:val="20"/>
                <w:color w:val="auto"/>
              </w:rPr>
            </w:pPr>
            <w:r>
              <w:rPr>
                <w:rFonts w:ascii="Arial" w:cs="Arial" w:eastAsia="Arial" w:hAnsi="Arial"/>
                <w:sz w:val="13"/>
                <w:szCs w:val="13"/>
                <w:color w:val="auto"/>
              </w:rPr>
              <w:t>X</w:t>
            </w:r>
          </w:p>
        </w:tc>
        <w:tc>
          <w:tcPr>
            <w:tcW w:w="102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r>
      <w:tr>
        <w:trPr>
          <w:trHeight w:val="141"/>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*10.4(g)</w:t>
            </w:r>
          </w:p>
        </w:tc>
        <w:tc>
          <w:tcPr>
            <w:tcW w:w="3080" w:type="dxa"/>
            <w:vAlign w:val="bottom"/>
            <w:tcBorders>
              <w:bottom w:val="single" w:sz="8" w:color="0000FF"/>
            </w:tcBorders>
            <w:gridSpan w:val="12"/>
          </w:tcPr>
          <w:p>
            <w:pPr>
              <w:spacing w:after="0" w:line="136" w:lineRule="exact"/>
              <w:rPr>
                <w:rFonts w:ascii="Arial" w:cs="Arial" w:eastAsia="Arial" w:hAnsi="Arial"/>
                <w:sz w:val="13"/>
                <w:szCs w:val="13"/>
                <w:color w:val="0000FF"/>
                <w:w w:val="95"/>
              </w:rPr>
            </w:pPr>
            <w:hyperlink r:id="rId149">
              <w:r>
                <w:rPr>
                  <w:rFonts w:ascii="Arial" w:cs="Arial" w:eastAsia="Arial" w:hAnsi="Arial"/>
                  <w:sz w:val="13"/>
                  <w:szCs w:val="13"/>
                  <w:color w:val="0000FF"/>
                  <w:w w:val="95"/>
                </w:rPr>
                <w:t>Form of Director and Officer Indemnification Agreement</w:t>
              </w:r>
            </w:hyperlink>
          </w:p>
        </w:tc>
        <w:tc>
          <w:tcPr>
            <w:tcW w:w="2160" w:type="dxa"/>
            <w:vAlign w:val="bottom"/>
            <w:gridSpan w:val="17"/>
          </w:tcPr>
          <w:p>
            <w:pPr>
              <w:spacing w:after="0"/>
              <w:rPr>
                <w:sz w:val="12"/>
                <w:szCs w:val="12"/>
                <w:color w:val="auto"/>
              </w:rPr>
            </w:pPr>
          </w:p>
        </w:tc>
        <w:tc>
          <w:tcPr>
            <w:tcW w:w="2220" w:type="dxa"/>
            <w:vAlign w:val="bottom"/>
          </w:tcPr>
          <w:p>
            <w:pPr>
              <w:ind w:left="1060"/>
              <w:spacing w:after="0" w:line="136" w:lineRule="exact"/>
              <w:rPr>
                <w:sz w:val="20"/>
                <w:szCs w:val="20"/>
                <w:color w:val="auto"/>
              </w:rPr>
            </w:pPr>
            <w:r>
              <w:rPr>
                <w:rFonts w:ascii="Arial" w:cs="Arial" w:eastAsia="Arial" w:hAnsi="Arial"/>
                <w:sz w:val="13"/>
                <w:szCs w:val="13"/>
                <w:color w:val="auto"/>
              </w:rPr>
              <w:t>10-Q</w:t>
            </w:r>
          </w:p>
        </w:tc>
        <w:tc>
          <w:tcPr>
            <w:tcW w:w="1020" w:type="dxa"/>
            <w:vAlign w:val="bottom"/>
          </w:tcPr>
          <w:p>
            <w:pPr>
              <w:ind w:left="60"/>
              <w:spacing w:after="0" w:line="136" w:lineRule="exact"/>
              <w:rPr>
                <w:sz w:val="20"/>
                <w:szCs w:val="20"/>
                <w:color w:val="auto"/>
              </w:rPr>
            </w:pPr>
            <w:r>
              <w:rPr>
                <w:rFonts w:ascii="Arial" w:cs="Arial" w:eastAsia="Arial" w:hAnsi="Arial"/>
                <w:sz w:val="13"/>
                <w:szCs w:val="13"/>
                <w:color w:val="auto"/>
              </w:rPr>
              <w:t>10.1</w:t>
            </w:r>
          </w:p>
        </w:tc>
        <w:tc>
          <w:tcPr>
            <w:tcW w:w="1560" w:type="dxa"/>
            <w:vAlign w:val="bottom"/>
          </w:tcPr>
          <w:p>
            <w:pPr>
              <w:ind w:left="320"/>
              <w:spacing w:after="0" w:line="136" w:lineRule="exact"/>
              <w:rPr>
                <w:sz w:val="20"/>
                <w:szCs w:val="20"/>
                <w:color w:val="auto"/>
              </w:rPr>
            </w:pPr>
            <w:r>
              <w:rPr>
                <w:rFonts w:ascii="Arial" w:cs="Arial" w:eastAsia="Arial" w:hAnsi="Arial"/>
                <w:sz w:val="13"/>
                <w:szCs w:val="13"/>
                <w:color w:val="auto"/>
              </w:rPr>
              <w:t>11/1/2023</w:t>
            </w:r>
          </w:p>
        </w:tc>
      </w:tr>
      <w:tr>
        <w:trPr>
          <w:trHeight w:val="163"/>
        </w:trPr>
        <w:tc>
          <w:tcPr>
            <w:tcW w:w="12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10.5</w:t>
            </w:r>
          </w:p>
        </w:tc>
        <w:tc>
          <w:tcPr>
            <w:tcW w:w="5240" w:type="dxa"/>
            <w:vAlign w:val="bottom"/>
            <w:gridSpan w:val="29"/>
            <w:shd w:val="clear" w:color="auto" w:fill="CCEEFF"/>
          </w:tcPr>
          <w:p>
            <w:pPr>
              <w:spacing w:after="0" w:line="141" w:lineRule="exact"/>
              <w:rPr>
                <w:rFonts w:ascii="Arial" w:cs="Arial" w:eastAsia="Arial" w:hAnsi="Arial"/>
                <w:sz w:val="13"/>
                <w:szCs w:val="13"/>
                <w:color w:val="0000FF"/>
              </w:rPr>
            </w:pPr>
            <w:hyperlink r:id="rId150">
              <w:r>
                <w:rPr>
                  <w:rFonts w:ascii="Arial" w:cs="Arial" w:eastAsia="Arial" w:hAnsi="Arial"/>
                  <w:sz w:val="13"/>
                  <w:szCs w:val="13"/>
                  <w:color w:val="0000FF"/>
                </w:rPr>
                <w:t>Purchase Agreement dated June 8, 2024, among the Company and the Icahn Parties.</w:t>
              </w:r>
            </w:hyperlink>
          </w:p>
        </w:tc>
        <w:tc>
          <w:tcPr>
            <w:tcW w:w="2220" w:type="dxa"/>
            <w:vAlign w:val="bottom"/>
            <w:shd w:val="clear" w:color="auto" w:fill="CCEEFF"/>
          </w:tcPr>
          <w:p>
            <w:pPr>
              <w:ind w:left="1060"/>
              <w:spacing w:after="0" w:line="141" w:lineRule="exact"/>
              <w:rPr>
                <w:sz w:val="20"/>
                <w:szCs w:val="20"/>
                <w:color w:val="auto"/>
              </w:rPr>
            </w:pPr>
            <w:r>
              <w:rPr>
                <w:rFonts w:ascii="Arial" w:cs="Arial" w:eastAsia="Arial" w:hAnsi="Arial"/>
                <w:sz w:val="13"/>
                <w:szCs w:val="13"/>
                <w:color w:val="auto"/>
              </w:rPr>
              <w:t>8-K</w:t>
            </w:r>
          </w:p>
        </w:tc>
        <w:tc>
          <w:tcPr>
            <w:tcW w:w="1020" w:type="dxa"/>
            <w:vAlign w:val="bottom"/>
            <w:shd w:val="clear" w:color="auto" w:fill="CCEEFF"/>
          </w:tcPr>
          <w:p>
            <w:pPr>
              <w:ind w:left="60"/>
              <w:spacing w:after="0" w:line="141" w:lineRule="exact"/>
              <w:rPr>
                <w:sz w:val="20"/>
                <w:szCs w:val="20"/>
                <w:color w:val="auto"/>
              </w:rPr>
            </w:pPr>
            <w:r>
              <w:rPr>
                <w:rFonts w:ascii="Arial" w:cs="Arial" w:eastAsia="Arial" w:hAnsi="Arial"/>
                <w:sz w:val="13"/>
                <w:szCs w:val="13"/>
                <w:color w:val="auto"/>
              </w:rPr>
              <w:t>10.1</w:t>
            </w:r>
          </w:p>
        </w:tc>
        <w:tc>
          <w:tcPr>
            <w:tcW w:w="1560" w:type="dxa"/>
            <w:vAlign w:val="bottom"/>
            <w:shd w:val="clear" w:color="auto" w:fill="CCEEFF"/>
          </w:tcPr>
          <w:p>
            <w:pPr>
              <w:ind w:left="320"/>
              <w:spacing w:after="0" w:line="141" w:lineRule="exact"/>
              <w:rPr>
                <w:sz w:val="20"/>
                <w:szCs w:val="20"/>
                <w:color w:val="auto"/>
              </w:rPr>
            </w:pPr>
            <w:r>
              <w:rPr>
                <w:rFonts w:ascii="Arial" w:cs="Arial" w:eastAsia="Arial" w:hAnsi="Arial"/>
                <w:sz w:val="13"/>
                <w:szCs w:val="13"/>
                <w:color w:val="auto"/>
              </w:rPr>
              <w:t>6/10/2024</w:t>
            </w:r>
          </w:p>
        </w:tc>
      </w:tr>
      <w:tr>
        <w:trPr>
          <w:trHeight w:val="135"/>
        </w:trPr>
        <w:tc>
          <w:tcPr>
            <w:tcW w:w="1240" w:type="dxa"/>
            <w:vAlign w:val="bottom"/>
            <w:tcBorders>
              <w:top w:val="single" w:sz="8" w:color="CCEEFF"/>
            </w:tcBorders>
          </w:tcPr>
          <w:p>
            <w:pPr>
              <w:ind w:left="20"/>
              <w:spacing w:after="0" w:line="136" w:lineRule="exact"/>
              <w:rPr>
                <w:sz w:val="20"/>
                <w:szCs w:val="20"/>
                <w:color w:val="auto"/>
              </w:rPr>
            </w:pPr>
            <w:r>
              <w:rPr>
                <w:rFonts w:ascii="Arial" w:cs="Arial" w:eastAsia="Arial" w:hAnsi="Arial"/>
                <w:sz w:val="13"/>
                <w:szCs w:val="13"/>
                <w:color w:val="auto"/>
              </w:rPr>
              <w:t>19</w:t>
            </w:r>
          </w:p>
        </w:tc>
        <w:tc>
          <w:tcPr>
            <w:tcW w:w="4760" w:type="dxa"/>
            <w:vAlign w:val="bottom"/>
            <w:tcBorders>
              <w:top w:val="single" w:sz="8" w:color="0000FF"/>
            </w:tcBorders>
            <w:gridSpan w:val="19"/>
          </w:tcPr>
          <w:p>
            <w:pPr>
              <w:spacing w:after="0" w:line="136" w:lineRule="exact"/>
              <w:rPr>
                <w:rFonts w:ascii="Arial" w:cs="Arial" w:eastAsia="Arial" w:hAnsi="Arial"/>
                <w:sz w:val="13"/>
                <w:szCs w:val="13"/>
                <w:color w:val="0000FF"/>
              </w:rPr>
            </w:pPr>
            <w:hyperlink r:id="rId151">
              <w:r>
                <w:rPr>
                  <w:rFonts w:ascii="Arial" w:cs="Arial" w:eastAsia="Arial" w:hAnsi="Arial"/>
                  <w:sz w:val="13"/>
                  <w:szCs w:val="13"/>
                  <w:color w:val="0000FF"/>
                </w:rPr>
                <w:t>Insider Trading Policy</w:t>
              </w:r>
            </w:hyperlink>
          </w:p>
        </w:tc>
        <w:tc>
          <w:tcPr>
            <w:tcW w:w="480" w:type="dxa"/>
            <w:vAlign w:val="bottom"/>
            <w:tcBorders>
              <w:top w:val="single" w:sz="8" w:color="CCEEFF"/>
            </w:tcBorders>
            <w:gridSpan w:val="10"/>
          </w:tcPr>
          <w:p>
            <w:pPr>
              <w:spacing w:after="0"/>
              <w:rPr>
                <w:sz w:val="11"/>
                <w:szCs w:val="11"/>
                <w:color w:val="auto"/>
              </w:rPr>
            </w:pPr>
          </w:p>
        </w:tc>
        <w:tc>
          <w:tcPr>
            <w:tcW w:w="2220" w:type="dxa"/>
            <w:vAlign w:val="bottom"/>
            <w:tcBorders>
              <w:top w:val="single" w:sz="8" w:color="CCEEFF"/>
            </w:tcBorders>
          </w:tcPr>
          <w:p>
            <w:pPr>
              <w:ind w:left="1060"/>
              <w:spacing w:after="0" w:line="136" w:lineRule="exact"/>
              <w:rPr>
                <w:sz w:val="20"/>
                <w:szCs w:val="20"/>
                <w:color w:val="auto"/>
              </w:rPr>
            </w:pPr>
            <w:r>
              <w:rPr>
                <w:rFonts w:ascii="Arial" w:cs="Arial" w:eastAsia="Arial" w:hAnsi="Arial"/>
                <w:sz w:val="13"/>
                <w:szCs w:val="13"/>
                <w:color w:val="auto"/>
              </w:rPr>
              <w:t>10-K</w:t>
            </w:r>
          </w:p>
        </w:tc>
        <w:tc>
          <w:tcPr>
            <w:tcW w:w="1020" w:type="dxa"/>
            <w:vAlign w:val="bottom"/>
            <w:tcBorders>
              <w:top w:val="single" w:sz="8" w:color="CCEEFF"/>
            </w:tcBorders>
          </w:tcPr>
          <w:p>
            <w:pPr>
              <w:ind w:left="60"/>
              <w:spacing w:after="0" w:line="136" w:lineRule="exact"/>
              <w:rPr>
                <w:sz w:val="20"/>
                <w:szCs w:val="20"/>
                <w:color w:val="auto"/>
              </w:rPr>
            </w:pPr>
            <w:r>
              <w:rPr>
                <w:rFonts w:ascii="Arial" w:cs="Arial" w:eastAsia="Arial" w:hAnsi="Arial"/>
                <w:sz w:val="13"/>
                <w:szCs w:val="13"/>
                <w:color w:val="auto"/>
              </w:rPr>
              <w:t>19</w:t>
            </w:r>
          </w:p>
        </w:tc>
        <w:tc>
          <w:tcPr>
            <w:tcW w:w="1560" w:type="dxa"/>
            <w:vAlign w:val="bottom"/>
            <w:tcBorders>
              <w:top w:val="single" w:sz="8" w:color="CCEEFF"/>
            </w:tcBorders>
          </w:tcPr>
          <w:p>
            <w:pPr>
              <w:ind w:left="320"/>
              <w:spacing w:after="0" w:line="136" w:lineRule="exact"/>
              <w:rPr>
                <w:sz w:val="20"/>
                <w:szCs w:val="20"/>
                <w:color w:val="auto"/>
              </w:rPr>
            </w:pPr>
            <w:r>
              <w:rPr>
                <w:rFonts w:ascii="Arial" w:cs="Arial" w:eastAsia="Arial" w:hAnsi="Arial"/>
                <w:sz w:val="13"/>
                <w:szCs w:val="13"/>
                <w:color w:val="auto"/>
              </w:rPr>
              <w:t>2/21/2024</w:t>
            </w:r>
          </w:p>
        </w:tc>
      </w:tr>
      <w:tr>
        <w:trPr>
          <w:trHeight w:val="26"/>
        </w:trPr>
        <w:tc>
          <w:tcPr>
            <w:tcW w:w="124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52"/>
        </w:trPr>
        <w:tc>
          <w:tcPr>
            <w:tcW w:w="124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21</w:t>
            </w:r>
          </w:p>
        </w:tc>
        <w:tc>
          <w:tcPr>
            <w:tcW w:w="1820" w:type="dxa"/>
            <w:vAlign w:val="bottom"/>
            <w:tcBorders>
              <w:bottom w:val="single" w:sz="8" w:color="0000FF"/>
            </w:tcBorders>
            <w:gridSpan w:val="7"/>
            <w:shd w:val="clear" w:color="auto" w:fill="CCEEFF"/>
          </w:tcPr>
          <w:p>
            <w:pPr>
              <w:spacing w:after="0" w:line="141" w:lineRule="exact"/>
              <w:rPr>
                <w:sz w:val="20"/>
                <w:szCs w:val="20"/>
                <w:color w:val="auto"/>
              </w:rPr>
            </w:pPr>
            <w:r>
              <w:rPr>
                <w:rFonts w:ascii="Arial" w:cs="Arial" w:eastAsia="Arial" w:hAnsi="Arial"/>
                <w:sz w:val="13"/>
                <w:szCs w:val="13"/>
                <w:color w:val="0000FF"/>
                <w:w w:val="95"/>
              </w:rPr>
              <w:t>List of subsidiaries of Registrant.</w:t>
            </w:r>
          </w:p>
        </w:tc>
        <w:tc>
          <w:tcPr>
            <w:tcW w:w="3420" w:type="dxa"/>
            <w:vAlign w:val="bottom"/>
            <w:tcBorders>
              <w:bottom w:val="single" w:sz="8" w:color="CCEEFF"/>
            </w:tcBorders>
            <w:gridSpan w:val="22"/>
            <w:shd w:val="clear" w:color="auto" w:fill="CCEEFF"/>
          </w:tcPr>
          <w:p>
            <w:pPr>
              <w:spacing w:after="0"/>
              <w:rPr>
                <w:sz w:val="13"/>
                <w:szCs w:val="13"/>
                <w:color w:val="auto"/>
              </w:rPr>
            </w:pPr>
          </w:p>
        </w:tc>
        <w:tc>
          <w:tcPr>
            <w:tcW w:w="2220" w:type="dxa"/>
            <w:vAlign w:val="bottom"/>
            <w:tcBorders>
              <w:bottom w:val="single" w:sz="8" w:color="CCEEFF"/>
            </w:tcBorders>
            <w:shd w:val="clear" w:color="auto" w:fill="CCEEFF"/>
          </w:tcPr>
          <w:p>
            <w:pPr>
              <w:ind w:left="500"/>
              <w:spacing w:after="0" w:line="141" w:lineRule="exact"/>
              <w:rPr>
                <w:sz w:val="20"/>
                <w:szCs w:val="20"/>
                <w:color w:val="auto"/>
              </w:rPr>
            </w:pPr>
            <w:r>
              <w:rPr>
                <w:rFonts w:ascii="Arial" w:cs="Arial" w:eastAsia="Arial" w:hAnsi="Arial"/>
                <w:sz w:val="13"/>
                <w:szCs w:val="13"/>
                <w:color w:val="auto"/>
              </w:rPr>
              <w:t>X</w:t>
            </w:r>
          </w:p>
        </w:tc>
        <w:tc>
          <w:tcPr>
            <w:tcW w:w="102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23</w:t>
            </w:r>
          </w:p>
        </w:tc>
        <w:tc>
          <w:tcPr>
            <w:tcW w:w="5240" w:type="dxa"/>
            <w:vAlign w:val="bottom"/>
            <w:gridSpan w:val="29"/>
          </w:tcPr>
          <w:p>
            <w:pPr>
              <w:spacing w:after="0" w:line="136" w:lineRule="exact"/>
              <w:rPr>
                <w:sz w:val="20"/>
                <w:szCs w:val="20"/>
                <w:color w:val="auto"/>
              </w:rPr>
            </w:pPr>
            <w:r>
              <w:rPr>
                <w:rFonts w:ascii="Arial" w:cs="Arial" w:eastAsia="Arial" w:hAnsi="Arial"/>
                <w:sz w:val="13"/>
                <w:szCs w:val="13"/>
                <w:color w:val="0000FF"/>
              </w:rPr>
              <w:t>Consent of PricewaterhouseCoopers LLP.</w:t>
            </w:r>
          </w:p>
        </w:tc>
        <w:tc>
          <w:tcPr>
            <w:tcW w:w="2220" w:type="dxa"/>
            <w:vAlign w:val="bottom"/>
          </w:tcPr>
          <w:p>
            <w:pPr>
              <w:ind w:left="500"/>
              <w:spacing w:after="0" w:line="136" w:lineRule="exact"/>
              <w:rPr>
                <w:sz w:val="20"/>
                <w:szCs w:val="20"/>
                <w:color w:val="auto"/>
              </w:rPr>
            </w:pPr>
            <w:r>
              <w:rPr>
                <w:rFonts w:ascii="Arial" w:cs="Arial" w:eastAsia="Arial" w:hAnsi="Arial"/>
                <w:sz w:val="13"/>
                <w:szCs w:val="13"/>
                <w:color w:val="auto"/>
              </w:rPr>
              <w:t>X</w:t>
            </w:r>
          </w:p>
        </w:tc>
        <w:tc>
          <w:tcPr>
            <w:tcW w:w="102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26"/>
        </w:trPr>
        <w:tc>
          <w:tcPr>
            <w:tcW w:w="124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41"/>
        </w:trPr>
        <w:tc>
          <w:tcPr>
            <w:tcW w:w="12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31(a)</w:t>
            </w:r>
          </w:p>
        </w:tc>
        <w:tc>
          <w:tcPr>
            <w:tcW w:w="5240" w:type="dxa"/>
            <w:vAlign w:val="bottom"/>
            <w:gridSpan w:val="29"/>
            <w:shd w:val="clear" w:color="auto" w:fill="CCEEFF"/>
          </w:tcPr>
          <w:p>
            <w:pPr>
              <w:spacing w:after="0" w:line="141" w:lineRule="exact"/>
              <w:rPr>
                <w:sz w:val="20"/>
                <w:szCs w:val="20"/>
                <w:color w:val="auto"/>
              </w:rPr>
            </w:pPr>
            <w:r>
              <w:rPr>
                <w:rFonts w:ascii="Arial" w:cs="Arial" w:eastAsia="Arial" w:hAnsi="Arial"/>
                <w:sz w:val="13"/>
                <w:szCs w:val="13"/>
                <w:color w:val="0000FF"/>
              </w:rPr>
              <w:t>Certification of CEO pursuant to Rule 13a-14(a) or Rule 15d-14(a).</w:t>
            </w:r>
          </w:p>
        </w:tc>
        <w:tc>
          <w:tcPr>
            <w:tcW w:w="2220" w:type="dxa"/>
            <w:vAlign w:val="bottom"/>
            <w:shd w:val="clear" w:color="auto" w:fill="CCEEFF"/>
          </w:tcPr>
          <w:p>
            <w:pPr>
              <w:ind w:left="500"/>
              <w:spacing w:after="0" w:line="141" w:lineRule="exact"/>
              <w:rPr>
                <w:sz w:val="20"/>
                <w:szCs w:val="20"/>
                <w:color w:val="auto"/>
              </w:rPr>
            </w:pPr>
            <w:r>
              <w:rPr>
                <w:rFonts w:ascii="Arial" w:cs="Arial" w:eastAsia="Arial" w:hAnsi="Arial"/>
                <w:sz w:val="13"/>
                <w:szCs w:val="13"/>
                <w:color w:val="auto"/>
              </w:rPr>
              <w:t>X</w:t>
            </w:r>
          </w:p>
        </w:tc>
        <w:tc>
          <w:tcPr>
            <w:tcW w:w="10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r>
      <w:tr>
        <w:trPr>
          <w:trHeight w:val="31"/>
        </w:trPr>
        <w:tc>
          <w:tcPr>
            <w:tcW w:w="1240" w:type="dxa"/>
            <w:vAlign w:val="bottom"/>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31(b)</w:t>
            </w:r>
          </w:p>
        </w:tc>
        <w:tc>
          <w:tcPr>
            <w:tcW w:w="5240" w:type="dxa"/>
            <w:vAlign w:val="bottom"/>
            <w:gridSpan w:val="29"/>
          </w:tcPr>
          <w:p>
            <w:pPr>
              <w:spacing w:after="0" w:line="136" w:lineRule="exact"/>
              <w:rPr>
                <w:sz w:val="20"/>
                <w:szCs w:val="20"/>
                <w:color w:val="auto"/>
              </w:rPr>
            </w:pPr>
            <w:r>
              <w:rPr>
                <w:rFonts w:ascii="Arial" w:cs="Arial" w:eastAsia="Arial" w:hAnsi="Arial"/>
                <w:sz w:val="13"/>
                <w:szCs w:val="13"/>
                <w:color w:val="0000FF"/>
              </w:rPr>
              <w:t>Certification of CFO pursuant to Rule 13a-14(a) or Rule 15d-14(a).</w:t>
            </w:r>
          </w:p>
        </w:tc>
        <w:tc>
          <w:tcPr>
            <w:tcW w:w="2220" w:type="dxa"/>
            <w:vAlign w:val="bottom"/>
          </w:tcPr>
          <w:p>
            <w:pPr>
              <w:ind w:left="500"/>
              <w:spacing w:after="0" w:line="136" w:lineRule="exact"/>
              <w:rPr>
                <w:sz w:val="20"/>
                <w:szCs w:val="20"/>
                <w:color w:val="auto"/>
              </w:rPr>
            </w:pPr>
            <w:r>
              <w:rPr>
                <w:rFonts w:ascii="Arial" w:cs="Arial" w:eastAsia="Arial" w:hAnsi="Arial"/>
                <w:sz w:val="13"/>
                <w:szCs w:val="13"/>
                <w:color w:val="auto"/>
              </w:rPr>
              <w:t>X</w:t>
            </w:r>
          </w:p>
        </w:tc>
        <w:tc>
          <w:tcPr>
            <w:tcW w:w="102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26"/>
        </w:trPr>
        <w:tc>
          <w:tcPr>
            <w:tcW w:w="124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41"/>
        </w:trPr>
        <w:tc>
          <w:tcPr>
            <w:tcW w:w="124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32**</w:t>
            </w:r>
          </w:p>
        </w:tc>
        <w:tc>
          <w:tcPr>
            <w:tcW w:w="5240" w:type="dxa"/>
            <w:vAlign w:val="bottom"/>
            <w:tcBorders>
              <w:bottom w:val="single" w:sz="8" w:color="0000FF"/>
            </w:tcBorders>
            <w:gridSpan w:val="29"/>
            <w:shd w:val="clear" w:color="auto" w:fill="CCEEFF"/>
          </w:tcPr>
          <w:p>
            <w:pPr>
              <w:spacing w:after="0" w:line="141" w:lineRule="exact"/>
              <w:rPr>
                <w:sz w:val="20"/>
                <w:szCs w:val="20"/>
                <w:color w:val="auto"/>
              </w:rPr>
            </w:pPr>
            <w:r>
              <w:rPr>
                <w:rFonts w:ascii="Arial" w:cs="Arial" w:eastAsia="Arial" w:hAnsi="Arial"/>
                <w:sz w:val="13"/>
                <w:szCs w:val="13"/>
                <w:color w:val="0000FF"/>
                <w:w w:val="95"/>
              </w:rPr>
              <w:t>Certification of CEO and CFO pursuant to 18 U.S.C. §1350 as adopted pursuant to §906 of the</w:t>
            </w:r>
          </w:p>
        </w:tc>
        <w:tc>
          <w:tcPr>
            <w:tcW w:w="2220" w:type="dxa"/>
            <w:vAlign w:val="bottom"/>
            <w:tcBorders>
              <w:bottom w:val="single" w:sz="8" w:color="CCEEFF"/>
            </w:tcBorders>
            <w:shd w:val="clear" w:color="auto" w:fill="CCEEFF"/>
          </w:tcPr>
          <w:p>
            <w:pPr>
              <w:ind w:left="500"/>
              <w:spacing w:after="0" w:line="141" w:lineRule="exact"/>
              <w:rPr>
                <w:sz w:val="20"/>
                <w:szCs w:val="20"/>
                <w:color w:val="auto"/>
              </w:rPr>
            </w:pPr>
            <w:r>
              <w:rPr>
                <w:rFonts w:ascii="Arial" w:cs="Arial" w:eastAsia="Arial" w:hAnsi="Arial"/>
                <w:sz w:val="13"/>
                <w:szCs w:val="13"/>
                <w:color w:val="auto"/>
              </w:rPr>
              <w:t>X</w:t>
            </w:r>
          </w:p>
        </w:tc>
        <w:tc>
          <w:tcPr>
            <w:tcW w:w="102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r>
      <w:tr>
        <w:trPr>
          <w:trHeight w:val="105"/>
        </w:trPr>
        <w:tc>
          <w:tcPr>
            <w:tcW w:w="1240" w:type="dxa"/>
            <w:vAlign w:val="bottom"/>
            <w:shd w:val="clear" w:color="auto" w:fill="CCEEFF"/>
          </w:tcPr>
          <w:p>
            <w:pPr>
              <w:spacing w:after="0"/>
              <w:rPr>
                <w:sz w:val="9"/>
                <w:szCs w:val="9"/>
                <w:color w:val="auto"/>
              </w:rPr>
            </w:pPr>
          </w:p>
        </w:tc>
        <w:tc>
          <w:tcPr>
            <w:tcW w:w="5240" w:type="dxa"/>
            <w:vAlign w:val="bottom"/>
            <w:gridSpan w:val="29"/>
            <w:shd w:val="clear" w:color="auto" w:fill="CCEEFF"/>
          </w:tcPr>
          <w:p>
            <w:pPr>
              <w:spacing w:after="0" w:line="105" w:lineRule="exact"/>
              <w:rPr>
                <w:sz w:val="20"/>
                <w:szCs w:val="20"/>
                <w:color w:val="auto"/>
              </w:rPr>
            </w:pPr>
            <w:r>
              <w:rPr>
                <w:rFonts w:ascii="Arial" w:cs="Arial" w:eastAsia="Arial" w:hAnsi="Arial"/>
                <w:sz w:val="11"/>
                <w:szCs w:val="11"/>
                <w:color w:val="0000FF"/>
              </w:rPr>
              <w:t>Sarbanes-Oxley Act of 2002.</w:t>
            </w:r>
          </w:p>
        </w:tc>
        <w:tc>
          <w:tcPr>
            <w:tcW w:w="22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r>
      <w:tr>
        <w:trPr>
          <w:trHeight w:val="31"/>
        </w:trPr>
        <w:tc>
          <w:tcPr>
            <w:tcW w:w="1240" w:type="dxa"/>
            <w:vAlign w:val="bottom"/>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97</w:t>
            </w:r>
          </w:p>
        </w:tc>
        <w:tc>
          <w:tcPr>
            <w:tcW w:w="5080" w:type="dxa"/>
            <w:vAlign w:val="bottom"/>
            <w:tcBorders>
              <w:bottom w:val="single" w:sz="8" w:color="0000FF"/>
            </w:tcBorders>
            <w:gridSpan w:val="25"/>
          </w:tcPr>
          <w:p>
            <w:pPr>
              <w:spacing w:after="0" w:line="136" w:lineRule="exact"/>
              <w:rPr>
                <w:rFonts w:ascii="Arial" w:cs="Arial" w:eastAsia="Arial" w:hAnsi="Arial"/>
                <w:sz w:val="13"/>
                <w:szCs w:val="13"/>
                <w:color w:val="0000FF"/>
                <w:w w:val="95"/>
              </w:rPr>
            </w:pPr>
            <w:hyperlink r:id="rId152">
              <w:r>
                <w:rPr>
                  <w:rFonts w:ascii="Arial" w:cs="Arial" w:eastAsia="Arial" w:hAnsi="Arial"/>
                  <w:sz w:val="13"/>
                  <w:szCs w:val="13"/>
                  <w:color w:val="0000FF"/>
                  <w:w w:val="95"/>
                </w:rPr>
                <w:t>Conduent Incorporated Compensation Recoupment Policy, effective as of October 31, 2023</w:t>
              </w:r>
            </w:hyperlink>
          </w:p>
        </w:tc>
        <w:tc>
          <w:tcPr>
            <w:tcW w:w="160" w:type="dxa"/>
            <w:vAlign w:val="bottom"/>
            <w:gridSpan w:val="4"/>
          </w:tcPr>
          <w:p>
            <w:pPr>
              <w:spacing w:after="0"/>
              <w:rPr>
                <w:sz w:val="11"/>
                <w:szCs w:val="11"/>
                <w:color w:val="auto"/>
              </w:rPr>
            </w:pPr>
          </w:p>
        </w:tc>
        <w:tc>
          <w:tcPr>
            <w:tcW w:w="2220" w:type="dxa"/>
            <w:vAlign w:val="bottom"/>
          </w:tcPr>
          <w:p>
            <w:pPr>
              <w:ind w:left="1060"/>
              <w:spacing w:after="0" w:line="136" w:lineRule="exact"/>
              <w:rPr>
                <w:sz w:val="20"/>
                <w:szCs w:val="20"/>
                <w:color w:val="auto"/>
              </w:rPr>
            </w:pPr>
            <w:r>
              <w:rPr>
                <w:rFonts w:ascii="Arial" w:cs="Arial" w:eastAsia="Arial" w:hAnsi="Arial"/>
                <w:sz w:val="13"/>
                <w:szCs w:val="13"/>
                <w:color w:val="auto"/>
              </w:rPr>
              <w:t>10-K</w:t>
            </w:r>
          </w:p>
        </w:tc>
        <w:tc>
          <w:tcPr>
            <w:tcW w:w="1020" w:type="dxa"/>
            <w:vAlign w:val="bottom"/>
          </w:tcPr>
          <w:p>
            <w:pPr>
              <w:ind w:left="60"/>
              <w:spacing w:after="0" w:line="136" w:lineRule="exact"/>
              <w:rPr>
                <w:sz w:val="20"/>
                <w:szCs w:val="20"/>
                <w:color w:val="auto"/>
              </w:rPr>
            </w:pPr>
            <w:r>
              <w:rPr>
                <w:rFonts w:ascii="Arial" w:cs="Arial" w:eastAsia="Arial" w:hAnsi="Arial"/>
                <w:sz w:val="13"/>
                <w:szCs w:val="13"/>
                <w:color w:val="auto"/>
              </w:rPr>
              <w:t>97</w:t>
            </w:r>
          </w:p>
        </w:tc>
        <w:tc>
          <w:tcPr>
            <w:tcW w:w="1560" w:type="dxa"/>
            <w:vAlign w:val="bottom"/>
          </w:tcPr>
          <w:p>
            <w:pPr>
              <w:ind w:left="320"/>
              <w:spacing w:after="0" w:line="136" w:lineRule="exact"/>
              <w:rPr>
                <w:sz w:val="20"/>
                <w:szCs w:val="20"/>
                <w:color w:val="auto"/>
              </w:rPr>
            </w:pPr>
            <w:r>
              <w:rPr>
                <w:rFonts w:ascii="Arial" w:cs="Arial" w:eastAsia="Arial" w:hAnsi="Arial"/>
                <w:sz w:val="13"/>
                <w:szCs w:val="13"/>
                <w:color w:val="auto"/>
              </w:rPr>
              <w:t>2/21/2024</w:t>
            </w:r>
          </w:p>
        </w:tc>
      </w:tr>
    </w:tbl>
    <w:p>
      <w:pPr>
        <w:spacing w:after="0" w:line="200" w:lineRule="exact"/>
        <w:rPr>
          <w:sz w:val="20"/>
          <w:szCs w:val="20"/>
          <w:color w:val="auto"/>
        </w:rPr>
      </w:pPr>
    </w:p>
    <w:p>
      <w:pPr>
        <w:spacing w:after="0" w:line="22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2024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8" w:name="page99"/>
    <w:bookmarkEnd w:id="98"/>
    <w:p>
      <w:pPr>
        <w:ind w:left="3"/>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left="1223" w:right="4840" w:hanging="1223"/>
        <w:spacing w:after="0" w:line="213" w:lineRule="auto"/>
        <w:tabs>
          <w:tab w:leader="none" w:pos="1223"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following materials from the Registrant's Annual Report on Form 10-K for the year ended December 31, 2024 formatted in Inline XBRL: (i) Consolidated Statements of Income, (ii) Consolidated Statements of Comprehensive Income, (iii) Consolidated Balance Sheets, (iv) Consolidated Statements of Cash Flows, (v) Consolidated Statements of Shareholders' Equity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-420370</wp:posOffset>
            </wp:positionV>
            <wp:extent cx="7163435" cy="423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63435" cy="423545"/>
                    </a:xfrm>
                    <a:prstGeom prst="rect">
                      <a:avLst/>
                    </a:prstGeom>
                    <a:noFill/>
                  </pic:spPr>
                </pic:pic>
              </a:graphicData>
            </a:graphic>
          </wp:anchor>
        </w:drawing>
      </w:r>
    </w:p>
    <w:p>
      <w:pPr>
        <w:ind w:left="3"/>
        <w:spacing w:after="0"/>
        <w:tabs>
          <w:tab w:leader="none" w:pos="1202"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716343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pacing w:after="0" w:line="216" w:lineRule="exact"/>
        <w:rPr>
          <w:sz w:val="20"/>
          <w:szCs w:val="20"/>
          <w:color w:val="auto"/>
        </w:rPr>
      </w:pPr>
    </w:p>
    <w:p>
      <w:pPr>
        <w:ind w:left="3"/>
        <w:spacing w:after="0"/>
        <w:rPr>
          <w:sz w:val="20"/>
          <w:szCs w:val="20"/>
          <w:color w:val="auto"/>
        </w:rPr>
      </w:pPr>
      <w:r>
        <w:rPr>
          <w:rFonts w:ascii="Arial" w:cs="Arial" w:eastAsia="Arial" w:hAnsi="Arial"/>
          <w:sz w:val="13"/>
          <w:szCs w:val="13"/>
          <w:color w:val="auto"/>
        </w:rPr>
        <w:t>* Indicates management contract or compensatory plan or arrangement.</w:t>
      </w:r>
    </w:p>
    <w:p>
      <w:pPr>
        <w:spacing w:after="0" w:line="17" w:lineRule="exact"/>
        <w:rPr>
          <w:sz w:val="20"/>
          <w:szCs w:val="20"/>
          <w:color w:val="auto"/>
        </w:rPr>
      </w:pPr>
    </w:p>
    <w:p>
      <w:pPr>
        <w:ind w:left="243" w:right="200" w:hanging="243"/>
        <w:spacing w:after="0" w:line="232" w:lineRule="auto"/>
        <w:tabs>
          <w:tab w:leader="none" w:pos="125" w:val="left"/>
        </w:tabs>
        <w:numPr>
          <w:ilvl w:val="0"/>
          <w:numId w:val="54"/>
        </w:numPr>
        <w:rPr>
          <w:rFonts w:ascii="Arial" w:cs="Arial" w:eastAsia="Arial" w:hAnsi="Arial"/>
          <w:sz w:val="13"/>
          <w:szCs w:val="13"/>
          <w:color w:val="auto"/>
        </w:rPr>
      </w:pPr>
      <w:r>
        <w:rPr>
          <w:rFonts w:ascii="Arial" w:cs="Arial" w:eastAsia="Arial" w:hAnsi="Arial"/>
          <w:sz w:val="13"/>
          <w:szCs w:val="13"/>
          <w:color w:val="auto"/>
        </w:rPr>
        <w:t>Document has been furnished, is deemed not filed and is not to be incorporated by reference into any of Registrant’s filings under the Securities Act of 1933, as amended, or the Securities Exchange Act of 1934, as amended, irrespective of any general incorporation language contained in any such filing.</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ind w:right="-2"/>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53340</wp:posOffset>
            </wp:positionV>
            <wp:extent cx="718883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3"/>
          </w:cols>
          <w:pgMar w:left="317" w:top="156" w:right="319" w:bottom="1440" w:gutter="0" w:footer="0" w:header="0"/>
        </w:sectPr>
      </w:pPr>
    </w:p>
    <w:bookmarkStart w:id="99" w:name="page100"/>
    <w:bookmarkEnd w:id="9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60"/>
        <w:spacing w:after="0" w:line="282"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CONDUENT INCORPORATED</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/s/ </w:t>
      </w:r>
      <w:r>
        <w:rPr>
          <w:rFonts w:ascii="Arial" w:cs="Arial" w:eastAsia="Arial" w:hAnsi="Arial"/>
          <w:sz w:val="13"/>
          <w:szCs w:val="13"/>
          <w:color w:val="auto"/>
        </w:rPr>
        <w:t>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289750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2897505" cy="63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Clifford Skelton</w:t>
      </w:r>
    </w:p>
    <w:p>
      <w:pPr>
        <w:ind w:left="20"/>
        <w:spacing w:after="0"/>
        <w:rPr>
          <w:sz w:val="20"/>
          <w:szCs w:val="20"/>
          <w:color w:val="auto"/>
        </w:rPr>
      </w:pPr>
      <w:r>
        <w:rPr>
          <w:rFonts w:ascii="Arial" w:cs="Arial" w:eastAsia="Arial" w:hAnsi="Arial"/>
          <w:sz w:val="10"/>
          <w:szCs w:val="10"/>
          <w:b w:val="1"/>
          <w:bCs w:val="1"/>
          <w:color w:val="auto"/>
        </w:rPr>
        <w:t>Chief Executive Officer</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February 19, 2025</w:t>
      </w:r>
    </w:p>
    <w:p>
      <w:pPr>
        <w:spacing w:after="0" w:line="260"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gridSpan w:val="2"/>
          </w:tcPr>
          <w:p>
            <w:pPr>
              <w:spacing w:after="0"/>
              <w:rPr>
                <w:sz w:val="20"/>
                <w:szCs w:val="20"/>
                <w:color w:val="auto"/>
              </w:rPr>
            </w:pPr>
            <w:r>
              <w:rPr>
                <w:rFonts w:ascii="Arial" w:cs="Arial" w:eastAsia="Arial" w:hAnsi="Arial"/>
                <w:sz w:val="14"/>
                <w:szCs w:val="14"/>
                <w:color w:val="auto"/>
              </w:rPr>
              <w:t>February 19, 2025</w:t>
            </w:r>
          </w:p>
        </w:tc>
        <w:tc>
          <w:tcPr>
            <w:tcW w:w="3320" w:type="dxa"/>
            <w:vAlign w:val="bottom"/>
          </w:tcPr>
          <w:p>
            <w:pPr>
              <w:spacing w:after="0"/>
              <w:rPr>
                <w:sz w:val="15"/>
                <w:szCs w:val="15"/>
                <w:color w:val="auto"/>
              </w:rPr>
            </w:pPr>
          </w:p>
        </w:tc>
      </w:tr>
      <w:tr>
        <w:trPr>
          <w:trHeight w:val="310"/>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Signature</w:t>
            </w:r>
          </w:p>
        </w:tc>
        <w:tc>
          <w:tcPr>
            <w:tcW w:w="3320" w:type="dxa"/>
            <w:vAlign w:val="bottom"/>
          </w:tcPr>
          <w:p>
            <w:pPr>
              <w:ind w:left="120"/>
              <w:spacing w:after="0"/>
              <w:rPr>
                <w:sz w:val="20"/>
                <w:szCs w:val="20"/>
                <w:color w:val="auto"/>
              </w:rPr>
            </w:pPr>
            <w:r>
              <w:rPr>
                <w:rFonts w:ascii="Arial" w:cs="Arial" w:eastAsia="Arial" w:hAnsi="Arial"/>
                <w:sz w:val="14"/>
                <w:szCs w:val="14"/>
                <w:b w:val="1"/>
                <w:bCs w:val="1"/>
                <w:color w:val="auto"/>
              </w:rPr>
              <w:t>Title</w:t>
            </w:r>
          </w:p>
        </w:tc>
      </w:tr>
      <w:tr>
        <w:trPr>
          <w:trHeight w:val="308"/>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Principal Executive Officer:</w:t>
            </w:r>
          </w:p>
        </w:tc>
        <w:tc>
          <w:tcPr>
            <w:tcW w:w="3320" w:type="dxa"/>
            <w:vAlign w:val="bottom"/>
          </w:tcPr>
          <w:p>
            <w:pPr>
              <w:spacing w:after="0"/>
              <w:rPr>
                <w:sz w:val="24"/>
                <w:szCs w:val="24"/>
                <w:color w:val="auto"/>
              </w:rPr>
            </w:pPr>
          </w:p>
        </w:tc>
      </w:tr>
      <w:tr>
        <w:trPr>
          <w:trHeight w:val="181"/>
        </w:trPr>
        <w:tc>
          <w:tcPr>
            <w:tcW w:w="2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0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CLIFFORD SKELTON</w:t>
            </w:r>
          </w:p>
        </w:tc>
        <w:tc>
          <w:tcPr>
            <w:tcW w:w="3320" w:type="dxa"/>
            <w:vAlign w:val="bottom"/>
          </w:tcPr>
          <w:p>
            <w:pPr>
              <w:ind w:left="120"/>
              <w:spacing w:after="0"/>
              <w:rPr>
                <w:sz w:val="20"/>
                <w:szCs w:val="20"/>
                <w:color w:val="auto"/>
              </w:rPr>
            </w:pPr>
            <w:r>
              <w:rPr>
                <w:rFonts w:ascii="Arial" w:cs="Arial" w:eastAsia="Arial" w:hAnsi="Arial"/>
                <w:sz w:val="14"/>
                <w:szCs w:val="14"/>
                <w:color w:val="auto"/>
              </w:rPr>
              <w:t>President, Chief Executive Officer and Director</w:t>
            </w:r>
          </w:p>
        </w:tc>
      </w:tr>
      <w:tr>
        <w:trPr>
          <w:trHeight w:val="144"/>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Clifford Skelton</w:t>
            </w:r>
          </w:p>
        </w:tc>
        <w:tc>
          <w:tcPr>
            <w:tcW w:w="3320" w:type="dxa"/>
            <w:vAlign w:val="bottom"/>
          </w:tcPr>
          <w:p>
            <w:pPr>
              <w:spacing w:after="0"/>
              <w:rPr>
                <w:sz w:val="12"/>
                <w:szCs w:val="12"/>
                <w:color w:val="auto"/>
              </w:rPr>
            </w:pPr>
          </w:p>
        </w:tc>
      </w:tr>
      <w:tr>
        <w:trPr>
          <w:trHeight w:val="175"/>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Principal Financial Officer:</w:t>
            </w:r>
          </w:p>
        </w:tc>
        <w:tc>
          <w:tcPr>
            <w:tcW w:w="3320" w:type="dxa"/>
            <w:vAlign w:val="bottom"/>
          </w:tcPr>
          <w:p>
            <w:pPr>
              <w:spacing w:after="0"/>
              <w:rPr>
                <w:sz w:val="15"/>
                <w:szCs w:val="15"/>
                <w:color w:val="auto"/>
              </w:rPr>
            </w:pPr>
          </w:p>
        </w:tc>
      </w:tr>
      <w:tr>
        <w:trPr>
          <w:trHeight w:val="184"/>
        </w:trPr>
        <w:tc>
          <w:tcPr>
            <w:tcW w:w="200" w:type="dxa"/>
            <w:vAlign w:val="bottom"/>
          </w:tcPr>
          <w:p>
            <w:pPr>
              <w:ind w:left="20"/>
              <w:spacing w:after="0"/>
              <w:rPr>
                <w:sz w:val="20"/>
                <w:szCs w:val="20"/>
                <w:color w:val="auto"/>
              </w:rPr>
            </w:pPr>
            <w:r>
              <w:rPr>
                <w:rFonts w:ascii="Arial" w:cs="Arial" w:eastAsia="Arial" w:hAnsi="Arial"/>
                <w:sz w:val="11"/>
                <w:szCs w:val="11"/>
                <w:color w:val="auto"/>
              </w:rPr>
              <w:t>/s/</w:t>
            </w:r>
          </w:p>
        </w:tc>
        <w:tc>
          <w:tcPr>
            <w:tcW w:w="4080" w:type="dxa"/>
            <w:vAlign w:val="bottom"/>
          </w:tcPr>
          <w:p>
            <w:pPr>
              <w:ind w:left="80"/>
              <w:spacing w:after="0"/>
              <w:rPr>
                <w:sz w:val="20"/>
                <w:szCs w:val="20"/>
                <w:color w:val="auto"/>
              </w:rPr>
            </w:pPr>
            <w:r>
              <w:rPr>
                <w:rFonts w:ascii="Arial" w:cs="Arial" w:eastAsia="Arial" w:hAnsi="Arial"/>
                <w:sz w:val="14"/>
                <w:szCs w:val="14"/>
                <w:color w:val="auto"/>
              </w:rPr>
              <w:t>STEPHEN WOOD</w:t>
            </w:r>
          </w:p>
        </w:tc>
        <w:tc>
          <w:tcPr>
            <w:tcW w:w="3320" w:type="dxa"/>
            <w:vAlign w:val="bottom"/>
          </w:tcPr>
          <w:p>
            <w:pPr>
              <w:ind w:left="120"/>
              <w:spacing w:after="0"/>
              <w:rPr>
                <w:sz w:val="20"/>
                <w:szCs w:val="20"/>
                <w:color w:val="auto"/>
              </w:rPr>
            </w:pPr>
            <w:r>
              <w:rPr>
                <w:rFonts w:ascii="Arial" w:cs="Arial" w:eastAsia="Arial" w:hAnsi="Arial"/>
                <w:sz w:val="14"/>
                <w:szCs w:val="14"/>
                <w:color w:val="auto"/>
                <w:w w:val="98"/>
              </w:rPr>
              <w:t>Executive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71843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2718435"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Stephen Wood</w:t>
      </w:r>
    </w:p>
    <w:p>
      <w:pPr>
        <w:sectPr>
          <w:pgSz w:w="11900" w:h="16838" w:orient="portrait"/>
          <w:cols w:equalWidth="0" w:num="1">
            <w:col w:w="11280"/>
          </w:cols>
          <w:pgMar w:left="300" w:top="156" w:right="319" w:bottom="1440" w:gutter="0" w:footer="0" w:header="0"/>
        </w:sectPr>
      </w:pP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Principal Accounting Officer:</w:t>
      </w:r>
    </w:p>
    <w:p>
      <w:pPr>
        <w:spacing w:after="0" w:line="28"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4"/>
          <w:szCs w:val="14"/>
          <w:color w:val="auto"/>
        </w:rPr>
        <w:t>GEORGE ABATE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271843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2718435" cy="635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George Abate</w:t>
      </w:r>
    </w:p>
    <w:p>
      <w:pPr>
        <w:spacing w:after="0" w:line="251" w:lineRule="exact"/>
        <w:rPr>
          <w:sz w:val="20"/>
          <w:szCs w:val="20"/>
          <w:color w:val="auto"/>
        </w:rPr>
      </w:pPr>
    </w:p>
    <w:p>
      <w:pPr>
        <w:ind w:left="20"/>
        <w:spacing w:after="0"/>
        <w:tabs>
          <w:tab w:leader="none" w:pos="20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3"/>
          <w:szCs w:val="13"/>
          <w:color w:val="auto"/>
        </w:rPr>
        <w:t>KATHY HIGGINS VICTOR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271843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2718435" cy="63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Kathy Higgins Victor</w:t>
      </w:r>
    </w:p>
    <w:p>
      <w:pPr>
        <w:spacing w:after="0" w:line="24"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4"/>
          <w:szCs w:val="14"/>
          <w:color w:val="auto"/>
        </w:rPr>
        <w:t>SCOTT LETIER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271843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2718435" cy="63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Scott Letier</w:t>
      </w:r>
    </w:p>
    <w:p>
      <w:pPr>
        <w:spacing w:after="0" w:line="24" w:lineRule="exact"/>
        <w:rPr>
          <w:sz w:val="20"/>
          <w:szCs w:val="20"/>
          <w:color w:val="auto"/>
        </w:rPr>
      </w:pPr>
    </w:p>
    <w:p>
      <w:pPr>
        <w:ind w:left="20"/>
        <w:spacing w:after="0"/>
        <w:tabs>
          <w:tab w:leader="none" w:pos="24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4"/>
          <w:szCs w:val="14"/>
          <w:color w:val="auto"/>
        </w:rPr>
        <w:t>MICHAEL MONTELONGO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271843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2718435" cy="63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Michael Montelongo</w:t>
      </w:r>
    </w:p>
    <w:p>
      <w:pPr>
        <w:spacing w:after="0" w:line="32" w:lineRule="exact"/>
        <w:rPr>
          <w:sz w:val="20"/>
          <w:szCs w:val="20"/>
          <w:color w:val="auto"/>
        </w:rPr>
      </w:pPr>
    </w:p>
    <w:p>
      <w:pPr>
        <w:ind w:left="20"/>
        <w:spacing w:after="0"/>
        <w:tabs>
          <w:tab w:leader="none" w:pos="200" w:val="left"/>
        </w:tabs>
        <w:rPr>
          <w:sz w:val="20"/>
          <w:szCs w:val="20"/>
          <w:color w:val="auto"/>
        </w:rPr>
      </w:pPr>
      <w:r>
        <w:rPr>
          <w:rFonts w:ascii="Arial" w:cs="Arial" w:eastAsia="Arial" w:hAnsi="Arial"/>
          <w:sz w:val="11"/>
          <w:szCs w:val="11"/>
          <w:color w:val="auto"/>
        </w:rPr>
        <w:t>/s/</w:t>
      </w:r>
      <w:r>
        <w:rPr>
          <w:sz w:val="20"/>
          <w:szCs w:val="20"/>
          <w:color w:val="auto"/>
        </w:rPr>
        <w:tab/>
      </w:r>
      <w:r>
        <w:rPr>
          <w:rFonts w:ascii="Arial" w:cs="Arial" w:eastAsia="Arial" w:hAnsi="Arial"/>
          <w:sz w:val="13"/>
          <w:szCs w:val="13"/>
          <w:color w:val="auto"/>
        </w:rPr>
        <w:t>MARGARITA PALÁU-HERNÁNDEZ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271843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2718435" cy="635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Margarita Paláu-Hernández</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Vice President and Chief Accounting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Director and Chairman of the Board</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361" w:lineRule="exact"/>
        <w:rPr>
          <w:sz w:val="20"/>
          <w:szCs w:val="20"/>
          <w:color w:val="auto"/>
        </w:rPr>
      </w:pPr>
    </w:p>
    <w:p>
      <w:pPr>
        <w:sectPr>
          <w:pgSz w:w="11900" w:h="16838" w:orient="portrait"/>
          <w:cols w:equalWidth="0" w:num="2">
            <w:col w:w="3680" w:space="720"/>
            <w:col w:w="6880"/>
          </w:cols>
          <w:pgMar w:left="300" w:top="15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2024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80"/>
          </w:cols>
          <w:pgMar w:left="300" w:top="156" w:right="31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5"/>
          <w:szCs w:val="15"/>
          <w:color w:val="auto"/>
        </w:rPr>
        <w:t>Exhibit 10.4(b)</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CONDUENT INCORPORATED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AMENDED AND RESTATED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CHANGE IN CONTROL SEVERANCE PLAN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Article I</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Introduction</w:t>
      </w:r>
    </w:p>
    <w:p>
      <w:pPr>
        <w:spacing w:after="0" w:line="140" w:lineRule="exact"/>
        <w:rPr>
          <w:sz w:val="20"/>
          <w:szCs w:val="20"/>
          <w:color w:val="auto"/>
        </w:rPr>
      </w:pPr>
    </w:p>
    <w:p>
      <w:pPr>
        <w:ind w:right="40" w:firstLine="500"/>
        <w:spacing w:after="0" w:line="262" w:lineRule="auto"/>
        <w:rPr>
          <w:sz w:val="20"/>
          <w:szCs w:val="20"/>
          <w:color w:val="auto"/>
        </w:rPr>
      </w:pPr>
      <w:r>
        <w:rPr>
          <w:rFonts w:ascii="Times New Roman" w:cs="Times New Roman" w:eastAsia="Times New Roman" w:hAnsi="Times New Roman"/>
          <w:sz w:val="15"/>
          <w:szCs w:val="15"/>
          <w:color w:val="auto"/>
        </w:rPr>
        <w:t>The Board of Directors of Conduent Incorporated considers the maintenance of a sound management to be essential to protecting and enhancing the best interests of the Company (as hereinafter defined) and its shareholders. In this connection, the Company recognizes that, as with many publicly held corporations, the possibility of a Change in Control (as hereinafter defined) may exist from time to time, and that this possibility, and the uncertainty raised by this possibility may cause the departure or distraction of management personnel to the detriment of the Company and its shareholders. Accordingly, the Board (as hereinafter defined) has determined that appropriate steps should be taken to encourage the continued attention and dedication of members of the Company’s management to their assigned duties without the distraction which may arise from the possibility of a Change in Control, although no such change is now contemplated.</w:t>
      </w:r>
    </w:p>
    <w:p>
      <w:pPr>
        <w:spacing w:after="0" w:line="200" w:lineRule="exact"/>
        <w:rPr>
          <w:sz w:val="20"/>
          <w:szCs w:val="20"/>
          <w:color w:val="auto"/>
        </w:rPr>
      </w:pPr>
    </w:p>
    <w:p>
      <w:pPr>
        <w:spacing w:after="0" w:line="212" w:lineRule="exact"/>
        <w:rPr>
          <w:sz w:val="20"/>
          <w:szCs w:val="20"/>
          <w:color w:val="auto"/>
        </w:rPr>
      </w:pPr>
    </w:p>
    <w:p>
      <w:pPr>
        <w:ind w:right="60" w:firstLine="500"/>
        <w:spacing w:after="0" w:line="259" w:lineRule="auto"/>
        <w:rPr>
          <w:sz w:val="20"/>
          <w:szCs w:val="20"/>
          <w:color w:val="auto"/>
        </w:rPr>
      </w:pPr>
      <w:r>
        <w:rPr>
          <w:rFonts w:ascii="Times New Roman" w:cs="Times New Roman" w:eastAsia="Times New Roman" w:hAnsi="Times New Roman"/>
          <w:sz w:val="15"/>
          <w:szCs w:val="15"/>
          <w:color w:val="auto"/>
        </w:rPr>
        <w:t>This Amended and Restated Executive Change in Control Severance Plan does not alter the status of Participants (as hereinafter defined) as at-will employees of the Company. Just as Participants remain free to leave the employ of the Company at any time, so too does the Company retain its right to terminate the employment of Participants without notice, at any time, for any reason. However, the Company believes that, both prior to and at the time a Change in Control is anticipated or occurring, it is necessary to have the continued attention and dedication of Participants to their assigned duties without distraction, and this Plan is intended as an inducement for Participants’ willingness to continue to serve as employees of the Company (subject, however, to either party’s right to terminate such employment at any time). Therefore, should a Participant still be an employee of the Company at such time, the Company agrees that such Participant shall receive the severance benefits hereinafter set forth in the event the Participant’s employment with the Company terminates under the circumstances described below.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Article II</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Establishment of Plan</w:t>
      </w:r>
    </w:p>
    <w:p>
      <w:pPr>
        <w:spacing w:after="0" w:line="140" w:lineRule="exact"/>
        <w:rPr>
          <w:sz w:val="20"/>
          <w:szCs w:val="20"/>
          <w:color w:val="auto"/>
        </w:rPr>
      </w:pPr>
    </w:p>
    <w:p>
      <w:pPr>
        <w:ind w:firstLine="500"/>
        <w:spacing w:after="0" w:line="262" w:lineRule="auto"/>
        <w:rPr>
          <w:sz w:val="20"/>
          <w:szCs w:val="20"/>
          <w:color w:val="auto"/>
        </w:rPr>
      </w:pPr>
      <w:r>
        <w:rPr>
          <w:rFonts w:ascii="Times New Roman" w:cs="Times New Roman" w:eastAsia="Times New Roman" w:hAnsi="Times New Roman"/>
          <w:sz w:val="15"/>
          <w:szCs w:val="15"/>
          <w:color w:val="auto"/>
        </w:rPr>
        <w:t>As of February 5, 2021, the Company establishes the Conduent Incorporated Amended and Restated Executive Change in Control Severance Plan, as set forth in this document. All payments pursuant to the Plan shall be made from the general funds of the Company and no special or separate fund shall be established or other segregation of assets made to assure payment. No Participant or other person shall have under any circumstances any interest in any particular property or assets of the Company as a result of participating in the Plan. Notwithstanding the foregoing, the Company may (but shall not be obligated to) create one (1) or more grantor trusts, the assets of which are subject to the claims of the Company’s creditors, to assist it in accumulating funds to pay its obligations under the Plan. It is intended that this Plan comply with Section 409A of the Code (as hereinafter defined) and the regulations thereunder and shall be construed and interpreted in a manner consistent with such intention. This Plan is</w:t>
      </w:r>
    </w:p>
    <w:p>
      <w:pPr>
        <w:sectPr>
          <w:pgSz w:w="11900" w:h="16838" w:orient="portrait"/>
          <w:cols w:equalWidth="0" w:num="1">
            <w:col w:w="11280"/>
          </w:cols>
          <w:pgMar w:left="300" w:top="164" w:right="319" w:bottom="1440" w:gutter="0" w:footer="0" w:header="0"/>
        </w:sectPr>
      </w:pPr>
    </w:p>
    <w:bookmarkStart w:id="101" w:name="page102"/>
    <w:bookmarkEnd w:id="101"/>
    <w:p>
      <w:pPr>
        <w:ind w:right="120"/>
        <w:spacing w:after="0" w:line="267" w:lineRule="auto"/>
        <w:rPr>
          <w:sz w:val="20"/>
          <w:szCs w:val="20"/>
          <w:color w:val="auto"/>
        </w:rPr>
      </w:pPr>
      <w:r>
        <w:rPr>
          <w:rFonts w:ascii="Times New Roman" w:cs="Times New Roman" w:eastAsia="Times New Roman" w:hAnsi="Times New Roman"/>
          <w:sz w:val="15"/>
          <w:szCs w:val="15"/>
          <w:color w:val="auto"/>
        </w:rPr>
        <w:t>intended to replace the “Amended and Restated Severance Letter Agreement Providing Certain Benefits Upon A Termination of Employment Following a Change in Control” that Participants entered into with the Xerox Corporation prior to January 1, 2017 and the “Conduent Incorporated Executive Change in Control Severance Plan” that Participants entered into with the Company prior to February 5, 2021 (together the “Prior Agreements”). A schedule of the Prior Agreements is attached as Appendix A. The Plan shall be administered by the Compensation Committee of the Board (the “Committee”), except as provided Article XVIII.</w:t>
      </w:r>
    </w:p>
    <w:p>
      <w:pPr>
        <w:spacing w:after="0" w:line="39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5"/>
          <w:szCs w:val="15"/>
          <w:u w:val="single" w:color="auto"/>
          <w:color w:val="auto"/>
        </w:rPr>
        <w:t>Article III</w:t>
      </w:r>
    </w:p>
    <w:p>
      <w:pPr>
        <w:spacing w:after="0" w:line="14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5"/>
          <w:szCs w:val="15"/>
          <w:u w:val="single" w:color="auto"/>
          <w:color w:val="auto"/>
        </w:rPr>
        <w:t>Definitions</w:t>
      </w:r>
    </w:p>
    <w:p>
      <w:pPr>
        <w:spacing w:after="0" w:line="140" w:lineRule="exact"/>
        <w:rPr>
          <w:sz w:val="20"/>
          <w:szCs w:val="20"/>
          <w:color w:val="auto"/>
        </w:rPr>
      </w:pPr>
    </w:p>
    <w:p>
      <w:pPr>
        <w:ind w:left="980" w:hanging="324"/>
        <w:spacing w:after="0"/>
        <w:tabs>
          <w:tab w:leader="none" w:pos="980"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Board</w:t>
      </w:r>
      <w:r>
        <w:rPr>
          <w:rFonts w:ascii="Times New Roman" w:cs="Times New Roman" w:eastAsia="Times New Roman" w:hAnsi="Times New Roman"/>
          <w:sz w:val="15"/>
          <w:szCs w:val="15"/>
          <w:color w:val="auto"/>
        </w:rPr>
        <w:t xml:space="preserve"> shall mean the Board of Directors of the Company.</w:t>
      </w:r>
    </w:p>
    <w:p>
      <w:pPr>
        <w:spacing w:after="0" w:line="129" w:lineRule="exact"/>
        <w:rPr>
          <w:rFonts w:ascii="Times New Roman" w:cs="Times New Roman" w:eastAsia="Times New Roman" w:hAnsi="Times New Roman"/>
          <w:sz w:val="15"/>
          <w:szCs w:val="15"/>
          <w:color w:val="auto"/>
        </w:rPr>
      </w:pPr>
    </w:p>
    <w:p>
      <w:pPr>
        <w:ind w:left="980" w:hanging="324"/>
        <w:spacing w:after="0"/>
        <w:tabs>
          <w:tab w:leader="none" w:pos="980"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Change in Control</w:t>
      </w:r>
      <w:r>
        <w:rPr>
          <w:rFonts w:ascii="Times New Roman" w:cs="Times New Roman" w:eastAsia="Times New Roman" w:hAnsi="Times New Roman"/>
          <w:sz w:val="15"/>
          <w:szCs w:val="15"/>
          <w:color w:val="auto"/>
        </w:rPr>
        <w:t xml:space="preserve"> of the Company shall be deemed to have occurred if:</w:t>
      </w:r>
    </w:p>
    <w:p>
      <w:pPr>
        <w:spacing w:after="0" w:line="140" w:lineRule="exact"/>
        <w:rPr>
          <w:rFonts w:ascii="Times New Roman" w:cs="Times New Roman" w:eastAsia="Times New Roman" w:hAnsi="Times New Roman"/>
          <w:sz w:val="15"/>
          <w:szCs w:val="15"/>
          <w:color w:val="auto"/>
        </w:rPr>
      </w:pPr>
    </w:p>
    <w:p>
      <w:pPr>
        <w:ind w:right="340" w:firstLine="809"/>
        <w:spacing w:after="0" w:line="271" w:lineRule="auto"/>
        <w:tabs>
          <w:tab w:leader="none" w:pos="1094" w:val="left"/>
        </w:tabs>
        <w:numPr>
          <w:ilvl w:val="2"/>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“Person” is or becomes a “beneficial owner” (as defined in Rule 13d-3 under the Exchange Act), directly or indirectly, of securities of the Company (not including in the securities beneficially owned by such Person any securities acquired directly from the Company or its affiliates) representing 50% or more of the combined voting power of the Company’s then outstanding securities;</w:t>
      </w:r>
    </w:p>
    <w:p>
      <w:pPr>
        <w:spacing w:after="0" w:line="92" w:lineRule="exact"/>
        <w:rPr>
          <w:rFonts w:ascii="Times New Roman" w:cs="Times New Roman" w:eastAsia="Times New Roman" w:hAnsi="Times New Roman"/>
          <w:sz w:val="15"/>
          <w:szCs w:val="15"/>
          <w:color w:val="auto"/>
        </w:rPr>
      </w:pPr>
    </w:p>
    <w:p>
      <w:pPr>
        <w:ind w:right="140" w:firstLine="809"/>
        <w:spacing w:after="0" w:line="262" w:lineRule="auto"/>
        <w:tabs>
          <w:tab w:leader="none" w:pos="1142" w:val="left"/>
        </w:tabs>
        <w:numPr>
          <w:ilvl w:val="2"/>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individuals (referred to herein as the “Incumbent Board”) cease for any reason to constitute a majority of the directors then serving: (A) individuals who, on the date hereof constitute the Board, and (B)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of the directors then still in office who were directors on the date hereof or whose appointment, election or nomination for election was previously so approved or recommended;</w:t>
      </w:r>
    </w:p>
    <w:p>
      <w:pPr>
        <w:spacing w:after="0" w:line="100" w:lineRule="exact"/>
        <w:rPr>
          <w:rFonts w:ascii="Times New Roman" w:cs="Times New Roman" w:eastAsia="Times New Roman" w:hAnsi="Times New Roman"/>
          <w:sz w:val="15"/>
          <w:szCs w:val="15"/>
          <w:color w:val="auto"/>
        </w:rPr>
      </w:pPr>
    </w:p>
    <w:p>
      <w:pPr>
        <w:ind w:firstLine="809"/>
        <w:spacing w:after="0" w:line="260" w:lineRule="auto"/>
        <w:tabs>
          <w:tab w:leader="none" w:pos="1184" w:val="left"/>
        </w:tabs>
        <w:numPr>
          <w:ilvl w:val="2"/>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consummated a merger or consolidation of the Company with any other corporation, other than (A) a merger or consolidation which results in the directors of the Company who were members of the Incumbent Board immediately before such merger or consolidation continuing to constitute at least a majority of the board of directors of the Company, the surviving entity or any parent thereof for a period of 90 days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50% or more of the combined voting power of the Company's then outstanding voting securities; or</w:t>
      </w:r>
    </w:p>
    <w:p>
      <w:pPr>
        <w:spacing w:after="0" w:line="284" w:lineRule="exact"/>
        <w:rPr>
          <w:rFonts w:ascii="Times New Roman" w:cs="Times New Roman" w:eastAsia="Times New Roman" w:hAnsi="Times New Roman"/>
          <w:sz w:val="15"/>
          <w:szCs w:val="15"/>
          <w:color w:val="auto"/>
        </w:rPr>
      </w:pPr>
    </w:p>
    <w:p>
      <w:pPr>
        <w:ind w:right="100" w:firstLine="809"/>
        <w:spacing w:after="0" w:line="259" w:lineRule="auto"/>
        <w:tabs>
          <w:tab w:leader="none" w:pos="1176" w:val="left"/>
        </w:tabs>
        <w:numPr>
          <w:ilvl w:val="2"/>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shareholders of the Company approve a plan of complete liquidation or dissolution of the Company, or upon the closing of the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stockholders immediately after the sale or disposition of the Company in substantially the same proportions as their ownership of the Company immediately before such sale. For purposes of the definition of Change in Control, Person shall have the meaning given in Section 3(a)</w:t>
      </w:r>
    </w:p>
    <w:p>
      <w:pPr>
        <w:ind w:left="220" w:hanging="217"/>
        <w:spacing w:after="0"/>
        <w:tabs>
          <w:tab w:leader="none" w:pos="22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1934 Act, as modified and used in Section 13(d) and 14(d) of the 1934 Act, except that such term shall not include Excluded Persons. “Excluded Persons” shall mean (1)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 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80"/>
          </w:cols>
          <w:pgMar w:left="300" w:top="1123" w:right="319" w:bottom="1440" w:gutter="0" w:footer="0" w:header="0"/>
        </w:sectPr>
      </w:pPr>
    </w:p>
    <w:bookmarkStart w:id="102" w:name="page103"/>
    <w:bookmarkEnd w:id="102"/>
    <w:p>
      <w:pPr>
        <w:spacing w:after="0" w:line="261" w:lineRule="auto"/>
        <w:rPr>
          <w:sz w:val="20"/>
          <w:szCs w:val="20"/>
          <w:color w:val="auto"/>
        </w:rPr>
      </w:pPr>
      <w:r>
        <w:rPr>
          <w:rFonts w:ascii="Times New Roman" w:cs="Times New Roman" w:eastAsia="Times New Roman" w:hAnsi="Times New Roman"/>
          <w:sz w:val="15"/>
          <w:szCs w:val="15"/>
          <w:color w:val="auto"/>
        </w:rPr>
        <w:t>its subsidiaries, (2) any trustee or other fiduciary holding securities under an employee benefit plan of the Company or any subsidiary of the Company, (3) any company owned, directly or indirectly, by the shareholders of the Company in substantially the same proportions as their ownership of stock of the Company, (4) any person who becomes a beneficial owner in connection with a transaction described in sub clause (A) of clause (iii) above, (5) an underwriter temporarily holding securities of the Company pursuant to an offering of such securities, or (6) an individual, entity or group who is permitted to, and actually does, report its beneficial ownership on Schedule 13G (or any successor Schedule), provided that if any Excluded Person described in clause (6) subsequently becomes required to or does report its beneficial ownership on Schedule 13D (or any successor Schedule), then, for purposes of this definition, such individual, entity or group shall no longer be considered an Excluded Person and shall be deemed to have first acquired beneficial ownership of securities of the Company on the first date on which such individual, entity or group becomes required to or does so report on such Schedule.</w:t>
      </w:r>
    </w:p>
    <w:p>
      <w:pPr>
        <w:spacing w:after="0" w:line="93"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Code</w:t>
      </w:r>
      <w:r>
        <w:rPr>
          <w:rFonts w:ascii="Times New Roman" w:cs="Times New Roman" w:eastAsia="Times New Roman" w:hAnsi="Times New Roman"/>
          <w:sz w:val="15"/>
          <w:szCs w:val="15"/>
          <w:color w:val="auto"/>
        </w:rPr>
        <w:t xml:space="preserve"> shall mean the Internal Revenue Code of 1986, as amended.</w:t>
      </w:r>
    </w:p>
    <w:p>
      <w:pPr>
        <w:spacing w:after="0" w:line="140" w:lineRule="exact"/>
        <w:rPr>
          <w:rFonts w:ascii="Times New Roman" w:cs="Times New Roman" w:eastAsia="Times New Roman" w:hAnsi="Times New Roman"/>
          <w:sz w:val="15"/>
          <w:szCs w:val="15"/>
          <w:color w:val="auto"/>
        </w:rPr>
      </w:pPr>
    </w:p>
    <w:p>
      <w:pPr>
        <w:ind w:right="240" w:firstLine="656"/>
        <w:spacing w:after="0" w:line="281" w:lineRule="auto"/>
        <w:tabs>
          <w:tab w:leader="none" w:pos="983"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xml:space="preserve"> shall mean Conduent Incorporated or any successor thereto, including any successor to its business and/or assets which assumes and agrees to perform the duties of the Company described in this Plan by operation of law or otherwise.</w:t>
      </w:r>
    </w:p>
    <w:p>
      <w:pPr>
        <w:spacing w:after="0" w:line="85" w:lineRule="exact"/>
        <w:rPr>
          <w:rFonts w:ascii="Times New Roman" w:cs="Times New Roman" w:eastAsia="Times New Roman" w:hAnsi="Times New Roman"/>
          <w:sz w:val="15"/>
          <w:szCs w:val="15"/>
          <w:color w:val="auto"/>
        </w:rPr>
      </w:pPr>
    </w:p>
    <w:p>
      <w:pPr>
        <w:ind w:left="980" w:hanging="324"/>
        <w:spacing w:after="0"/>
        <w:tabs>
          <w:tab w:leader="none" w:pos="9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Date of Termination</w:t>
      </w:r>
      <w:r>
        <w:rPr>
          <w:rFonts w:ascii="Times New Roman" w:cs="Times New Roman" w:eastAsia="Times New Roman" w:hAnsi="Times New Roman"/>
          <w:sz w:val="15"/>
          <w:szCs w:val="15"/>
          <w:color w:val="auto"/>
        </w:rPr>
        <w:t xml:space="preserve"> shall mean:</w:t>
      </w:r>
    </w:p>
    <w:p>
      <w:pPr>
        <w:spacing w:after="0" w:line="140" w:lineRule="exact"/>
        <w:rPr>
          <w:rFonts w:ascii="Times New Roman" w:cs="Times New Roman" w:eastAsia="Times New Roman" w:hAnsi="Times New Roman"/>
          <w:sz w:val="15"/>
          <w:szCs w:val="15"/>
          <w:color w:val="auto"/>
        </w:rPr>
      </w:pPr>
    </w:p>
    <w:p>
      <w:pPr>
        <w:ind w:right="220" w:firstLine="809"/>
        <w:spacing w:after="0" w:line="281" w:lineRule="auto"/>
        <w:tabs>
          <w:tab w:leader="none" w:pos="1102"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Participant’s employment is terminated pursuant to a Termination by the Company For Disability, thirty (30) days after Notice of Termination is given (if the Participant does not return to the performance of his/her duties on a full-time basis during such thirty (30) day period); and</w:t>
      </w:r>
    </w:p>
    <w:p>
      <w:pPr>
        <w:spacing w:after="0" w:line="85" w:lineRule="exact"/>
        <w:rPr>
          <w:rFonts w:ascii="Times New Roman" w:cs="Times New Roman" w:eastAsia="Times New Roman" w:hAnsi="Times New Roman"/>
          <w:sz w:val="15"/>
          <w:szCs w:val="15"/>
          <w:color w:val="auto"/>
        </w:rPr>
      </w:pPr>
    </w:p>
    <w:p>
      <w:pPr>
        <w:ind w:left="1140" w:hanging="331"/>
        <w:spacing w:after="0"/>
        <w:tabs>
          <w:tab w:leader="none" w:pos="114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Participant’s employment is terminated for any other reason, the date specified in the Notice of Termination, subject to clauses (iii), (iv) and (vi) of this</w:t>
      </w:r>
    </w:p>
    <w:p>
      <w:pPr>
        <w:spacing w:after="0" w:line="20"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subsection.</w:t>
      </w:r>
    </w:p>
    <w:p>
      <w:pPr>
        <w:spacing w:after="0" w:line="124" w:lineRule="exact"/>
        <w:rPr>
          <w:rFonts w:ascii="Times New Roman" w:cs="Times New Roman" w:eastAsia="Times New Roman" w:hAnsi="Times New Roman"/>
          <w:sz w:val="15"/>
          <w:szCs w:val="15"/>
          <w:color w:val="auto"/>
        </w:rPr>
      </w:pPr>
    </w:p>
    <w:p>
      <w:pPr>
        <w:ind w:left="1200" w:hanging="391"/>
        <w:spacing w:after="0"/>
        <w:tabs>
          <w:tab w:leader="none" w:pos="120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Termination by the Company Without Cause, the specified date shall not be less than thirty (30) days from the date the Notice of Termination is</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given.</w:t>
      </w:r>
    </w:p>
    <w:p>
      <w:pPr>
        <w:spacing w:after="0" w:line="119" w:lineRule="exact"/>
        <w:rPr>
          <w:rFonts w:ascii="Times New Roman" w:cs="Times New Roman" w:eastAsia="Times New Roman" w:hAnsi="Times New Roman"/>
          <w:sz w:val="15"/>
          <w:szCs w:val="15"/>
          <w:color w:val="auto"/>
        </w:rPr>
      </w:pPr>
    </w:p>
    <w:p>
      <w:pPr>
        <w:ind w:right="220" w:firstLine="809"/>
        <w:spacing w:after="0" w:line="296" w:lineRule="auto"/>
        <w:tabs>
          <w:tab w:leader="none" w:pos="1178"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Termination by the Participant For Good Reason, the specified date shall not be less than fifteen (15) days nor more than sixty (60) days, from the date the Notice of Termination is given subject to subsection (o) of Article III.</w:t>
      </w:r>
    </w:p>
    <w:p>
      <w:pPr>
        <w:spacing w:after="0" w:line="64" w:lineRule="exact"/>
        <w:rPr>
          <w:rFonts w:ascii="Times New Roman" w:cs="Times New Roman" w:eastAsia="Times New Roman" w:hAnsi="Times New Roman"/>
          <w:sz w:val="15"/>
          <w:szCs w:val="15"/>
          <w:color w:val="auto"/>
        </w:rPr>
      </w:pPr>
    </w:p>
    <w:p>
      <w:pPr>
        <w:ind w:left="1140" w:hanging="331"/>
        <w:spacing w:after="0"/>
        <w:tabs>
          <w:tab w:leader="none" w:pos="1140"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Termination By the Death of the Participant, the specified date shall be the date of the Participant’s death.</w:t>
      </w:r>
    </w:p>
    <w:p>
      <w:pPr>
        <w:spacing w:after="0" w:line="140" w:lineRule="exact"/>
        <w:rPr>
          <w:rFonts w:ascii="Times New Roman" w:cs="Times New Roman" w:eastAsia="Times New Roman" w:hAnsi="Times New Roman"/>
          <w:sz w:val="15"/>
          <w:szCs w:val="15"/>
          <w:color w:val="auto"/>
        </w:rPr>
      </w:pPr>
    </w:p>
    <w:p>
      <w:pPr>
        <w:ind w:right="200" w:firstLine="809"/>
        <w:spacing w:after="0" w:line="281" w:lineRule="auto"/>
        <w:tabs>
          <w:tab w:leader="none" w:pos="1178" w:val="left"/>
        </w:tabs>
        <w:numPr>
          <w:ilvl w:val="1"/>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 event shall the Date of Termination occur until the Participant experiences a “separation from service” within the meaning of Section 409A of the Code, and the date on which such separation from service takes place shall be the “Date of Termination.”</w:t>
      </w:r>
    </w:p>
    <w:p>
      <w:pPr>
        <w:spacing w:after="0" w:line="85" w:lineRule="exact"/>
        <w:rPr>
          <w:rFonts w:ascii="Times New Roman" w:cs="Times New Roman" w:eastAsia="Times New Roman" w:hAnsi="Times New Roman"/>
          <w:sz w:val="15"/>
          <w:szCs w:val="15"/>
          <w:color w:val="auto"/>
        </w:rPr>
      </w:pPr>
    </w:p>
    <w:p>
      <w:pPr>
        <w:ind w:right="460" w:firstLine="656"/>
        <w:spacing w:after="0" w:line="296" w:lineRule="auto"/>
        <w:tabs>
          <w:tab w:leader="none" w:pos="958"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Disability</w:t>
      </w:r>
      <w:r>
        <w:rPr>
          <w:rFonts w:ascii="Times New Roman" w:cs="Times New Roman" w:eastAsia="Times New Roman" w:hAnsi="Times New Roman"/>
          <w:sz w:val="15"/>
          <w:szCs w:val="15"/>
          <w:color w:val="auto"/>
        </w:rPr>
        <w:t xml:space="preserve"> shall mean a physical or mental incapacity incurred after a Potential Change in Control which would allow the Participant to receive benefits under the Company's Long-Term Disability Income Plan (or any substitute plans adopted before a Change in Control).</w:t>
      </w:r>
    </w:p>
    <w:p>
      <w:pPr>
        <w:spacing w:after="0" w:line="64" w:lineRule="exact"/>
        <w:rPr>
          <w:rFonts w:ascii="Times New Roman" w:cs="Times New Roman" w:eastAsia="Times New Roman" w:hAnsi="Times New Roman"/>
          <w:sz w:val="15"/>
          <w:szCs w:val="15"/>
          <w:color w:val="auto"/>
        </w:rPr>
      </w:pPr>
    </w:p>
    <w:p>
      <w:pPr>
        <w:ind w:left="980" w:hanging="324"/>
        <w:spacing w:after="0"/>
        <w:tabs>
          <w:tab w:leader="none" w:pos="9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xml:space="preserve"> shall mean the Securities Exchange Act of 1934, as amended.</w:t>
      </w:r>
    </w:p>
    <w:p>
      <w:pPr>
        <w:spacing w:after="0" w:line="140" w:lineRule="exact"/>
        <w:rPr>
          <w:rFonts w:ascii="Times New Roman" w:cs="Times New Roman" w:eastAsia="Times New Roman" w:hAnsi="Times New Roman"/>
          <w:sz w:val="15"/>
          <w:szCs w:val="15"/>
          <w:color w:val="auto"/>
        </w:rPr>
      </w:pPr>
    </w:p>
    <w:p>
      <w:pPr>
        <w:ind w:left="980" w:hanging="324"/>
        <w:spacing w:after="0"/>
        <w:tabs>
          <w:tab w:leader="none" w:pos="9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 of Termination</w:t>
      </w:r>
      <w:r>
        <w:rPr>
          <w:rFonts w:ascii="Times New Roman" w:cs="Times New Roman" w:eastAsia="Times New Roman" w:hAnsi="Times New Roman"/>
          <w:sz w:val="15"/>
          <w:szCs w:val="15"/>
          <w:color w:val="auto"/>
        </w:rPr>
        <w:t xml:space="preserve"> shall mean the notice required to be given by the Participant or the Company in accordance with the terms of Article XI.</w:t>
      </w:r>
    </w:p>
    <w:p>
      <w:pPr>
        <w:spacing w:after="0" w:line="129" w:lineRule="exact"/>
        <w:rPr>
          <w:rFonts w:ascii="Times New Roman" w:cs="Times New Roman" w:eastAsia="Times New Roman" w:hAnsi="Times New Roman"/>
          <w:sz w:val="15"/>
          <w:szCs w:val="15"/>
          <w:color w:val="auto"/>
        </w:rPr>
      </w:pPr>
    </w:p>
    <w:p>
      <w:pPr>
        <w:ind w:right="360" w:firstLine="656"/>
        <w:spacing w:after="0" w:line="296" w:lineRule="auto"/>
        <w:tabs>
          <w:tab w:leader="none" w:pos="949"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Participant</w:t>
      </w:r>
      <w:r>
        <w:rPr>
          <w:rFonts w:ascii="Times New Roman" w:cs="Times New Roman" w:eastAsia="Times New Roman" w:hAnsi="Times New Roman"/>
          <w:sz w:val="15"/>
          <w:szCs w:val="15"/>
          <w:color w:val="auto"/>
        </w:rPr>
        <w:t xml:space="preserve"> shall mean an employee of the Company who has been designated from time to time by the Committee in writing as a Participant. The Committee shall approve the participation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80"/>
          </w:cols>
          <w:pgMar w:left="300" w:top="1123" w:right="319" w:bottom="1440" w:gutter="0" w:footer="0" w:header="0"/>
        </w:sectPr>
      </w:pPr>
    </w:p>
    <w:bookmarkStart w:id="103" w:name="page104"/>
    <w:bookmarkEnd w:id="103"/>
    <w:p>
      <w:pPr>
        <w:ind w:right="20"/>
        <w:spacing w:after="0" w:line="262" w:lineRule="auto"/>
        <w:rPr>
          <w:sz w:val="20"/>
          <w:szCs w:val="20"/>
          <w:color w:val="auto"/>
        </w:rPr>
      </w:pPr>
      <w:r>
        <w:rPr>
          <w:rFonts w:ascii="Times New Roman" w:cs="Times New Roman" w:eastAsia="Times New Roman" w:hAnsi="Times New Roman"/>
          <w:sz w:val="15"/>
          <w:szCs w:val="15"/>
          <w:color w:val="auto"/>
        </w:rPr>
        <w:t>of (1) any Section 16(b) officer (as defined in Section 16(b) of the Exchange Act) or elected officer of the Company, and (2) any direct report to the Chief Executive Officer of the Company. At its discretion, the Committee may approve additional management personnel. Appendix B of this Plan, as it may be updated from time to time by the Committee, shall at all times contain a current list of Participants. Notwithstanding the foregoing, a Participant shall not be entitled to receive separation benefits (or any other benefits under the Plan) if the Participant has entered into an agreement with the Company that provides for benefits similar to the separation benefits in the event of a termination of employment following (or prior to and in connection with) a Change in Control, unless such agreement specifically provides otherwise.</w:t>
      </w:r>
    </w:p>
    <w:p>
      <w:pPr>
        <w:spacing w:after="0" w:line="100" w:lineRule="exact"/>
        <w:rPr>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Plan</w:t>
      </w:r>
      <w:r>
        <w:rPr>
          <w:rFonts w:ascii="Times New Roman" w:cs="Times New Roman" w:eastAsia="Times New Roman" w:hAnsi="Times New Roman"/>
          <w:sz w:val="15"/>
          <w:szCs w:val="15"/>
          <w:color w:val="auto"/>
        </w:rPr>
        <w:t xml:space="preserve"> shall mean the Conduent Incorporated Amended and Restated Executive Change in Control Severance Plan set forth herein.</w:t>
      </w:r>
    </w:p>
    <w:p>
      <w:pPr>
        <w:spacing w:after="0" w:line="140" w:lineRule="exact"/>
        <w:rPr>
          <w:rFonts w:ascii="Times New Roman" w:cs="Times New Roman" w:eastAsia="Times New Roman" w:hAnsi="Times New Roman"/>
          <w:sz w:val="15"/>
          <w:szCs w:val="15"/>
          <w:color w:val="auto"/>
        </w:rPr>
      </w:pPr>
    </w:p>
    <w:p>
      <w:pPr>
        <w:ind w:right="160" w:firstLine="656"/>
        <w:spacing w:after="0" w:line="271" w:lineRule="auto"/>
        <w:tabs>
          <w:tab w:leader="none" w:pos="983"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Qualifying Termination</w:t>
      </w:r>
      <w:r>
        <w:rPr>
          <w:rFonts w:ascii="Times New Roman" w:cs="Times New Roman" w:eastAsia="Times New Roman" w:hAnsi="Times New Roman"/>
          <w:sz w:val="15"/>
          <w:szCs w:val="15"/>
          <w:color w:val="auto"/>
        </w:rPr>
        <w:t xml:space="preserve"> shall mean a termination of employment that occurs within two years for the Chief Executive Officer, or within one year for any other Participant, following or within ninety (90) days preceding a Change in Control and during the term of this Plan, and is not (i) because of Participant’s death, (ii) a Termination by the Company For Cause, (iii) a Termination by the Company For Disability, or (iv) a Termination by the Participant Without Good Reason.</w:t>
      </w:r>
    </w:p>
    <w:p>
      <w:pPr>
        <w:spacing w:after="0" w:line="82" w:lineRule="exact"/>
        <w:rPr>
          <w:rFonts w:ascii="Times New Roman" w:cs="Times New Roman" w:eastAsia="Times New Roman" w:hAnsi="Times New Roman"/>
          <w:sz w:val="15"/>
          <w:szCs w:val="15"/>
          <w:color w:val="auto"/>
        </w:rPr>
      </w:pPr>
    </w:p>
    <w:p>
      <w:pPr>
        <w:ind w:left="1000" w:hanging="344"/>
        <w:spacing w:after="0"/>
        <w:tabs>
          <w:tab w:leader="none" w:pos="10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Severance Period</w:t>
      </w:r>
      <w:r>
        <w:rPr>
          <w:rFonts w:ascii="Times New Roman" w:cs="Times New Roman" w:eastAsia="Times New Roman" w:hAnsi="Times New Roman"/>
          <w:sz w:val="15"/>
          <w:szCs w:val="15"/>
          <w:color w:val="auto"/>
        </w:rPr>
        <w:t xml:space="preserve"> shall mean the period for which the Participant is entitled to receive benefits pursuant to a Qualifying Termination under this Plan, as set forth in</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Appendix C.</w:t>
      </w:r>
    </w:p>
    <w:p>
      <w:pPr>
        <w:spacing w:after="0" w:line="129" w:lineRule="exact"/>
        <w:rPr>
          <w:rFonts w:ascii="Times New Roman" w:cs="Times New Roman" w:eastAsia="Times New Roman" w:hAnsi="Times New Roman"/>
          <w:sz w:val="15"/>
          <w:szCs w:val="15"/>
          <w:color w:val="auto"/>
        </w:rPr>
      </w:pPr>
    </w:p>
    <w:p>
      <w:pPr>
        <w:ind w:left="1020" w:hanging="364"/>
        <w:spacing w:after="0"/>
        <w:tabs>
          <w:tab w:leader="none" w:pos="102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 by the Company For Cause</w:t>
      </w:r>
      <w:r>
        <w:rPr>
          <w:rFonts w:ascii="Times New Roman" w:cs="Times New Roman" w:eastAsia="Times New Roman" w:hAnsi="Times New Roman"/>
          <w:sz w:val="15"/>
          <w:szCs w:val="15"/>
          <w:color w:val="auto"/>
        </w:rPr>
        <w:t xml:space="preserve"> shall mean termination by the Company of the Participant’s employment upon:</w:t>
      </w:r>
    </w:p>
    <w:p>
      <w:pPr>
        <w:spacing w:after="0" w:line="129" w:lineRule="exact"/>
        <w:rPr>
          <w:rFonts w:ascii="Times New Roman" w:cs="Times New Roman" w:eastAsia="Times New Roman" w:hAnsi="Times New Roman"/>
          <w:sz w:val="15"/>
          <w:szCs w:val="15"/>
          <w:color w:val="auto"/>
        </w:rPr>
      </w:pPr>
    </w:p>
    <w:p>
      <w:pPr>
        <w:jc w:val="both"/>
        <w:ind w:right="200" w:firstLine="809"/>
        <w:spacing w:after="0" w:line="267" w:lineRule="auto"/>
        <w:tabs>
          <w:tab w:leader="none" w:pos="1099"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willful and continued failure by the Participant to substantially perform his/her duties with the Company or its subsidiary (other than any such failure resulting from Participant’s incapacity due to physical or mental illness or any such actual or anticipated failure after the issuance of a Notice of Termination by Participant For Good Reason), after a written demand for substantial performance is delivered to the Participant by the Committee which specifically identifies the manner in which the Committee believes that the Participant has not substantially performed his/her duties;</w:t>
      </w:r>
    </w:p>
    <w:p>
      <w:pPr>
        <w:spacing w:after="0" w:line="97" w:lineRule="exact"/>
        <w:rPr>
          <w:rFonts w:ascii="Times New Roman" w:cs="Times New Roman" w:eastAsia="Times New Roman" w:hAnsi="Times New Roman"/>
          <w:sz w:val="15"/>
          <w:szCs w:val="15"/>
          <w:color w:val="auto"/>
        </w:rPr>
      </w:pPr>
    </w:p>
    <w:p>
      <w:pPr>
        <w:ind w:right="340" w:firstLine="809"/>
        <w:spacing w:after="0" w:line="281" w:lineRule="auto"/>
        <w:tabs>
          <w:tab w:leader="none" w:pos="1142"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willful engaging by the Participant in conduct which is demonstrably and materially injurious to the Company, monetarily or otherwise, or is deemed by the Committee to be morally repugnant; or</w:t>
      </w:r>
    </w:p>
    <w:p>
      <w:pPr>
        <w:spacing w:after="0" w:line="85" w:lineRule="exact"/>
        <w:rPr>
          <w:rFonts w:ascii="Times New Roman" w:cs="Times New Roman" w:eastAsia="Times New Roman" w:hAnsi="Times New Roman"/>
          <w:sz w:val="15"/>
          <w:szCs w:val="15"/>
          <w:color w:val="auto"/>
        </w:rPr>
      </w:pPr>
    </w:p>
    <w:p>
      <w:pPr>
        <w:ind w:firstLine="809"/>
        <w:spacing w:after="0" w:line="281" w:lineRule="auto"/>
        <w:tabs>
          <w:tab w:leader="none" w:pos="1184"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Participant’s conviction, or entering into a plea of either guilty or nolo contendere to, any felony, or any misdemeanor involving material acts of moral turpitude, embezzlement, theft, or other similar act.</w:t>
      </w:r>
    </w:p>
    <w:p>
      <w:pPr>
        <w:spacing w:after="0" w:line="85" w:lineRule="exact"/>
        <w:rPr>
          <w:rFonts w:ascii="Times New Roman" w:cs="Times New Roman" w:eastAsia="Times New Roman" w:hAnsi="Times New Roman"/>
          <w:sz w:val="15"/>
          <w:szCs w:val="15"/>
          <w:color w:val="auto"/>
        </w:rPr>
      </w:pPr>
    </w:p>
    <w:p>
      <w:pPr>
        <w:ind w:right="200" w:firstLine="809"/>
        <w:spacing w:after="0" w:line="281" w:lineRule="auto"/>
        <w:tabs>
          <w:tab w:leader="none" w:pos="1178"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subsection, no act or failure to act on the Participant’s part shall be considered “willful” unless done, or omitted to be done, by the Participant not in good faith and without reasonable belief that the Participant’s action or omission was in the best interest of the Company.</w:t>
      </w:r>
    </w:p>
    <w:p>
      <w:pPr>
        <w:spacing w:after="0" w:line="85" w:lineRule="exact"/>
        <w:rPr>
          <w:rFonts w:ascii="Times New Roman" w:cs="Times New Roman" w:eastAsia="Times New Roman" w:hAnsi="Times New Roman"/>
          <w:sz w:val="15"/>
          <w:szCs w:val="15"/>
          <w:color w:val="auto"/>
        </w:rPr>
      </w:pPr>
    </w:p>
    <w:p>
      <w:pPr>
        <w:ind w:firstLine="809"/>
        <w:spacing w:after="0" w:line="267" w:lineRule="auto"/>
        <w:tabs>
          <w:tab w:leader="none" w:pos="1128" w:val="left"/>
        </w:tabs>
        <w:numPr>
          <w:ilvl w:val="1"/>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termination of the Participant’s employment is not a Termination by the Company For Cause until there is delivered to the Participant a copy of a resolution duly adopted by the affirmative vote of not less than three-quarters of the entire membership of the Board at a meeting of the Board called and held for the purpose (after reasonable notice to the Participant and an opportunity for the Participant, together with Participant’s counsel, to be heard before the Board), finding that in the good faith opinion of the Board the Participant was guilty of conduct set forth in this subsection, and specifying the particulars thereof in detail.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80"/>
          </w:cols>
          <w:pgMar w:left="300" w:top="1123" w:right="319" w:bottom="1440" w:gutter="0" w:footer="0" w:header="0"/>
        </w:sectPr>
      </w:pPr>
    </w:p>
    <w:bookmarkStart w:id="104" w:name="page105"/>
    <w:bookmarkEnd w:id="104"/>
    <w:p>
      <w:pPr>
        <w:ind w:right="120" w:firstLine="656"/>
        <w:spacing w:after="0" w:line="261" w:lineRule="auto"/>
        <w:tabs>
          <w:tab w:leader="none" w:pos="983"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 by the Company For Disability</w:t>
      </w:r>
      <w:r>
        <w:rPr>
          <w:rFonts w:ascii="Times New Roman" w:cs="Times New Roman" w:eastAsia="Times New Roman" w:hAnsi="Times New Roman"/>
          <w:sz w:val="15"/>
          <w:szCs w:val="15"/>
          <w:color w:val="auto"/>
        </w:rPr>
        <w:t xml:space="preserve"> shall mean a termination by the Company of Participant’s employment following a Change in Control and during the term of this Plan as follows. If, as a result of the Participant’s incapacity due to physical or mental illness, the Participant fails to perform his/her duties and shall have been receiving payments under the Company’s Long-Term Disability Income Plan, or any substitute plans adopted before the Change in Control, for a period of twelve (12) consecutive months and, within thirty (30) days after Notice of Termination is given, the Participant shall not have returned to the full-time performance of his/her duties, the Company may terminate the Participant’s employment pursuant to a Termination by the Company For Disability. The Participant shall continue to receive full base salary at the rate then in effect and Participant’s bonus and all compensation shall be paid during the period until the Participant is terminated pursuant to this subsection. The Participant’s benefits shall thereafter be determined in accordance with the Company’s welfare benefits programs then in effect and the Company’s retirement plans then in effect.</w:t>
      </w:r>
    </w:p>
    <w:p>
      <w:pPr>
        <w:spacing w:after="0" w:line="93" w:lineRule="exact"/>
        <w:rPr>
          <w:rFonts w:ascii="Times New Roman" w:cs="Times New Roman" w:eastAsia="Times New Roman" w:hAnsi="Times New Roman"/>
          <w:sz w:val="15"/>
          <w:szCs w:val="15"/>
          <w:color w:val="auto"/>
        </w:rPr>
      </w:pPr>
    </w:p>
    <w:p>
      <w:pPr>
        <w:ind w:firstLine="656"/>
        <w:spacing w:after="0" w:line="266" w:lineRule="auto"/>
        <w:tabs>
          <w:tab w:leader="none" w:pos="983"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 by the Participant For Good Reason</w:t>
      </w:r>
      <w:r>
        <w:rPr>
          <w:rFonts w:ascii="Times New Roman" w:cs="Times New Roman" w:eastAsia="Times New Roman" w:hAnsi="Times New Roman"/>
          <w:sz w:val="15"/>
          <w:szCs w:val="15"/>
          <w:color w:val="auto"/>
        </w:rPr>
        <w:t xml:space="preserve"> shall mean the termination by the Participant of employment within two years for the Chief Executive Officer, or within of year for all other Participants, of the initial occurrence of any of the following circumstances, provided that (1) such circumstance occurs without the Participant’s express written consent, after a Change in Control, and during the term of this Plan, (2) the Participant properly notifies the Company within ninety (90) days of the initial occurrence of such circumstance and the Company does not remedy the circumstance within thirty (30) days of such notice, and (3) the Participant actually terminates employment within ten (10) business days of close of the Company’s failure to remedy the circumstance :</w:t>
      </w:r>
    </w:p>
    <w:p>
      <w:pPr>
        <w:spacing w:after="0" w:line="85" w:lineRule="exact"/>
        <w:rPr>
          <w:rFonts w:ascii="Times New Roman" w:cs="Times New Roman" w:eastAsia="Times New Roman" w:hAnsi="Times New Roman"/>
          <w:sz w:val="15"/>
          <w:szCs w:val="15"/>
          <w:color w:val="auto"/>
        </w:rPr>
      </w:pPr>
    </w:p>
    <w:p>
      <w:pPr>
        <w:jc w:val="both"/>
        <w:ind w:firstLine="811"/>
        <w:spacing w:after="0" w:line="271" w:lineRule="auto"/>
        <w:tabs>
          <w:tab w:leader="none" w:pos="1106"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subsection (o) of Article III herein, the material diminution of the Participant’s authority, duties, or responsibilities from those in effect immediately prior to a Change in Control (including, without limitation, if the Participant is an executive officer of the Company prior to a Change in Control, ceasing to be an executive officer of the surviving company);</w:t>
      </w:r>
    </w:p>
    <w:p>
      <w:pPr>
        <w:spacing w:after="0" w:line="92" w:lineRule="exact"/>
        <w:rPr>
          <w:rFonts w:ascii="Times New Roman" w:cs="Times New Roman" w:eastAsia="Times New Roman" w:hAnsi="Times New Roman"/>
          <w:sz w:val="15"/>
          <w:szCs w:val="15"/>
          <w:color w:val="auto"/>
        </w:rPr>
      </w:pPr>
    </w:p>
    <w:p>
      <w:pPr>
        <w:ind w:firstLine="809"/>
        <w:spacing w:after="0" w:line="267" w:lineRule="auto"/>
        <w:tabs>
          <w:tab w:leader="none" w:pos="1183"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material reduction in the Participant’s annual base salary and/or annual target bonus and/or employee benefits in aggregate as in effect on the date of the Change in Control, or as the same may be increased from time to time, except that this clause (ii) shall not apply to across-the-board salary reductions similarly affecting all executives of the Company and all executives of any person in control of the Company, nor shall this clause (ii) apply to any changes to employee benefits plans made in accordance with the terms of each plan that apply to all participants of such employee benefit plan;</w:t>
      </w:r>
    </w:p>
    <w:p>
      <w:pPr>
        <w:spacing w:after="0" w:line="82" w:lineRule="exact"/>
        <w:rPr>
          <w:rFonts w:ascii="Times New Roman" w:cs="Times New Roman" w:eastAsia="Times New Roman" w:hAnsi="Times New Roman"/>
          <w:sz w:val="15"/>
          <w:szCs w:val="15"/>
          <w:color w:val="auto"/>
        </w:rPr>
      </w:pPr>
    </w:p>
    <w:p>
      <w:pPr>
        <w:ind w:right="40" w:firstLine="809"/>
        <w:spacing w:after="0" w:line="274" w:lineRule="auto"/>
        <w:tabs>
          <w:tab w:leader="none" w:pos="1178"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material adverse change in the geographic location at which the Participant is required to be based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including, the Company requiring the Participant to relocate in order to report to a location 150 miles or more from the Company location in the Participant was based immediately prior to the Change in Control), except for required travel on the Company’s business to an extent substantially consistent with the Participant’s present business travel obligations; or</w:t>
      </w:r>
    </w:p>
    <w:p>
      <w:pPr>
        <w:spacing w:after="0" w:line="90" w:lineRule="exact"/>
        <w:rPr>
          <w:rFonts w:ascii="Times New Roman" w:cs="Times New Roman" w:eastAsia="Times New Roman" w:hAnsi="Times New Roman"/>
          <w:sz w:val="15"/>
          <w:szCs w:val="15"/>
          <w:color w:val="auto"/>
        </w:rPr>
      </w:pPr>
    </w:p>
    <w:p>
      <w:pPr>
        <w:ind w:right="420" w:firstLine="809"/>
        <w:spacing w:after="0" w:line="271" w:lineRule="auto"/>
        <w:tabs>
          <w:tab w:leader="none" w:pos="1170"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Termination by the Participant For Good Reason shall be deemed to occur if, after a Change in Control, there occurs any termination by the Company of the Participant’s employment which is not accompanied by any Notice of Termination required by Article XI, and does not comply with the notice requirements (if applicable) of subsection (l) of this section (defining Termination by the Company For Cause).</w:t>
      </w:r>
    </w:p>
    <w:p>
      <w:pPr>
        <w:spacing w:after="0" w:line="92" w:lineRule="exact"/>
        <w:rPr>
          <w:rFonts w:ascii="Times New Roman" w:cs="Times New Roman" w:eastAsia="Times New Roman" w:hAnsi="Times New Roman"/>
          <w:sz w:val="15"/>
          <w:szCs w:val="15"/>
          <w:color w:val="auto"/>
        </w:rPr>
      </w:pPr>
    </w:p>
    <w:p>
      <w:pPr>
        <w:ind w:right="240" w:firstLine="809"/>
        <w:spacing w:after="0" w:line="281" w:lineRule="auto"/>
        <w:tabs>
          <w:tab w:leader="none" w:pos="1212"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termination by the Participant of his/her employment shall not fail to be a Termination by the Participant For Good Reason merely because of the Participant’s incapacity due to physical or mental illness, or because the Participant’s employment continued after the occurrence of any of the events listed in this subsection.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280"/>
          </w:cols>
          <w:pgMar w:left="300" w:top="1123" w:right="319" w:bottom="1440" w:gutter="0" w:footer="0" w:header="0"/>
        </w:sectPr>
      </w:pPr>
    </w:p>
    <w:bookmarkStart w:id="105" w:name="page106"/>
    <w:bookmarkEnd w:id="105"/>
    <w:p>
      <w:pPr>
        <w:ind w:left="660"/>
        <w:spacing w:after="0"/>
        <w:tabs>
          <w:tab w:leader="none" w:pos="960" w:val="left"/>
        </w:tabs>
        <w:rPr>
          <w:sz w:val="20"/>
          <w:szCs w:val="20"/>
          <w:color w:val="auto"/>
        </w:rPr>
      </w:pPr>
      <w:r>
        <w:rPr>
          <w:rFonts w:ascii="Times New Roman" w:cs="Times New Roman" w:eastAsia="Times New Roman" w:hAnsi="Times New Roman"/>
          <w:sz w:val="15"/>
          <w:szCs w:val="15"/>
          <w:color w:val="auto"/>
        </w:rPr>
        <w:t>(p)</w:t>
      </w:r>
      <w:r>
        <w:rPr>
          <w:sz w:val="20"/>
          <w:szCs w:val="20"/>
          <w:color w:val="auto"/>
        </w:rPr>
        <w:tab/>
      </w:r>
      <w:r>
        <w:rPr>
          <w:rFonts w:ascii="Times New Roman" w:cs="Times New Roman" w:eastAsia="Times New Roman" w:hAnsi="Times New Roman"/>
          <w:sz w:val="15"/>
          <w:szCs w:val="15"/>
          <w:u w:val="single" w:color="auto"/>
          <w:color w:val="auto"/>
        </w:rPr>
        <w:t xml:space="preserve">Termination by the Participant Without Good Reason </w:t>
      </w:r>
      <w:r>
        <w:rPr>
          <w:rFonts w:ascii="Times New Roman" w:cs="Times New Roman" w:eastAsia="Times New Roman" w:hAnsi="Times New Roman"/>
          <w:sz w:val="15"/>
          <w:szCs w:val="15"/>
          <w:color w:val="auto"/>
        </w:rPr>
        <w:t>shall mean a termination by the Participant of employment that is not a Termination by the Participant For Good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Reason.</w:t>
      </w:r>
    </w:p>
    <w:p>
      <w:pPr>
        <w:spacing w:after="0" w:line="119" w:lineRule="exact"/>
        <w:rPr>
          <w:sz w:val="20"/>
          <w:szCs w:val="20"/>
          <w:color w:val="auto"/>
        </w:rPr>
      </w:pPr>
    </w:p>
    <w:p>
      <w:pPr>
        <w:ind w:right="280" w:firstLine="656"/>
        <w:spacing w:after="0" w:line="296" w:lineRule="auto"/>
        <w:tabs>
          <w:tab w:leader="none" w:pos="983"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 by Death of the Participant</w:t>
      </w:r>
      <w:r>
        <w:rPr>
          <w:rFonts w:ascii="Times New Roman" w:cs="Times New Roman" w:eastAsia="Times New Roman" w:hAnsi="Times New Roman"/>
          <w:sz w:val="15"/>
          <w:szCs w:val="15"/>
          <w:color w:val="auto"/>
        </w:rPr>
        <w:t xml:space="preserve"> shall mean a termination by the Participant of employment that is the result of the death of the Participant, except where the Participant has already incurred a Termination by the Company for Disability.</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Article IV</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Term of Plan</w:t>
      </w:r>
    </w:p>
    <w:p>
      <w:pPr>
        <w:spacing w:after="0" w:line="140" w:lineRule="exact"/>
        <w:rPr>
          <w:sz w:val="20"/>
          <w:szCs w:val="20"/>
          <w:color w:val="auto"/>
        </w:rPr>
      </w:pPr>
    </w:p>
    <w:p>
      <w:pPr>
        <w:ind w:left="620" w:hanging="311"/>
        <w:spacing w:after="0"/>
        <w:tabs>
          <w:tab w:leader="none" w:pos="62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Plan shall be effective on February 5, 2021, and shall continue in effect through December 31, 2021 or the later date provided by subsection (b) or (c) of this section.</w:t>
      </w:r>
    </w:p>
    <w:p>
      <w:pPr>
        <w:spacing w:after="0" w:line="129" w:lineRule="exact"/>
        <w:rPr>
          <w:rFonts w:ascii="Times New Roman" w:cs="Times New Roman" w:eastAsia="Times New Roman" w:hAnsi="Times New Roman"/>
          <w:sz w:val="15"/>
          <w:szCs w:val="15"/>
          <w:color w:val="auto"/>
        </w:rPr>
      </w:pPr>
    </w:p>
    <w:p>
      <w:pPr>
        <w:jc w:val="both"/>
        <w:ind w:firstLine="309"/>
        <w:spacing w:after="0" w:line="267" w:lineRule="auto"/>
        <w:tabs>
          <w:tab w:leader="none" w:pos="636"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Commencing on January 1, 2022, and each January 1 thereafter, the term of this Plan shall automatically be extended for one additional year unless, (i) not later than the later of November 1 or thirty days following the meeting of the Committee held in October of the preceding year, the Company gives notice that it does not wish to extend this Plan; or (ii) at any time, the Company gives notice that a Participant is no longer in a position considered to be a key role in the event of a Change in Control. No such notice may be given during the pendency of a Change in Control (that is, ninety (90) days prior to an actual Change in Control).</w:t>
      </w:r>
    </w:p>
    <w:p>
      <w:pPr>
        <w:spacing w:after="0" w:line="97" w:lineRule="exact"/>
        <w:rPr>
          <w:rFonts w:ascii="Times New Roman" w:cs="Times New Roman" w:eastAsia="Times New Roman" w:hAnsi="Times New Roman"/>
          <w:sz w:val="15"/>
          <w:szCs w:val="15"/>
          <w:color w:val="auto"/>
        </w:rPr>
      </w:pPr>
    </w:p>
    <w:p>
      <w:pPr>
        <w:ind w:right="60" w:firstLine="309"/>
        <w:spacing w:after="0" w:line="281" w:lineRule="auto"/>
        <w:tabs>
          <w:tab w:leader="none" w:pos="627"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Change in Control occurs while this Plan is in effect, then notwithstanding subsections (a) and (b) of this section, this Plan shall continue in effect until the last day of the 24th month following the month in which occurs such Change in Control.</w:t>
      </w:r>
    </w:p>
    <w:p>
      <w:pPr>
        <w:spacing w:after="0" w:line="85" w:lineRule="exact"/>
        <w:rPr>
          <w:rFonts w:ascii="Times New Roman" w:cs="Times New Roman" w:eastAsia="Times New Roman" w:hAnsi="Times New Roman"/>
          <w:sz w:val="15"/>
          <w:szCs w:val="15"/>
          <w:color w:val="auto"/>
        </w:rPr>
      </w:pPr>
    </w:p>
    <w:p>
      <w:pPr>
        <w:ind w:right="320" w:firstLine="309"/>
        <w:spacing w:after="0" w:line="281" w:lineRule="auto"/>
        <w:tabs>
          <w:tab w:leader="none" w:pos="628"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Participant’s coverage under this Plan shall terminate upon the Participant’s termination of employment (which for this purpose shall include commencement of salary continuance or other severance amounts), other than a termination of employment that occurs after a Change in Control.</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Article V</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Benefits Upon A Qualifying Termination</w:t>
      </w:r>
    </w:p>
    <w:p>
      <w:pPr>
        <w:spacing w:after="0" w:line="130" w:lineRule="exact"/>
        <w:rPr>
          <w:sz w:val="20"/>
          <w:szCs w:val="20"/>
          <w:color w:val="auto"/>
        </w:rPr>
      </w:pPr>
    </w:p>
    <w:p>
      <w:pPr>
        <w:ind w:right="180" w:firstLine="309"/>
        <w:spacing w:after="0" w:line="271" w:lineRule="auto"/>
        <w:tabs>
          <w:tab w:leader="none" w:pos="627"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Participants shall be entitled to the benefits provided by this section upon termination of employment, if such termination is a Qualifying Termination, and benefits shall be conditioned upon the execution by the Participant of a release and waiver of claims in the form provided by the Company. Such release shall be delivered to the Company within 45 days of the Date of Termination, and shall be subject to a seven-day revocation period.</w:t>
      </w:r>
    </w:p>
    <w:p>
      <w:pPr>
        <w:spacing w:after="0" w:line="92" w:lineRule="exact"/>
        <w:rPr>
          <w:rFonts w:ascii="Times New Roman" w:cs="Times New Roman" w:eastAsia="Times New Roman" w:hAnsi="Times New Roman"/>
          <w:sz w:val="15"/>
          <w:szCs w:val="15"/>
          <w:color w:val="auto"/>
        </w:rPr>
      </w:pPr>
    </w:p>
    <w:p>
      <w:pPr>
        <w:ind w:right="20" w:firstLine="309"/>
        <w:spacing w:after="0" w:line="267" w:lineRule="auto"/>
        <w:tabs>
          <w:tab w:leader="none" w:pos="633"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pay a Participant who experiences a Qualifying Termination a lump sum in cash within ten (10) days after the expiration of the revocation period for the release and waiver of claims described in Section (a) above (except that, for a Date of Termination on or after November 1, such payment shall be made not before the first business day of the next succeeding calendar year, to the extent required for compliance with Code section 409A and guidance thereunder), the aggregate of the following amounts which benefits, except as otherwise provided herein, shall be in addition to any other benefits to which the Participant is entitled by reason of this Plan: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1280"/>
          </w:cols>
          <w:pgMar w:left="300" w:top="1123" w:right="319" w:bottom="1440" w:gutter="0" w:footer="0" w:header="0"/>
        </w:sectPr>
      </w:pPr>
    </w:p>
    <w:bookmarkStart w:id="106" w:name="page107"/>
    <w:bookmarkEnd w:id="106"/>
    <w:p>
      <w:pPr>
        <w:ind w:left="1000" w:hanging="454"/>
        <w:spacing w:after="0"/>
        <w:tabs>
          <w:tab w:leader="none" w:pos="1000" w:val="left"/>
        </w:tabs>
        <w:numPr>
          <w:ilvl w:val="2"/>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unpaid salary with respect to any paid time off accrued but not taken as of the Date of Termination;</w:t>
      </w:r>
    </w:p>
    <w:p>
      <w:pPr>
        <w:spacing w:after="0" w:line="140" w:lineRule="exact"/>
        <w:rPr>
          <w:rFonts w:ascii="Times New Roman" w:cs="Times New Roman" w:eastAsia="Times New Roman" w:hAnsi="Times New Roman"/>
          <w:sz w:val="15"/>
          <w:szCs w:val="15"/>
          <w:color w:val="auto"/>
        </w:rPr>
      </w:pPr>
    </w:p>
    <w:p>
      <w:pPr>
        <w:ind w:left="960" w:hanging="539"/>
        <w:spacing w:after="0"/>
        <w:tabs>
          <w:tab w:leader="none" w:pos="960" w:val="left"/>
        </w:tabs>
        <w:numPr>
          <w:ilvl w:val="1"/>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accrued but unpaid salary through the Date of Termination;</w:t>
      </w:r>
    </w:p>
    <w:p>
      <w:pPr>
        <w:spacing w:after="0" w:line="129" w:lineRule="exact"/>
        <w:rPr>
          <w:rFonts w:ascii="Times New Roman" w:cs="Times New Roman" w:eastAsia="Times New Roman" w:hAnsi="Times New Roman"/>
          <w:sz w:val="15"/>
          <w:szCs w:val="15"/>
          <w:color w:val="auto"/>
        </w:rPr>
      </w:pPr>
    </w:p>
    <w:p>
      <w:pPr>
        <w:ind w:left="1080" w:right="20" w:firstLine="8"/>
        <w:spacing w:after="0" w:line="266" w:lineRule="auto"/>
        <w:tabs>
          <w:tab w:leader="none" w:pos="1500" w:val="left"/>
        </w:tabs>
        <w:numPr>
          <w:ilvl w:val="4"/>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earned but unpaid annual incentive bonuses from the fiscal year immediately preceding the year in which the Date of Termination occurs (unless (A) such annual incentive bonus is “nonqualified deferred compensation” within the meaning of Section 409A, in which case such bonus shall be paid at the time that bonuses with respect to such fiscal year are or otherwise would be paid in accordance with the terms of the applicable plan or (B) the Participant has made an irrevocable election under any deferred compensation arrangement subject to Section 409A to defer any portion of such annual incentive bonuses, in which case any such deferred bonuses shall be paid in accordance with such election);</w:t>
      </w:r>
    </w:p>
    <w:p>
      <w:pPr>
        <w:spacing w:after="0" w:line="85" w:lineRule="exact"/>
        <w:rPr>
          <w:rFonts w:ascii="Times New Roman" w:cs="Times New Roman" w:eastAsia="Times New Roman" w:hAnsi="Times New Roman"/>
          <w:sz w:val="15"/>
          <w:szCs w:val="15"/>
          <w:color w:val="auto"/>
        </w:rPr>
      </w:pPr>
    </w:p>
    <w:p>
      <w:pPr>
        <w:ind w:left="1080" w:right="100" w:firstLine="8"/>
        <w:spacing w:after="0" w:line="296" w:lineRule="auto"/>
        <w:tabs>
          <w:tab w:leader="none" w:pos="1491" w:val="left"/>
        </w:tabs>
        <w:numPr>
          <w:ilvl w:val="4"/>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lieu of any further salary payments to Participant for periods after separation from service, the Company shall pay a lump sum severance payment equal to the factor provided in Appendix C as the Severance Period times the sum of:</w:t>
      </w:r>
    </w:p>
    <w:p>
      <w:pPr>
        <w:spacing w:after="0" w:line="64" w:lineRule="exact"/>
        <w:rPr>
          <w:rFonts w:ascii="Times New Roman" w:cs="Times New Roman" w:eastAsia="Times New Roman" w:hAnsi="Times New Roman"/>
          <w:sz w:val="15"/>
          <w:szCs w:val="15"/>
          <w:color w:val="auto"/>
        </w:rPr>
      </w:pPr>
    </w:p>
    <w:p>
      <w:pPr>
        <w:ind w:left="1120" w:hanging="393"/>
        <w:spacing w:after="0"/>
        <w:tabs>
          <w:tab w:leader="none" w:pos="1120" w:val="left"/>
        </w:tabs>
        <w:numPr>
          <w:ilvl w:val="3"/>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Participant’s annual rate of base salary in effect on the date Notice of Termination is given, and</w:t>
      </w:r>
    </w:p>
    <w:p>
      <w:pPr>
        <w:spacing w:after="0" w:line="140" w:lineRule="exact"/>
        <w:rPr>
          <w:rFonts w:ascii="Times New Roman" w:cs="Times New Roman" w:eastAsia="Times New Roman" w:hAnsi="Times New Roman"/>
          <w:sz w:val="15"/>
          <w:szCs w:val="15"/>
          <w:color w:val="auto"/>
        </w:rPr>
      </w:pPr>
    </w:p>
    <w:p>
      <w:pPr>
        <w:ind w:left="1080" w:hanging="353"/>
        <w:spacing w:after="0"/>
        <w:tabs>
          <w:tab w:leader="none" w:pos="1080" w:val="left"/>
        </w:tabs>
        <w:numPr>
          <w:ilvl w:val="3"/>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annual target bonus applicable to the Participant for the year in which Notice of Termination is given.</w:t>
      </w:r>
    </w:p>
    <w:p>
      <w:pPr>
        <w:spacing w:after="0" w:line="140" w:lineRule="exact"/>
        <w:rPr>
          <w:rFonts w:ascii="Times New Roman" w:cs="Times New Roman" w:eastAsia="Times New Roman" w:hAnsi="Times New Roman"/>
          <w:sz w:val="15"/>
          <w:szCs w:val="15"/>
          <w:color w:val="auto"/>
        </w:rPr>
      </w:pPr>
    </w:p>
    <w:p>
      <w:pPr>
        <w:jc w:val="both"/>
        <w:ind w:left="-40" w:right="20" w:firstLine="309"/>
        <w:spacing w:after="0" w:line="263" w:lineRule="auto"/>
        <w:tabs>
          <w:tab w:leader="none" w:pos="587"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to all other amounts payable to the Participant under this section, the Participant shall be entitled to receive all benefits payable under any other plan or agreement relating to retirement benefits or to compensation previously earned and not yet paid, in accordance with the terms of such plans or agreements, including prorated annual performance incentives for the year in which the Date of Termination occurs, subject to the terms and conditions of the applicable performance incentive plan and award agreements and subject to Article VII.</w:t>
      </w:r>
    </w:p>
    <w:p>
      <w:pPr>
        <w:spacing w:after="0" w:line="98" w:lineRule="exact"/>
        <w:rPr>
          <w:rFonts w:ascii="Times New Roman" w:cs="Times New Roman" w:eastAsia="Times New Roman" w:hAnsi="Times New Roman"/>
          <w:sz w:val="15"/>
          <w:szCs w:val="15"/>
          <w:color w:val="auto"/>
        </w:rPr>
      </w:pPr>
    </w:p>
    <w:p>
      <w:pPr>
        <w:ind w:left="-40" w:firstLine="309"/>
        <w:spacing w:after="0" w:line="258" w:lineRule="auto"/>
        <w:tabs>
          <w:tab w:leader="none" w:pos="634"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Participant shall continue to be eligible to participate in the medical, dental and health care reimbursement account coverage in effect at the Date of Termination (or generally comparable coverage) for himself or herself and, where applicable, his or her spouse or domestic partner and dependents, as the same may be changed from time to time for employees of the Company generally, as if Participant had continued in employment during the lesser of (i) the Severance Period or (ii) twelve (12) months. The Participant shall be responsible for the payment of the employee portion of the medical, dental and health care reimbursement account contributions that are required during the Severance Period and such contributions shall be made within the time period and in the amounts that other employees are required to pay to the Company for similar coverage. The Participant’s failure to pay the applicable contributions shall result in the cessation of the applicable medical and dental coverage for the Participant and his or her spouse or domestic partner and dependents. In the event that the Severance Period exceeds twelve months, the Participant will receive a cash lump-sum payment from the Company equal to the projected value of the employer portion of the premiums for medical and dental benefits for the time period between the end of the Coverage Period and the remainder of the Severance Period. Such payment shall be made within sixty (60) days following the end of the Coverage Period. Notwithstanding any other provision of this Plan to the contrary, in the event that a Participant commences employment with another company at any time during the Severance Period and becomes eligible for medical and/or dental coverage under the plan(s) of such other company, the Participant will cease receiving coverage under the Company’s medical and dental plans. Within thirty (30) days of Participant’s commencement of</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00"/>
          </w:cols>
          <w:pgMar w:left="340" w:top="1123" w:right="359" w:bottom="1440" w:gutter="0" w:footer="0" w:header="0"/>
        </w:sectPr>
      </w:pPr>
    </w:p>
    <w:bookmarkStart w:id="107" w:name="page108"/>
    <w:bookmarkEnd w:id="107"/>
    <w:p>
      <w:pPr>
        <w:ind w:right="260"/>
        <w:spacing w:after="0" w:line="271" w:lineRule="auto"/>
        <w:rPr>
          <w:sz w:val="20"/>
          <w:szCs w:val="20"/>
          <w:color w:val="auto"/>
        </w:rPr>
      </w:pPr>
      <w:r>
        <w:rPr>
          <w:rFonts w:ascii="Times New Roman" w:cs="Times New Roman" w:eastAsia="Times New Roman" w:hAnsi="Times New Roman"/>
          <w:sz w:val="15"/>
          <w:szCs w:val="15"/>
          <w:color w:val="auto"/>
        </w:rPr>
        <w:t>employment with another company, Participant shall provide the Company written notice of such employment and provide information to the Company regarding the medical and dental benefits provided to Participant by his or her new employer. The COBRA continuation coverage period under section 4980B of the Code shall run concurrently with the Severance Period.</w:t>
      </w:r>
    </w:p>
    <w:p>
      <w:pPr>
        <w:spacing w:after="0" w:line="93" w:lineRule="exact"/>
        <w:rPr>
          <w:sz w:val="20"/>
          <w:szCs w:val="20"/>
          <w:color w:val="auto"/>
        </w:rPr>
      </w:pPr>
    </w:p>
    <w:p>
      <w:pPr>
        <w:ind w:left="640" w:hanging="331"/>
        <w:spacing w:after="0"/>
        <w:tabs>
          <w:tab w:leader="none" w:pos="64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Deeming rules for certain terminations of employment before a Change in Control</w:t>
      </w:r>
      <w:r>
        <w:rPr>
          <w:rFonts w:ascii="Times New Roman" w:cs="Times New Roman" w:eastAsia="Times New Roman" w:hAnsi="Times New Roman"/>
          <w:sz w:val="15"/>
          <w:szCs w:val="15"/>
          <w:color w:val="auto"/>
        </w:rPr>
        <w:t>. For purposes of this Plan:</w:t>
      </w:r>
    </w:p>
    <w:p>
      <w:pPr>
        <w:spacing w:after="0" w:line="129" w:lineRule="exact"/>
        <w:rPr>
          <w:rFonts w:ascii="Times New Roman" w:cs="Times New Roman" w:eastAsia="Times New Roman" w:hAnsi="Times New Roman"/>
          <w:sz w:val="15"/>
          <w:szCs w:val="15"/>
          <w:color w:val="auto"/>
        </w:rPr>
      </w:pPr>
    </w:p>
    <w:p>
      <w:pPr>
        <w:ind w:right="20" w:firstLine="461"/>
        <w:spacing w:after="0" w:line="267" w:lineRule="auto"/>
        <w:tabs>
          <w:tab w:leader="none" w:pos="752"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Termination of the Participant’s employment shall be deemed to occur after a Change in Control if (A) employment is terminated by the Company within ninety (90) days prior to a Change in Control, (B) such termination was not a Termination by the Company For Cause, and (C) either such termination was at the request or direction of a person who has entered into an agreement with the Company the consummation of which would constitute a Change in Control, or the Participant reasonably demonstrates that such termination was otherwise in connection with or in anticipation of a Change in Control.</w:t>
      </w:r>
    </w:p>
    <w:p>
      <w:pPr>
        <w:spacing w:after="0" w:line="97" w:lineRule="exact"/>
        <w:rPr>
          <w:rFonts w:ascii="Times New Roman" w:cs="Times New Roman" w:eastAsia="Times New Roman" w:hAnsi="Times New Roman"/>
          <w:sz w:val="15"/>
          <w:szCs w:val="15"/>
          <w:color w:val="auto"/>
        </w:rPr>
      </w:pPr>
    </w:p>
    <w:p>
      <w:pPr>
        <w:ind w:right="20" w:firstLine="461"/>
        <w:spacing w:after="0" w:line="267" w:lineRule="auto"/>
        <w:tabs>
          <w:tab w:leader="none" w:pos="794"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Termination of employment shall be deemed to be a Termination by the Participant For Good Reason after a Change in Control if (A) within ninety (90) days prior to a Change in Control, the Participant incurs a Termination by the Participant For Good Reason (or what would be such but for the fact that it occurs before a Change in Control), and (B) the circumstance or event which constitutes Good Reason occurs at the request or direction of a person who has entered into an agreement with the Company the consummation of which would constitute a Change in Control.</w:t>
      </w:r>
    </w:p>
    <w:p>
      <w:pPr>
        <w:spacing w:after="0" w:line="86" w:lineRule="exact"/>
        <w:rPr>
          <w:rFonts w:ascii="Times New Roman" w:cs="Times New Roman" w:eastAsia="Times New Roman" w:hAnsi="Times New Roman"/>
          <w:sz w:val="15"/>
          <w:szCs w:val="15"/>
          <w:color w:val="auto"/>
        </w:rPr>
      </w:pPr>
    </w:p>
    <w:p>
      <w:pPr>
        <w:ind w:left="600" w:hanging="291"/>
        <w:spacing w:after="0"/>
        <w:tabs>
          <w:tab w:leader="none" w:pos="6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payments under the Plan are subject to the reduction or potential reduction set forth in Article VII.</w:t>
      </w:r>
    </w:p>
    <w:p>
      <w:pPr>
        <w:spacing w:after="0" w:line="140" w:lineRule="exact"/>
        <w:rPr>
          <w:rFonts w:ascii="Times New Roman" w:cs="Times New Roman" w:eastAsia="Times New Roman" w:hAnsi="Times New Roman"/>
          <w:sz w:val="15"/>
          <w:szCs w:val="15"/>
          <w:color w:val="auto"/>
        </w:rPr>
      </w:pPr>
    </w:p>
    <w:p>
      <w:pPr>
        <w:jc w:val="both"/>
        <w:ind w:right="20" w:firstLine="309"/>
        <w:spacing w:after="0" w:line="267" w:lineRule="auto"/>
        <w:tabs>
          <w:tab w:leader="none" w:pos="636"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Benefits upon Termination For Cause or Without Good Reason</w:t>
      </w:r>
      <w:r>
        <w:rPr>
          <w:rFonts w:ascii="Times New Roman" w:cs="Times New Roman" w:eastAsia="Times New Roman" w:hAnsi="Times New Roman"/>
          <w:sz w:val="15"/>
          <w:szCs w:val="15"/>
          <w:color w:val="auto"/>
        </w:rPr>
        <w:t>. If, following a Change in Control, Participant’s employment is terminated pursuant to a Termination by the Company For Cause, or a Termination by the Participant Without Good Reason, the Company shall pay the Participant full base salary through Participant’s separation from service at the rate in effect at the time Notice of Termination is given, plus all other amounts to which Participant is entitled under any compensation plan of the Company at the time such payments are due.</w:t>
      </w:r>
    </w:p>
    <w:p>
      <w:pPr>
        <w:spacing w:after="0" w:line="86" w:lineRule="exact"/>
        <w:rPr>
          <w:rFonts w:ascii="Times New Roman" w:cs="Times New Roman" w:eastAsia="Times New Roman" w:hAnsi="Times New Roman"/>
          <w:sz w:val="15"/>
          <w:szCs w:val="15"/>
          <w:color w:val="auto"/>
        </w:rPr>
      </w:pPr>
    </w:p>
    <w:p>
      <w:pPr>
        <w:ind w:firstLine="309"/>
        <w:spacing w:after="0" w:line="271" w:lineRule="auto"/>
        <w:tabs>
          <w:tab w:leader="none" w:pos="636"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Benefits upon Termination By Death of the Participant</w:t>
      </w:r>
      <w:r>
        <w:rPr>
          <w:rFonts w:ascii="Times New Roman" w:cs="Times New Roman" w:eastAsia="Times New Roman" w:hAnsi="Times New Roman"/>
          <w:sz w:val="15"/>
          <w:szCs w:val="15"/>
          <w:color w:val="auto"/>
        </w:rPr>
        <w:t>. If, following a Change in Control, Participant’s employment is terminated pursuant to the death of the Participant (excluding when the Participant has experienced a Termination by the Company for Disability), the Company shall pay the Participant full base salary through Participant’s separation from service at the rate in effect at the time of Death, plus all other amounts to which you are entitled under any compensation plan of the Company at the time such payments are due.</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u w:val="single" w:color="auto"/>
          <w:color w:val="auto"/>
        </w:rPr>
        <w:t>Article VI</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u w:val="single" w:color="auto"/>
          <w:color w:val="auto"/>
        </w:rPr>
        <w:t>No Duty to Mitigate</w:t>
      </w:r>
    </w:p>
    <w:p>
      <w:pPr>
        <w:spacing w:after="0" w:line="140" w:lineRule="exact"/>
        <w:rPr>
          <w:sz w:val="20"/>
          <w:szCs w:val="20"/>
          <w:color w:val="auto"/>
        </w:rPr>
      </w:pPr>
    </w:p>
    <w:p>
      <w:pPr>
        <w:jc w:val="both"/>
        <w:ind w:right="320" w:firstLine="305"/>
        <w:spacing w:after="0" w:line="271" w:lineRule="auto"/>
        <w:rPr>
          <w:sz w:val="20"/>
          <w:szCs w:val="20"/>
          <w:color w:val="auto"/>
        </w:rPr>
      </w:pPr>
      <w:r>
        <w:rPr>
          <w:rFonts w:ascii="Times New Roman" w:cs="Times New Roman" w:eastAsia="Times New Roman" w:hAnsi="Times New Roman"/>
          <w:sz w:val="15"/>
          <w:szCs w:val="15"/>
          <w:color w:val="auto"/>
        </w:rPr>
        <w:t>Participant shall not be required to mitigate the amount of any payment provided for in Articles V, IX, or XI herein by seeking other employment or otherwise, nor shall the amount of any payment or benefit provided for in such sections be reduced by any compensation earned by the Participant as the result of employment by another employer or by retirement benefits after the Date of Termination, or otherwise, other than under subsection (d) of Article V (relating to certain continuing welfare benefits) and Article VII.</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180"/>
          </w:cols>
          <w:pgMar w:left="300" w:top="1123" w:right="419" w:bottom="1440" w:gutter="0" w:footer="0" w:header="0"/>
        </w:sectPr>
      </w:pPr>
    </w:p>
    <w:bookmarkStart w:id="108" w:name="page109"/>
    <w:bookmarkEnd w:id="108"/>
    <w:p>
      <w:pPr>
        <w:jc w:val="center"/>
        <w:ind w:right="-59"/>
        <w:spacing w:after="0"/>
        <w:rPr>
          <w:sz w:val="20"/>
          <w:szCs w:val="20"/>
          <w:color w:val="auto"/>
        </w:rPr>
      </w:pPr>
      <w:r>
        <w:rPr>
          <w:rFonts w:ascii="Times New Roman" w:cs="Times New Roman" w:eastAsia="Times New Roman" w:hAnsi="Times New Roman"/>
          <w:sz w:val="15"/>
          <w:szCs w:val="15"/>
          <w:u w:val="single" w:color="auto"/>
          <w:color w:val="auto"/>
        </w:rPr>
        <w:t>Article VII</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u w:val="single" w:color="auto"/>
          <w:color w:val="auto"/>
        </w:rPr>
        <w:t>Offset for Certain Severance Pay</w:t>
      </w:r>
    </w:p>
    <w:p>
      <w:pPr>
        <w:spacing w:after="0" w:line="130" w:lineRule="exact"/>
        <w:rPr>
          <w:sz w:val="20"/>
          <w:szCs w:val="20"/>
          <w:color w:val="auto"/>
        </w:rPr>
      </w:pPr>
    </w:p>
    <w:p>
      <w:pPr>
        <w:jc w:val="both"/>
        <w:ind w:right="20" w:firstLine="153"/>
        <w:spacing w:after="0" w:line="260" w:lineRule="auto"/>
        <w:rPr>
          <w:sz w:val="20"/>
          <w:szCs w:val="20"/>
          <w:color w:val="auto"/>
        </w:rPr>
      </w:pPr>
      <w:r>
        <w:rPr>
          <w:rFonts w:ascii="Times New Roman" w:cs="Times New Roman" w:eastAsia="Times New Roman" w:hAnsi="Times New Roman"/>
          <w:sz w:val="15"/>
          <w:szCs w:val="15"/>
          <w:color w:val="auto"/>
        </w:rPr>
        <w:t>If the Participant becomes entitled to the lump sum severance benefit under subsection (c) of Article V herein, the Participant shall not be entitled to receive severance pay under any severance pay plan, policy or arrangement maintained by the Company or any of its subsidiaries. If the Company is obligated by law or by contract to pay severance pay, a termination indemnity, notice pay, or the like, or if the Company is obligated by law or by contract to provide advance notice of separation, then the lump sum severance benefit under subsection</w:t>
      </w:r>
    </w:p>
    <w:p>
      <w:pPr>
        <w:spacing w:after="0" w:line="2" w:lineRule="exact"/>
        <w:rPr>
          <w:sz w:val="20"/>
          <w:szCs w:val="20"/>
          <w:color w:val="auto"/>
        </w:rPr>
      </w:pPr>
    </w:p>
    <w:p>
      <w:pPr>
        <w:ind w:firstLine="3"/>
        <w:spacing w:after="0" w:line="264" w:lineRule="auto"/>
        <w:tabs>
          <w:tab w:leader="none" w:pos="208"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Article V herein shall be reduced, but not below zero, by the amount of any such severance pay, termination indemnity, notice pay or the like, as applicable, and by the amount of any compensation received by the Participant during the period of such advance notice. No offset or reduction of amounts shall be permitted to the extent it results in a prohibited substitution under Code Section 409A and regulations thereunder.</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u w:val="single" w:color="auto"/>
          <w:color w:val="auto"/>
        </w:rPr>
        <w:t>Article VIII</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u w:val="single" w:color="auto"/>
          <w:color w:val="auto"/>
        </w:rPr>
        <w:t>Payment Calculation</w:t>
      </w:r>
    </w:p>
    <w:p>
      <w:pPr>
        <w:spacing w:after="0" w:line="140" w:lineRule="exact"/>
        <w:rPr>
          <w:sz w:val="20"/>
          <w:szCs w:val="20"/>
          <w:color w:val="auto"/>
        </w:rPr>
      </w:pPr>
    </w:p>
    <w:p>
      <w:pPr>
        <w:ind w:right="60" w:firstLine="309"/>
        <w:spacing w:after="0" w:line="262" w:lineRule="auto"/>
        <w:tabs>
          <w:tab w:leader="none" w:pos="627" w:val="left"/>
        </w:tabs>
        <w:numPr>
          <w:ilvl w:val="1"/>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Generally, Total Payments (defined below) in connection with a Change in Control, including but not limited to payments under this Plan, may be subject to an Excise Tax (defined below) payable by the Participant. The Excise Tax applies only if Total Payments exceed a threshold computed under the Code and IRS regulations. Accordingly, if it is determined that the Excise Tax would apply to any payments to the Participant in connection with a Change in Control, payments under the Plan shall be reduced by this section if it is determined by the Accounting Firm (defined below) that such Cutback (defined below) causes the Net After Tax Amount to be greater than the Net After Tax Amount (defined below) without such Cutback.</w:t>
      </w:r>
    </w:p>
    <w:p>
      <w:pPr>
        <w:spacing w:after="0" w:line="100" w:lineRule="exact"/>
        <w:rPr>
          <w:rFonts w:ascii="Times New Roman" w:cs="Times New Roman" w:eastAsia="Times New Roman" w:hAnsi="Times New Roman"/>
          <w:sz w:val="15"/>
          <w:szCs w:val="15"/>
          <w:color w:val="auto"/>
        </w:rPr>
      </w:pPr>
    </w:p>
    <w:p>
      <w:pPr>
        <w:ind w:left="520" w:hanging="326"/>
        <w:spacing w:after="0"/>
        <w:tabs>
          <w:tab w:leader="none" w:pos="52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Section, the following terms have the following meanings:</w:t>
      </w:r>
    </w:p>
    <w:p>
      <w:pPr>
        <w:spacing w:after="0" w:line="140" w:lineRule="exact"/>
        <w:rPr>
          <w:rFonts w:ascii="Times New Roman" w:cs="Times New Roman" w:eastAsia="Times New Roman" w:hAnsi="Times New Roman"/>
          <w:sz w:val="15"/>
          <w:szCs w:val="15"/>
          <w:color w:val="auto"/>
        </w:rPr>
      </w:pPr>
    </w:p>
    <w:p>
      <w:pPr>
        <w:jc w:val="both"/>
        <w:ind w:firstLine="461"/>
        <w:spacing w:after="0" w:line="271" w:lineRule="auto"/>
        <w:tabs>
          <w:tab w:leader="none" w:pos="640" w:val="left"/>
        </w:tabs>
        <w:numPr>
          <w:ilvl w:val="3"/>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Payments” shall mean all of the payments or benefits, paid or payable to the Participant or for the Participant’s benefit, subject to the excise tax under Section 4999 of the Code (before any reduction pursuant to this section), including any vesting of awards subject to Section 83 of the Code, whether pursuant to the terms of this Plan or any other plan, arrangement or agreement with the Company, any person whose actions result in a Change in Control, or any person affiliated with the Company or such person.</w:t>
      </w:r>
    </w:p>
    <w:p>
      <w:pPr>
        <w:spacing w:after="0" w:line="82" w:lineRule="exact"/>
        <w:rPr>
          <w:rFonts w:ascii="Times New Roman" w:cs="Times New Roman" w:eastAsia="Times New Roman" w:hAnsi="Times New Roman"/>
          <w:sz w:val="15"/>
          <w:szCs w:val="15"/>
          <w:color w:val="auto"/>
        </w:rPr>
      </w:pPr>
    </w:p>
    <w:p>
      <w:pPr>
        <w:ind w:left="680" w:hanging="219"/>
        <w:spacing w:after="0"/>
        <w:tabs>
          <w:tab w:leader="none" w:pos="680" w:val="left"/>
        </w:tabs>
        <w:numPr>
          <w:ilvl w:val="3"/>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“Excise Tax” shall mean the excise tax (if any) imposed under section 4999 of the Code on Total Payments.</w:t>
      </w:r>
    </w:p>
    <w:p>
      <w:pPr>
        <w:spacing w:after="0" w:line="140" w:lineRule="exact"/>
        <w:rPr>
          <w:rFonts w:ascii="Times New Roman" w:cs="Times New Roman" w:eastAsia="Times New Roman" w:hAnsi="Times New Roman"/>
          <w:sz w:val="15"/>
          <w:szCs w:val="15"/>
          <w:color w:val="auto"/>
        </w:rPr>
      </w:pPr>
    </w:p>
    <w:p>
      <w:pPr>
        <w:ind w:right="60" w:firstLine="461"/>
        <w:spacing w:after="0" w:line="271" w:lineRule="auto"/>
        <w:tabs>
          <w:tab w:leader="none" w:pos="725" w:val="left"/>
        </w:tabs>
        <w:numPr>
          <w:ilvl w:val="3"/>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After Tax Amount” shall mean the amount of Total Payments net of any applicable taxes under the Code and any State or local income taxes applicable on the date of payment. The determination of the Net After Tax Amount shall be made using the highest combined effective rate imposed by the foregoing taxes on income of the same character as the payments, as in effect on the date of payment.</w:t>
      </w:r>
    </w:p>
    <w:p>
      <w:pPr>
        <w:spacing w:after="0" w:line="92" w:lineRule="exact"/>
        <w:rPr>
          <w:rFonts w:ascii="Times New Roman" w:cs="Times New Roman" w:eastAsia="Times New Roman" w:hAnsi="Times New Roman"/>
          <w:sz w:val="15"/>
          <w:szCs w:val="15"/>
          <w:color w:val="auto"/>
        </w:rPr>
      </w:pPr>
    </w:p>
    <w:p>
      <w:pPr>
        <w:ind w:right="140" w:firstLine="347"/>
        <w:spacing w:after="0" w:line="281" w:lineRule="auto"/>
        <w:tabs>
          <w:tab w:leader="none" w:pos="657" w:val="left"/>
        </w:tabs>
        <w:numPr>
          <w:ilvl w:val="2"/>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payable to the Participant under the Plan shall be reduced by an amount (“the Cutback”) if and only if it is determined that the Net After Tax Amount is greater if the Cutback is imposed than if the Cutback is not imposed.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240"/>
          </w:cols>
          <w:pgMar w:left="300" w:top="1435" w:right="359" w:bottom="1440" w:gutter="0" w:footer="0" w:header="0"/>
        </w:sectPr>
      </w:pPr>
    </w:p>
    <w:bookmarkStart w:id="109" w:name="page110"/>
    <w:bookmarkEnd w:id="109"/>
    <w:p>
      <w:pPr>
        <w:ind w:left="-20" w:right="20" w:firstLine="309"/>
        <w:spacing w:after="0" w:line="262" w:lineRule="auto"/>
        <w:tabs>
          <w:tab w:leader="none" w:pos="608"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determinations required to be made under this Article VIII shall be made by the accounting firm that was, immediately before the Change in Control, the Company's independent auditor (the "Accounting Firm"), which shall provide detailed supporting calculations both to the Company and to the Participant within fifteen (15) business days after the Participant’s Notice of Termination, or such earlier time as requested by the Company. In the event that such accounting firm is also serving as accountant or auditor for the individual, entity or group effecting the Change in Control, the Company shall appoint another nationally recognized accounting firm to make the determinations required hereunder (which accounting firm instead shall be the Accounting Firm hereunder). All fees and expenses of the Accounting Firm shall be borne solely by the Company. Any determination by the Accounting Firm shall be binding upon the Company and the Participant.</w:t>
      </w:r>
    </w:p>
    <w:p>
      <w:pPr>
        <w:spacing w:after="0" w:line="200" w:lineRule="exact"/>
        <w:rPr>
          <w:sz w:val="20"/>
          <w:szCs w:val="20"/>
          <w:color w:val="auto"/>
        </w:rPr>
      </w:pPr>
    </w:p>
    <w:p>
      <w:pPr>
        <w:spacing w:after="0" w:line="21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u w:val="single" w:color="auto"/>
          <w:color w:val="auto"/>
        </w:rPr>
        <w:t>Article IX</w:t>
      </w:r>
    </w:p>
    <w:p>
      <w:pPr>
        <w:spacing w:after="0" w:line="1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5"/>
          <w:szCs w:val="15"/>
          <w:u w:val="single" w:color="auto"/>
          <w:color w:val="auto"/>
        </w:rPr>
        <w:t>Legal Fees</w:t>
      </w:r>
    </w:p>
    <w:p>
      <w:pPr>
        <w:spacing w:after="0" w:line="140" w:lineRule="exact"/>
        <w:rPr>
          <w:sz w:val="20"/>
          <w:szCs w:val="20"/>
          <w:color w:val="auto"/>
        </w:rPr>
      </w:pPr>
    </w:p>
    <w:p>
      <w:pPr>
        <w:ind w:left="-20" w:right="20" w:firstLine="309"/>
        <w:spacing w:after="0" w:line="262" w:lineRule="auto"/>
        <w:tabs>
          <w:tab w:leader="none" w:pos="605"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also shall pay to the Participant all reasonable legal fees and expenses incurred by the Participant with respect to the initial determination by the Accounting Firm with respect to the amount of Cutback (if any), as well as in disputing in good faith any issue hereunder relating to the termination of the Participant’s employment, in seeking in good faith to obtain or enforce any benefit or right provided by this Plan or in connection with any tax audit or proceeding to the extent attributable to the application of Section 4999 of the Code to any payment or benefit provided hereunder. Such payment shall be made immediately upon the completion of the dispute if the Participant prevails on at least one material claim with such evidence of fees and expenses incurred as the Company reasonably may require.</w:t>
      </w:r>
    </w:p>
    <w:p>
      <w:pPr>
        <w:spacing w:after="0" w:line="100" w:lineRule="exact"/>
        <w:rPr>
          <w:rFonts w:ascii="Times New Roman" w:cs="Times New Roman" w:eastAsia="Times New Roman" w:hAnsi="Times New Roman"/>
          <w:sz w:val="15"/>
          <w:szCs w:val="15"/>
          <w:color w:val="auto"/>
        </w:rPr>
      </w:pPr>
    </w:p>
    <w:p>
      <w:pPr>
        <w:ind w:left="-20" w:firstLine="309"/>
        <w:spacing w:after="0" w:line="262" w:lineRule="auto"/>
        <w:tabs>
          <w:tab w:leader="none" w:pos="613"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required by Section 409A of the Code and guidance thereunder, any payment by the Company under this section shall be made no later than December 31 of the calendar year following the calendar year in which the Participant incurs such fees and expenses. Notwithstanding the foregoing, to the extent required by Section 409A of the Code, in the case of a payment by the Company to reimburse expenses incurred due to a tax audit or litigation, payment shall be made no later than December 31 of the calendar year following the calendar year in which the Participant remits the Excise Tax or, where as a result of such audit or litigation, no taxes are remitted, December 31 of the calendar year following the calendar year in which the audit is completed or there is a final and nonappealable settlement or other resolution of the litigation.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Article X</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Successors; Binding Agreement</w:t>
      </w:r>
    </w:p>
    <w:p>
      <w:pPr>
        <w:spacing w:after="0" w:line="140" w:lineRule="exact"/>
        <w:rPr>
          <w:sz w:val="20"/>
          <w:szCs w:val="20"/>
          <w:color w:val="auto"/>
        </w:rPr>
      </w:pPr>
    </w:p>
    <w:p>
      <w:pPr>
        <w:ind w:left="-20" w:right="20" w:firstLine="309"/>
        <w:spacing w:after="0" w:line="271" w:lineRule="auto"/>
        <w:tabs>
          <w:tab w:leader="none" w:pos="605"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will require any successor (whether direct or indirect, by purchase, merger, consolidation or otherwise) to all or substantially all of the business and/or assets of the Company to expressly assume and agree to perform this Plan in the same manner and to the same extent that the Company would be required to perform it if no succession had taken place.</w:t>
      </w:r>
    </w:p>
    <w:p>
      <w:pPr>
        <w:spacing w:after="0" w:line="92" w:lineRule="exact"/>
        <w:rPr>
          <w:rFonts w:ascii="Times New Roman" w:cs="Times New Roman" w:eastAsia="Times New Roman" w:hAnsi="Times New Roman"/>
          <w:sz w:val="15"/>
          <w:szCs w:val="15"/>
          <w:color w:val="auto"/>
        </w:rPr>
      </w:pPr>
    </w:p>
    <w:p>
      <w:pPr>
        <w:ind w:left="-20" w:right="140" w:firstLine="309"/>
        <w:spacing w:after="0" w:line="271" w:lineRule="auto"/>
        <w:tabs>
          <w:tab w:leader="none" w:pos="616"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of the Company to obtain such assumption and agreement before the effectiveness of any such succession shall be a breach of this Plan and shall entitle the Participant to compensation from the Company in the same amount and on the same terms as the Participant would be entitled hereunder if the Participant terminated employment for Good Reason following a Change in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1260"/>
          </w:cols>
          <w:pgMar w:left="320" w:top="1123"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5"/>
          <w:szCs w:val="15"/>
          <w:color w:val="auto"/>
        </w:rPr>
        <w:t>Control, except that for purposes of implementing the foregoing, the date on which any such succession becomes effective shall be deemed the Date of Termination.</w:t>
      </w:r>
    </w:p>
    <w:p>
      <w:pPr>
        <w:spacing w:after="0" w:line="140" w:lineRule="exact"/>
        <w:rPr>
          <w:sz w:val="20"/>
          <w:szCs w:val="20"/>
          <w:color w:val="auto"/>
        </w:rPr>
      </w:pPr>
    </w:p>
    <w:p>
      <w:pPr>
        <w:ind w:firstLine="309"/>
        <w:spacing w:after="0" w:line="271" w:lineRule="auto"/>
        <w:tabs>
          <w:tab w:leader="none" w:pos="625"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Plan shall inure to the benefit of and be enforceable by the Participant’s personal or legal representatives, executors, administrators, successors, heirs, distributees, devisees and legatees. If the Participant should die while any amount would still be payable to the Participant hereunder if the Participant had continued to live, all such amounts, unless otherwise provided herein, shall be paid in accordance with the terms of this Plan to the Participant’s devisee, legatee or other designee or if no such designee, to the Participant’s estate.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Article XI</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Notice Requirement</w:t>
      </w:r>
    </w:p>
    <w:p>
      <w:pPr>
        <w:spacing w:after="0" w:line="130" w:lineRule="exact"/>
        <w:rPr>
          <w:sz w:val="20"/>
          <w:szCs w:val="20"/>
          <w:color w:val="auto"/>
        </w:rPr>
      </w:pPr>
    </w:p>
    <w:p>
      <w:pPr>
        <w:ind w:right="60" w:firstLine="297"/>
        <w:spacing w:after="0" w:line="261" w:lineRule="auto"/>
        <w:rPr>
          <w:sz w:val="20"/>
          <w:szCs w:val="20"/>
          <w:color w:val="auto"/>
        </w:rPr>
      </w:pPr>
      <w:r>
        <w:rPr>
          <w:rFonts w:ascii="Times New Roman" w:cs="Times New Roman" w:eastAsia="Times New Roman" w:hAnsi="Times New Roman"/>
          <w:sz w:val="15"/>
          <w:szCs w:val="15"/>
          <w:color w:val="auto"/>
        </w:rPr>
        <w:t>Any termination or purported termination of the Participant’s employment (except by reason of the Participant’s death) by the Company or by the Participant following a Change in Control and during the term of this Plan shall be communicated by written Notice of Termination to the other party hereto in accordance with this section. The Notice of Termination shall indicate the specific termination provision in this Plan relied upon and shall set forth in reasonable detail the facts and circumstances claimed to provide a basis for termination of Participant’s employment under the provision so indicated. For the purposes of this Plan, notices and all other communications provided for in the Plan shall be in writing and shall be deemed to have been duly given when delivered or mailed by United States registered mail, return receipt requested, postage prepaid, addressed to the respective addresses set forth on the first page of this Plan, provided that all notices to the Company shall be directed to the attention of the Board with a copy to the Secretary of the Company, or to such other address as either party may have furnished to the other in writing in accordance herewith, except that notice of change of address shall be effective only upon receipt.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Article XII</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No Payment Earlier Than Permitted Under Code Section 409A</w:t>
      </w:r>
    </w:p>
    <w:p>
      <w:pPr>
        <w:spacing w:after="0" w:line="140" w:lineRule="exact"/>
        <w:rPr>
          <w:sz w:val="20"/>
          <w:szCs w:val="20"/>
          <w:color w:val="auto"/>
        </w:rPr>
      </w:pPr>
    </w:p>
    <w:p>
      <w:pPr>
        <w:ind w:right="40" w:firstLine="305"/>
        <w:spacing w:after="0" w:line="271" w:lineRule="auto"/>
        <w:rPr>
          <w:sz w:val="20"/>
          <w:szCs w:val="20"/>
          <w:color w:val="auto"/>
        </w:rPr>
      </w:pPr>
      <w:r>
        <w:rPr>
          <w:rFonts w:ascii="Times New Roman" w:cs="Times New Roman" w:eastAsia="Times New Roman" w:hAnsi="Times New Roman"/>
          <w:sz w:val="15"/>
          <w:szCs w:val="15"/>
          <w:color w:val="auto"/>
        </w:rPr>
        <w:t>In no event shall any amount that is deferred compensation under Code Section 409A (other than a short term deferral) payable under this Plan upon the Participant’s separation from service be paid to the Participant under this Plan before the date of separation from service plus six (6) months after such date if the Participant is a specified employee (as defined for purposes of Code Section 409A(a)(2)(B)).</w:t>
      </w:r>
    </w:p>
    <w:p>
      <w:pPr>
        <w:spacing w:after="0" w:line="39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5"/>
          <w:szCs w:val="15"/>
          <w:u w:val="single" w:color="auto"/>
          <w:color w:val="auto"/>
        </w:rPr>
        <w:t>Article XIII</w:t>
      </w:r>
    </w:p>
    <w:p>
      <w:pPr>
        <w:spacing w:after="0" w:line="14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5"/>
          <w:szCs w:val="15"/>
          <w:u w:val="single" w:color="auto"/>
          <w:color w:val="auto"/>
        </w:rPr>
        <w:t>Amendment</w:t>
      </w:r>
    </w:p>
    <w:p>
      <w:pPr>
        <w:spacing w:after="0" w:line="130" w:lineRule="exact"/>
        <w:rPr>
          <w:sz w:val="20"/>
          <w:szCs w:val="20"/>
          <w:color w:val="auto"/>
        </w:rPr>
      </w:pPr>
    </w:p>
    <w:p>
      <w:pPr>
        <w:ind w:right="200" w:firstLine="309"/>
        <w:spacing w:after="0" w:line="278" w:lineRule="auto"/>
        <w:tabs>
          <w:tab w:leader="none" w:pos="627"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provided in subsection (b) and (c), no provision of this Plan may be modified, waived or discharged unless such waiver, modification or discharge is agreed to in writing and signed by all affected Participants and such officer as may be specifically designated by the Committee, and except as such modification, waiver, or discharge is not materially adverse to the Participant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80"/>
          </w:cols>
          <w:pgMar w:left="300" w:top="1123" w:right="319" w:bottom="1440" w:gutter="0" w:footer="0" w:header="0"/>
        </w:sectPr>
      </w:pPr>
    </w:p>
    <w:bookmarkStart w:id="111" w:name="page112"/>
    <w:bookmarkEnd w:id="111"/>
    <w:p>
      <w:pPr>
        <w:ind w:firstLine="309"/>
        <w:spacing w:after="0" w:line="271" w:lineRule="auto"/>
        <w:tabs>
          <w:tab w:leader="none" w:pos="633"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extent deemed necessary or desirable by the Committee the Plan may be amended by an affirmative vote of the Committee in order to comply with Code Section 409A and to avoid any additional tax or penalty related solely to Code Section 409A. Such amendments will be effective if signed by such officer as may be specifically designated by the Committee. The provisions of this subsection (b) shall not apply at any time after the occurrence of either a Potential Change in Control or a Change in Control.</w:t>
      </w:r>
    </w:p>
    <w:p>
      <w:pPr>
        <w:spacing w:after="0" w:line="92" w:lineRule="exact"/>
        <w:rPr>
          <w:rFonts w:ascii="Times New Roman" w:cs="Times New Roman" w:eastAsia="Times New Roman" w:hAnsi="Times New Roman"/>
          <w:sz w:val="15"/>
          <w:szCs w:val="15"/>
          <w:color w:val="auto"/>
        </w:rPr>
      </w:pPr>
    </w:p>
    <w:p>
      <w:pPr>
        <w:ind w:right="20" w:firstLine="309"/>
        <w:spacing w:after="0" w:line="281" w:lineRule="auto"/>
        <w:tabs>
          <w:tab w:leader="none" w:pos="625"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Chief Executive Officer of Conduent Incorporated or his delegate may amend the Plan as she or he in his or her sole discretion deems necessary or appropriate to comply with Section 409A of the Internal Revenue Code and guidance thereunder.</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Article XIV</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Miscellaneous</w:t>
      </w:r>
    </w:p>
    <w:p>
      <w:pPr>
        <w:spacing w:after="0" w:line="130" w:lineRule="exact"/>
        <w:rPr>
          <w:sz w:val="20"/>
          <w:szCs w:val="20"/>
          <w:color w:val="auto"/>
        </w:rPr>
      </w:pPr>
    </w:p>
    <w:p>
      <w:pPr>
        <w:ind w:right="20" w:firstLine="153"/>
        <w:spacing w:after="0" w:line="258" w:lineRule="auto"/>
        <w:rPr>
          <w:sz w:val="20"/>
          <w:szCs w:val="20"/>
          <w:color w:val="auto"/>
        </w:rPr>
      </w:pPr>
      <w:r>
        <w:rPr>
          <w:rFonts w:ascii="Times New Roman" w:cs="Times New Roman" w:eastAsia="Times New Roman" w:hAnsi="Times New Roman"/>
          <w:sz w:val="15"/>
          <w:szCs w:val="15"/>
          <w:color w:val="auto"/>
        </w:rPr>
        <w:t>No waiver by either party hereto at any time of any breach by the other party hereto of, or compliance with, any condition or provision of this Plan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expressly set forth in this Plan. The validity, interpretation, construction and performance of this Plan shall be governed by the laws of the State of New York without regard to its conflicts of law principles. All references to sections of the Exchange Act or the Code shall be deemed also to refer to any successor provisions to such sections. Any payments provided for hereunder shall be paid net of any applicable withholding required under federal, state or local law. The obligations of the Company under Articles V, VII, and IX shall survive the expiration of the term of this Plan. This Plan shall not be construed as creating an express or implied contract of employment and, except as otherwise agreed in writing between each Participant and the Company, Participant shall not have any right to be retained in the employ of the Company. No interest of any Participant or spouse of any Participant or any other beneficiary under this Plan, or any right to receive payment hereunder, shall be subject in any manner to sale, transfer, assignment, pledge, attachment, garnishment, or other alienation or encumbrance of any kind, nor may such interest or right to receive a payment or distribution be taken, voluntarily or involuntarily, for the satisfaction of the obligations or debts of, or other claims against, a Participant or spouse of a Participant or other beneficiary, including for alimony.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Article XV</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Validity</w:t>
      </w:r>
    </w:p>
    <w:p>
      <w:pPr>
        <w:spacing w:after="0" w:line="140" w:lineRule="exact"/>
        <w:rPr>
          <w:sz w:val="20"/>
          <w:szCs w:val="20"/>
          <w:color w:val="auto"/>
        </w:rPr>
      </w:pPr>
    </w:p>
    <w:p>
      <w:pPr>
        <w:ind w:right="180" w:firstLine="150"/>
        <w:spacing w:after="0" w:line="281" w:lineRule="auto"/>
        <w:rPr>
          <w:sz w:val="20"/>
          <w:szCs w:val="20"/>
          <w:color w:val="auto"/>
        </w:rPr>
      </w:pPr>
      <w:r>
        <w:rPr>
          <w:rFonts w:ascii="Times New Roman" w:cs="Times New Roman" w:eastAsia="Times New Roman" w:hAnsi="Times New Roman"/>
          <w:sz w:val="15"/>
          <w:szCs w:val="15"/>
          <w:color w:val="auto"/>
        </w:rPr>
        <w:t>The invalidity or unenforceability of any provision of this Plan shall not affect the validity or enforceability of any other provision of this Plan, which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80"/>
          </w:cols>
          <w:pgMar w:left="300" w:top="1123" w:right="319" w:bottom="1440" w:gutter="0" w:footer="0" w:header="0"/>
        </w:sectPr>
      </w:pPr>
    </w:p>
    <w:bookmarkStart w:id="112" w:name="page113"/>
    <w:bookmarkEnd w:id="112"/>
    <w:p>
      <w:pPr>
        <w:ind w:left="5280"/>
        <w:spacing w:after="0"/>
        <w:rPr>
          <w:sz w:val="20"/>
          <w:szCs w:val="20"/>
          <w:color w:val="auto"/>
        </w:rPr>
      </w:pPr>
      <w:r>
        <w:rPr>
          <w:rFonts w:ascii="Times New Roman" w:cs="Times New Roman" w:eastAsia="Times New Roman" w:hAnsi="Times New Roman"/>
          <w:sz w:val="15"/>
          <w:szCs w:val="15"/>
          <w:u w:val="single" w:color="auto"/>
          <w:color w:val="auto"/>
        </w:rPr>
        <w:t>Article XVI</w:t>
      </w:r>
    </w:p>
    <w:p>
      <w:pPr>
        <w:spacing w:after="0" w:line="1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5"/>
          <w:szCs w:val="15"/>
          <w:u w:val="single" w:color="auto"/>
          <w:color w:val="auto"/>
        </w:rPr>
        <w:t>Counterparts</w:t>
      </w:r>
    </w:p>
    <w:p>
      <w:pPr>
        <w:spacing w:after="0" w:line="1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This Plan may be executed in several counterparts, each of which shall be deemed to be an original but all of which together will constitute one and the same instrument.</w:t>
      </w:r>
    </w:p>
    <w:p>
      <w:pPr>
        <w:spacing w:after="0" w:line="200" w:lineRule="exact"/>
        <w:rPr>
          <w:sz w:val="20"/>
          <w:szCs w:val="20"/>
          <w:color w:val="auto"/>
        </w:rPr>
      </w:pPr>
    </w:p>
    <w:p>
      <w:pPr>
        <w:spacing w:after="0" w:line="25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5"/>
          <w:szCs w:val="15"/>
          <w:u w:val="single" w:color="auto"/>
          <w:color w:val="auto"/>
        </w:rPr>
        <w:t>Article XVII</w:t>
      </w:r>
    </w:p>
    <w:p>
      <w:pPr>
        <w:spacing w:after="0" w:line="1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5"/>
          <w:szCs w:val="15"/>
          <w:u w:val="single" w:color="auto"/>
          <w:color w:val="auto"/>
        </w:rPr>
        <w:t>Entire Plan</w:t>
      </w:r>
    </w:p>
    <w:p>
      <w:pPr>
        <w:spacing w:after="0" w:line="140" w:lineRule="exact"/>
        <w:rPr>
          <w:sz w:val="20"/>
          <w:szCs w:val="20"/>
          <w:color w:val="auto"/>
        </w:rPr>
      </w:pPr>
    </w:p>
    <w:p>
      <w:pPr>
        <w:ind w:right="40" w:firstLine="150"/>
        <w:spacing w:after="0" w:line="267" w:lineRule="auto"/>
        <w:rPr>
          <w:sz w:val="20"/>
          <w:szCs w:val="20"/>
          <w:color w:val="auto"/>
        </w:rPr>
      </w:pPr>
      <w:r>
        <w:rPr>
          <w:rFonts w:ascii="Times New Roman" w:cs="Times New Roman" w:eastAsia="Times New Roman" w:hAnsi="Times New Roman"/>
          <w:sz w:val="15"/>
          <w:szCs w:val="15"/>
          <w:color w:val="auto"/>
        </w:rPr>
        <w:t>This Plan sets forth the entire agreement of the parties hereto in respect of the subject matter contained herein and during the term of the Plan supersedes the provisions of all prior agreements, promises, covenants, arrangements, communications, representations or warranties, whether oral or written, by any officer, employee or representative of any party hereto with respect to the subject matter hereof (including, without limitation, the Severance Agreement previously entered into between the Participant and the Company as thereafter amended and/or extended).</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u w:val="single" w:color="auto"/>
          <w:color w:val="auto"/>
        </w:rPr>
        <w:t>Article XVIII</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u w:val="single" w:color="auto"/>
          <w:color w:val="auto"/>
        </w:rPr>
        <w:t>Plan Administration</w:t>
      </w:r>
    </w:p>
    <w:p>
      <w:pPr>
        <w:spacing w:after="0" w:line="140" w:lineRule="exact"/>
        <w:rPr>
          <w:sz w:val="20"/>
          <w:szCs w:val="20"/>
          <w:color w:val="auto"/>
        </w:rPr>
      </w:pPr>
    </w:p>
    <w:p>
      <w:pPr>
        <w:ind w:firstLine="150"/>
        <w:spacing w:after="0" w:line="260" w:lineRule="auto"/>
        <w:rPr>
          <w:sz w:val="20"/>
          <w:szCs w:val="20"/>
          <w:color w:val="auto"/>
        </w:rPr>
      </w:pPr>
      <w:r>
        <w:rPr>
          <w:rFonts w:ascii="Times New Roman" w:cs="Times New Roman" w:eastAsia="Times New Roman" w:hAnsi="Times New Roman"/>
          <w:sz w:val="15"/>
          <w:szCs w:val="15"/>
          <w:color w:val="auto"/>
        </w:rPr>
        <w:t>This Plan shall be administered by the Committee except that subsection (m) of Article III (relating to Terminations for Cause) shall be administered by the Board. In the event of an impending Change in Control, the Committee may appoint a person (or persons) independent of the third-party effectuating the Change in Control to be the Committee effective upon the occurrence of a Change in Control and such Committee shall not be removed or modified following a Change in Control, other than at its own initiative (the “Independent Committee The Board may delegate its authority to administer subsection (m) of Article III to such Independent Committee. Except as otherwise provided in this Plan, the decision of the Committee and the Board (including the Independent Committee) upon all matters within the scope of their respective authority shall be conclusive and binding on all parties, provided that in the event that no Independent Committee is appointed, any determination by the Committee of whether “Cause” or “Good Reason” exists shall be subject to de novo review.</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CONDUENT INCORPORATED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By:__</w:t>
      </w:r>
      <w:r>
        <w:rPr>
          <w:rFonts w:ascii="Times New Roman" w:cs="Times New Roman" w:eastAsia="Times New Roman" w:hAnsi="Times New Roman"/>
          <w:sz w:val="15"/>
          <w:szCs w:val="15"/>
          <w:u w:val="single" w:color="auto"/>
          <w:color w:val="auto"/>
        </w:rPr>
        <w:t>/s/ MICHAEL KRAWITZ</w:t>
      </w:r>
      <w:r>
        <w:rPr>
          <w:rFonts w:ascii="Times New Roman" w:cs="Times New Roman" w:eastAsia="Times New Roman" w:hAnsi="Times New Roman"/>
          <w:sz w:val="15"/>
          <w:szCs w:val="15"/>
          <w:color w:val="auto"/>
        </w:rPr>
        <w:t>______________</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Michael Krawitz</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Executive Vice President, General Counsel</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00"/>
          </w:cols>
          <w:pgMar w:left="300" w:top="1123" w:right="39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5"/>
          <w:szCs w:val="15"/>
          <w:color w:val="auto"/>
        </w:rPr>
        <w:t>Appendix 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Schedule of Prior Agreements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9019"/>
          </w:cols>
          <w:pgMar w:left="1440" w:top="1175" w:right="1440" w:bottom="1440" w:gutter="0" w:footer="0" w:header="0"/>
        </w:sectPr>
      </w:pPr>
    </w:p>
    <w:bookmarkStart w:id="114" w:name="page115"/>
    <w:bookmarkEnd w:id="114"/>
    <w:tbl>
      <w:tblPr>
        <w:tblLayout w:type="fixed"/>
        <w:tblInd w:w="10" w:type="dxa"/>
        <w:tblCellMar>
          <w:top w:w="0" w:type="dxa"/>
          <w:left w:w="0" w:type="dxa"/>
          <w:bottom w:w="0" w:type="dxa"/>
          <w:right w:w="0" w:type="dxa"/>
        </w:tblCellMar>
      </w:tblPr>
      <w:tr>
        <w:trPr>
          <w:trHeight w:val="198"/>
        </w:trPr>
        <w:tc>
          <w:tcPr>
            <w:tcW w:w="3860" w:type="dxa"/>
            <w:vAlign w:val="bottom"/>
          </w:tcPr>
          <w:p>
            <w:pPr>
              <w:spacing w:after="0"/>
              <w:rPr>
                <w:sz w:val="17"/>
                <w:szCs w:val="17"/>
                <w:color w:val="auto"/>
              </w:rPr>
            </w:pPr>
          </w:p>
        </w:tc>
        <w:tc>
          <w:tcPr>
            <w:tcW w:w="3880" w:type="dxa"/>
            <w:vAlign w:val="bottom"/>
          </w:tcPr>
          <w:p>
            <w:pPr>
              <w:jc w:val="center"/>
              <w:ind w:right="224"/>
              <w:spacing w:after="0"/>
              <w:rPr>
                <w:sz w:val="20"/>
                <w:szCs w:val="20"/>
                <w:color w:val="auto"/>
              </w:rPr>
            </w:pPr>
            <w:r>
              <w:rPr>
                <w:rFonts w:ascii="Times New Roman" w:cs="Times New Roman" w:eastAsia="Times New Roman" w:hAnsi="Times New Roman"/>
                <w:sz w:val="15"/>
                <w:szCs w:val="15"/>
                <w:color w:val="auto"/>
              </w:rPr>
              <w:t>Appendix B and Appendix C</w:t>
            </w:r>
          </w:p>
        </w:tc>
      </w:tr>
      <w:tr>
        <w:trPr>
          <w:trHeight w:val="292"/>
        </w:trPr>
        <w:tc>
          <w:tcPr>
            <w:tcW w:w="3860" w:type="dxa"/>
            <w:vAlign w:val="bottom"/>
          </w:tcPr>
          <w:p>
            <w:pPr>
              <w:spacing w:after="0"/>
              <w:rPr>
                <w:sz w:val="24"/>
                <w:szCs w:val="24"/>
                <w:color w:val="auto"/>
              </w:rPr>
            </w:pPr>
          </w:p>
        </w:tc>
        <w:tc>
          <w:tcPr>
            <w:tcW w:w="3880" w:type="dxa"/>
            <w:vAlign w:val="bottom"/>
          </w:tcPr>
          <w:p>
            <w:pPr>
              <w:jc w:val="center"/>
              <w:ind w:right="244"/>
              <w:spacing w:after="0"/>
              <w:rPr>
                <w:sz w:val="20"/>
                <w:szCs w:val="20"/>
                <w:color w:val="auto"/>
              </w:rPr>
            </w:pPr>
            <w:r>
              <w:rPr>
                <w:rFonts w:ascii="Times New Roman" w:cs="Times New Roman" w:eastAsia="Times New Roman" w:hAnsi="Times New Roman"/>
                <w:sz w:val="15"/>
                <w:szCs w:val="15"/>
                <w:color w:val="auto"/>
              </w:rPr>
              <w:t>List of Participants and Severance Period</w:t>
            </w:r>
          </w:p>
        </w:tc>
      </w:tr>
      <w:tr>
        <w:trPr>
          <w:trHeight w:val="307"/>
        </w:trPr>
        <w:tc>
          <w:tcPr>
            <w:tcW w:w="38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r>
        <w:trPr>
          <w:trHeight w:val="226"/>
        </w:trPr>
        <w:tc>
          <w:tcPr>
            <w:tcW w:w="3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Categories</w:t>
            </w:r>
          </w:p>
        </w:tc>
        <w:tc>
          <w:tcPr>
            <w:tcW w:w="388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5"/>
                <w:szCs w:val="15"/>
                <w:b w:val="1"/>
                <w:bCs w:val="1"/>
                <w:color w:val="auto"/>
              </w:rPr>
              <w:t>Severance Period</w:t>
            </w:r>
          </w:p>
        </w:tc>
      </w:tr>
      <w:tr>
        <w:trPr>
          <w:trHeight w:val="79"/>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880" w:type="dxa"/>
            <w:vAlign w:val="bottom"/>
            <w:tcBorders>
              <w:bottom w:val="single" w:sz="8" w:color="auto"/>
              <w:right w:val="single" w:sz="8" w:color="auto"/>
            </w:tcBorders>
          </w:tcPr>
          <w:p>
            <w:pPr>
              <w:spacing w:after="0"/>
              <w:rPr>
                <w:sz w:val="6"/>
                <w:szCs w:val="6"/>
                <w:color w:val="auto"/>
              </w:rPr>
            </w:pPr>
          </w:p>
        </w:tc>
      </w:tr>
      <w:tr>
        <w:trPr>
          <w:trHeight w:val="245"/>
        </w:trPr>
        <w:tc>
          <w:tcPr>
            <w:tcW w:w="3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CEO</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2.5x</w:t>
            </w:r>
          </w:p>
        </w:tc>
      </w:tr>
      <w:tr>
        <w:trPr>
          <w:trHeight w:val="79"/>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880" w:type="dxa"/>
            <w:vAlign w:val="bottom"/>
            <w:tcBorders>
              <w:bottom w:val="single" w:sz="8" w:color="auto"/>
              <w:right w:val="single" w:sz="8" w:color="auto"/>
            </w:tcBorders>
          </w:tcPr>
          <w:p>
            <w:pPr>
              <w:spacing w:after="0"/>
              <w:rPr>
                <w:sz w:val="6"/>
                <w:szCs w:val="6"/>
                <w:color w:val="auto"/>
              </w:rPr>
            </w:pPr>
          </w:p>
        </w:tc>
      </w:tr>
      <w:tr>
        <w:trPr>
          <w:trHeight w:val="245"/>
        </w:trPr>
        <w:tc>
          <w:tcPr>
            <w:tcW w:w="3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Section 16 Officers (Directs to CEO)</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2x</w:t>
            </w:r>
          </w:p>
        </w:tc>
      </w:tr>
      <w:tr>
        <w:trPr>
          <w:trHeight w:val="79"/>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880" w:type="dxa"/>
            <w:vAlign w:val="bottom"/>
            <w:tcBorders>
              <w:bottom w:val="single" w:sz="8" w:color="auto"/>
              <w:right w:val="single" w:sz="8" w:color="auto"/>
            </w:tcBorders>
          </w:tcPr>
          <w:p>
            <w:pPr>
              <w:spacing w:after="0"/>
              <w:rPr>
                <w:sz w:val="6"/>
                <w:szCs w:val="6"/>
                <w:color w:val="auto"/>
              </w:rPr>
            </w:pPr>
          </w:p>
        </w:tc>
      </w:tr>
      <w:tr>
        <w:trPr>
          <w:trHeight w:val="245"/>
        </w:trPr>
        <w:tc>
          <w:tcPr>
            <w:tcW w:w="38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CXL</w:t>
            </w:r>
          </w:p>
        </w:tc>
        <w:tc>
          <w:tcPr>
            <w:tcW w:w="3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1x</w:t>
            </w:r>
          </w:p>
        </w:tc>
      </w:tr>
      <w:tr>
        <w:trPr>
          <w:trHeight w:val="79"/>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880" w:type="dxa"/>
            <w:vAlign w:val="bottom"/>
            <w:tcBorders>
              <w:bottom w:val="single" w:sz="8" w:color="auto"/>
              <w:right w:val="single" w:sz="8" w:color="auto"/>
            </w:tcBorders>
          </w:tcPr>
          <w:p>
            <w:pPr>
              <w:spacing w:after="0"/>
              <w:rPr>
                <w:sz w:val="6"/>
                <w:szCs w:val="6"/>
                <w:color w:val="auto"/>
              </w:rPr>
            </w:pPr>
          </w:p>
        </w:tc>
      </w:tr>
      <w:tr>
        <w:trPr>
          <w:trHeight w:val="20"/>
        </w:trPr>
        <w:tc>
          <w:tcPr>
            <w:tcW w:w="3860" w:type="dxa"/>
            <w:vAlign w:val="bottom"/>
            <w:tcBorders>
              <w:left w:val="single" w:sz="8" w:color="auto"/>
              <w:bottom w:val="single" w:sz="8" w:color="auto"/>
            </w:tcBorders>
          </w:tcPr>
          <w:p>
            <w:pPr>
              <w:spacing w:after="0" w:line="20" w:lineRule="exact"/>
              <w:rPr>
                <w:sz w:val="1"/>
                <w:szCs w:val="1"/>
                <w:color w:val="auto"/>
              </w:rPr>
            </w:pPr>
          </w:p>
        </w:tc>
        <w:tc>
          <w:tcPr>
            <w:tcW w:w="38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0159"/>
          </w:cols>
          <w:pgMar w:left="300" w:top="1175" w:right="144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7"/>
          <w:szCs w:val="17"/>
          <w:color w:val="auto"/>
        </w:rPr>
        <w:t>Exhibit 10.4(f)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447"/>
        </w:trPr>
        <w:tc>
          <w:tcPr>
            <w:tcW w:w="4720" w:type="dxa"/>
            <w:vAlign w:val="bottom"/>
          </w:tcPr>
          <w:p>
            <w:pPr>
              <w:spacing w:after="0"/>
              <w:rPr>
                <w:sz w:val="20"/>
                <w:szCs w:val="20"/>
                <w:color w:val="auto"/>
              </w:rPr>
            </w:pPr>
            <w:r>
              <w:rPr>
                <w:rFonts w:ascii="Arial" w:cs="Arial" w:eastAsia="Arial" w:hAnsi="Arial"/>
                <w:sz w:val="17"/>
                <w:szCs w:val="17"/>
                <w:b w:val="1"/>
                <w:bCs w:val="1"/>
                <w:color w:val="auto"/>
              </w:rPr>
              <w:t>Executive Severance Policy</w:t>
            </w:r>
          </w:p>
        </w:tc>
        <w:tc>
          <w:tcPr>
            <w:tcW w:w="5800" w:type="dxa"/>
            <w:vAlign w:val="bottom"/>
          </w:tcPr>
          <w:p>
            <w:pPr>
              <w:ind w:left="2520"/>
              <w:spacing w:after="0"/>
              <w:rPr>
                <w:sz w:val="20"/>
                <w:szCs w:val="20"/>
                <w:color w:val="auto"/>
              </w:rPr>
            </w:pPr>
            <w:r>
              <w:rPr>
                <w:rFonts w:ascii="Arial" w:cs="Arial" w:eastAsia="Arial" w:hAnsi="Arial"/>
                <w:sz w:val="15"/>
                <w:szCs w:val="15"/>
                <w:b w:val="1"/>
                <w:bCs w:val="1"/>
                <w:color w:val="auto"/>
              </w:rPr>
              <w:t xml:space="preserve">Region/Country: </w:t>
            </w:r>
            <w:r>
              <w:rPr>
                <w:rFonts w:ascii="Arial" w:cs="Arial" w:eastAsia="Arial" w:hAnsi="Arial"/>
                <w:sz w:val="33"/>
                <w:szCs w:val="33"/>
                <w:color w:val="auto"/>
                <w:vertAlign w:val="subscript"/>
              </w:rPr>
              <w:t>United States</w:t>
            </w:r>
          </w:p>
        </w:tc>
      </w:tr>
      <w:tr>
        <w:trPr>
          <w:trHeight w:val="313"/>
        </w:trPr>
        <w:tc>
          <w:tcPr>
            <w:tcW w:w="4720" w:type="dxa"/>
            <w:vAlign w:val="bottom"/>
          </w:tcPr>
          <w:p>
            <w:pPr>
              <w:spacing w:after="0"/>
              <w:rPr>
                <w:sz w:val="24"/>
                <w:szCs w:val="24"/>
                <w:color w:val="auto"/>
              </w:rPr>
            </w:pPr>
          </w:p>
        </w:tc>
        <w:tc>
          <w:tcPr>
            <w:tcW w:w="5800" w:type="dxa"/>
            <w:vAlign w:val="bottom"/>
          </w:tcPr>
          <w:p>
            <w:pPr>
              <w:ind w:left="2640"/>
              <w:spacing w:after="0"/>
              <w:rPr>
                <w:sz w:val="20"/>
                <w:szCs w:val="20"/>
                <w:color w:val="auto"/>
              </w:rPr>
            </w:pPr>
            <w:r>
              <w:rPr>
                <w:rFonts w:ascii="Arial" w:cs="Arial" w:eastAsia="Arial" w:hAnsi="Arial"/>
                <w:sz w:val="15"/>
                <w:szCs w:val="15"/>
                <w:b w:val="1"/>
                <w:bCs w:val="1"/>
                <w:color w:val="auto"/>
              </w:rPr>
              <w:t xml:space="preserve">Effective Date: </w:t>
            </w:r>
            <w:r>
              <w:rPr>
                <w:rFonts w:ascii="Arial" w:cs="Arial" w:eastAsia="Arial" w:hAnsi="Arial"/>
                <w:sz w:val="16"/>
                <w:szCs w:val="16"/>
                <w:color w:val="auto"/>
              </w:rPr>
              <w:t>February 18, 2025</w:t>
            </w:r>
          </w:p>
        </w:tc>
      </w:tr>
      <w:tr>
        <w:trPr>
          <w:trHeight w:val="313"/>
        </w:trPr>
        <w:tc>
          <w:tcPr>
            <w:tcW w:w="4720" w:type="dxa"/>
            <w:vAlign w:val="bottom"/>
          </w:tcPr>
          <w:p>
            <w:pPr>
              <w:spacing w:after="0"/>
              <w:rPr>
                <w:sz w:val="24"/>
                <w:szCs w:val="24"/>
                <w:color w:val="auto"/>
              </w:rPr>
            </w:pPr>
          </w:p>
        </w:tc>
        <w:tc>
          <w:tcPr>
            <w:tcW w:w="5800" w:type="dxa"/>
            <w:vAlign w:val="bottom"/>
          </w:tcPr>
          <w:p>
            <w:pPr>
              <w:ind w:left="2800"/>
              <w:spacing w:after="0"/>
              <w:rPr>
                <w:sz w:val="20"/>
                <w:szCs w:val="20"/>
                <w:color w:val="auto"/>
              </w:rPr>
            </w:pPr>
            <w:r>
              <w:rPr>
                <w:rFonts w:ascii="Arial" w:cs="Arial" w:eastAsia="Arial" w:hAnsi="Arial"/>
                <w:sz w:val="15"/>
                <w:szCs w:val="15"/>
                <w:b w:val="1"/>
                <w:bCs w:val="1"/>
                <w:color w:val="auto"/>
              </w:rPr>
              <w:t xml:space="preserve">Supersedes: </w:t>
            </w:r>
            <w:r>
              <w:rPr>
                <w:rFonts w:ascii="Arial" w:cs="Arial" w:eastAsia="Arial" w:hAnsi="Arial"/>
                <w:sz w:val="16"/>
                <w:szCs w:val="16"/>
                <w:color w:val="auto"/>
              </w:rPr>
              <w:t>Executive Severance Policy</w:t>
            </w:r>
          </w:p>
        </w:tc>
      </w:tr>
      <w:tr>
        <w:trPr>
          <w:trHeight w:val="490"/>
        </w:trPr>
        <w:tc>
          <w:tcPr>
            <w:tcW w:w="4720" w:type="dxa"/>
            <w:vAlign w:val="bottom"/>
          </w:tcPr>
          <w:p>
            <w:pPr>
              <w:spacing w:after="0"/>
              <w:rPr>
                <w:sz w:val="24"/>
                <w:szCs w:val="24"/>
                <w:color w:val="auto"/>
              </w:rPr>
            </w:pPr>
          </w:p>
        </w:tc>
        <w:tc>
          <w:tcPr>
            <w:tcW w:w="5800" w:type="dxa"/>
            <w:vAlign w:val="bottom"/>
          </w:tcPr>
          <w:p>
            <w:pPr>
              <w:ind w:left="3240"/>
              <w:spacing w:after="0"/>
              <w:rPr>
                <w:sz w:val="20"/>
                <w:szCs w:val="20"/>
                <w:color w:val="auto"/>
              </w:rPr>
            </w:pPr>
            <w:r>
              <w:rPr>
                <w:rFonts w:ascii="Arial" w:cs="Arial" w:eastAsia="Arial" w:hAnsi="Arial"/>
                <w:sz w:val="15"/>
                <w:szCs w:val="15"/>
                <w:b w:val="1"/>
                <w:bCs w:val="1"/>
                <w:color w:val="auto"/>
              </w:rPr>
              <w:t xml:space="preserve">Dated: </w:t>
            </w:r>
            <w:r>
              <w:rPr>
                <w:rFonts w:ascii="Arial" w:cs="Arial" w:eastAsia="Arial" w:hAnsi="Arial"/>
                <w:sz w:val="16"/>
                <w:szCs w:val="16"/>
                <w:color w:val="auto"/>
              </w:rPr>
              <w:t>May 24,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6343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Scope</w:t>
      </w:r>
    </w:p>
    <w:p>
      <w:pPr>
        <w:spacing w:after="0" w:line="38" w:lineRule="exact"/>
        <w:rPr>
          <w:sz w:val="20"/>
          <w:szCs w:val="20"/>
          <w:color w:val="auto"/>
        </w:rPr>
      </w:pPr>
    </w:p>
    <w:p>
      <w:pPr>
        <w:ind w:right="140"/>
        <w:spacing w:after="0" w:line="274" w:lineRule="auto"/>
        <w:rPr>
          <w:sz w:val="20"/>
          <w:szCs w:val="20"/>
          <w:color w:val="auto"/>
        </w:rPr>
      </w:pPr>
      <w:r>
        <w:rPr>
          <w:rFonts w:ascii="Arial" w:cs="Arial" w:eastAsia="Arial" w:hAnsi="Arial"/>
          <w:sz w:val="14"/>
          <w:szCs w:val="14"/>
          <w:color w:val="auto"/>
        </w:rPr>
        <w:t>Conduent Business Services, LLC and its subsidiaries provide this policy as a guide for level C11, C12 and CXL associates. This policy applies to all C11, C12 and CXL associates of Conduent Business Services, LLC and its subsidiaries and any reference hereafter to “Conduent” or the “Company” is a reference to Conduent Business Services, LLC and its subsidiaries. This policy applies to US based associates only.</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The policy covers the terms and conditions for payment of severance to associates meeting the eligibility requirements contained in this Policy. This Policy only applies to associates</w:t>
      </w:r>
    </w:p>
    <w:p>
      <w:pPr>
        <w:spacing w:after="0" w:line="58" w:lineRule="exact"/>
        <w:rPr>
          <w:sz w:val="20"/>
          <w:szCs w:val="20"/>
          <w:color w:val="auto"/>
        </w:rPr>
      </w:pPr>
    </w:p>
    <w:p>
      <w:pPr>
        <w:ind w:right="140"/>
        <w:spacing w:after="0" w:line="313" w:lineRule="auto"/>
        <w:rPr>
          <w:sz w:val="20"/>
          <w:szCs w:val="20"/>
          <w:color w:val="auto"/>
        </w:rPr>
      </w:pPr>
      <w:r>
        <w:rPr>
          <w:rFonts w:ascii="Arial" w:cs="Arial" w:eastAsia="Arial" w:hAnsi="Arial"/>
          <w:sz w:val="14"/>
          <w:szCs w:val="14"/>
          <w:color w:val="auto"/>
        </w:rPr>
        <w:t>who are impacted by a Reduction in Force or are otherwise involuntarily terminated by the Company without Cause, and at the time of separation are in job grade level C11, C12 or CXL.</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Definitions</w:t>
      </w:r>
    </w:p>
    <w:p>
      <w:pPr>
        <w:spacing w:after="0" w:line="38"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color w:val="auto"/>
        </w:rPr>
        <w:t>Reduction in Force: As determined in the sole and absolute discretion of the Company, the elimination of one or more job positions resulting in the separation of employment of one or more associates.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Cause: As determined in the sole and absolute discretion of the Company, the associate has:</w:t>
      </w:r>
    </w:p>
    <w:p>
      <w:pPr>
        <w:spacing w:after="0" w:line="204" w:lineRule="exact"/>
        <w:rPr>
          <w:sz w:val="20"/>
          <w:szCs w:val="20"/>
          <w:color w:val="auto"/>
        </w:rPr>
      </w:pPr>
    </w:p>
    <w:p>
      <w:pPr>
        <w:jc w:val="both"/>
        <w:ind w:left="760" w:hanging="507"/>
        <w:spacing w:after="0" w:line="265" w:lineRule="auto"/>
        <w:tabs>
          <w:tab w:leader="none" w:pos="756" w:val="left"/>
        </w:tabs>
        <w:numPr>
          <w:ilvl w:val="0"/>
          <w:numId w:val="77"/>
        </w:numPr>
        <w:rPr>
          <w:rFonts w:ascii="Arial" w:cs="Arial" w:eastAsia="Arial" w:hAnsi="Arial"/>
          <w:sz w:val="14"/>
          <w:szCs w:val="14"/>
          <w:color w:val="auto"/>
        </w:rPr>
      </w:pPr>
      <w:r>
        <w:rPr>
          <w:rFonts w:ascii="Arial" w:cs="Arial" w:eastAsia="Arial" w:hAnsi="Arial"/>
          <w:sz w:val="14"/>
          <w:szCs w:val="14"/>
          <w:color w:val="auto"/>
        </w:rPr>
        <w:t>engaged in misconduct or a dereliction of duty resulting in either a violation of applicable law or Company policy or procedures, that, in either case, causes significant financial or reputational harm to the Company, or a subordinate of the associate has engaged in misconduct or a gross dereliction of duty described above and the associate unreasonably failed to manage or monitor the applicable conduct or risk;</w:t>
      </w:r>
    </w:p>
    <w:p>
      <w:pPr>
        <w:spacing w:after="0" w:line="91" w:lineRule="exact"/>
        <w:rPr>
          <w:rFonts w:ascii="Arial" w:cs="Arial" w:eastAsia="Arial" w:hAnsi="Arial"/>
          <w:sz w:val="14"/>
          <w:szCs w:val="14"/>
          <w:color w:val="auto"/>
        </w:rPr>
      </w:pPr>
    </w:p>
    <w:p>
      <w:pPr>
        <w:ind w:left="740" w:hanging="487"/>
        <w:spacing w:after="0"/>
        <w:tabs>
          <w:tab w:leader="none" w:pos="7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engaged in conduct that involves an immoral act which is reasonably likely to impair the reputation of the Company;</w:t>
      </w:r>
    </w:p>
    <w:p>
      <w:pPr>
        <w:spacing w:after="0" w:line="130" w:lineRule="exact"/>
        <w:rPr>
          <w:rFonts w:ascii="Arial" w:cs="Arial" w:eastAsia="Arial" w:hAnsi="Arial"/>
          <w:sz w:val="14"/>
          <w:szCs w:val="14"/>
          <w:color w:val="auto"/>
        </w:rPr>
      </w:pPr>
    </w:p>
    <w:p>
      <w:pPr>
        <w:ind w:left="760" w:hanging="507"/>
        <w:spacing w:after="0" w:line="282" w:lineRule="auto"/>
        <w:tabs>
          <w:tab w:leader="none" w:pos="756"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committed, or was indicted for (A) a felony or any crime involving fraud, embezzlement or dishonesty, or (B) was convicted of, or entered a plea of nolo contendere to a misdemeanor (other than a traffic violation) punishable by imprisonment under federal, state or local law;</w:t>
      </w:r>
    </w:p>
    <w:p>
      <w:pPr>
        <w:spacing w:after="0" w:line="80" w:lineRule="exact"/>
        <w:rPr>
          <w:rFonts w:ascii="Arial" w:cs="Arial" w:eastAsia="Arial" w:hAnsi="Arial"/>
          <w:sz w:val="14"/>
          <w:szCs w:val="14"/>
          <w:color w:val="auto"/>
        </w:rPr>
      </w:pPr>
    </w:p>
    <w:p>
      <w:pPr>
        <w:ind w:left="740" w:hanging="487"/>
        <w:spacing w:after="0"/>
        <w:tabs>
          <w:tab w:leader="none" w:pos="7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violated any securities or employment laws or regulations that in either case resulted in financial or reputational harm to the Company;</w:t>
      </w:r>
    </w:p>
    <w:p>
      <w:pPr>
        <w:spacing w:after="0" w:line="130" w:lineRule="exact"/>
        <w:rPr>
          <w:rFonts w:ascii="Arial" w:cs="Arial" w:eastAsia="Arial" w:hAnsi="Arial"/>
          <w:sz w:val="14"/>
          <w:szCs w:val="14"/>
          <w:color w:val="auto"/>
        </w:rPr>
      </w:pPr>
    </w:p>
    <w:p>
      <w:pPr>
        <w:ind w:left="760" w:hanging="507"/>
        <w:spacing w:after="0" w:line="282" w:lineRule="auto"/>
        <w:tabs>
          <w:tab w:leader="none" w:pos="743" w:val="left"/>
        </w:tabs>
        <w:numPr>
          <w:ilvl w:val="0"/>
          <w:numId w:val="77"/>
        </w:numPr>
        <w:rPr>
          <w:rFonts w:ascii="Arial" w:cs="Arial" w:eastAsia="Arial" w:hAnsi="Arial"/>
          <w:sz w:val="14"/>
          <w:szCs w:val="14"/>
          <w:color w:val="auto"/>
        </w:rPr>
      </w:pPr>
      <w:r>
        <w:rPr>
          <w:rFonts w:ascii="Arial" w:cs="Arial" w:eastAsia="Arial" w:hAnsi="Arial"/>
          <w:sz w:val="14"/>
          <w:szCs w:val="14"/>
          <w:color w:val="auto"/>
        </w:rPr>
        <w:t>breached the Company’s employment or ethics policies applicable to the associate or any agreement between the associate and the Company (including, without limitation, non-competition, non-solicitation, confidentiality, ownership of works, cooperation, or similar agreements);</w:t>
      </w:r>
    </w:p>
    <w:p>
      <w:pPr>
        <w:spacing w:after="0" w:line="80" w:lineRule="exact"/>
        <w:rPr>
          <w:rFonts w:ascii="Arial" w:cs="Arial" w:eastAsia="Arial" w:hAnsi="Arial"/>
          <w:sz w:val="14"/>
          <w:szCs w:val="14"/>
          <w:color w:val="auto"/>
        </w:rPr>
      </w:pPr>
    </w:p>
    <w:p>
      <w:pPr>
        <w:ind w:left="740" w:hanging="487"/>
        <w:spacing w:after="0"/>
        <w:tabs>
          <w:tab w:leader="none" w:pos="7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embezzled or misappropriated any property of the Company or committed any act involving fraud or willful dishonesty in the performance of the associate’s duties;</w:t>
      </w:r>
    </w:p>
    <w:p>
      <w:pPr>
        <w:sectPr>
          <w:pgSz w:w="11900" w:h="16838" w:orient="portrait"/>
          <w:cols w:equalWidth="0" w:num="1">
            <w:col w:w="11280"/>
          </w:cols>
          <w:pgMar w:left="300" w:top="108" w:right="3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7"/>
          <w:szCs w:val="17"/>
          <w:color w:val="auto"/>
        </w:rPr>
        <w:t>Exhibit 10.4(f)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60" w:hanging="507"/>
        <w:spacing w:after="0" w:line="282" w:lineRule="auto"/>
        <w:tabs>
          <w:tab w:leader="none" w:pos="752" w:val="left"/>
        </w:tabs>
        <w:numPr>
          <w:ilvl w:val="0"/>
          <w:numId w:val="78"/>
        </w:numPr>
        <w:rPr>
          <w:rFonts w:ascii="Arial" w:cs="Arial" w:eastAsia="Arial" w:hAnsi="Arial"/>
          <w:sz w:val="14"/>
          <w:szCs w:val="14"/>
          <w:color w:val="auto"/>
        </w:rPr>
      </w:pPr>
      <w:r>
        <w:rPr>
          <w:rFonts w:ascii="Arial" w:cs="Arial" w:eastAsia="Arial" w:hAnsi="Arial"/>
          <w:sz w:val="14"/>
          <w:szCs w:val="14"/>
          <w:color w:val="auto"/>
        </w:rPr>
        <w:t>during employment with the Company, refused or failed to obey or comply with the lawful directions of the Company’s Board of Directors or Executive Officers or of the associate's superiors, in each case acting within the scope of their authority; or</w:t>
      </w:r>
    </w:p>
    <w:p>
      <w:pPr>
        <w:spacing w:after="0" w:line="90" w:lineRule="exact"/>
        <w:rPr>
          <w:rFonts w:ascii="Arial" w:cs="Arial" w:eastAsia="Arial" w:hAnsi="Arial"/>
          <w:sz w:val="14"/>
          <w:szCs w:val="14"/>
          <w:color w:val="auto"/>
        </w:rPr>
      </w:pPr>
    </w:p>
    <w:p>
      <w:pPr>
        <w:ind w:left="760" w:hanging="507"/>
        <w:spacing w:after="0" w:line="297" w:lineRule="auto"/>
        <w:tabs>
          <w:tab w:leader="none" w:pos="752" w:val="left"/>
        </w:tabs>
        <w:numPr>
          <w:ilvl w:val="0"/>
          <w:numId w:val="78"/>
        </w:numPr>
        <w:rPr>
          <w:rFonts w:ascii="Arial" w:cs="Arial" w:eastAsia="Arial" w:hAnsi="Arial"/>
          <w:sz w:val="14"/>
          <w:szCs w:val="14"/>
          <w:color w:val="auto"/>
        </w:rPr>
      </w:pPr>
      <w:r>
        <w:rPr>
          <w:rFonts w:ascii="Arial" w:cs="Arial" w:eastAsia="Arial" w:hAnsi="Arial"/>
          <w:sz w:val="14"/>
          <w:szCs w:val="14"/>
          <w:color w:val="auto"/>
        </w:rPr>
        <w:t>used any controlled substance without a prescription, or alcohol, in a manner which either adversely affects the associate’s job performance or otherwise impairs the reputation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Eligible Associate: A C11, C12 or CXL level associate who meets all the criteria to receive severance under this Policy</w:t>
      </w:r>
    </w:p>
    <w:p>
      <w:pPr>
        <w:spacing w:after="0" w:line="204" w:lineRule="exact"/>
        <w:rPr>
          <w:sz w:val="20"/>
          <w:szCs w:val="20"/>
          <w:color w:val="auto"/>
        </w:rPr>
      </w:pPr>
    </w:p>
    <w:p>
      <w:pPr>
        <w:ind w:right="640"/>
        <w:spacing w:after="0" w:line="297" w:lineRule="auto"/>
        <w:rPr>
          <w:sz w:val="20"/>
          <w:szCs w:val="20"/>
          <w:color w:val="auto"/>
        </w:rPr>
      </w:pPr>
      <w:r>
        <w:rPr>
          <w:rFonts w:ascii="Arial" w:cs="Arial" w:eastAsia="Arial" w:hAnsi="Arial"/>
          <w:sz w:val="14"/>
          <w:szCs w:val="14"/>
          <w:color w:val="auto"/>
        </w:rPr>
        <w:t>Release: A written document generally referred to as a Separation Agreement &amp; General Release in a form and containing such terms as conditions as may be acceptable to Conduent, in its sole discretion.</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Week of Base Pay: An amount equal to the Eligible Associate’s base weekly salary on the last day of active employment. It does not include any bonuses, equity grants, commissions, or other types of compensation other than base salary.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Policy</w:t>
      </w:r>
    </w:p>
    <w:p>
      <w:pPr>
        <w:spacing w:after="0" w:line="217" w:lineRule="exact"/>
        <w:rPr>
          <w:sz w:val="20"/>
          <w:szCs w:val="20"/>
          <w:color w:val="auto"/>
        </w:rPr>
      </w:pPr>
    </w:p>
    <w:p>
      <w:pPr>
        <w:ind w:left="240" w:hanging="237"/>
        <w:spacing w:after="0"/>
        <w:tabs>
          <w:tab w:leader="none" w:pos="2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Eligibility</w:t>
      </w:r>
    </w:p>
    <w:p>
      <w:pPr>
        <w:spacing w:after="0" w:line="224" w:lineRule="exact"/>
        <w:rPr>
          <w:sz w:val="20"/>
          <w:szCs w:val="20"/>
          <w:color w:val="auto"/>
        </w:rPr>
      </w:pPr>
    </w:p>
    <w:p>
      <w:pPr>
        <w:ind w:left="500" w:right="60"/>
        <w:spacing w:after="0" w:line="344" w:lineRule="auto"/>
        <w:rPr>
          <w:sz w:val="20"/>
          <w:szCs w:val="20"/>
          <w:color w:val="auto"/>
        </w:rPr>
      </w:pPr>
      <w:r>
        <w:rPr>
          <w:rFonts w:ascii="Arial" w:cs="Arial" w:eastAsia="Arial" w:hAnsi="Arial"/>
          <w:sz w:val="14"/>
          <w:szCs w:val="14"/>
          <w:color w:val="auto"/>
        </w:rPr>
        <w:t>To be eligible to receive severance under this Policy, an associate must be a regular, full time, US associate excluding Puerto Rico and the Virgin Islands. The associate must be regularly assigned to work within the United States.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Determination of eligibility under this Policy will be made exclusively by the Company, in its sole and absolute discretion.</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 Eligible Associate must also meet all the following requirements:</w:t>
      </w:r>
    </w:p>
    <w:p>
      <w:pPr>
        <w:spacing w:after="0" w:line="47" w:lineRule="exact"/>
        <w:rPr>
          <w:sz w:val="20"/>
          <w:szCs w:val="20"/>
          <w:color w:val="auto"/>
        </w:rPr>
      </w:pPr>
    </w:p>
    <w:p>
      <w:pPr>
        <w:ind w:left="1240" w:hanging="237"/>
        <w:spacing w:after="0"/>
        <w:tabs>
          <w:tab w:leader="none" w:pos="1240" w:val="left"/>
        </w:tabs>
        <w:numPr>
          <w:ilvl w:val="0"/>
          <w:numId w:val="80"/>
        </w:numPr>
        <w:rPr>
          <w:rFonts w:ascii="Arial" w:cs="Arial" w:eastAsia="Arial" w:hAnsi="Arial"/>
          <w:sz w:val="15"/>
          <w:szCs w:val="15"/>
          <w:color w:val="auto"/>
        </w:rPr>
      </w:pPr>
      <w:r>
        <w:rPr>
          <w:rFonts w:ascii="Arial" w:cs="Arial" w:eastAsia="Arial" w:hAnsi="Arial"/>
          <w:sz w:val="14"/>
          <w:szCs w:val="14"/>
          <w:color w:val="auto"/>
        </w:rPr>
        <w:t>the associate must be on the active payroll of Conduent and in a position graded as a job grade level C11, C12 or CXL or on an approved leave of absence; and</w:t>
      </w:r>
    </w:p>
    <w:p>
      <w:pPr>
        <w:spacing w:after="0" w:line="15" w:lineRule="exact"/>
        <w:rPr>
          <w:rFonts w:ascii="Arial" w:cs="Arial" w:eastAsia="Arial" w:hAnsi="Arial"/>
          <w:sz w:val="15"/>
          <w:szCs w:val="15"/>
          <w:color w:val="auto"/>
        </w:rPr>
      </w:pPr>
    </w:p>
    <w:p>
      <w:pPr>
        <w:ind w:left="1240" w:hanging="237"/>
        <w:spacing w:after="0"/>
        <w:tabs>
          <w:tab w:leader="none" w:pos="12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associate’s termination occurs solely as a result of either a Reduction in Force or an involuntary termination by the Company without Cause; and</w:t>
      </w:r>
    </w:p>
    <w:p>
      <w:pPr>
        <w:spacing w:after="0" w:line="36" w:lineRule="exact"/>
        <w:rPr>
          <w:rFonts w:ascii="Arial" w:cs="Arial" w:eastAsia="Arial" w:hAnsi="Arial"/>
          <w:sz w:val="14"/>
          <w:szCs w:val="14"/>
          <w:color w:val="auto"/>
        </w:rPr>
      </w:pPr>
    </w:p>
    <w:p>
      <w:pPr>
        <w:jc w:val="both"/>
        <w:ind w:left="1260" w:hanging="257"/>
        <w:spacing w:after="0" w:line="351" w:lineRule="auto"/>
        <w:tabs>
          <w:tab w:leader="none" w:pos="1256"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associate is not offered other comparable employment (or fails to apply for a specifically offered comparable position), with (1) Conduent, or any of its parents, subsidiaries or affiliates, (2) a successor or parent of Conduent or one of their subsidiaries or affiliates, (3) a purchaser of some or all of the assets of Conduent, or any of its parents, subsidiaries or affiliates, or (4) a competitor or service provider assuming responsibility under a contract previously managed by Conduent; and</w:t>
      </w:r>
    </w:p>
    <w:p>
      <w:pPr>
        <w:ind w:left="1240" w:hanging="237"/>
        <w:spacing w:after="0"/>
        <w:tabs>
          <w:tab w:leader="none" w:pos="12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associate is not otherwise eligible for severance upon termination of employment through Conduent, a successor, or purchaser; and</w:t>
      </w:r>
    </w:p>
    <w:p>
      <w:pPr>
        <w:spacing w:after="0" w:line="47" w:lineRule="exact"/>
        <w:rPr>
          <w:rFonts w:ascii="Arial" w:cs="Arial" w:eastAsia="Arial" w:hAnsi="Arial"/>
          <w:sz w:val="14"/>
          <w:szCs w:val="14"/>
          <w:color w:val="auto"/>
        </w:rPr>
      </w:pPr>
    </w:p>
    <w:p>
      <w:pPr>
        <w:ind w:left="1260" w:hanging="257"/>
        <w:spacing w:after="0" w:line="359" w:lineRule="auto"/>
        <w:tabs>
          <w:tab w:leader="none" w:pos="1256"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associate continues employment until the last day of active employment designated by the Company, as such date may be extended by the Company from time to time in its sole discretion; and</w:t>
      </w:r>
    </w:p>
    <w:p>
      <w:pPr>
        <w:sectPr>
          <w:pgSz w:w="11900" w:h="16838" w:orient="portrait"/>
          <w:cols w:equalWidth="0" w:num="1">
            <w:col w:w="11280"/>
          </w:cols>
          <w:pgMar w:left="300" w:top="108" w:right="3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7"/>
          <w:szCs w:val="17"/>
          <w:color w:val="auto"/>
        </w:rPr>
        <w:t>Exhibit 10.4(f)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hanging="257"/>
        <w:spacing w:after="0" w:line="271" w:lineRule="auto"/>
        <w:tabs>
          <w:tab w:leader="none" w:pos="1256" w:val="left"/>
        </w:tabs>
        <w:numPr>
          <w:ilvl w:val="1"/>
          <w:numId w:val="81"/>
        </w:numPr>
        <w:rPr>
          <w:rFonts w:ascii="Arial" w:cs="Arial" w:eastAsia="Arial" w:hAnsi="Arial"/>
          <w:sz w:val="14"/>
          <w:szCs w:val="14"/>
          <w:color w:val="auto"/>
        </w:rPr>
      </w:pPr>
      <w:r>
        <w:rPr>
          <w:rFonts w:ascii="Arial" w:cs="Arial" w:eastAsia="Arial" w:hAnsi="Arial"/>
          <w:sz w:val="14"/>
          <w:szCs w:val="14"/>
          <w:color w:val="auto"/>
        </w:rPr>
        <w:t>during the period from the date the associate receives notice of termination until the last day of active employment, their performance and conduct are in accordance with all policies and procedures of the Company and are otherwise satisfactory to the Company; and</w:t>
      </w:r>
    </w:p>
    <w:p>
      <w:pPr>
        <w:spacing w:after="0" w:line="1" w:lineRule="exact"/>
        <w:rPr>
          <w:rFonts w:ascii="Arial" w:cs="Arial" w:eastAsia="Arial" w:hAnsi="Arial"/>
          <w:sz w:val="14"/>
          <w:szCs w:val="14"/>
          <w:color w:val="auto"/>
        </w:rPr>
      </w:pPr>
    </w:p>
    <w:p>
      <w:pPr>
        <w:ind w:left="1240" w:hanging="237"/>
        <w:spacing w:after="0"/>
        <w:tabs>
          <w:tab w:leader="none" w:pos="1240" w:val="left"/>
        </w:tabs>
        <w:numPr>
          <w:ilvl w:val="1"/>
          <w:numId w:val="81"/>
        </w:numPr>
        <w:rPr>
          <w:rFonts w:ascii="Arial" w:cs="Arial" w:eastAsia="Arial" w:hAnsi="Arial"/>
          <w:sz w:val="14"/>
          <w:szCs w:val="14"/>
          <w:color w:val="auto"/>
        </w:rPr>
      </w:pPr>
      <w:r>
        <w:rPr>
          <w:rFonts w:ascii="Arial" w:cs="Arial" w:eastAsia="Arial" w:hAnsi="Arial"/>
          <w:sz w:val="14"/>
          <w:szCs w:val="14"/>
          <w:color w:val="auto"/>
        </w:rPr>
        <w:t>the associate timely executes and does not revoke a Separation Agreement &amp; General Release (“Release”) in accordance with the terms stated therein; and</w:t>
      </w:r>
    </w:p>
    <w:p>
      <w:pPr>
        <w:spacing w:after="0" w:line="22" w:lineRule="exact"/>
        <w:rPr>
          <w:rFonts w:ascii="Arial" w:cs="Arial" w:eastAsia="Arial" w:hAnsi="Arial"/>
          <w:sz w:val="14"/>
          <w:szCs w:val="14"/>
          <w:color w:val="auto"/>
        </w:rPr>
      </w:pPr>
    </w:p>
    <w:p>
      <w:pPr>
        <w:ind w:left="1240" w:hanging="237"/>
        <w:spacing w:after="0"/>
        <w:tabs>
          <w:tab w:leader="none" w:pos="1240" w:val="left"/>
        </w:tabs>
        <w:numPr>
          <w:ilvl w:val="1"/>
          <w:numId w:val="81"/>
        </w:numPr>
        <w:rPr>
          <w:rFonts w:ascii="Arial" w:cs="Arial" w:eastAsia="Arial" w:hAnsi="Arial"/>
          <w:sz w:val="14"/>
          <w:szCs w:val="14"/>
          <w:color w:val="auto"/>
        </w:rPr>
      </w:pPr>
      <w:r>
        <w:rPr>
          <w:rFonts w:ascii="Arial" w:cs="Arial" w:eastAsia="Arial" w:hAnsi="Arial"/>
          <w:sz w:val="14"/>
          <w:szCs w:val="14"/>
          <w:color w:val="auto"/>
        </w:rPr>
        <w:t>the associate fulfills all their obligations to Conduent and its parents, subsidiaries, and affiliates with respect to confidential information, inventions, return of</w:t>
      </w:r>
    </w:p>
    <w:p>
      <w:pPr>
        <w:spacing w:after="0" w:line="30" w:lineRule="exact"/>
        <w:rPr>
          <w:rFonts w:ascii="Arial" w:cs="Arial" w:eastAsia="Arial" w:hAnsi="Arial"/>
          <w:sz w:val="14"/>
          <w:szCs w:val="14"/>
          <w:color w:val="auto"/>
        </w:rPr>
      </w:pPr>
    </w:p>
    <w:p>
      <w:pPr>
        <w:ind w:left="1260"/>
        <w:spacing w:after="0" w:line="327" w:lineRule="auto"/>
        <w:rPr>
          <w:rFonts w:ascii="Arial" w:cs="Arial" w:eastAsia="Arial" w:hAnsi="Arial"/>
          <w:sz w:val="14"/>
          <w:szCs w:val="14"/>
          <w:color w:val="auto"/>
        </w:rPr>
      </w:pPr>
      <w:r>
        <w:rPr>
          <w:rFonts w:ascii="Arial" w:cs="Arial" w:eastAsia="Arial" w:hAnsi="Arial"/>
          <w:sz w:val="14"/>
          <w:szCs w:val="14"/>
          <w:color w:val="auto"/>
        </w:rPr>
        <w:t xml:space="preserve">Company property, non-competition, restrictive covenants and the like and with respect to such other obligations as may from time to time be required by the Company. Each associate is expected to act professionally and extend their cooperation to their manager and to those who </w:t>
      </w:r>
      <w:r>
        <w:rPr>
          <w:rFonts w:ascii="Arial" w:cs="Arial" w:eastAsia="Arial" w:hAnsi="Arial"/>
          <w:sz w:val="16"/>
          <w:szCs w:val="16"/>
          <w:color w:val="auto"/>
        </w:rPr>
        <w:t>may</w:t>
      </w:r>
      <w:r>
        <w:rPr>
          <w:rFonts w:ascii="Arial" w:cs="Arial" w:eastAsia="Arial" w:hAnsi="Arial"/>
          <w:sz w:val="14"/>
          <w:szCs w:val="14"/>
          <w:color w:val="auto"/>
        </w:rPr>
        <w:t xml:space="preserve"> be assuming duties.</w:t>
      </w:r>
    </w:p>
    <w:p>
      <w:pPr>
        <w:spacing w:after="0" w:line="154" w:lineRule="exact"/>
        <w:rPr>
          <w:rFonts w:ascii="Arial" w:cs="Arial" w:eastAsia="Arial" w:hAnsi="Arial"/>
          <w:sz w:val="14"/>
          <w:szCs w:val="14"/>
          <w:color w:val="auto"/>
        </w:rPr>
      </w:pPr>
    </w:p>
    <w:p>
      <w:pPr>
        <w:ind w:left="240" w:hanging="237"/>
        <w:spacing w:after="0"/>
        <w:tabs>
          <w:tab w:leader="none" w:pos="2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Benefits Under this Policy</w:t>
      </w:r>
    </w:p>
    <w:p>
      <w:pPr>
        <w:spacing w:after="0" w:line="235" w:lineRule="exact"/>
        <w:rPr>
          <w:sz w:val="20"/>
          <w:szCs w:val="20"/>
          <w:color w:val="auto"/>
        </w:rPr>
      </w:pPr>
    </w:p>
    <w:p>
      <w:pPr>
        <w:ind w:left="380"/>
        <w:spacing w:after="0" w:line="318" w:lineRule="auto"/>
        <w:rPr>
          <w:sz w:val="20"/>
          <w:szCs w:val="20"/>
          <w:color w:val="auto"/>
        </w:rPr>
      </w:pPr>
      <w:r>
        <w:rPr>
          <w:rFonts w:ascii="Arial" w:cs="Arial" w:eastAsia="Arial" w:hAnsi="Arial"/>
          <w:sz w:val="14"/>
          <w:szCs w:val="14"/>
          <w:color w:val="auto"/>
        </w:rPr>
        <w:t>If a CXL Grade Level Eligible Associate executes a Release in a form acceptable to the Company no later than forty-five (45) days following receipt by the CXL Grade Level Eligible Associate of the Release for review and consideration, the CXL Grade Level Eligible Associate will receive salary continuation for fifty-two (52) weeks, less all applicable payroll taxes and any other authorized deductions, beginning sixty (60) days following the associate’s separation from service. A CXL Grade Level Eligible Associate will also continue to receive certain benefits for fifty-two (52) weeks beyond their last day of active employment, subject to the continued Eligible Associate’s benefit premium contributions that were in effect for the Eligible Associate on their last day of active employment. For CXL Grade Level associates, the change from active employment status to an inactive status for fifty-two (52) weeks to facilitate the provision of salary and benefit continuance under this Policy is not a Qualifying Life Status Event that would allow the Eligible Associate to make any changes to their benefit elections. Benefits continuation for purposes of this Policy does not include any of the following:</w:t>
      </w:r>
    </w:p>
    <w:p>
      <w:pPr>
        <w:spacing w:after="0" w:line="17" w:lineRule="exact"/>
        <w:rPr>
          <w:sz w:val="20"/>
          <w:szCs w:val="20"/>
          <w:color w:val="auto"/>
        </w:rPr>
      </w:pPr>
    </w:p>
    <w:p>
      <w:pPr>
        <w:ind w:left="1000" w:hanging="247"/>
        <w:spacing w:after="0"/>
        <w:tabs>
          <w:tab w:leader="none" w:pos="1000" w:val="left"/>
        </w:tabs>
        <w:numPr>
          <w:ilvl w:val="0"/>
          <w:numId w:val="82"/>
        </w:numPr>
        <w:rPr>
          <w:rFonts w:ascii="Arial" w:cs="Arial" w:eastAsia="Arial" w:hAnsi="Arial"/>
          <w:sz w:val="15"/>
          <w:szCs w:val="15"/>
          <w:color w:val="auto"/>
        </w:rPr>
      </w:pPr>
      <w:r>
        <w:rPr>
          <w:rFonts w:ascii="Arial" w:cs="Arial" w:eastAsia="Arial" w:hAnsi="Arial"/>
          <w:sz w:val="14"/>
          <w:szCs w:val="14"/>
          <w:color w:val="auto"/>
        </w:rPr>
        <w:t>Short-term Disability</w:t>
      </w:r>
    </w:p>
    <w:p>
      <w:pPr>
        <w:spacing w:after="0" w:line="46" w:lineRule="exact"/>
        <w:rPr>
          <w:rFonts w:ascii="Arial" w:cs="Arial" w:eastAsia="Arial" w:hAnsi="Arial"/>
          <w:sz w:val="15"/>
          <w:szCs w:val="15"/>
          <w:color w:val="auto"/>
        </w:rPr>
      </w:pPr>
    </w:p>
    <w:p>
      <w:pPr>
        <w:ind w:left="1000" w:hanging="247"/>
        <w:spacing w:after="0"/>
        <w:tabs>
          <w:tab w:leader="none" w:pos="10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Long-term Disability</w:t>
      </w:r>
    </w:p>
    <w:p>
      <w:pPr>
        <w:spacing w:after="0" w:line="57" w:lineRule="exact"/>
        <w:rPr>
          <w:rFonts w:ascii="Arial" w:cs="Arial" w:eastAsia="Arial" w:hAnsi="Arial"/>
          <w:sz w:val="14"/>
          <w:szCs w:val="14"/>
          <w:color w:val="auto"/>
        </w:rPr>
      </w:pPr>
    </w:p>
    <w:p>
      <w:pPr>
        <w:ind w:left="1000" w:hanging="247"/>
        <w:spacing w:after="0"/>
        <w:tabs>
          <w:tab w:leader="none" w:pos="10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Savings Plan 401(k)</w:t>
      </w:r>
    </w:p>
    <w:p>
      <w:pPr>
        <w:spacing w:after="0" w:line="58" w:lineRule="exact"/>
        <w:rPr>
          <w:sz w:val="20"/>
          <w:szCs w:val="20"/>
          <w:color w:val="auto"/>
        </w:rPr>
      </w:pPr>
    </w:p>
    <w:p>
      <w:pPr>
        <w:ind w:left="380" w:right="240"/>
        <w:spacing w:after="0" w:line="332" w:lineRule="auto"/>
        <w:rPr>
          <w:sz w:val="20"/>
          <w:szCs w:val="20"/>
          <w:color w:val="auto"/>
        </w:rPr>
      </w:pPr>
      <w:r>
        <w:rPr>
          <w:rFonts w:ascii="Arial" w:cs="Arial" w:eastAsia="Arial" w:hAnsi="Arial"/>
          <w:sz w:val="14"/>
          <w:szCs w:val="14"/>
          <w:color w:val="auto"/>
        </w:rPr>
        <w:t>If a C11 or C12 Grade Level Eligible Associate executes a Release in a form acceptable to the Company no later than forty-five (45) days following the receipt by the C11 or C12 Grade Level Eligible Associate of the Release for review and consideration, the C11 or C12 Grade Level Eligible Associate will receive a one-time, lump sum payment equal to twenty-six (26) Weeks of Base Pay, less all applicable payroll taxes and any other authorized deductions, payable sixty (60) days following the associate’s separation from service. A C11 or C12 Grade Level Eligible Associate will not continue to receive any benefits beyond their last day of active employment.</w:t>
      </w:r>
    </w:p>
    <w:p>
      <w:pPr>
        <w:spacing w:after="0" w:line="140" w:lineRule="exact"/>
        <w:rPr>
          <w:sz w:val="20"/>
          <w:szCs w:val="20"/>
          <w:color w:val="auto"/>
        </w:rPr>
      </w:pPr>
    </w:p>
    <w:p>
      <w:pPr>
        <w:ind w:left="380"/>
        <w:spacing w:after="0" w:line="288" w:lineRule="auto"/>
        <w:rPr>
          <w:sz w:val="20"/>
          <w:szCs w:val="20"/>
          <w:color w:val="auto"/>
        </w:rPr>
      </w:pPr>
      <w:r>
        <w:rPr>
          <w:rFonts w:ascii="Arial" w:cs="Arial" w:eastAsia="Arial" w:hAnsi="Arial"/>
          <w:sz w:val="14"/>
          <w:szCs w:val="14"/>
          <w:color w:val="auto"/>
        </w:rPr>
        <w:t>Payments made pursuant to this Policy and any Release shall be deemed wages in lieu of notice during the applicable benefit year in the event the Eligible Associate files a claim for unemployment benefits and will be made in accordance with the provisions contained in the Release. In no event will any severance payment or benefit be made or provided to an Eligible Associate whose Release</w:t>
      </w:r>
    </w:p>
    <w:p>
      <w:pPr>
        <w:sectPr>
          <w:pgSz w:w="11900" w:h="16838" w:orient="portrait"/>
          <w:cols w:equalWidth="0" w:num="1">
            <w:col w:w="11280"/>
          </w:cols>
          <w:pgMar w:left="300" w:top="108"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7"/>
          <w:szCs w:val="17"/>
          <w:color w:val="auto"/>
        </w:rPr>
        <w:t>Exhibit 10.4(f)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is received by the Company after the expiration of the forty-five (45) day period after receipt described above.</w:t>
      </w:r>
    </w:p>
    <w:p>
      <w:pPr>
        <w:spacing w:after="0" w:line="204" w:lineRule="exact"/>
        <w:rPr>
          <w:sz w:val="20"/>
          <w:szCs w:val="20"/>
          <w:color w:val="auto"/>
        </w:rPr>
      </w:pPr>
    </w:p>
    <w:p>
      <w:pPr>
        <w:ind w:left="380" w:right="60"/>
        <w:spacing w:after="0" w:line="287" w:lineRule="auto"/>
        <w:rPr>
          <w:sz w:val="20"/>
          <w:szCs w:val="20"/>
          <w:color w:val="auto"/>
        </w:rPr>
      </w:pPr>
      <w:r>
        <w:rPr>
          <w:rFonts w:ascii="Arial" w:cs="Arial" w:eastAsia="Arial" w:hAnsi="Arial"/>
          <w:sz w:val="14"/>
          <w:szCs w:val="14"/>
          <w:color w:val="auto"/>
        </w:rPr>
        <w:t>The following events will exclude an associate from receiving severance benefits (including, but not limited to, salary and benefit continuation or a lump sum payment (whichever would be applicable based on their job grade level) under this Policy:</w:t>
      </w:r>
    </w:p>
    <w:p>
      <w:pPr>
        <w:ind w:left="1000" w:hanging="247"/>
        <w:spacing w:after="0"/>
        <w:tabs>
          <w:tab w:leader="none" w:pos="10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associate resigns, retires or otherwise voluntarily leaves their employment with the Company; or</w:t>
      </w:r>
    </w:p>
    <w:p>
      <w:pPr>
        <w:spacing w:after="0" w:line="57" w:lineRule="exact"/>
        <w:rPr>
          <w:rFonts w:ascii="Arial" w:cs="Arial" w:eastAsia="Arial" w:hAnsi="Arial"/>
          <w:sz w:val="14"/>
          <w:szCs w:val="14"/>
          <w:color w:val="auto"/>
        </w:rPr>
      </w:pPr>
    </w:p>
    <w:p>
      <w:pPr>
        <w:ind w:left="1000" w:hanging="247"/>
        <w:spacing w:after="0"/>
        <w:tabs>
          <w:tab w:leader="none" w:pos="10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associate’s employment is terminated by Conduent for Cause; or</w:t>
      </w:r>
    </w:p>
    <w:p>
      <w:pPr>
        <w:spacing w:after="0" w:line="57" w:lineRule="exact"/>
        <w:rPr>
          <w:rFonts w:ascii="Arial" w:cs="Arial" w:eastAsia="Arial" w:hAnsi="Arial"/>
          <w:sz w:val="14"/>
          <w:szCs w:val="14"/>
          <w:color w:val="auto"/>
        </w:rPr>
      </w:pPr>
    </w:p>
    <w:p>
      <w:pPr>
        <w:ind w:left="1000" w:hanging="247"/>
        <w:spacing w:after="0"/>
        <w:tabs>
          <w:tab w:leader="none" w:pos="10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associate’s employment ends as a result of death or failure to return from a leave of absence; or</w:t>
      </w:r>
    </w:p>
    <w:p>
      <w:pPr>
        <w:spacing w:after="0" w:line="47" w:lineRule="exact"/>
        <w:rPr>
          <w:rFonts w:ascii="Arial" w:cs="Arial" w:eastAsia="Arial" w:hAnsi="Arial"/>
          <w:sz w:val="14"/>
          <w:szCs w:val="14"/>
          <w:color w:val="auto"/>
        </w:rPr>
      </w:pPr>
    </w:p>
    <w:p>
      <w:pPr>
        <w:ind w:left="1000" w:right="120" w:hanging="247"/>
        <w:spacing w:after="0" w:line="310" w:lineRule="auto"/>
        <w:tabs>
          <w:tab w:leader="none" w:pos="996"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associate is offered a comparable position (or fails to apply for a specifically offered comparable open position) with Conduent, one of its parents, subsidiaries or affiliates, a successor company, purchaser, competitor, or another service provider at the time of the elimination of the associate’s position; or</w:t>
      </w:r>
    </w:p>
    <w:p>
      <w:pPr>
        <w:ind w:left="1000" w:right="280" w:hanging="247"/>
        <w:spacing w:after="0" w:line="287" w:lineRule="auto"/>
        <w:tabs>
          <w:tab w:leader="none" w:pos="996"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associate is entitled to severance through Conduent, a successor, or purchaser pursuant to a written agreement, commitment or understanding or mandated by applicable laws or regulations; or</w:t>
      </w:r>
    </w:p>
    <w:p>
      <w:pPr>
        <w:ind w:left="1000" w:hanging="247"/>
        <w:spacing w:after="0"/>
        <w:tabs>
          <w:tab w:leader="none" w:pos="10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associate elects not to execute the Release or, having executed the Release, revokes it in a timely manner thereafter; or</w:t>
      </w:r>
    </w:p>
    <w:p>
      <w:pPr>
        <w:spacing w:after="0" w:line="47" w:lineRule="exact"/>
        <w:rPr>
          <w:rFonts w:ascii="Arial" w:cs="Arial" w:eastAsia="Arial" w:hAnsi="Arial"/>
          <w:sz w:val="14"/>
          <w:szCs w:val="14"/>
          <w:color w:val="auto"/>
        </w:rPr>
      </w:pPr>
    </w:p>
    <w:p>
      <w:pPr>
        <w:ind w:left="1000" w:hanging="247"/>
        <w:spacing w:after="0"/>
        <w:tabs>
          <w:tab w:leader="none" w:pos="10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associate is on long term disability as determined by the Conduent long term disability administrator on the last day of active employment.</w:t>
      </w:r>
    </w:p>
    <w:p>
      <w:pPr>
        <w:spacing w:after="0" w:line="245" w:lineRule="exact"/>
        <w:rPr>
          <w:sz w:val="20"/>
          <w:szCs w:val="20"/>
          <w:color w:val="auto"/>
        </w:rPr>
      </w:pPr>
    </w:p>
    <w:p>
      <w:pPr>
        <w:spacing w:after="0" w:line="328" w:lineRule="auto"/>
        <w:rPr>
          <w:sz w:val="20"/>
          <w:szCs w:val="20"/>
          <w:color w:val="auto"/>
        </w:rPr>
      </w:pPr>
      <w:r>
        <w:rPr>
          <w:rFonts w:ascii="Arial" w:cs="Arial" w:eastAsia="Arial" w:hAnsi="Arial"/>
          <w:sz w:val="14"/>
          <w:szCs w:val="14"/>
          <w:color w:val="auto"/>
        </w:rPr>
        <w:t>Any CXL Grade Level Eligible Associate who obtains other employment with an unrelated third party during the salary and benefit continuance period, will continue to receive salary and benefit continuance payments through the end of the scheduled salary and benefits continuance period, except, however, the payment of such salary and benefits continuance may be discontinued, and any outstanding salary and benefit continuance payments may be forfeited, if the associate fails to comply with any post-employment obligation (e.g., non-disclosure/use of confidential information, non-compete/non or non-solicitation restrictions, etc.). CXL Grade Level Eligible Associates are not permitted or entitled to receive a lump sum payment in lieu of receiving all or any portion of the salary and benefits continuation provided in this Policy. The CXL Grade Level Eligible Associate will be formally separated from Conduent on the last day of the fifty-two (52) week period immediately following the last day of active employment. If an Eligible Associate chooses to end salary and benefit continuance and separate from Conduent, the Eligible Associate will no longer be eligible for salary and benefit continuance. A CXL Grade Level associate who obtains other benefit coverage during salary and benefits continuance may, but is not required to, cancel benefit coverage provided through Conduent.</w:t>
      </w:r>
    </w:p>
    <w:p>
      <w:pPr>
        <w:spacing w:after="0" w:line="167" w:lineRule="exact"/>
        <w:rPr>
          <w:sz w:val="20"/>
          <w:szCs w:val="20"/>
          <w:color w:val="auto"/>
        </w:rPr>
      </w:pPr>
    </w:p>
    <w:p>
      <w:pPr>
        <w:ind w:left="320" w:hanging="317"/>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Status of Other Benefits</w:t>
      </w:r>
    </w:p>
    <w:p>
      <w:pPr>
        <w:spacing w:after="0" w:line="200" w:lineRule="exact"/>
        <w:rPr>
          <w:sz w:val="20"/>
          <w:szCs w:val="20"/>
          <w:color w:val="auto"/>
        </w:rPr>
      </w:pPr>
    </w:p>
    <w:p>
      <w:pPr>
        <w:spacing w:after="0" w:line="202" w:lineRule="exact"/>
        <w:rPr>
          <w:sz w:val="20"/>
          <w:szCs w:val="20"/>
          <w:color w:val="auto"/>
        </w:rPr>
      </w:pPr>
    </w:p>
    <w:p>
      <w:pPr>
        <w:ind w:left="380" w:right="220"/>
        <w:spacing w:after="0" w:line="313" w:lineRule="auto"/>
        <w:rPr>
          <w:sz w:val="20"/>
          <w:szCs w:val="20"/>
          <w:color w:val="auto"/>
        </w:rPr>
      </w:pPr>
      <w:r>
        <w:rPr>
          <w:rFonts w:ascii="Arial" w:cs="Arial" w:eastAsia="Arial" w:hAnsi="Arial"/>
          <w:sz w:val="14"/>
          <w:szCs w:val="14"/>
          <w:color w:val="auto"/>
        </w:rPr>
        <w:t>Unless required by applicable law, Conduent does not accrue or pay out flexible vacation time or floating holidays to C11, C12 or CXL associates. Conduent also does not pay out any accrued but unused sick at the time at termination to C11, C12 or CXL associates.</w:t>
      </w:r>
    </w:p>
    <w:p>
      <w:pPr>
        <w:sectPr>
          <w:pgSz w:w="11900" w:h="16838" w:orient="portrait"/>
          <w:cols w:equalWidth="0" w:num="1">
            <w:col w:w="11280"/>
          </w:cols>
          <w:pgMar w:left="300" w:top="108" w:right="3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7"/>
          <w:szCs w:val="17"/>
          <w:color w:val="auto"/>
        </w:rPr>
        <w:t>Exhibit 10.4(f)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80" w:right="440"/>
        <w:spacing w:after="0" w:line="328" w:lineRule="auto"/>
        <w:rPr>
          <w:sz w:val="20"/>
          <w:szCs w:val="20"/>
          <w:color w:val="auto"/>
        </w:rPr>
      </w:pPr>
      <w:r>
        <w:rPr>
          <w:rFonts w:ascii="Arial" w:cs="Arial" w:eastAsia="Arial" w:hAnsi="Arial"/>
          <w:sz w:val="14"/>
          <w:szCs w:val="14"/>
          <w:color w:val="auto"/>
        </w:rPr>
        <w:t>Associates should refer to their specific bonus plan documentation to determine their eligibility or treatment upon termination due to a Reduction in Force or an involuntary termination without Cause.</w:t>
      </w:r>
    </w:p>
    <w:p>
      <w:pPr>
        <w:spacing w:after="0" w:line="122" w:lineRule="exact"/>
        <w:rPr>
          <w:sz w:val="20"/>
          <w:szCs w:val="20"/>
          <w:color w:val="auto"/>
        </w:rPr>
      </w:pPr>
    </w:p>
    <w:p>
      <w:pPr>
        <w:jc w:val="both"/>
        <w:ind w:left="320" w:right="200" w:hanging="374"/>
        <w:spacing w:after="0" w:line="311" w:lineRule="auto"/>
        <w:tabs>
          <w:tab w:leader="none" w:pos="300" w:val="left"/>
        </w:tabs>
        <w:rPr>
          <w:sz w:val="20"/>
          <w:szCs w:val="20"/>
          <w:color w:val="auto"/>
        </w:rPr>
      </w:pPr>
      <w:r>
        <w:rPr>
          <w:rFonts w:ascii="Arial" w:cs="Arial" w:eastAsia="Arial" w:hAnsi="Arial"/>
          <w:sz w:val="14"/>
          <w:szCs w:val="14"/>
          <w:color w:val="auto"/>
        </w:rPr>
        <w:t>IV.</w:t>
        <w:tab/>
        <w:t>For Long-Term Incentive Plan (LTIP) vesting purposes, CXL associates will continue to vest during the fifty-two (52) weeks they receive salary and benefit continuation and C12 associates will be deemed to vest during the twenty-six (26) weeks immediately following their termination date. In accordance with the terms and conditions of the LTIP, C12s and CXLs will only get vesting credit for full calendar months.</w:t>
      </w:r>
    </w:p>
    <w:p>
      <w:pPr>
        <w:spacing w:after="0" w:line="145" w:lineRule="exact"/>
        <w:rPr>
          <w:sz w:val="20"/>
          <w:szCs w:val="20"/>
          <w:color w:val="auto"/>
        </w:rPr>
      </w:pPr>
    </w:p>
    <w:p>
      <w:pPr>
        <w:ind w:left="280" w:hanging="277"/>
        <w:spacing w:after="0"/>
        <w:tabs>
          <w:tab w:leader="none" w:pos="2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Disability</w:t>
      </w:r>
    </w:p>
    <w:p>
      <w:pPr>
        <w:spacing w:after="0" w:line="224" w:lineRule="exact"/>
        <w:rPr>
          <w:sz w:val="20"/>
          <w:szCs w:val="20"/>
          <w:color w:val="auto"/>
        </w:rPr>
      </w:pPr>
    </w:p>
    <w:p>
      <w:pPr>
        <w:ind w:left="380" w:right="40"/>
        <w:spacing w:after="0" w:line="316" w:lineRule="auto"/>
        <w:rPr>
          <w:sz w:val="20"/>
          <w:szCs w:val="20"/>
          <w:color w:val="auto"/>
        </w:rPr>
      </w:pPr>
      <w:r>
        <w:rPr>
          <w:rFonts w:ascii="Arial" w:cs="Arial" w:eastAsia="Arial" w:hAnsi="Arial"/>
          <w:sz w:val="14"/>
          <w:szCs w:val="14"/>
          <w:color w:val="auto"/>
        </w:rPr>
        <w:t>Eligibility for short- and long-term disability benefits ends on the last day of active employment. If an associate becomes disabled after receiving a notice of termination under this Policy, the associate remains eligible to apply for disability benefits under the same terms and conditions as before receiving a notice of termination. If an associate files for disability, severance benefits, including salary and benefits continuance or lump sum payments will begin or be paid after the associate is no longer eligible to receive short term-disability benefits and provided the other eligibility requirements set forth in this Policy are met.</w:t>
      </w:r>
    </w:p>
    <w:p>
      <w:pPr>
        <w:spacing w:after="0" w:line="173" w:lineRule="exact"/>
        <w:rPr>
          <w:sz w:val="20"/>
          <w:szCs w:val="20"/>
          <w:color w:val="auto"/>
        </w:rPr>
      </w:pPr>
    </w:p>
    <w:p>
      <w:pPr>
        <w:ind w:left="380" w:right="140"/>
        <w:spacing w:after="0" w:line="322" w:lineRule="auto"/>
        <w:rPr>
          <w:sz w:val="20"/>
          <w:szCs w:val="20"/>
          <w:color w:val="auto"/>
        </w:rPr>
      </w:pPr>
      <w:r>
        <w:rPr>
          <w:rFonts w:ascii="Arial" w:cs="Arial" w:eastAsia="Arial" w:hAnsi="Arial"/>
          <w:sz w:val="14"/>
          <w:szCs w:val="14"/>
          <w:color w:val="auto"/>
        </w:rPr>
        <w:t>If a CXL Grade Level associate becomes disabled during salary continuance and receives disability income from another source (e.g., state statutory plan, worker's compensation, no-fault insurance), their salary continuance payments will be reduced by an amount equal to any disability income. If an associate is on short-term disability at the time they’re identified for termination under this Policy, the salary continuance period or lump sum payment will be paid after the associate is no longer eligible to receive short term disability benefits and provided the other eligibility requirement set forth in this Policy are met. For associates who receive notice of termination under this Policy while on disability, the notice will be deemed to run while they are out on disability.</w:t>
      </w:r>
    </w:p>
    <w:p>
      <w:pPr>
        <w:spacing w:after="0" w:line="3" w:lineRule="exact"/>
        <w:rPr>
          <w:sz w:val="20"/>
          <w:szCs w:val="20"/>
          <w:color w:val="auto"/>
        </w:rPr>
      </w:pPr>
    </w:p>
    <w:p>
      <w:pPr>
        <w:ind w:left="380" w:right="160"/>
        <w:spacing w:after="0" w:line="344" w:lineRule="auto"/>
        <w:rPr>
          <w:sz w:val="20"/>
          <w:szCs w:val="20"/>
          <w:color w:val="auto"/>
        </w:rPr>
      </w:pPr>
      <w:r>
        <w:rPr>
          <w:rFonts w:ascii="Arial" w:cs="Arial" w:eastAsia="Arial" w:hAnsi="Arial"/>
          <w:sz w:val="14"/>
          <w:szCs w:val="14"/>
          <w:color w:val="auto"/>
        </w:rPr>
        <w:t>Associates on Conduent long term disability as determined by the Conduent long term disability administrator on the last day of active employment are not eligible to receive severance under this Policy.</w:t>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VI.</w:t>
        <w:tab/>
        <w:t>Employment at Will</w:t>
      </w:r>
    </w:p>
    <w:p>
      <w:pPr>
        <w:spacing w:after="0" w:line="224" w:lineRule="exact"/>
        <w:rPr>
          <w:sz w:val="20"/>
          <w:szCs w:val="20"/>
          <w:color w:val="auto"/>
        </w:rPr>
      </w:pPr>
    </w:p>
    <w:p>
      <w:pPr>
        <w:ind w:left="380"/>
        <w:spacing w:after="0" w:line="297" w:lineRule="auto"/>
        <w:rPr>
          <w:sz w:val="20"/>
          <w:szCs w:val="20"/>
          <w:color w:val="auto"/>
        </w:rPr>
      </w:pPr>
      <w:r>
        <w:rPr>
          <w:rFonts w:ascii="Arial" w:cs="Arial" w:eastAsia="Arial" w:hAnsi="Arial"/>
          <w:sz w:val="14"/>
          <w:szCs w:val="14"/>
          <w:color w:val="auto"/>
        </w:rPr>
        <w:t>Nothing in this Policy shall be deemed to alter the at will employment relationship between Conduent and its associates. The Conduent general policy concerning separation of associates is in accord with the traditional legal principle of “employment at will” and the other principles governing separation of all associates.</w:t>
      </w:r>
    </w:p>
    <w:p>
      <w:pPr>
        <w:sectPr>
          <w:pgSz w:w="11900" w:h="16838" w:orient="portrait"/>
          <w:cols w:equalWidth="0" w:num="1">
            <w:col w:w="11280"/>
          </w:cols>
          <w:pgMar w:left="300" w:top="108" w:right="319" w:bottom="1440" w:gutter="0" w:footer="0" w:header="0"/>
        </w:sectPr>
      </w:pPr>
    </w:p>
    <w:bookmarkStart w:id="120" w:name="page121"/>
    <w:bookmarkEnd w:id="120"/>
    <w:p>
      <w:pPr>
        <w:jc w:val="right"/>
        <w:ind w:right="20"/>
        <w:spacing w:after="0"/>
        <w:rPr>
          <w:sz w:val="20"/>
          <w:szCs w:val="20"/>
          <w:color w:val="auto"/>
        </w:rPr>
      </w:pPr>
      <w:r>
        <w:rPr>
          <w:rFonts w:ascii="Times New Roman" w:cs="Times New Roman" w:eastAsia="Times New Roman" w:hAnsi="Times New Roman"/>
          <w:sz w:val="17"/>
          <w:szCs w:val="17"/>
          <w:color w:val="auto"/>
        </w:rPr>
        <w:t>Exhibit 10.4(f)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VII.</w:t>
        <w:tab/>
        <w:t>Miscellaneous</w:t>
      </w:r>
    </w:p>
    <w:p>
      <w:pPr>
        <w:spacing w:after="0" w:line="204" w:lineRule="exact"/>
        <w:rPr>
          <w:sz w:val="20"/>
          <w:szCs w:val="20"/>
          <w:color w:val="auto"/>
        </w:rPr>
      </w:pPr>
    </w:p>
    <w:p>
      <w:pPr>
        <w:jc w:val="both"/>
        <w:ind w:left="380" w:right="20"/>
        <w:spacing w:after="0" w:line="272" w:lineRule="auto"/>
        <w:rPr>
          <w:sz w:val="20"/>
          <w:szCs w:val="20"/>
          <w:color w:val="auto"/>
        </w:rPr>
      </w:pPr>
      <w:r>
        <w:rPr>
          <w:rFonts w:ascii="Arial" w:cs="Arial" w:eastAsia="Arial" w:hAnsi="Arial"/>
          <w:sz w:val="14"/>
          <w:szCs w:val="14"/>
          <w:color w:val="auto"/>
        </w:rPr>
        <w:t>This Policy is intended to be exempt from or comply with section 409A of the Internal Revenue Code (the “Code”) and the Treasury Regulations thereunder, and shall be construed in accordance with such intention to avoid any adverse tax consequence. Any payments under this Policy that may be excluded from Section 409A either as separation pay due to an involuntary separation from service or as a short-term deferral shall be excluded from Section 409A to the maximum extent possible. The phrases “termination of employment” and similar phrases shall mean a “separation from service” as defined under Treasury Regulation section 1.409A-1(h). To the extent the Company determines that an associate would be subject to adverse tax consequences under section 409A of the Code as a result of any provision of this Policy, such provision shall be deemed amended to the minimum extent necessary to avoid application of such adverse tax consequences. In the event any portion of the benefits hereunder are subject to Section 409A, if an associate is at the time of the associate’s separation from service a “specified employee” for purposes of Section 409A and to the extent delayed commencement of any portion of the payments to which the associate is entitled under this Policy is required in order to avoid subjecting the associate to additional tax or interest (or both) under Section 409A, then any such payment shall not be provided to the associate prior to the expiration of the six month period measured from the date of the separation from service.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Exceptions</w:t>
      </w:r>
    </w:p>
    <w:p>
      <w:pPr>
        <w:spacing w:after="0" w:line="204"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Within the boundaries of each policy there may be ‘allowable’ exceptions, and where this is the case the policy owner (e.g. Vice President, Total Rewards) will oversee and grant the exception subject to approval of the Chief Human Resources Officer.</w:t>
      </w:r>
    </w:p>
    <w:p>
      <w:pPr>
        <w:spacing w:after="0" w:line="154" w:lineRule="exact"/>
        <w:rPr>
          <w:sz w:val="20"/>
          <w:szCs w:val="20"/>
          <w:color w:val="auto"/>
        </w:rPr>
      </w:pPr>
    </w:p>
    <w:p>
      <w:pPr>
        <w:jc w:val="both"/>
        <w:ind w:right="20"/>
        <w:spacing w:after="0" w:line="283" w:lineRule="auto"/>
        <w:rPr>
          <w:sz w:val="20"/>
          <w:szCs w:val="20"/>
          <w:color w:val="auto"/>
        </w:rPr>
      </w:pPr>
      <w:r>
        <w:rPr>
          <w:rFonts w:ascii="Arial" w:cs="Arial" w:eastAsia="Arial" w:hAnsi="Arial"/>
          <w:sz w:val="14"/>
          <w:szCs w:val="14"/>
          <w:color w:val="auto"/>
        </w:rPr>
        <w:t>Without the necessary approvals, no exceptions may be made to the existing HR policy nor granted to specific individuals. Any other exception would be classified as unauthorized and would be considered a policy violation. Where a policy exception is made without the appropriate approvals corrective action, up to and including termination may be taken against the associate(s) who authorized the exception</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Conduent Ethics Helpline </w:t>
      </w:r>
      <w:r>
        <w:rPr>
          <w:rFonts w:ascii="Arial" w:cs="Arial" w:eastAsia="Arial" w:hAnsi="Arial"/>
          <w:sz w:val="13"/>
          <w:szCs w:val="13"/>
          <w:color w:val="auto"/>
        </w:rPr>
        <w:t>– Contact our Ethics Helpline if you have questions or concerns about potential unethical conduct: www.conduent.com/ethicshelpline</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Revision History</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314"/>
        </w:trPr>
        <w:tc>
          <w:tcPr>
            <w:tcW w:w="1480" w:type="dxa"/>
            <w:vAlign w:val="bottom"/>
            <w:tcBorders>
              <w:top w:val="single" w:sz="8" w:color="auto"/>
              <w:left w:val="single" w:sz="8" w:color="auto"/>
              <w:bottom w:val="single" w:sz="8" w:color="D9D9D9"/>
              <w:right w:val="single" w:sz="8" w:color="auto"/>
            </w:tcBorders>
            <w:shd w:val="clear" w:color="auto" w:fill="D9D9D9"/>
          </w:tcPr>
          <w:p>
            <w:pPr>
              <w:ind w:left="560"/>
              <w:spacing w:after="0"/>
              <w:rPr>
                <w:sz w:val="20"/>
                <w:szCs w:val="20"/>
                <w:color w:val="auto"/>
              </w:rPr>
            </w:pPr>
            <w:r>
              <w:rPr>
                <w:rFonts w:ascii="Arial" w:cs="Arial" w:eastAsia="Arial" w:hAnsi="Arial"/>
                <w:sz w:val="17"/>
                <w:szCs w:val="17"/>
                <w:b w:val="1"/>
                <w:bCs w:val="1"/>
                <w:color w:val="auto"/>
              </w:rPr>
              <w:t>Date</w:t>
            </w:r>
          </w:p>
        </w:tc>
        <w:tc>
          <w:tcPr>
            <w:tcW w:w="982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r>
              <w:rPr>
                <w:rFonts w:ascii="Arial" w:cs="Arial" w:eastAsia="Arial" w:hAnsi="Arial"/>
                <w:sz w:val="17"/>
                <w:szCs w:val="17"/>
                <w:b w:val="1"/>
                <w:bCs w:val="1"/>
                <w:color w:val="auto"/>
              </w:rPr>
              <w:t>Description</w:t>
            </w:r>
          </w:p>
        </w:tc>
      </w:tr>
      <w:tr>
        <w:trPr>
          <w:trHeight w:val="212"/>
        </w:trPr>
        <w:tc>
          <w:tcPr>
            <w:tcW w:w="14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8/1/2018</w:t>
            </w:r>
          </w:p>
        </w:tc>
        <w:tc>
          <w:tcPr>
            <w:tcW w:w="98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Replacing Executive Salary Continuance Policy</w:t>
            </w:r>
          </w:p>
        </w:tc>
      </w:tr>
      <w:tr>
        <w:trPr>
          <w:trHeight w:val="50"/>
        </w:trPr>
        <w:tc>
          <w:tcPr>
            <w:tcW w:w="1480" w:type="dxa"/>
            <w:vAlign w:val="bottom"/>
            <w:tcBorders>
              <w:left w:val="single" w:sz="8" w:color="auto"/>
              <w:bottom w:val="single" w:sz="8" w:color="auto"/>
              <w:right w:val="single" w:sz="8" w:color="auto"/>
            </w:tcBorders>
          </w:tcPr>
          <w:p>
            <w:pPr>
              <w:spacing w:after="0"/>
              <w:rPr>
                <w:sz w:val="4"/>
                <w:szCs w:val="4"/>
                <w:color w:val="auto"/>
              </w:rPr>
            </w:pPr>
          </w:p>
        </w:tc>
        <w:tc>
          <w:tcPr>
            <w:tcW w:w="9820" w:type="dxa"/>
            <w:vAlign w:val="bottom"/>
            <w:tcBorders>
              <w:bottom w:val="single" w:sz="8" w:color="auto"/>
              <w:right w:val="single" w:sz="8" w:color="auto"/>
            </w:tcBorders>
          </w:tcPr>
          <w:p>
            <w:pPr>
              <w:spacing w:after="0"/>
              <w:rPr>
                <w:sz w:val="4"/>
                <w:szCs w:val="4"/>
                <w:color w:val="auto"/>
              </w:rPr>
            </w:pPr>
          </w:p>
        </w:tc>
      </w:tr>
      <w:tr>
        <w:trPr>
          <w:trHeight w:val="212"/>
        </w:trPr>
        <w:tc>
          <w:tcPr>
            <w:tcW w:w="1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12/1/2021</w:t>
            </w:r>
          </w:p>
        </w:tc>
        <w:tc>
          <w:tcPr>
            <w:tcW w:w="9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Policy update</w:t>
            </w:r>
          </w:p>
        </w:tc>
      </w:tr>
      <w:tr>
        <w:trPr>
          <w:trHeight w:val="50"/>
        </w:trPr>
        <w:tc>
          <w:tcPr>
            <w:tcW w:w="1480" w:type="dxa"/>
            <w:vAlign w:val="bottom"/>
            <w:tcBorders>
              <w:left w:val="single" w:sz="8" w:color="auto"/>
              <w:bottom w:val="single" w:sz="8" w:color="auto"/>
              <w:right w:val="single" w:sz="8" w:color="auto"/>
            </w:tcBorders>
          </w:tcPr>
          <w:p>
            <w:pPr>
              <w:spacing w:after="0"/>
              <w:rPr>
                <w:sz w:val="4"/>
                <w:szCs w:val="4"/>
                <w:color w:val="auto"/>
              </w:rPr>
            </w:pPr>
          </w:p>
        </w:tc>
        <w:tc>
          <w:tcPr>
            <w:tcW w:w="9820" w:type="dxa"/>
            <w:vAlign w:val="bottom"/>
            <w:tcBorders>
              <w:bottom w:val="single" w:sz="8" w:color="auto"/>
              <w:right w:val="single" w:sz="8" w:color="auto"/>
            </w:tcBorders>
          </w:tcPr>
          <w:p>
            <w:pPr>
              <w:spacing w:after="0"/>
              <w:rPr>
                <w:sz w:val="4"/>
                <w:szCs w:val="4"/>
                <w:color w:val="auto"/>
              </w:rPr>
            </w:pPr>
          </w:p>
        </w:tc>
      </w:tr>
      <w:tr>
        <w:trPr>
          <w:trHeight w:val="212"/>
        </w:trPr>
        <w:tc>
          <w:tcPr>
            <w:tcW w:w="1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5/22/2022</w:t>
            </w:r>
          </w:p>
        </w:tc>
        <w:tc>
          <w:tcPr>
            <w:tcW w:w="9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Update policy</w:t>
            </w:r>
          </w:p>
        </w:tc>
      </w:tr>
      <w:tr>
        <w:trPr>
          <w:trHeight w:val="50"/>
        </w:trPr>
        <w:tc>
          <w:tcPr>
            <w:tcW w:w="1480" w:type="dxa"/>
            <w:vAlign w:val="bottom"/>
            <w:tcBorders>
              <w:left w:val="single" w:sz="8" w:color="auto"/>
              <w:bottom w:val="single" w:sz="8" w:color="auto"/>
              <w:right w:val="single" w:sz="8" w:color="auto"/>
            </w:tcBorders>
          </w:tcPr>
          <w:p>
            <w:pPr>
              <w:spacing w:after="0"/>
              <w:rPr>
                <w:sz w:val="4"/>
                <w:szCs w:val="4"/>
                <w:color w:val="auto"/>
              </w:rPr>
            </w:pPr>
          </w:p>
        </w:tc>
        <w:tc>
          <w:tcPr>
            <w:tcW w:w="9820" w:type="dxa"/>
            <w:vAlign w:val="bottom"/>
            <w:tcBorders>
              <w:bottom w:val="single" w:sz="8" w:color="auto"/>
              <w:right w:val="single" w:sz="8" w:color="auto"/>
            </w:tcBorders>
          </w:tcPr>
          <w:p>
            <w:pPr>
              <w:spacing w:after="0"/>
              <w:rPr>
                <w:sz w:val="4"/>
                <w:szCs w:val="4"/>
                <w:color w:val="auto"/>
              </w:rPr>
            </w:pPr>
          </w:p>
        </w:tc>
      </w:tr>
      <w:tr>
        <w:trPr>
          <w:trHeight w:val="212"/>
        </w:trPr>
        <w:tc>
          <w:tcPr>
            <w:tcW w:w="1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2/18/25</w:t>
            </w:r>
          </w:p>
        </w:tc>
        <w:tc>
          <w:tcPr>
            <w:tcW w:w="98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Update policy</w:t>
            </w:r>
          </w:p>
        </w:tc>
      </w:tr>
      <w:tr>
        <w:trPr>
          <w:trHeight w:val="50"/>
        </w:trPr>
        <w:tc>
          <w:tcPr>
            <w:tcW w:w="1480" w:type="dxa"/>
            <w:vAlign w:val="bottom"/>
            <w:tcBorders>
              <w:left w:val="single" w:sz="8" w:color="auto"/>
              <w:bottom w:val="single" w:sz="8" w:color="auto"/>
              <w:right w:val="single" w:sz="8" w:color="auto"/>
            </w:tcBorders>
          </w:tcPr>
          <w:p>
            <w:pPr>
              <w:spacing w:after="0"/>
              <w:rPr>
                <w:sz w:val="4"/>
                <w:szCs w:val="4"/>
                <w:color w:val="auto"/>
              </w:rPr>
            </w:pPr>
          </w:p>
        </w:tc>
        <w:tc>
          <w:tcPr>
            <w:tcW w:w="982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300"/>
          </w:cols>
          <w:pgMar w:left="300" w:top="108" w:right="299" w:bottom="1440" w:gutter="0" w:footer="0" w:header="0"/>
        </w:sectPr>
      </w:pPr>
    </w:p>
    <w:bookmarkStart w:id="121" w:name="page122"/>
    <w:bookmarkEnd w:id="121"/>
    <w:p>
      <w:pPr>
        <w:ind w:left="10480"/>
        <w:spacing w:after="0"/>
        <w:rPr>
          <w:sz w:val="20"/>
          <w:szCs w:val="20"/>
          <w:color w:val="auto"/>
        </w:rPr>
      </w:pPr>
      <w:r>
        <w:rPr>
          <w:rFonts w:ascii="Arial" w:cs="Arial" w:eastAsia="Arial" w:hAnsi="Arial"/>
          <w:sz w:val="15"/>
          <w:szCs w:val="15"/>
          <w:b w:val="1"/>
          <w:bCs w:val="1"/>
          <w:color w:val="0066CC"/>
        </w:rPr>
        <w:t>EXHIBIT 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SUBSIDIARIES OF CONDUENT INCORPORATED</w:t>
      </w:r>
    </w:p>
    <w:p>
      <w:pPr>
        <w:spacing w:after="0" w:line="197" w:lineRule="exact"/>
        <w:rPr>
          <w:sz w:val="20"/>
          <w:szCs w:val="20"/>
          <w:color w:val="auto"/>
        </w:rPr>
      </w:pPr>
    </w:p>
    <w:p>
      <w:pPr>
        <w:jc w:val="both"/>
        <w:ind w:right="500"/>
        <w:spacing w:after="0" w:line="255" w:lineRule="auto"/>
        <w:rPr>
          <w:sz w:val="20"/>
          <w:szCs w:val="20"/>
          <w:color w:val="auto"/>
        </w:rPr>
      </w:pPr>
      <w:r>
        <w:rPr>
          <w:rFonts w:ascii="Arial" w:cs="Arial" w:eastAsia="Arial" w:hAnsi="Arial"/>
          <w:sz w:val="13"/>
          <w:szCs w:val="13"/>
          <w:color w:val="auto"/>
        </w:rPr>
        <w:t>The following companies are subsidiaries of Conduent Incorporated as of December 31, 2024. Unless otherwise noted, a subsidiary is a company in which Conduent Incorporated or a subsidiary of Conduent Incorporated holds 50% or more of the voting stock. The names of other subsidiaries have been omitted as they would not, if considered in the aggregate as a single subsidiary, constitute a significant subsidiary:</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166"/>
        </w:trPr>
        <w:tc>
          <w:tcPr>
            <w:tcW w:w="5540" w:type="dxa"/>
            <w:vAlign w:val="bottom"/>
            <w:gridSpan w:val="2"/>
          </w:tcPr>
          <w:p>
            <w:pPr>
              <w:spacing w:after="0"/>
              <w:rPr>
                <w:sz w:val="20"/>
                <w:szCs w:val="20"/>
                <w:color w:val="auto"/>
              </w:rPr>
            </w:pPr>
            <w:r>
              <w:rPr>
                <w:rFonts w:ascii="Arial" w:cs="Arial" w:eastAsia="Arial" w:hAnsi="Arial"/>
                <w:sz w:val="13"/>
                <w:szCs w:val="13"/>
                <w:color w:val="auto"/>
              </w:rPr>
              <w:t>Name of Subsidiary</w:t>
            </w:r>
          </w:p>
        </w:tc>
        <w:tc>
          <w:tcPr>
            <w:tcW w:w="5620" w:type="dxa"/>
            <w:vAlign w:val="bottom"/>
          </w:tcPr>
          <w:p>
            <w:pPr>
              <w:ind w:left="20"/>
              <w:spacing w:after="0"/>
              <w:rPr>
                <w:sz w:val="20"/>
                <w:szCs w:val="20"/>
                <w:color w:val="auto"/>
              </w:rPr>
            </w:pPr>
            <w:r>
              <w:rPr>
                <w:rFonts w:ascii="Arial" w:cs="Arial" w:eastAsia="Arial" w:hAnsi="Arial"/>
                <w:sz w:val="13"/>
                <w:szCs w:val="13"/>
                <w:color w:val="auto"/>
              </w:rPr>
              <w:t>Jurisdiction of Incorporation or Organization</w:t>
            </w:r>
          </w:p>
        </w:tc>
      </w:tr>
      <w:tr>
        <w:trPr>
          <w:trHeight w:val="168"/>
        </w:trPr>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Conduent Healthy Communities Corporation</w:t>
            </w:r>
          </w:p>
        </w:tc>
        <w:tc>
          <w:tcPr>
            <w:tcW w:w="60" w:type="dxa"/>
            <w:vAlign w:val="bottom"/>
            <w:tcBorders>
              <w:top w:val="single" w:sz="8" w:color="CCEEFF"/>
            </w:tcBorders>
            <w:shd w:val="clear" w:color="auto" w:fill="CCEEFF"/>
          </w:tcPr>
          <w:p>
            <w:pPr>
              <w:spacing w:after="0"/>
              <w:rPr>
                <w:sz w:val="14"/>
                <w:szCs w:val="14"/>
                <w:color w:val="auto"/>
              </w:rPr>
            </w:pPr>
          </w:p>
        </w:tc>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California</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BPO Services,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EDI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Global,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Health Administration,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Human Resource Services,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IA,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Lending,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Middle East,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TradeOne Marketing,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Securities,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Finance,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Payment Integrity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Public Health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Business Services,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Education Services,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Export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Federal Solutions,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Mortgage Services,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Credit Balance Solutions,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State Healthcare,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Parking,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Public Safety,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Healthcare Knowledge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Florida</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Transport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Image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Louisiana</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Commercial Solutions,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Nevada</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Patient Access Solutions, LLC</w:t>
            </w:r>
          </w:p>
        </w:tc>
        <w:tc>
          <w:tcPr>
            <w:tcW w:w="562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State &amp; Local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HR Services, LLC</w:t>
            </w:r>
          </w:p>
        </w:tc>
        <w:tc>
          <w:tcPr>
            <w:tcW w:w="5620" w:type="dxa"/>
            <w:vAlign w:val="bottom"/>
          </w:tcPr>
          <w:p>
            <w:pPr>
              <w:ind w:left="20"/>
              <w:spacing w:after="0"/>
              <w:rPr>
                <w:sz w:val="20"/>
                <w:szCs w:val="20"/>
                <w:color w:val="auto"/>
              </w:rPr>
            </w:pPr>
            <w:r>
              <w:rPr>
                <w:rFonts w:ascii="Arial" w:cs="Arial" w:eastAsia="Arial" w:hAnsi="Arial"/>
                <w:sz w:val="14"/>
                <w:szCs w:val="14"/>
                <w:color w:val="auto"/>
              </w:rPr>
              <w:t>Pennsylvania</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Securities Services,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Legal &amp; Compliance Solutions, LLC</w:t>
            </w:r>
          </w:p>
        </w:tc>
        <w:tc>
          <w:tcPr>
            <w:tcW w:w="562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Business Process Optimization Services,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Heritage, LLC</w:t>
            </w:r>
          </w:p>
        </w:tc>
        <w:tc>
          <w:tcPr>
            <w:tcW w:w="5620" w:type="dxa"/>
            <w:vAlign w:val="bottom"/>
          </w:tcPr>
          <w:p>
            <w:pPr>
              <w:ind w:left="20"/>
              <w:spacing w:after="0"/>
              <w:rPr>
                <w:sz w:val="20"/>
                <w:szCs w:val="20"/>
                <w:color w:val="auto"/>
              </w:rPr>
            </w:pPr>
            <w:r>
              <w:rPr>
                <w:rFonts w:ascii="Arial" w:cs="Arial" w:eastAsia="Arial" w:hAnsi="Arial"/>
                <w:sz w:val="14"/>
                <w:szCs w:val="14"/>
                <w:color w:val="auto"/>
              </w:rPr>
              <w:t>Virginia</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Learning Services,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Washington</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Wireless Data Services North America, Inc.</w:t>
            </w:r>
          </w:p>
        </w:tc>
        <w:tc>
          <w:tcPr>
            <w:tcW w:w="5620" w:type="dxa"/>
            <w:vAlign w:val="bottom"/>
          </w:tcPr>
          <w:p>
            <w:pPr>
              <w:ind w:left="20"/>
              <w:spacing w:after="0"/>
              <w:rPr>
                <w:sz w:val="20"/>
                <w:szCs w:val="20"/>
                <w:color w:val="auto"/>
              </w:rPr>
            </w:pPr>
            <w:r>
              <w:rPr>
                <w:rFonts w:ascii="Arial" w:cs="Arial" w:eastAsia="Arial" w:hAnsi="Arial"/>
                <w:sz w:val="14"/>
                <w:szCs w:val="14"/>
                <w:color w:val="auto"/>
              </w:rPr>
              <w:t>Washington</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Care and Quality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Wisconsin</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Eagle Connect Sh.p.k.</w:t>
            </w:r>
          </w:p>
        </w:tc>
        <w:tc>
          <w:tcPr>
            <w:tcW w:w="5620" w:type="dxa"/>
            <w:vAlign w:val="bottom"/>
          </w:tcPr>
          <w:p>
            <w:pPr>
              <w:ind w:left="20"/>
              <w:spacing w:after="0"/>
              <w:rPr>
                <w:sz w:val="20"/>
                <w:szCs w:val="20"/>
                <w:color w:val="auto"/>
              </w:rPr>
            </w:pPr>
            <w:r>
              <w:rPr>
                <w:rFonts w:ascii="Arial" w:cs="Arial" w:eastAsia="Arial" w:hAnsi="Arial"/>
                <w:sz w:val="14"/>
                <w:szCs w:val="14"/>
                <w:color w:val="auto"/>
              </w:rPr>
              <w:t>Albania</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Voice Star Sh.p.k.</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Albania</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Consilience Software Australasia Pty Ltd</w:t>
            </w:r>
          </w:p>
        </w:tc>
        <w:tc>
          <w:tcPr>
            <w:tcW w:w="5620" w:type="dxa"/>
            <w:vAlign w:val="bottom"/>
          </w:tcPr>
          <w:p>
            <w:pPr>
              <w:ind w:left="20"/>
              <w:spacing w:after="0"/>
              <w:rPr>
                <w:sz w:val="20"/>
                <w:szCs w:val="20"/>
                <w:color w:val="auto"/>
              </w:rPr>
            </w:pPr>
            <w:r>
              <w:rPr>
                <w:rFonts w:ascii="Arial" w:cs="Arial" w:eastAsia="Arial" w:hAnsi="Arial"/>
                <w:sz w:val="14"/>
                <w:szCs w:val="14"/>
                <w:color w:val="auto"/>
              </w:rPr>
              <w:t>Australia</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Business Services (Australia) PTY. LTD.</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r>
    </w:tbl>
    <w:p>
      <w:pPr>
        <w:sectPr>
          <w:pgSz w:w="11900" w:h="16838" w:orient="portrait"/>
          <w:cols w:equalWidth="0" w:num="1">
            <w:col w:w="11360"/>
          </w:cols>
          <w:pgMar w:left="30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5"/>
          <w:szCs w:val="15"/>
          <w:b w:val="1"/>
          <w:bCs w:val="1"/>
          <w:color w:val="0066CC"/>
        </w:rPr>
        <w:t>EXHIBIT 21</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80" w:type="dxa"/>
            <w:vAlign w:val="bottom"/>
          </w:tcPr>
          <w:p>
            <w:pPr>
              <w:ind w:left="20"/>
              <w:spacing w:after="0"/>
              <w:rPr>
                <w:sz w:val="20"/>
                <w:szCs w:val="20"/>
                <w:color w:val="auto"/>
              </w:rPr>
            </w:pPr>
            <w:r>
              <w:rPr>
                <w:rFonts w:ascii="Arial" w:cs="Arial" w:eastAsia="Arial" w:hAnsi="Arial"/>
                <w:sz w:val="14"/>
                <w:szCs w:val="14"/>
                <w:color w:val="auto"/>
              </w:rPr>
              <w:t>Conduent Victoria Ticketing System PTY LTD</w:t>
            </w:r>
          </w:p>
        </w:tc>
        <w:tc>
          <w:tcPr>
            <w:tcW w:w="4940" w:type="dxa"/>
            <w:vAlign w:val="bottom"/>
          </w:tcPr>
          <w:p>
            <w:pPr>
              <w:ind w:left="440"/>
              <w:spacing w:after="0"/>
              <w:rPr>
                <w:sz w:val="20"/>
                <w:szCs w:val="20"/>
                <w:color w:val="auto"/>
              </w:rPr>
            </w:pPr>
            <w:r>
              <w:rPr>
                <w:rFonts w:ascii="Arial" w:cs="Arial" w:eastAsia="Arial" w:hAnsi="Arial"/>
                <w:sz w:val="14"/>
                <w:szCs w:val="14"/>
                <w:color w:val="auto"/>
              </w:rPr>
              <w:t>Australia</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Affiliated Computer Services International (Barbados) Limited</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Barbados</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Servicos de Terceirizacao de Processos de Negocios Ltda.</w:t>
            </w:r>
          </w:p>
        </w:tc>
        <w:tc>
          <w:tcPr>
            <w:tcW w:w="4940" w:type="dxa"/>
            <w:vAlign w:val="bottom"/>
          </w:tcPr>
          <w:p>
            <w:pPr>
              <w:ind w:left="440"/>
              <w:spacing w:after="0"/>
              <w:rPr>
                <w:sz w:val="20"/>
                <w:szCs w:val="20"/>
                <w:color w:val="auto"/>
              </w:rPr>
            </w:pPr>
            <w:r>
              <w:rPr>
                <w:rFonts w:ascii="Arial" w:cs="Arial" w:eastAsia="Arial" w:hAnsi="Arial"/>
                <w:sz w:val="14"/>
                <w:szCs w:val="14"/>
                <w:color w:val="auto"/>
              </w:rPr>
              <w:t>Brazil</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Consultoria e Servicos de Recursos Humanos Ltda.</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Brazil</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do Brasil Servicos de Call Center Ltda.</w:t>
            </w:r>
          </w:p>
        </w:tc>
        <w:tc>
          <w:tcPr>
            <w:tcW w:w="4940" w:type="dxa"/>
            <w:vAlign w:val="bottom"/>
          </w:tcPr>
          <w:p>
            <w:pPr>
              <w:ind w:left="440"/>
              <w:spacing w:after="0"/>
              <w:rPr>
                <w:sz w:val="20"/>
                <w:szCs w:val="20"/>
                <w:color w:val="auto"/>
              </w:rPr>
            </w:pPr>
            <w:r>
              <w:rPr>
                <w:rFonts w:ascii="Arial" w:cs="Arial" w:eastAsia="Arial" w:hAnsi="Arial"/>
                <w:sz w:val="14"/>
                <w:szCs w:val="14"/>
                <w:color w:val="auto"/>
              </w:rPr>
              <w:t>Brazil</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Canada, Inc./Services D’affaires Conduent Canada Inc.</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Canada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Colombia S.A.</w:t>
            </w:r>
          </w:p>
        </w:tc>
        <w:tc>
          <w:tcPr>
            <w:tcW w:w="4940" w:type="dxa"/>
            <w:vAlign w:val="bottom"/>
          </w:tcPr>
          <w:p>
            <w:pPr>
              <w:ind w:left="440"/>
              <w:spacing w:after="0"/>
              <w:rPr>
                <w:sz w:val="20"/>
                <w:szCs w:val="20"/>
                <w:color w:val="auto"/>
              </w:rPr>
            </w:pPr>
            <w:r>
              <w:rPr>
                <w:rFonts w:ascii="Arial" w:cs="Arial" w:eastAsia="Arial" w:hAnsi="Arial"/>
                <w:sz w:val="14"/>
                <w:szCs w:val="14"/>
                <w:color w:val="auto"/>
              </w:rPr>
              <w:t>Colombia</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Czech Republic s.r.o.</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Czech Republic</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Process Solutions (France) SAS</w:t>
            </w:r>
          </w:p>
        </w:tc>
        <w:tc>
          <w:tcPr>
            <w:tcW w:w="4940" w:type="dxa"/>
            <w:vAlign w:val="bottom"/>
          </w:tcPr>
          <w:p>
            <w:pPr>
              <w:ind w:left="440"/>
              <w:spacing w:after="0"/>
              <w:rPr>
                <w:sz w:val="20"/>
                <w:szCs w:val="20"/>
                <w:color w:val="auto"/>
              </w:rPr>
            </w:pPr>
            <w:r>
              <w:rPr>
                <w:rFonts w:ascii="Arial" w:cs="Arial" w:eastAsia="Arial" w:hAnsi="Arial"/>
                <w:sz w:val="14"/>
                <w:szCs w:val="14"/>
                <w:color w:val="auto"/>
              </w:rPr>
              <w:t>France</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Solutions (France) SAS</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France</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ACS Holdings (Germany) GmbH</w:t>
            </w:r>
          </w:p>
        </w:tc>
        <w:tc>
          <w:tcPr>
            <w:tcW w:w="4940" w:type="dxa"/>
            <w:vAlign w:val="bottom"/>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Germany Holding GmbH</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Communication Center GmbH</w:t>
            </w:r>
          </w:p>
        </w:tc>
        <w:tc>
          <w:tcPr>
            <w:tcW w:w="4940" w:type="dxa"/>
            <w:vAlign w:val="bottom"/>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Customer Service GmbH</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Multimedia GmbH</w:t>
            </w:r>
          </w:p>
        </w:tc>
        <w:tc>
          <w:tcPr>
            <w:tcW w:w="4940" w:type="dxa"/>
            <w:vAlign w:val="bottom"/>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Service Center GmbH</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Technical Service GmbH</w:t>
            </w:r>
          </w:p>
        </w:tc>
        <w:tc>
          <w:tcPr>
            <w:tcW w:w="4940" w:type="dxa"/>
            <w:vAlign w:val="bottom"/>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Greece Single Member Limited Liability Company</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Greece</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Services de Guatemala, Sociedad Anonima</w:t>
            </w:r>
          </w:p>
        </w:tc>
        <w:tc>
          <w:tcPr>
            <w:tcW w:w="4940" w:type="dxa"/>
            <w:vAlign w:val="bottom"/>
          </w:tcPr>
          <w:p>
            <w:pPr>
              <w:ind w:left="440"/>
              <w:spacing w:after="0"/>
              <w:rPr>
                <w:sz w:val="20"/>
                <w:szCs w:val="20"/>
                <w:color w:val="auto"/>
              </w:rPr>
            </w:pPr>
            <w:r>
              <w:rPr>
                <w:rFonts w:ascii="Arial" w:cs="Arial" w:eastAsia="Arial" w:hAnsi="Arial"/>
                <w:sz w:val="14"/>
                <w:szCs w:val="14"/>
                <w:color w:val="auto"/>
              </w:rPr>
              <w:t>Guatemala</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MedRisk Guatemala, Sociedad Anónima</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Guatemala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ACS China Solutions Hong Kong Limited</w:t>
            </w:r>
          </w:p>
        </w:tc>
        <w:tc>
          <w:tcPr>
            <w:tcW w:w="4940" w:type="dxa"/>
            <w:vAlign w:val="bottom"/>
          </w:tcPr>
          <w:p>
            <w:pPr>
              <w:ind w:left="440"/>
              <w:spacing w:after="0"/>
              <w:rPr>
                <w:sz w:val="20"/>
                <w:szCs w:val="20"/>
                <w:color w:val="auto"/>
              </w:rPr>
            </w:pPr>
            <w:r>
              <w:rPr>
                <w:rFonts w:ascii="Arial" w:cs="Arial" w:eastAsia="Arial" w:hAnsi="Arial"/>
                <w:sz w:val="14"/>
                <w:szCs w:val="14"/>
                <w:color w:val="auto"/>
              </w:rPr>
              <w:t>Hong Kong</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Caclsoopsb India Private Limited</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India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Services India LLP</w:t>
            </w:r>
          </w:p>
        </w:tc>
        <w:tc>
          <w:tcPr>
            <w:tcW w:w="4940" w:type="dxa"/>
            <w:vAlign w:val="bottom"/>
          </w:tcPr>
          <w:p>
            <w:pPr>
              <w:ind w:left="440"/>
              <w:spacing w:after="0"/>
              <w:rPr>
                <w:sz w:val="20"/>
                <w:szCs w:val="20"/>
                <w:color w:val="auto"/>
              </w:rPr>
            </w:pPr>
            <w:r>
              <w:rPr>
                <w:rFonts w:ascii="Arial" w:cs="Arial" w:eastAsia="Arial" w:hAnsi="Arial"/>
                <w:sz w:val="14"/>
                <w:szCs w:val="14"/>
                <w:color w:val="auto"/>
              </w:rPr>
              <w:t>India</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Italy S.r.l.</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Italy</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Solutions Italia, S.p.A.</w:t>
            </w:r>
          </w:p>
        </w:tc>
        <w:tc>
          <w:tcPr>
            <w:tcW w:w="4940" w:type="dxa"/>
            <w:vAlign w:val="bottom"/>
          </w:tcPr>
          <w:p>
            <w:pPr>
              <w:ind w:left="440"/>
              <w:spacing w:after="0"/>
              <w:rPr>
                <w:sz w:val="20"/>
                <w:szCs w:val="20"/>
                <w:color w:val="auto"/>
              </w:rPr>
            </w:pPr>
            <w:r>
              <w:rPr>
                <w:rFonts w:ascii="Arial" w:cs="Arial" w:eastAsia="Arial" w:hAnsi="Arial"/>
                <w:sz w:val="14"/>
                <w:szCs w:val="14"/>
                <w:color w:val="auto"/>
              </w:rPr>
              <w:t>Italy</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Solutions (Jamaica) Limited</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Jamaica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Jamaica Limited</w:t>
            </w:r>
          </w:p>
        </w:tc>
        <w:tc>
          <w:tcPr>
            <w:tcW w:w="4940" w:type="dxa"/>
            <w:vAlign w:val="bottom"/>
          </w:tcPr>
          <w:p>
            <w:pPr>
              <w:ind w:left="440"/>
              <w:spacing w:after="0"/>
              <w:rPr>
                <w:sz w:val="20"/>
                <w:szCs w:val="20"/>
                <w:color w:val="auto"/>
              </w:rPr>
            </w:pPr>
            <w:r>
              <w:rPr>
                <w:rFonts w:ascii="Arial" w:cs="Arial" w:eastAsia="Arial" w:hAnsi="Arial"/>
                <w:sz w:val="14"/>
                <w:szCs w:val="14"/>
                <w:color w:val="auto"/>
              </w:rPr>
              <w:t>Jamaica</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Sia Rigas Karte</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Latvia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Affiliated Computer Services Holdings (Luxembourg) S.A.R.L.</w:t>
            </w:r>
          </w:p>
        </w:tc>
        <w:tc>
          <w:tcPr>
            <w:tcW w:w="4940" w:type="dxa"/>
            <w:vAlign w:val="bottom"/>
          </w:tcPr>
          <w:p>
            <w:pPr>
              <w:ind w:left="440"/>
              <w:spacing w:after="0"/>
              <w:rPr>
                <w:sz w:val="20"/>
                <w:szCs w:val="20"/>
                <w:color w:val="auto"/>
              </w:rPr>
            </w:pPr>
            <w:r>
              <w:rPr>
                <w:rFonts w:ascii="Arial" w:cs="Arial" w:eastAsia="Arial" w:hAnsi="Arial"/>
                <w:sz w:val="14"/>
                <w:szCs w:val="14"/>
                <w:color w:val="auto"/>
              </w:rPr>
              <w:t>Luxembourg</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Malaysia Sdn. Bhd.</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Malaysia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de Mexico, S.A. de C.V.</w:t>
            </w:r>
          </w:p>
        </w:tc>
        <w:tc>
          <w:tcPr>
            <w:tcW w:w="4940" w:type="dxa"/>
            <w:vAlign w:val="bottom"/>
          </w:tcPr>
          <w:p>
            <w:pPr>
              <w:ind w:left="440"/>
              <w:spacing w:after="0"/>
              <w:rPr>
                <w:sz w:val="20"/>
                <w:szCs w:val="20"/>
                <w:color w:val="auto"/>
              </w:rPr>
            </w:pPr>
            <w:r>
              <w:rPr>
                <w:rFonts w:ascii="Arial" w:cs="Arial" w:eastAsia="Arial" w:hAnsi="Arial"/>
                <w:sz w:val="14"/>
                <w:szCs w:val="14"/>
                <w:color w:val="auto"/>
              </w:rPr>
              <w:t>Mexico</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Solutions Mexico, S. de R.L. de C.V.</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Mexico</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Affiliated Computer Services International B.V.</w:t>
            </w:r>
          </w:p>
        </w:tc>
        <w:tc>
          <w:tcPr>
            <w:tcW w:w="4940" w:type="dxa"/>
            <w:vAlign w:val="bottom"/>
          </w:tcPr>
          <w:p>
            <w:pPr>
              <w:ind w:left="440"/>
              <w:spacing w:after="0"/>
              <w:rPr>
                <w:sz w:val="20"/>
                <w:szCs w:val="20"/>
                <w:color w:val="auto"/>
              </w:rPr>
            </w:pPr>
            <w:r>
              <w:rPr>
                <w:rFonts w:ascii="Arial" w:cs="Arial" w:eastAsia="Arial" w:hAnsi="Arial"/>
                <w:sz w:val="14"/>
                <w:szCs w:val="14"/>
                <w:color w:val="auto"/>
              </w:rPr>
              <w:t>Netherlands</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Transit Holdings, B.V.</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Netherlands</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Netherlands Holding B.V.</w:t>
            </w:r>
          </w:p>
        </w:tc>
        <w:tc>
          <w:tcPr>
            <w:tcW w:w="4940" w:type="dxa"/>
            <w:vAlign w:val="bottom"/>
          </w:tcPr>
          <w:p>
            <w:pPr>
              <w:ind w:left="440"/>
              <w:spacing w:after="0"/>
              <w:rPr>
                <w:sz w:val="20"/>
                <w:szCs w:val="20"/>
                <w:color w:val="auto"/>
              </w:rPr>
            </w:pPr>
            <w:r>
              <w:rPr>
                <w:rFonts w:ascii="Arial" w:cs="Arial" w:eastAsia="Arial" w:hAnsi="Arial"/>
                <w:sz w:val="14"/>
                <w:szCs w:val="14"/>
                <w:color w:val="auto"/>
              </w:rPr>
              <w:t>Netherlands</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Netherlands B.V.</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Netherlands</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ACS Solutions Peru S.A.</w:t>
            </w:r>
          </w:p>
        </w:tc>
        <w:tc>
          <w:tcPr>
            <w:tcW w:w="4940" w:type="dxa"/>
            <w:vAlign w:val="bottom"/>
          </w:tcPr>
          <w:p>
            <w:pPr>
              <w:ind w:left="440"/>
              <w:spacing w:after="0"/>
              <w:rPr>
                <w:sz w:val="20"/>
                <w:szCs w:val="20"/>
                <w:color w:val="auto"/>
              </w:rPr>
            </w:pPr>
            <w:r>
              <w:rPr>
                <w:rFonts w:ascii="Arial" w:cs="Arial" w:eastAsia="Arial" w:hAnsi="Arial"/>
                <w:sz w:val="14"/>
                <w:szCs w:val="14"/>
                <w:color w:val="auto"/>
              </w:rPr>
              <w:t>Peru</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Philippines, Inc.</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Philippines</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Solutions Philippines, Inc.</w:t>
            </w:r>
          </w:p>
        </w:tc>
        <w:tc>
          <w:tcPr>
            <w:tcW w:w="4940" w:type="dxa"/>
            <w:vAlign w:val="bottom"/>
          </w:tcPr>
          <w:p>
            <w:pPr>
              <w:ind w:left="440"/>
              <w:spacing w:after="0"/>
              <w:rPr>
                <w:sz w:val="20"/>
                <w:szCs w:val="20"/>
                <w:color w:val="auto"/>
              </w:rPr>
            </w:pPr>
            <w:r>
              <w:rPr>
                <w:rFonts w:ascii="Arial" w:cs="Arial" w:eastAsia="Arial" w:hAnsi="Arial"/>
                <w:sz w:val="14"/>
                <w:szCs w:val="14"/>
                <w:color w:val="auto"/>
              </w:rPr>
              <w:t>Philippines</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Poland Sp. z.o.o.</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Poland</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Solutions of Puerto Rico, Inc.</w:t>
            </w:r>
          </w:p>
        </w:tc>
        <w:tc>
          <w:tcPr>
            <w:tcW w:w="4940" w:type="dxa"/>
            <w:vAlign w:val="bottom"/>
          </w:tcPr>
          <w:p>
            <w:pPr>
              <w:ind w:left="440"/>
              <w:spacing w:after="0"/>
              <w:rPr>
                <w:sz w:val="20"/>
                <w:szCs w:val="20"/>
                <w:color w:val="auto"/>
              </w:rPr>
            </w:pPr>
            <w:r>
              <w:rPr>
                <w:rFonts w:ascii="Arial" w:cs="Arial" w:eastAsia="Arial" w:hAnsi="Arial"/>
                <w:sz w:val="14"/>
                <w:szCs w:val="14"/>
                <w:color w:val="auto"/>
              </w:rPr>
              <w:t>Puerto Rico</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Romania S.r.l.</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Romania</w:t>
            </w:r>
          </w:p>
        </w:tc>
      </w:tr>
      <w:tr>
        <w:trPr>
          <w:trHeight w:val="184"/>
        </w:trPr>
        <w:tc>
          <w:tcPr>
            <w:tcW w:w="5680" w:type="dxa"/>
            <w:vAlign w:val="bottom"/>
          </w:tcPr>
          <w:p>
            <w:pPr>
              <w:ind w:left="20"/>
              <w:spacing w:after="0"/>
              <w:rPr>
                <w:sz w:val="20"/>
                <w:szCs w:val="20"/>
                <w:color w:val="auto"/>
              </w:rPr>
            </w:pPr>
            <w:r>
              <w:rPr>
                <w:rFonts w:ascii="Arial" w:cs="Arial" w:eastAsia="Arial" w:hAnsi="Arial"/>
                <w:sz w:val="14"/>
                <w:szCs w:val="14"/>
                <w:color w:val="auto"/>
              </w:rPr>
              <w:t>Conduent (PTY) LTD</w:t>
            </w:r>
          </w:p>
        </w:tc>
        <w:tc>
          <w:tcPr>
            <w:tcW w:w="4940" w:type="dxa"/>
            <w:vAlign w:val="bottom"/>
          </w:tcPr>
          <w:p>
            <w:pPr>
              <w:ind w:left="440"/>
              <w:spacing w:after="0"/>
              <w:rPr>
                <w:sz w:val="20"/>
                <w:szCs w:val="20"/>
                <w:color w:val="auto"/>
              </w:rPr>
            </w:pPr>
            <w:r>
              <w:rPr>
                <w:rFonts w:ascii="Arial" w:cs="Arial" w:eastAsia="Arial" w:hAnsi="Arial"/>
                <w:sz w:val="14"/>
                <w:szCs w:val="14"/>
                <w:color w:val="auto"/>
              </w:rPr>
              <w:t>South Africa</w:t>
            </w:r>
          </w:p>
        </w:tc>
      </w:tr>
    </w:tbl>
    <w:p>
      <w:pPr>
        <w:sectPr>
          <w:pgSz w:w="11900" w:h="16838" w:orient="portrait"/>
          <w:cols w:equalWidth="0" w:num="1">
            <w:col w:w="10940"/>
          </w:cols>
          <w:pgMar w:left="640" w:top="121" w:right="3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5"/>
          <w:szCs w:val="15"/>
          <w:b w:val="1"/>
          <w:bCs w:val="1"/>
          <w:color w:val="0066CC"/>
        </w:rPr>
        <w:t>EXHIBIT 21</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S.L.</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Spain</w:t>
            </w:r>
          </w:p>
        </w:tc>
      </w:tr>
      <w:tr>
        <w:trPr>
          <w:trHeight w:val="177"/>
        </w:trPr>
        <w:tc>
          <w:tcPr>
            <w:tcW w:w="4620" w:type="dxa"/>
            <w:vAlign w:val="bottom"/>
          </w:tcPr>
          <w:p>
            <w:pPr>
              <w:ind w:left="20"/>
              <w:spacing w:after="0"/>
              <w:rPr>
                <w:sz w:val="20"/>
                <w:szCs w:val="20"/>
                <w:color w:val="auto"/>
              </w:rPr>
            </w:pPr>
            <w:r>
              <w:rPr>
                <w:rFonts w:ascii="Arial" w:cs="Arial" w:eastAsia="Arial" w:hAnsi="Arial"/>
                <w:sz w:val="14"/>
                <w:szCs w:val="14"/>
                <w:color w:val="auto"/>
              </w:rPr>
              <w:t>Conduent Holdings (St. Lucia) Ltd.</w:t>
            </w:r>
          </w:p>
        </w:tc>
        <w:tc>
          <w:tcPr>
            <w:tcW w:w="6000" w:type="dxa"/>
            <w:vAlign w:val="bottom"/>
          </w:tcPr>
          <w:p>
            <w:pPr>
              <w:ind w:left="1500"/>
              <w:spacing w:after="0"/>
              <w:rPr>
                <w:sz w:val="20"/>
                <w:szCs w:val="20"/>
                <w:color w:val="auto"/>
              </w:rPr>
            </w:pPr>
            <w:r>
              <w:rPr>
                <w:rFonts w:ascii="Arial" w:cs="Arial" w:eastAsia="Arial" w:hAnsi="Arial"/>
                <w:sz w:val="14"/>
                <w:szCs w:val="14"/>
                <w:color w:val="auto"/>
              </w:rPr>
              <w:t>St. Lucia</w:t>
            </w:r>
          </w:p>
        </w:tc>
      </w:t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Switzerland GmbH</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Switzerland</w:t>
            </w:r>
          </w:p>
        </w:tc>
      </w:tr>
      <w:tr>
        <w:trPr>
          <w:trHeight w:val="177"/>
        </w:trPr>
        <w:tc>
          <w:tcPr>
            <w:tcW w:w="4620" w:type="dxa"/>
            <w:vAlign w:val="bottom"/>
          </w:tcPr>
          <w:p>
            <w:pPr>
              <w:ind w:left="20"/>
              <w:spacing w:after="0"/>
              <w:rPr>
                <w:sz w:val="20"/>
                <w:szCs w:val="20"/>
                <w:color w:val="auto"/>
              </w:rPr>
            </w:pPr>
            <w:r>
              <w:rPr>
                <w:rFonts w:ascii="Arial" w:cs="Arial" w:eastAsia="Arial" w:hAnsi="Arial"/>
                <w:sz w:val="14"/>
                <w:szCs w:val="14"/>
                <w:color w:val="auto"/>
              </w:rPr>
              <w:t>Conduent Business Solutions AG</w:t>
            </w:r>
          </w:p>
        </w:tc>
        <w:tc>
          <w:tcPr>
            <w:tcW w:w="6000" w:type="dxa"/>
            <w:vAlign w:val="bottom"/>
          </w:tcPr>
          <w:p>
            <w:pPr>
              <w:ind w:left="1500"/>
              <w:spacing w:after="0"/>
              <w:rPr>
                <w:sz w:val="20"/>
                <w:szCs w:val="20"/>
                <w:color w:val="auto"/>
              </w:rPr>
            </w:pPr>
            <w:r>
              <w:rPr>
                <w:rFonts w:ascii="Arial" w:cs="Arial" w:eastAsia="Arial" w:hAnsi="Arial"/>
                <w:sz w:val="14"/>
                <w:szCs w:val="14"/>
                <w:color w:val="auto"/>
              </w:rPr>
              <w:t>Switzerland</w:t>
            </w:r>
          </w:p>
        </w:tc>
      </w:t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Turkey Musteri Hizmetleri Limited Sirketi</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Turkey</w:t>
            </w:r>
          </w:p>
        </w:tc>
      </w:tr>
      <w:tr>
        <w:trPr>
          <w:trHeight w:val="177"/>
        </w:trPr>
        <w:tc>
          <w:tcPr>
            <w:tcW w:w="4620" w:type="dxa"/>
            <w:vAlign w:val="bottom"/>
          </w:tcPr>
          <w:p>
            <w:pPr>
              <w:ind w:left="20"/>
              <w:spacing w:after="0"/>
              <w:rPr>
                <w:sz w:val="20"/>
                <w:szCs w:val="20"/>
                <w:color w:val="auto"/>
              </w:rPr>
            </w:pPr>
            <w:r>
              <w:rPr>
                <w:rFonts w:ascii="Arial" w:cs="Arial" w:eastAsia="Arial" w:hAnsi="Arial"/>
                <w:sz w:val="14"/>
                <w:szCs w:val="14"/>
                <w:color w:val="auto"/>
              </w:rPr>
              <w:t>Conduent Business Process Solutions Limited</w:t>
            </w:r>
          </w:p>
        </w:tc>
        <w:tc>
          <w:tcPr>
            <w:tcW w:w="6000" w:type="dxa"/>
            <w:vAlign w:val="bottom"/>
          </w:tcPr>
          <w:p>
            <w:pPr>
              <w:ind w:left="1500"/>
              <w:spacing w:after="0"/>
              <w:rPr>
                <w:sz w:val="20"/>
                <w:szCs w:val="20"/>
                <w:color w:val="auto"/>
              </w:rPr>
            </w:pPr>
            <w:r>
              <w:rPr>
                <w:rFonts w:ascii="Arial" w:cs="Arial" w:eastAsia="Arial" w:hAnsi="Arial"/>
                <w:sz w:val="14"/>
                <w:szCs w:val="14"/>
                <w:color w:val="auto"/>
              </w:rPr>
              <w:t>United Kingdom</w:t>
            </w:r>
          </w:p>
        </w:tc>
      </w:t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UK Limited</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United Kingdom</w:t>
            </w:r>
          </w:p>
        </w:tc>
      </w:tr>
      <w:tr>
        <w:trPr>
          <w:trHeight w:val="184"/>
        </w:trPr>
        <w:tc>
          <w:tcPr>
            <w:tcW w:w="4620" w:type="dxa"/>
            <w:vAlign w:val="bottom"/>
          </w:tcPr>
          <w:p>
            <w:pPr>
              <w:ind w:left="20"/>
              <w:spacing w:after="0"/>
              <w:rPr>
                <w:sz w:val="20"/>
                <w:szCs w:val="20"/>
                <w:color w:val="auto"/>
              </w:rPr>
            </w:pPr>
            <w:r>
              <w:rPr>
                <w:rFonts w:ascii="Arial" w:cs="Arial" w:eastAsia="Arial" w:hAnsi="Arial"/>
                <w:sz w:val="14"/>
                <w:szCs w:val="14"/>
                <w:color w:val="auto"/>
              </w:rPr>
              <w:t>Conduent Public Sector UK Limited</w:t>
            </w:r>
          </w:p>
        </w:tc>
        <w:tc>
          <w:tcPr>
            <w:tcW w:w="6000" w:type="dxa"/>
            <w:vAlign w:val="bottom"/>
          </w:tcPr>
          <w:p>
            <w:pPr>
              <w:ind w:left="1500"/>
              <w:spacing w:after="0"/>
              <w:rPr>
                <w:sz w:val="20"/>
                <w:szCs w:val="20"/>
                <w:color w:val="auto"/>
              </w:rPr>
            </w:pPr>
            <w:r>
              <w:rPr>
                <w:rFonts w:ascii="Arial" w:cs="Arial" w:eastAsia="Arial" w:hAnsi="Arial"/>
                <w:sz w:val="14"/>
                <w:szCs w:val="14"/>
                <w:color w:val="auto"/>
              </w:rPr>
              <w:t>United Kingdom</w:t>
            </w:r>
          </w:p>
        </w:tc>
      </w:tr>
    </w:tbl>
    <w:p>
      <w:pPr>
        <w:sectPr>
          <w:pgSz w:w="11900" w:h="16838" w:orient="portrait"/>
          <w:cols w:equalWidth="0" w:num="1">
            <w:col w:w="10940"/>
          </w:cols>
          <w:pgMar w:left="640" w:top="121" w:right="3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5"/>
          <w:szCs w:val="15"/>
          <w:b w:val="1"/>
          <w:bCs w:val="1"/>
          <w:color w:val="0066CC"/>
        </w:rPr>
        <w:t>EXHIBIT 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CONSENT OF INDEPENDENT REGISTERED PUBLIC ACCOUNTING FIRM</w:t>
      </w:r>
    </w:p>
    <w:p>
      <w:pPr>
        <w:spacing w:after="0" w:line="193" w:lineRule="exact"/>
        <w:rPr>
          <w:sz w:val="20"/>
          <w:szCs w:val="20"/>
          <w:color w:val="auto"/>
        </w:rPr>
      </w:pPr>
    </w:p>
    <w:p>
      <w:pPr>
        <w:ind w:right="100"/>
        <w:spacing w:after="0" w:line="266" w:lineRule="auto"/>
        <w:rPr>
          <w:sz w:val="20"/>
          <w:szCs w:val="20"/>
          <w:color w:val="auto"/>
        </w:rPr>
      </w:pPr>
      <w:r>
        <w:rPr>
          <w:rFonts w:ascii="Arial" w:cs="Arial" w:eastAsia="Arial" w:hAnsi="Arial"/>
          <w:sz w:val="14"/>
          <w:szCs w:val="14"/>
          <w:color w:val="auto"/>
        </w:rPr>
        <w:t>We hereby consent to the incorporation by reference in the Registration Statements on Form S-8 (Nos. 333-215361 and 333-257119) of our report dated February 19, 2025 relating to the financial statements, financial statement schedule and the effectiveness of internal control over financial reporting, which appears in this Form 10-K.</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50583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3505835" cy="63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PricewaterhouseCoopers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Florham Park, New Jersey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19, 2025</w:t>
      </w:r>
    </w:p>
    <w:p>
      <w:pPr>
        <w:sectPr>
          <w:pgSz w:w="11900" w:h="16838" w:orient="portrait"/>
          <w:cols w:equalWidth="0" w:num="1">
            <w:col w:w="11280"/>
          </w:cols>
          <w:pgMar w:left="300" w:top="121" w:right="3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5"/>
          <w:szCs w:val="15"/>
          <w:b w:val="1"/>
          <w:bCs w:val="1"/>
          <w:color w:val="0066CC"/>
        </w:rPr>
        <w:t>EXHIBIT 31(a)</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CEO CERTIFICATIONS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 Clifford Skelton, certify that:</w:t>
      </w:r>
    </w:p>
    <w:p>
      <w:pPr>
        <w:spacing w:after="0" w:line="152" w:lineRule="exact"/>
        <w:rPr>
          <w:sz w:val="20"/>
          <w:szCs w:val="20"/>
          <w:color w:val="auto"/>
        </w:rPr>
      </w:pPr>
    </w:p>
    <w:p>
      <w:pPr>
        <w:ind w:left="500" w:hanging="497"/>
        <w:spacing w:after="0"/>
        <w:tabs>
          <w:tab w:leader="none" w:pos="5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Conduent Incorporated;</w:t>
      </w:r>
    </w:p>
    <w:p>
      <w:pPr>
        <w:spacing w:after="0" w:line="193" w:lineRule="exact"/>
        <w:rPr>
          <w:rFonts w:ascii="Arial" w:cs="Arial" w:eastAsia="Arial" w:hAnsi="Arial"/>
          <w:sz w:val="14"/>
          <w:szCs w:val="14"/>
          <w:color w:val="auto"/>
        </w:rPr>
      </w:pPr>
    </w:p>
    <w:p>
      <w:pPr>
        <w:ind w:left="500" w:right="80" w:hanging="497"/>
        <w:spacing w:after="0" w:line="282" w:lineRule="auto"/>
        <w:tabs>
          <w:tab w:leader="none" w:pos="491" w:val="left"/>
        </w:tabs>
        <w:numPr>
          <w:ilvl w:val="0"/>
          <w:numId w:val="8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4"/>
          <w:szCs w:val="14"/>
          <w:color w:val="auto"/>
        </w:rPr>
      </w:pPr>
    </w:p>
    <w:p>
      <w:pPr>
        <w:ind w:left="500" w:right="140" w:hanging="497"/>
        <w:spacing w:after="0" w:line="282" w:lineRule="auto"/>
        <w:tabs>
          <w:tab w:leader="none" w:pos="491" w:val="left"/>
        </w:tabs>
        <w:numPr>
          <w:ilvl w:val="0"/>
          <w:numId w:val="8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4"/>
          <w:szCs w:val="14"/>
          <w:color w:val="auto"/>
        </w:rPr>
      </w:pPr>
    </w:p>
    <w:p>
      <w:pPr>
        <w:ind w:left="500" w:right="140" w:hanging="497"/>
        <w:spacing w:after="0" w:line="282" w:lineRule="auto"/>
        <w:tabs>
          <w:tab w:leader="none" w:pos="491"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4"/>
          <w:szCs w:val="14"/>
          <w:color w:val="auto"/>
        </w:rPr>
      </w:pPr>
    </w:p>
    <w:p>
      <w:pPr>
        <w:ind w:left="1000" w:right="120" w:hanging="497"/>
        <w:spacing w:after="0" w:line="265" w:lineRule="auto"/>
        <w:tabs>
          <w:tab w:leader="none" w:pos="992" w:val="left"/>
        </w:tabs>
        <w:numPr>
          <w:ilvl w:val="1"/>
          <w:numId w:val="8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4"/>
          <w:szCs w:val="14"/>
          <w:color w:val="auto"/>
        </w:rPr>
      </w:pPr>
    </w:p>
    <w:p>
      <w:pPr>
        <w:ind w:left="1000" w:right="400" w:hanging="497"/>
        <w:spacing w:after="0" w:line="265" w:lineRule="auto"/>
        <w:tabs>
          <w:tab w:leader="none" w:pos="992" w:val="left"/>
        </w:tabs>
        <w:numPr>
          <w:ilvl w:val="1"/>
          <w:numId w:val="8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4"/>
          <w:szCs w:val="14"/>
          <w:color w:val="auto"/>
        </w:rPr>
      </w:pPr>
    </w:p>
    <w:p>
      <w:pPr>
        <w:ind w:left="1000" w:right="40" w:hanging="497"/>
        <w:spacing w:after="0" w:line="282" w:lineRule="auto"/>
        <w:tabs>
          <w:tab w:leader="none" w:pos="995" w:val="left"/>
        </w:tabs>
        <w:numPr>
          <w:ilvl w:val="1"/>
          <w:numId w:val="8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4"/>
          <w:szCs w:val="14"/>
          <w:color w:val="auto"/>
        </w:rPr>
      </w:pPr>
    </w:p>
    <w:p>
      <w:pPr>
        <w:ind w:left="1000" w:right="220" w:hanging="497"/>
        <w:spacing w:after="0" w:line="265" w:lineRule="auto"/>
        <w:tabs>
          <w:tab w:leader="none" w:pos="992" w:val="left"/>
        </w:tabs>
        <w:numPr>
          <w:ilvl w:val="1"/>
          <w:numId w:val="86"/>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4"/>
          <w:szCs w:val="14"/>
          <w:color w:val="auto"/>
        </w:rPr>
      </w:pPr>
    </w:p>
    <w:p>
      <w:pPr>
        <w:ind w:left="500" w:right="120" w:hanging="497"/>
        <w:spacing w:after="0" w:line="282" w:lineRule="auto"/>
        <w:tabs>
          <w:tab w:leader="none" w:pos="491"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4"/>
          <w:szCs w:val="14"/>
          <w:color w:val="auto"/>
        </w:rPr>
      </w:pPr>
    </w:p>
    <w:p>
      <w:pPr>
        <w:ind w:left="1000" w:right="100" w:hanging="497"/>
        <w:spacing w:after="0" w:line="282" w:lineRule="auto"/>
        <w:tabs>
          <w:tab w:leader="none" w:pos="992" w:val="left"/>
        </w:tabs>
        <w:numPr>
          <w:ilvl w:val="1"/>
          <w:numId w:val="8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4"/>
          <w:szCs w:val="14"/>
          <w:color w:val="auto"/>
        </w:rPr>
      </w:pPr>
    </w:p>
    <w:p>
      <w:pPr>
        <w:ind w:right="60" w:firstLine="503"/>
        <w:spacing w:after="0" w:line="527" w:lineRule="auto"/>
        <w:tabs>
          <w:tab w:leader="none" w:pos="992" w:val="left"/>
        </w:tabs>
        <w:numPr>
          <w:ilvl w:val="1"/>
          <w:numId w:val="8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February 19, 2025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57187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3571875" cy="6350"/>
                    </a:xfrm>
                    <a:prstGeom prst="rect">
                      <a:avLst/>
                    </a:prstGeom>
                    <a:noFill/>
                  </pic:spPr>
                </pic:pic>
              </a:graphicData>
            </a:graphic>
          </wp:anchor>
        </w:drawing>
      </w:r>
    </w:p>
    <w:p>
      <w:pPr>
        <w:spacing w:after="0" w:line="13" w:lineRule="exact"/>
        <w:rPr>
          <w:sz w:val="20"/>
          <w:szCs w:val="20"/>
          <w:color w:val="auto"/>
        </w:rPr>
      </w:pPr>
    </w:p>
    <w:p>
      <w:pPr>
        <w:jc w:val="center"/>
        <w:ind w:right="9800"/>
        <w:spacing w:after="0"/>
        <w:rPr>
          <w:sz w:val="20"/>
          <w:szCs w:val="20"/>
          <w:color w:val="auto"/>
        </w:rPr>
      </w:pPr>
      <w:r>
        <w:rPr>
          <w:rFonts w:ascii="Arial" w:cs="Arial" w:eastAsia="Arial" w:hAnsi="Arial"/>
          <w:sz w:val="11"/>
          <w:szCs w:val="11"/>
          <w:b w:val="1"/>
          <w:bCs w:val="1"/>
          <w:color w:val="auto"/>
        </w:rPr>
        <w:t>Clifford Skelton</w:t>
      </w:r>
    </w:p>
    <w:p>
      <w:pPr>
        <w:jc w:val="center"/>
        <w:ind w:right="9780"/>
        <w:spacing w:after="0"/>
        <w:rPr>
          <w:sz w:val="20"/>
          <w:szCs w:val="20"/>
          <w:color w:val="auto"/>
        </w:rPr>
      </w:pPr>
      <w:r>
        <w:rPr>
          <w:rFonts w:ascii="Arial" w:cs="Arial" w:eastAsia="Arial" w:hAnsi="Arial"/>
          <w:sz w:val="11"/>
          <w:szCs w:val="11"/>
          <w:b w:val="1"/>
          <w:bCs w:val="1"/>
          <w:color w:val="auto"/>
        </w:rPr>
        <w:t>Chief Executive Officer</w:t>
      </w:r>
    </w:p>
    <w:p>
      <w:pPr>
        <w:sectPr>
          <w:pgSz w:w="11900" w:h="16838" w:orient="portrait"/>
          <w:cols w:equalWidth="0" w:num="1">
            <w:col w:w="11280"/>
          </w:cols>
          <w:pgMar w:left="300" w:top="121" w:right="3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5"/>
          <w:szCs w:val="15"/>
          <w:b w:val="1"/>
          <w:bCs w:val="1"/>
          <w:color w:val="0066CC"/>
        </w:rPr>
        <w:t>EXHIBIT 31(b)</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CFO CERTIFICATIONS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 Stephen Wood, certify that:</w:t>
      </w:r>
    </w:p>
    <w:p>
      <w:pPr>
        <w:spacing w:after="0" w:line="152" w:lineRule="exact"/>
        <w:rPr>
          <w:sz w:val="20"/>
          <w:szCs w:val="20"/>
          <w:color w:val="auto"/>
        </w:rPr>
      </w:pPr>
    </w:p>
    <w:p>
      <w:pPr>
        <w:ind w:left="500" w:hanging="497"/>
        <w:spacing w:after="0"/>
        <w:tabs>
          <w:tab w:leader="none" w:pos="5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Conduent Incorporated;</w:t>
      </w:r>
    </w:p>
    <w:p>
      <w:pPr>
        <w:spacing w:after="0" w:line="193" w:lineRule="exact"/>
        <w:rPr>
          <w:rFonts w:ascii="Arial" w:cs="Arial" w:eastAsia="Arial" w:hAnsi="Arial"/>
          <w:sz w:val="14"/>
          <w:szCs w:val="14"/>
          <w:color w:val="auto"/>
        </w:rPr>
      </w:pPr>
    </w:p>
    <w:p>
      <w:pPr>
        <w:ind w:left="500" w:right="80" w:hanging="497"/>
        <w:spacing w:after="0" w:line="282" w:lineRule="auto"/>
        <w:tabs>
          <w:tab w:leader="none" w:pos="491"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4"/>
          <w:szCs w:val="14"/>
          <w:color w:val="auto"/>
        </w:rPr>
      </w:pPr>
    </w:p>
    <w:p>
      <w:pPr>
        <w:ind w:left="500" w:right="140" w:hanging="497"/>
        <w:spacing w:after="0" w:line="282" w:lineRule="auto"/>
        <w:tabs>
          <w:tab w:leader="none" w:pos="491"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4"/>
          <w:szCs w:val="14"/>
          <w:color w:val="auto"/>
        </w:rPr>
      </w:pPr>
    </w:p>
    <w:p>
      <w:pPr>
        <w:ind w:left="500" w:right="140" w:hanging="497"/>
        <w:spacing w:after="0" w:line="282" w:lineRule="auto"/>
        <w:tabs>
          <w:tab w:leader="none" w:pos="491"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4"/>
          <w:szCs w:val="14"/>
          <w:color w:val="auto"/>
        </w:rPr>
      </w:pPr>
    </w:p>
    <w:p>
      <w:pPr>
        <w:ind w:left="1000" w:right="120" w:hanging="497"/>
        <w:spacing w:after="0" w:line="265" w:lineRule="auto"/>
        <w:tabs>
          <w:tab w:leader="none" w:pos="992" w:val="left"/>
        </w:tabs>
        <w:numPr>
          <w:ilvl w:val="1"/>
          <w:numId w:val="8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4"/>
          <w:szCs w:val="14"/>
          <w:color w:val="auto"/>
        </w:rPr>
      </w:pPr>
    </w:p>
    <w:p>
      <w:pPr>
        <w:ind w:left="1000" w:right="400" w:hanging="497"/>
        <w:spacing w:after="0" w:line="265" w:lineRule="auto"/>
        <w:tabs>
          <w:tab w:leader="none" w:pos="992" w:val="left"/>
        </w:tabs>
        <w:numPr>
          <w:ilvl w:val="1"/>
          <w:numId w:val="8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4"/>
          <w:szCs w:val="14"/>
          <w:color w:val="auto"/>
        </w:rPr>
      </w:pPr>
    </w:p>
    <w:p>
      <w:pPr>
        <w:ind w:left="1000" w:right="40" w:hanging="497"/>
        <w:spacing w:after="0" w:line="282" w:lineRule="auto"/>
        <w:tabs>
          <w:tab w:leader="none" w:pos="995" w:val="left"/>
        </w:tabs>
        <w:numPr>
          <w:ilvl w:val="1"/>
          <w:numId w:val="8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4"/>
          <w:szCs w:val="14"/>
          <w:color w:val="auto"/>
        </w:rPr>
      </w:pPr>
    </w:p>
    <w:p>
      <w:pPr>
        <w:ind w:left="1000" w:right="220" w:hanging="497"/>
        <w:spacing w:after="0" w:line="265" w:lineRule="auto"/>
        <w:tabs>
          <w:tab w:leader="none" w:pos="992" w:val="left"/>
        </w:tabs>
        <w:numPr>
          <w:ilvl w:val="1"/>
          <w:numId w:val="8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4"/>
          <w:szCs w:val="14"/>
          <w:color w:val="auto"/>
        </w:rPr>
      </w:pPr>
    </w:p>
    <w:p>
      <w:pPr>
        <w:ind w:left="500" w:right="120" w:hanging="497"/>
        <w:spacing w:after="0" w:line="282" w:lineRule="auto"/>
        <w:tabs>
          <w:tab w:leader="none" w:pos="491"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4"/>
          <w:szCs w:val="14"/>
          <w:color w:val="auto"/>
        </w:rPr>
      </w:pPr>
    </w:p>
    <w:p>
      <w:pPr>
        <w:ind w:left="1000" w:right="100" w:hanging="497"/>
        <w:spacing w:after="0" w:line="282" w:lineRule="auto"/>
        <w:tabs>
          <w:tab w:leader="none" w:pos="992" w:val="left"/>
        </w:tabs>
        <w:numPr>
          <w:ilvl w:val="1"/>
          <w:numId w:val="8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4"/>
          <w:szCs w:val="14"/>
          <w:color w:val="auto"/>
        </w:rPr>
      </w:pPr>
    </w:p>
    <w:p>
      <w:pPr>
        <w:ind w:right="60" w:firstLine="503"/>
        <w:spacing w:after="0" w:line="527" w:lineRule="auto"/>
        <w:tabs>
          <w:tab w:leader="none" w:pos="992" w:val="left"/>
        </w:tabs>
        <w:numPr>
          <w:ilvl w:val="1"/>
          <w:numId w:val="8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February 19, 2025</w:t>
      </w:r>
    </w:p>
    <w:p>
      <w:pPr>
        <w:spacing w:after="0" w:line="1" w:lineRule="exact"/>
        <w:rPr>
          <w:sz w:val="20"/>
          <w:szCs w:val="20"/>
          <w:color w:val="auto"/>
        </w:rPr>
      </w:pPr>
    </w:p>
    <w:p>
      <w:pPr>
        <w:jc w:val="center"/>
        <w:ind w:right="988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57187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3571875" cy="6350"/>
                    </a:xfrm>
                    <a:prstGeom prst="rect">
                      <a:avLst/>
                    </a:prstGeom>
                    <a:noFill/>
                  </pic:spPr>
                </pic:pic>
              </a:graphicData>
            </a:graphic>
          </wp:anchor>
        </w:drawing>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1"/>
          <w:szCs w:val="11"/>
          <w:b w:val="1"/>
          <w:bCs w:val="1"/>
          <w:color w:val="auto"/>
        </w:rPr>
        <w:t>Stephen Wood</w:t>
      </w:r>
    </w:p>
    <w:p>
      <w:pPr>
        <w:ind w:left="140"/>
        <w:spacing w:after="0"/>
        <w:rPr>
          <w:sz w:val="20"/>
          <w:szCs w:val="20"/>
          <w:color w:val="auto"/>
        </w:rPr>
      </w:pPr>
      <w:r>
        <w:rPr>
          <w:rFonts w:ascii="Arial" w:cs="Arial" w:eastAsia="Arial" w:hAnsi="Arial"/>
          <w:sz w:val="11"/>
          <w:szCs w:val="11"/>
          <w:b w:val="1"/>
          <w:bCs w:val="1"/>
          <w:color w:val="auto"/>
        </w:rPr>
        <w:t>Chief Financial Officer</w:t>
      </w:r>
    </w:p>
    <w:p>
      <w:pPr>
        <w:sectPr>
          <w:pgSz w:w="11900" w:h="16838" w:orient="portrait"/>
          <w:cols w:equalWidth="0" w:num="1">
            <w:col w:w="11280"/>
          </w:cols>
          <w:pgMar w:left="300" w:top="121" w:right="3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5"/>
          <w:szCs w:val="15"/>
          <w:b w:val="1"/>
          <w:bCs w:val="1"/>
          <w:color w:val="0066CC"/>
        </w:rPr>
        <w:t>EXHIBIT 32</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CERTIFICATION OF CEO AND CFO PURSUANT TO 18 U.S.C. § 1350,</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AS ADOPTED PURSUANT TO § 906 OF THE SARBANES-OXLEY ACT OF 2002</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connection with the Form 10-K of Conduent Incorporated, a New York corporation (the “Company”), for the year ended December 31, 2024,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13" w:lineRule="exact"/>
        <w:rPr>
          <w:sz w:val="20"/>
          <w:szCs w:val="20"/>
          <w:color w:val="auto"/>
        </w:rPr>
      </w:pPr>
    </w:p>
    <w:p>
      <w:pPr>
        <w:ind w:left="240" w:hanging="237"/>
        <w:spacing w:after="0"/>
        <w:tabs>
          <w:tab w:leader="none" w:pos="2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 w:lineRule="exact"/>
        <w:rPr>
          <w:rFonts w:ascii="Arial" w:cs="Arial" w:eastAsia="Arial" w:hAnsi="Arial"/>
          <w:sz w:val="14"/>
          <w:szCs w:val="14"/>
          <w:color w:val="auto"/>
        </w:rPr>
      </w:pPr>
    </w:p>
    <w:p>
      <w:pPr>
        <w:ind w:left="240" w:hanging="237"/>
        <w:spacing w:after="0"/>
        <w:tabs>
          <w:tab w:leader="none" w:pos="2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4925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3492500" cy="6350"/>
                    </a:xfrm>
                    <a:prstGeom prst="rect">
                      <a:avLst/>
                    </a:prstGeom>
                    <a:noFill/>
                  </pic:spPr>
                </pic:pic>
              </a:graphicData>
            </a:graphic>
          </wp:anchor>
        </w:drawing>
      </w:r>
    </w:p>
    <w:p>
      <w:pPr>
        <w:spacing w:after="0" w:line="13" w:lineRule="exact"/>
        <w:rPr>
          <w:sz w:val="20"/>
          <w:szCs w:val="20"/>
          <w:color w:val="auto"/>
        </w:rPr>
      </w:pPr>
    </w:p>
    <w:p>
      <w:pPr>
        <w:jc w:val="center"/>
        <w:ind w:right="9800"/>
        <w:spacing w:after="0"/>
        <w:rPr>
          <w:sz w:val="20"/>
          <w:szCs w:val="20"/>
          <w:color w:val="auto"/>
        </w:rPr>
      </w:pPr>
      <w:r>
        <w:rPr>
          <w:rFonts w:ascii="Arial" w:cs="Arial" w:eastAsia="Arial" w:hAnsi="Arial"/>
          <w:sz w:val="11"/>
          <w:szCs w:val="11"/>
          <w:b w:val="1"/>
          <w:bCs w:val="1"/>
          <w:color w:val="auto"/>
        </w:rPr>
        <w:t>Clifford Skelton</w:t>
      </w:r>
    </w:p>
    <w:p>
      <w:pPr>
        <w:jc w:val="center"/>
        <w:ind w:right="9780"/>
        <w:spacing w:after="0"/>
        <w:rPr>
          <w:sz w:val="20"/>
          <w:szCs w:val="20"/>
          <w:color w:val="auto"/>
        </w:rPr>
      </w:pPr>
      <w:r>
        <w:rPr>
          <w:rFonts w:ascii="Arial" w:cs="Arial" w:eastAsia="Arial" w:hAnsi="Arial"/>
          <w:sz w:val="11"/>
          <w:szCs w:val="11"/>
          <w:b w:val="1"/>
          <w:bCs w:val="1"/>
          <w:color w:val="auto"/>
        </w:rPr>
        <w:t>Chief Executive Officer</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1"/>
          <w:szCs w:val="11"/>
          <w:b w:val="1"/>
          <w:bCs w:val="1"/>
          <w:color w:val="auto"/>
        </w:rPr>
        <w:t>February 19, 2025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4925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3492500" cy="6350"/>
                    </a:xfrm>
                    <a:prstGeom prst="rect">
                      <a:avLst/>
                    </a:prstGeom>
                    <a:noFill/>
                  </pic:spPr>
                </pic:pic>
              </a:graphicData>
            </a:graphic>
          </wp:anchor>
        </w:drawing>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1"/>
          <w:szCs w:val="11"/>
          <w:b w:val="1"/>
          <w:bCs w:val="1"/>
          <w:color w:val="auto"/>
        </w:rPr>
        <w:t>Stephen Wood</w:t>
      </w:r>
    </w:p>
    <w:p>
      <w:pPr>
        <w:ind w:left="140"/>
        <w:spacing w:after="0"/>
        <w:rPr>
          <w:sz w:val="20"/>
          <w:szCs w:val="20"/>
          <w:color w:val="auto"/>
        </w:rPr>
      </w:pPr>
      <w:r>
        <w:rPr>
          <w:rFonts w:ascii="Arial" w:cs="Arial" w:eastAsia="Arial" w:hAnsi="Arial"/>
          <w:sz w:val="11"/>
          <w:szCs w:val="11"/>
          <w:b w:val="1"/>
          <w:bCs w:val="1"/>
          <w:color w:val="auto"/>
        </w:rPr>
        <w:t>Chief Financial Officer</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1"/>
          <w:szCs w:val="11"/>
          <w:b w:val="1"/>
          <w:bCs w:val="1"/>
          <w:color w:val="auto"/>
        </w:rPr>
        <w:t>February 19, 2025</w:t>
      </w:r>
    </w:p>
    <w:p>
      <w:pPr>
        <w:spacing w:after="0" w:line="26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80"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80"/>
      </w:cols>
      <w:pgMar w:left="30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lvl w:ilvl="1">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lvl w:ilvl="1">
      <w:lvlJc w:val="left"/>
      <w:lvlText w:val="•"/>
      <w:numFmt w:val="bullet"/>
      <w:start w:val="1"/>
    </w:lvl>
  </w:abstractNum>
  <w:abstractNum w:abstractNumId="7">
    <w:nsid w:val="7644A45C"/>
    <w:multiLevelType w:val="hybridMultilevel"/>
    <w:lvl w:ilvl="0">
      <w:lvlJc w:val="left"/>
      <w:lvlText w:val="•"/>
      <w:numFmt w:val="bullet"/>
      <w:start w:val="1"/>
    </w:lvl>
    <w:lvl w:ilvl="1">
      <w:lvlJc w:val="left"/>
      <w:lvlText w:val="•"/>
      <w:numFmt w:val="bullet"/>
      <w:start w:val="1"/>
    </w:lvl>
  </w:abstractNum>
  <w:abstractNum w:abstractNumId="8">
    <w:nsid w:val="32FFF902"/>
    <w:multiLevelType w:val="hybridMultilevel"/>
    <w:lvl w:ilvl="0">
      <w:lvlJc w:val="left"/>
      <w:lvlText w:val="•"/>
      <w:numFmt w:val="bullet"/>
      <w:start w:val="1"/>
    </w:lvl>
    <w:lvl w:ilvl="1">
      <w:lvlJc w:val="left"/>
      <w:lvlText w:val="•"/>
      <w:numFmt w:val="bullet"/>
      <w:start w:val="1"/>
    </w:lvl>
  </w:abstractNum>
  <w:abstractNum w:abstractNumId="9">
    <w:nsid w:val="684A481A"/>
    <w:multiLevelType w:val="hybridMultilevel"/>
    <w:lvl w:ilvl="0">
      <w:lvlJc w:val="left"/>
      <w:lvlText w:val="•"/>
      <w:numFmt w:val="bullet"/>
      <w:start w:val="1"/>
    </w:lvl>
    <w:lvl w:ilvl="1">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lowerRoman"/>
      <w:start w:val="3"/>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1)"/>
      <w:numFmt w:val="decimal"/>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1)"/>
      <w:numFmt w:val="decimal"/>
      <w:start w:val="1"/>
    </w:lvl>
  </w:abstractNum>
  <w:abstractNum w:abstractNumId="29">
    <w:nsid w:val="354FE9F9"/>
    <w:multiLevelType w:val="hybridMultilevel"/>
    <w:lvl w:ilvl="0">
      <w:lvlJc w:val="left"/>
      <w:lvlText w:val="(%1)"/>
      <w:numFmt w:val="decimal"/>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endash "/>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1)"/>
      <w:numFmt w:val="lowerRoman"/>
      <w:start w:val="2"/>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lowerRoman"/>
      <w:start w:val="1"/>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
      <w:numFmt w:val="bullet"/>
      <w:start w:val="1"/>
    </w:lvl>
    <w:lvl w:ilvl="1">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1."/>
      <w:numFmt w:val="decimal"/>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1."/>
      <w:numFmt w:val="decimal"/>
      <w:start w:val="1"/>
    </w:lvl>
    <w:lvl w:ilvl="1">
      <w:lvlJc w:val="left"/>
      <w:lvlText w:val="▪"/>
      <w:numFmt w:val="bullet"/>
      <w:start w:val="1"/>
    </w:lvl>
  </w:abstractNum>
  <w:abstractNum w:abstractNumId="51">
    <w:nsid w:val="5F5E7FD0"/>
    <w:multiLevelType w:val="hybridMultilevel"/>
    <w:lvl w:ilvl="0">
      <w:lvlJc w:val="left"/>
      <w:lvlText w:val="(%1)"/>
      <w:numFmt w:val="lowerLetter"/>
      <w:start w:val="2"/>
    </w:lvl>
  </w:abstractNum>
  <w:abstractNum w:abstractNumId="52">
    <w:nsid w:val="98A3148"/>
    <w:multiLevelType w:val="hybridMultilevel"/>
    <w:lvl w:ilvl="0">
      <w:lvlJc w:val="left"/>
      <w:lvlText w:val="%1"/>
      <w:numFmt w:val="decimal"/>
      <w:start w:val="10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42C296B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6">
    <w:nsid w:val="168E121F"/>
    <w:multiLevelType w:val="hybridMultilevel"/>
    <w:lvl w:ilvl="0">
      <w:lvlJc w:val="left"/>
      <w:lvlText w:val="(%1)"/>
      <w:numFmt w:val="lowerLetter"/>
      <w:start w:val="3"/>
    </w:lvl>
    <w:lvl w:ilvl="1">
      <w:lvlJc w:val="left"/>
      <w:lvlText w:val="(%2)"/>
      <w:numFmt w:val="lowerRoman"/>
      <w:start w:val="1"/>
    </w:lvl>
  </w:abstractNum>
  <w:abstractNum w:abstractNumId="57">
    <w:nsid w:val="1EBA5D23"/>
    <w:multiLevelType w:val="hybridMultilevel"/>
    <w:lvl w:ilvl="0">
      <w:lvlJc w:val="left"/>
      <w:lvlText w:val="(%1)"/>
      <w:numFmt w:val="lowerLetter"/>
      <w:start w:val="10"/>
    </w:lvl>
    <w:lvl w:ilvl="1">
      <w:lvlJc w:val="left"/>
      <w:lvlText w:val="(%2)"/>
      <w:numFmt w:val="lowerRoman"/>
      <w:start w:val="1"/>
    </w:lvl>
  </w:abstractNum>
  <w:abstractNum w:abstractNumId="58">
    <w:nsid w:val="661E3F1E"/>
    <w:multiLevelType w:val="hybridMultilevel"/>
    <w:lvl w:ilvl="0">
      <w:lvlJc w:val="left"/>
      <w:lvlText w:val="(%1)"/>
      <w:numFmt w:val="lowerLetter"/>
      <w:start w:val="14"/>
    </w:lvl>
    <w:lvl w:ilvl="1">
      <w:lvlJc w:val="left"/>
      <w:lvlText w:val="(%2)"/>
      <w:numFmt w:val="lowerRoman"/>
      <w:start w:val="1"/>
    </w:lvl>
    <w:lvl w:ilvl="2">
      <w:lvlJc w:val="left"/>
      <w:lvlText w:val="%3"/>
      <w:numFmt w:val="lowerRoman"/>
      <w:start w:val="1"/>
    </w:lvl>
  </w:abstractNum>
  <w:abstractNum w:abstractNumId="59">
    <w:nsid w:val="5DC79EA8"/>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abstractNum>
  <w:abstractNum w:abstractNumId="60">
    <w:nsid w:val="540A471C"/>
    <w:multiLevelType w:val="hybridMultilevel"/>
    <w:lvl w:ilvl="0">
      <w:lvlJc w:val="left"/>
      <w:lvlText w:val="(%1)"/>
      <w:numFmt w:val="lowerLetter"/>
      <w:start w:val="17"/>
    </w:lvl>
  </w:abstractNum>
  <w:abstractNum w:abstractNumId="61">
    <w:nsid w:val="7BD3EE7B"/>
    <w:multiLevelType w:val="hybridMultilevel"/>
    <w:lvl w:ilvl="0">
      <w:lvlJc w:val="left"/>
      <w:lvlText w:val="(%1)"/>
      <w:numFmt w:val="lowerLetter"/>
      <w:start w:val="1"/>
    </w:lvl>
  </w:abstractNum>
  <w:abstractNum w:abstractNumId="62">
    <w:nsid w:val="51D9C564"/>
    <w:multiLevelType w:val="hybridMultilevel"/>
    <w:lvl w:ilvl="0">
      <w:lvlJc w:val="left"/>
      <w:lvlText w:val="(%1)"/>
      <w:numFmt w:val="lowerLetter"/>
      <w:start w:val="1"/>
    </w:lvl>
  </w:abstractNum>
  <w:abstractNum w:abstractNumId="63">
    <w:nsid w:val="613EFDC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5"/>
      <w:numFmt w:val="lowerRoman"/>
      <w:start w:val="1"/>
    </w:lvl>
  </w:abstractNum>
  <w:abstractNum w:abstractNumId="64">
    <w:nsid w:val="BF72B14"/>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lvl w:ilvl="3">
      <w:lvlJc w:val="left"/>
      <w:lvlText w:val="(%4)"/>
      <w:numFmt w:val="upperLetter"/>
    </w:lvl>
    <w:lvl w:ilvl="4">
      <w:lvlJc w:val="left"/>
      <w:lvlText w:val="(%5)"/>
      <w:numFmt w:val="lowerRoman"/>
      <w:start w:val="3"/>
    </w:lvl>
  </w:abstractNum>
  <w:abstractNum w:abstractNumId="65">
    <w:nsid w:val="11447B73"/>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5"/>
      <w:numFmt w:val="lowerRoman"/>
      <w:start w:val="1"/>
    </w:lvl>
  </w:abstractNum>
  <w:abstractNum w:abstractNumId="66">
    <w:nsid w:val="42963E5A"/>
    <w:multiLevelType w:val="hybridMultilevel"/>
    <w:lvl w:ilvl="0">
      <w:lvlJc w:val="left"/>
      <w:lvlText w:val="(%1)"/>
      <w:numFmt w:val="lowerLetter"/>
      <w:start w:val="5"/>
    </w:lvl>
    <w:lvl w:ilvl="1">
      <w:lvlJc w:val="left"/>
      <w:lvlText w:val="(%2)"/>
      <w:numFmt w:val="lowerRoman"/>
      <w:start w:val="1"/>
    </w:lvl>
  </w:abstractNum>
  <w:abstractNum w:abstractNumId="67">
    <w:nsid w:val="A0382C5"/>
    <w:multiLevelType w:val="hybridMultilevel"/>
    <w:lvl w:ilvl="0">
      <w:lvlJc w:val="left"/>
      <w:lvlText w:val="(%1)"/>
      <w:numFmt w:val="lowerLetter"/>
      <w:start w:val="3"/>
    </w:lvl>
  </w:abstractNum>
  <w:abstractNum w:abstractNumId="68">
    <w:nsid w:val="8F2B15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9">
    <w:nsid w:val="1A32234B"/>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70">
    <w:nsid w:val="3B0FD379"/>
    <w:multiLevelType w:val="hybridMultilevel"/>
    <w:lvl w:ilvl="0">
      <w:lvlJc w:val="left"/>
      <w:lvlText w:val="(%1)"/>
      <w:numFmt w:val="lowerLetter"/>
      <w:start w:val="4"/>
    </w:lvl>
  </w:abstractNum>
  <w:abstractNum w:abstractNumId="71">
    <w:nsid w:val="68EB2F63"/>
    <w:multiLevelType w:val="hybridMultilevel"/>
    <w:lvl w:ilvl="0">
      <w:lvlJc w:val="left"/>
      <w:lvlText w:val="(%1)"/>
      <w:numFmt w:val="lowerLetter"/>
      <w:start w:val="1"/>
    </w:lvl>
  </w:abstractNum>
  <w:abstractNum w:abstractNumId="72">
    <w:nsid w:val="4962813B"/>
    <w:multiLevelType w:val="hybridMultilevel"/>
    <w:lvl w:ilvl="0">
      <w:lvlJc w:val="left"/>
      <w:lvlText w:val="(%1)"/>
      <w:numFmt w:val="lowerLetter"/>
      <w:start w:val="1"/>
    </w:lvl>
  </w:abstractNum>
  <w:abstractNum w:abstractNumId="73">
    <w:nsid w:val="60B6DF70"/>
    <w:multiLevelType w:val="hybridMultilevel"/>
    <w:lvl w:ilvl="0">
      <w:lvlJc w:val="left"/>
      <w:lvlText w:val="(%1)"/>
      <w:numFmt w:val="lowerLetter"/>
      <w:start w:val="3"/>
    </w:lvl>
  </w:abstractNum>
  <w:abstractNum w:abstractNumId="74">
    <w:nsid w:val="6A5EE64"/>
    <w:multiLevelType w:val="hybridMultilevel"/>
    <w:lvl w:ilvl="0">
      <w:lvlJc w:val="left"/>
      <w:lvlText w:val="(%1)"/>
      <w:numFmt w:val="lowerLetter"/>
      <w:start w:val="1"/>
    </w:lvl>
  </w:abstractNum>
  <w:abstractNum w:abstractNumId="75">
    <w:nsid w:val="14330624"/>
    <w:multiLevelType w:val="hybridMultilevel"/>
    <w:lvl w:ilvl="0">
      <w:lvlJc w:val="left"/>
      <w:lvlText w:val="(%1)"/>
      <w:numFmt w:val="lowerLetter"/>
      <w:start w:val="2"/>
    </w:lvl>
  </w:abstractNum>
  <w:abstractNum w:abstractNumId="76">
    <w:nsid w:val="7FFFCA11"/>
    <w:multiLevelType w:val="hybridMultilevel"/>
    <w:lvl w:ilvl="0">
      <w:lvlJc w:val="left"/>
      <w:lvlText w:val="%1."/>
      <w:numFmt w:val="lowerRoman"/>
      <w:start w:val="1"/>
    </w:lvl>
  </w:abstractNum>
  <w:abstractNum w:abstractNumId="77">
    <w:nsid w:val="1A27709E"/>
    <w:multiLevelType w:val="hybridMultilevel"/>
    <w:lvl w:ilvl="0">
      <w:lvlJc w:val="left"/>
      <w:lvlText w:val="%1."/>
      <w:numFmt w:val="lowerRoman"/>
      <w:start w:val="7"/>
    </w:lvl>
  </w:abstractNum>
  <w:abstractNum w:abstractNumId="78">
    <w:nsid w:val="71EA1109"/>
    <w:multiLevelType w:val="hybridMultilevel"/>
    <w:lvl w:ilvl="0">
      <w:lvlJc w:val="left"/>
      <w:lvlText w:val="%1."/>
      <w:numFmt w:val="upperLetter"/>
      <w:start w:val="9"/>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1"/>
      <w:numFmt w:val="upperLetter"/>
      <w:start w:val="34"/>
    </w:lvl>
    <w:lvl w:ilvl="1">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1."/>
      <w:numFmt w:val="upperLetter"/>
      <w:start w:val="61"/>
    </w:lvl>
  </w:abstractNum>
  <w:abstractNum w:abstractNumId="84">
    <w:nsid w:val="885E1B"/>
    <w:multiLevelType w:val="hybridMultilevel"/>
    <w:lvl w:ilvl="0">
      <w:lvlJc w:val="left"/>
      <w:lvlText w:val="%1."/>
      <w:numFmt w:val="upperLetter"/>
      <w:start w:val="22"/>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lvl w:ilvl="1">
      <w:lvlJc w:val="left"/>
      <w:lvlText w:val="(%2)"/>
      <w:numFmt w:val="lowerLetter"/>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33"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15" Type="http://schemas.openxmlformats.org/officeDocument/2006/relationships/hyperlink" Target="https://www.sec.gov/Archives/edgar/data/1677703/000167770323000054/ex21-assetpurchaseagreement.htm" TargetMode="External"/><Relationship Id="rId116" Type="http://schemas.openxmlformats.org/officeDocument/2006/relationships/hyperlink" Target="https://www.sec.gov/Archives/edgar/data/1677703/000167770324000116/exhibit22-projectbeijingxf.htm" TargetMode="External"/><Relationship Id="rId117" Type="http://schemas.openxmlformats.org/officeDocument/2006/relationships/hyperlink" Target="https://www.sec.gov/Archives/edgar/data/1677703/000119312516803247/d275811dex31.htm" TargetMode="External"/><Relationship Id="rId118" Type="http://schemas.openxmlformats.org/officeDocument/2006/relationships/hyperlink" Target="https://www.sec.gov/Archives/edgar/data/1677703/000167770323000065/cndt-ex32amendedbyxlaws.htm" TargetMode="External"/><Relationship Id="rId119" Type="http://schemas.openxmlformats.org/officeDocument/2006/relationships/hyperlink" Target="https://www.sec.gov/Archives/edgar/data/1677703/000167770321000046/exhibit44g-securedindenture.htm" TargetMode="External"/><Relationship Id="rId120" Type="http://schemas.openxmlformats.org/officeDocument/2006/relationships/hyperlink" Target="https://www.sec.gov/Archives/edgar/data/1677703/000167770320000010/exhibit42.htm" TargetMode="External"/><Relationship Id="rId121" Type="http://schemas.openxmlformats.org/officeDocument/2006/relationships/hyperlink" Target="https://www.sec.gov/Archives/edgar/data/1677703/000167770321000046/cndt-093031ex106fxcreditag.htm" TargetMode="External"/><Relationship Id="rId122" Type="http://schemas.openxmlformats.org/officeDocument/2006/relationships/hyperlink" Target="https://www.sec.gov/Archives/edgar/data/1677703/000119312517000332/d260662dex106.htm" TargetMode="External"/><Relationship Id="rId123" Type="http://schemas.openxmlformats.org/officeDocument/2006/relationships/hyperlink" Target="https://www.sec.gov/Archives/edgar/data/1677703/000119312516682067/d208500dex106.htm" TargetMode="External"/><Relationship Id="rId124" Type="http://schemas.openxmlformats.org/officeDocument/2006/relationships/hyperlink" Target="https://www.sec.gov/Archives/edgar/data/1677703/000119312516751179/d208500dex1014.htm" TargetMode="External"/><Relationship Id="rId125" Type="http://schemas.openxmlformats.org/officeDocument/2006/relationships/hyperlink" Target="https://www.sec.gov/Archives/edgar/data/1677703/000095015718001231/ex10-1.htm" TargetMode="External"/><Relationship Id="rId126" Type="http://schemas.openxmlformats.org/officeDocument/2006/relationships/hyperlink" Target="https://www.sec.gov/Archives/edgar/data/1677703/000167770320000018/ex-106avi.htm" TargetMode="External"/><Relationship Id="rId127" Type="http://schemas.openxmlformats.org/officeDocument/2006/relationships/hyperlink" Target="https://www.sec.gov/Archives/edgar/data/1677703/000167770320000018/ex-106avii.htm" TargetMode="External"/><Relationship Id="rId128" Type="http://schemas.openxmlformats.org/officeDocument/2006/relationships/hyperlink" Target="https://www.sec.gov/Archives/edgar/data/1677703/000119312521110819/d110000ddef14a.htm#toc110000_d" TargetMode="External"/><Relationship Id="rId129" Type="http://schemas.openxmlformats.org/officeDocument/2006/relationships/hyperlink" Target="https://www.sec.gov/Archives/edgar/data/1677703/000167770321000036/ex106axconduent-rsuawardag.htm" TargetMode="External"/><Relationship Id="rId130" Type="http://schemas.openxmlformats.org/officeDocument/2006/relationships/hyperlink" Target="https://www.sec.gov/Archives/edgar/data/1677703/000167770321000036/ex106axiconduent-prsuaward.htm" TargetMode="External"/><Relationship Id="rId131" Type="http://schemas.openxmlformats.org/officeDocument/2006/relationships/hyperlink" Target="https://www.sec.gov/Archives/edgar/data/1677703/000167770321000036/ex106axiiconduent-prsuawar.htm" TargetMode="External"/><Relationship Id="rId132" Type="http://schemas.openxmlformats.org/officeDocument/2006/relationships/hyperlink" Target="https://www.sec.gov/Archives/edgar/data/1677703/000167770322000023/ex106aixrsu.htm" TargetMode="External"/><Relationship Id="rId134" Type="http://schemas.openxmlformats.org/officeDocument/2006/relationships/hyperlink" Target="https://www.sec.gov/Archives/edgar/data/1677703/000167770322000023/ex106axprsu.htm" TargetMode="External"/><Relationship Id="rId135" Type="http://schemas.openxmlformats.org/officeDocument/2006/relationships/hyperlink" Target="https://www.sec.gov/Archives/edgar/data/1677703/000167770321000036/ex106axiiideferredstockuni.htm" TargetMode="External"/><Relationship Id="rId136" Type="http://schemas.openxmlformats.org/officeDocument/2006/relationships/hyperlink" Target="https://www.sec.gov/Archives/edgar/data/1677703/000119312516807430/d314499dex44.htm" TargetMode="External"/><Relationship Id="rId137" Type="http://schemas.openxmlformats.org/officeDocument/2006/relationships/hyperlink" Target="https://www.sec.gov/Archives/edgar/data/1677703/000167770323000033/ex106ai.htm" TargetMode="External"/><Relationship Id="rId138" Type="http://schemas.openxmlformats.org/officeDocument/2006/relationships/hyperlink" Target="https://www.sec.gov/Archives/edgar/data/1677703/000167770323000033/ex106aii.htm" TargetMode="External"/><Relationship Id="rId139" Type="http://schemas.openxmlformats.org/officeDocument/2006/relationships/hyperlink" Target="https://www.sec.gov/Archives/edgar/data/1677703/000167770323000033/ex106aiii.htm" TargetMode="External"/><Relationship Id="rId140" Type="http://schemas.openxmlformats.org/officeDocument/2006/relationships/hyperlink" Target="https://www.sec.gov/Archives/edgar/data/1677703/000167770324000080/ex106ai-2024rsuaward.htm" TargetMode="External"/><Relationship Id="rId141" Type="http://schemas.openxmlformats.org/officeDocument/2006/relationships/hyperlink" Target="https://www.sec.gov/Archives/edgar/data/1677703/000167770324000080/ex106aii-2024prsuadjrev.htm" TargetMode="External"/><Relationship Id="rId142" Type="http://schemas.openxmlformats.org/officeDocument/2006/relationships/hyperlink" Target="https://www.sec.gov/Archives/edgar/data/1677703/000167770324000080/ex106aiii-2024prsurtsr.htm" TargetMode="External"/><Relationship Id="rId143" Type="http://schemas.openxmlformats.org/officeDocument/2006/relationships/hyperlink" Target="https://www.sec.gov/Archives/edgar/data/1677703/000119312519158341/d731398dex106h.htm" TargetMode="External"/><Relationship Id="rId144" Type="http://schemas.openxmlformats.org/officeDocument/2006/relationships/hyperlink" Target="https://www.sec.gov/Archives/edgar/data/1677703/000119312519215375/d787721dex99106j.htm" TargetMode="External"/><Relationship Id="rId145" Type="http://schemas.openxmlformats.org/officeDocument/2006/relationships/hyperlink" Target="https://www.sec.gov/Archives/edgar/data/1677703/000167770320000010/exhibit106eii.htm" TargetMode="External"/><Relationship Id="rId146" Type="http://schemas.openxmlformats.org/officeDocument/2006/relationships/hyperlink" Target="https://www.sec.gov/Archives/edgar/data/1677703/000167770321000016/exhibit106diii.htm" TargetMode="External"/><Relationship Id="rId147" Type="http://schemas.openxmlformats.org/officeDocument/2006/relationships/hyperlink" Target="https://www.sec.gov/Archives/edgar/data/0001677703/000167770321000026/ex101letteragreementdatedm.htm" TargetMode="External"/><Relationship Id="rId148" Type="http://schemas.openxmlformats.org/officeDocument/2006/relationships/hyperlink" Target="https://www.sec.gov/Archives/edgar/data/1677703/000167770320000010/exhibit106i.htm" TargetMode="External"/><Relationship Id="rId149" Type="http://schemas.openxmlformats.org/officeDocument/2006/relationships/hyperlink" Target="https://www.sec.gov/Archives/edgar/data/1677703/000167770323000065/cndt-ex101formofindemnific.htm" TargetMode="External"/><Relationship Id="rId150" Type="http://schemas.openxmlformats.org/officeDocument/2006/relationships/hyperlink" Target="https://www.sec.gov/Archives/edgar/data/1677703/000167770324000094/ex101projectpicturepurchas.htm" TargetMode="External"/><Relationship Id="rId151" Type="http://schemas.openxmlformats.org/officeDocument/2006/relationships/hyperlink" Target="https://www.sec.gov/Archives/edgar/data/1677703/000167770324000037/exhibit19-insidertradingpo.htm" TargetMode="External"/><Relationship Id="rId152" Type="http://schemas.openxmlformats.org/officeDocument/2006/relationships/hyperlink" Target="https://www.sec.gov/Archives/edgar/data/1677703/000167770324000037/exhibit97-recoupment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2025-02-19T10:54:36Z</dcterms:created>
  <dcterms:modified xsi:type="dcterms:W3CDTF">2025-02-19T10:54:36Z</dcterms:modified>
</cp:coreProperties>
</file>