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5"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1"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123190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0" w:right="339" w:bottom="1440" w:gutter="0" w:footer="0" w:header="0"/>
        </w:sectPr>
      </w:pPr>
    </w:p>
    <w:p>
      <w:pPr>
        <w:spacing w:after="0" w:line="37"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36" w:lineRule="exact"/>
        <w:rPr>
          <w:sz w:val="24"/>
          <w:szCs w:val="24"/>
          <w:color w:val="auto"/>
        </w:rPr>
      </w:pPr>
    </w:p>
    <w:p>
      <w:pPr>
        <w:sectPr>
          <w:pgSz w:w="11900" w:h="16838" w:orient="portrait"/>
          <w:cols w:equalWidth="0" w:num="2">
            <w:col w:w="7940" w:space="720"/>
            <w:col w:w="2580"/>
          </w:cols>
          <w:pgMar w:left="320" w:top="260"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108" w:lineRule="exact"/>
        <w:rPr>
          <w:sz w:val="24"/>
          <w:szCs w:val="24"/>
          <w:color w:val="auto"/>
        </w:rPr>
      </w:pPr>
    </w:p>
    <w:p>
      <w:pPr>
        <w:sectPr>
          <w:pgSz w:w="11900" w:h="16838" w:orient="portrait"/>
          <w:cols w:equalWidth="0" w:num="2">
            <w:col w:w="7800" w:space="720"/>
            <w:col w:w="2720"/>
          </w:cols>
          <w:pgMar w:left="320" w:top="260" w:right="339" w:bottom="1440" w:gutter="0" w:footer="0" w:header="0"/>
          <w:type w:val="continuous"/>
        </w:sectPr>
      </w:pPr>
    </w:p>
    <w:p>
      <w:pPr>
        <w:ind w:left="920" w:hanging="323"/>
        <w:spacing w:after="0" w:line="287"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43" w:lineRule="exact"/>
        <w:rPr>
          <w:sz w:val="24"/>
          <w:szCs w:val="24"/>
          <w:color w:val="auto"/>
        </w:rPr>
      </w:pPr>
    </w:p>
    <w:p>
      <w:pPr>
        <w:sectPr>
          <w:pgSz w:w="11900" w:h="16838" w:orient="portrait"/>
          <w:cols w:equalWidth="0" w:num="3">
            <w:col w:w="2200" w:space="560"/>
            <w:col w:w="5400" w:space="720"/>
            <w:col w:w="2360"/>
          </w:cols>
          <w:pgMar w:left="320" w:top="260"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53" w:lineRule="exact"/>
        <w:rPr>
          <w:sz w:val="24"/>
          <w:szCs w:val="24"/>
          <w:color w:val="auto"/>
        </w:rPr>
      </w:pPr>
    </w:p>
    <w:p>
      <w:pPr>
        <w:sectPr>
          <w:pgSz w:w="11900" w:h="16838" w:orient="portrait"/>
          <w:cols w:equalWidth="0" w:num="2">
            <w:col w:w="8060" w:space="720"/>
            <w:col w:w="2460"/>
          </w:cols>
          <w:pgMar w:left="320" w:top="26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ectPr>
          <w:pgSz w:w="11900" w:h="16838" w:orient="portrait"/>
          <w:cols w:equalWidth="0" w:num="1">
            <w:col w:w="11240"/>
          </w:cols>
          <w:pgMar w:left="320" w:top="260" w:right="339" w:bottom="1440" w:gutter="0" w:footer="0" w:header="0"/>
          <w:type w:val="continuous"/>
        </w:sectPr>
      </w:pPr>
    </w:p>
    <w:p>
      <w:pPr>
        <w:spacing w:after="0" w:line="32"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0" w:right="339" w:bottom="1440" w:gutter="0" w:footer="0" w:header="0"/>
          <w:type w:val="continuous"/>
        </w:sectPr>
      </w:pPr>
    </w:p>
    <w:p>
      <w:pPr>
        <w:spacing w:after="0" w:line="62"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4" w:lineRule="exact"/>
        <w:rPr>
          <w:sz w:val="24"/>
          <w:szCs w:val="24"/>
          <w:color w:val="auto"/>
        </w:rPr>
      </w:pPr>
    </w:p>
    <w:p>
      <w:pPr>
        <w:sectPr>
          <w:pgSz w:w="11900" w:h="16838" w:orient="portrait"/>
          <w:cols w:equalWidth="0" w:num="3">
            <w:col w:w="4040" w:space="720"/>
            <w:col w:w="1960" w:space="720"/>
            <w:col w:w="3800"/>
          </w:cols>
          <w:pgMar w:left="320" w:top="260"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4380" w:space="720"/>
            <w:col w:w="1760" w:space="720"/>
            <w:col w:w="3660"/>
          </w:cols>
          <w:pgMar w:left="320" w:top="260" w:right="339" w:bottom="1440" w:gutter="0" w:footer="0" w:header="0"/>
          <w:type w:val="continuous"/>
        </w:sectPr>
      </w:pPr>
    </w:p>
    <w:p>
      <w:pPr>
        <w:spacing w:after="0" w:line="9" w:lineRule="exact"/>
        <w:rPr>
          <w:sz w:val="24"/>
          <w:szCs w:val="24"/>
          <w:color w:val="auto"/>
        </w:rPr>
      </w:pPr>
    </w:p>
    <w:p>
      <w:pPr>
        <w:ind w:right="300" w:firstLine="162"/>
        <w:spacing w:after="0" w:line="26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5" w:lineRule="exact"/>
        <w:rPr>
          <w:sz w:val="24"/>
          <w:szCs w:val="24"/>
          <w:color w:val="auto"/>
        </w:rPr>
      </w:pPr>
    </w:p>
    <w:p>
      <w:pPr>
        <w:ind w:right="320" w:firstLine="162"/>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53" w:lineRule="exact"/>
        <w:rPr>
          <w:sz w:val="24"/>
          <w:szCs w:val="24"/>
          <w:color w:val="auto"/>
        </w:rPr>
      </w:pPr>
    </w:p>
    <w:p>
      <w:pPr>
        <w:ind w:right="20" w:firstLine="162"/>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220"/>
        <w:spacing w:after="0" w:line="181" w:lineRule="exact"/>
        <w:tabs>
          <w:tab w:leader="none" w:pos="1960" w:val="left"/>
          <w:tab w:leader="none" w:pos="2420" w:val="left"/>
          <w:tab w:leader="none" w:pos="3740" w:val="left"/>
          <w:tab w:leader="none" w:pos="4220" w:val="left"/>
          <w:tab w:leader="none" w:pos="5880" w:val="left"/>
          <w:tab w:leader="none" w:pos="6380" w:val="left"/>
          <w:tab w:leader="none" w:pos="8340" w:val="left"/>
          <w:tab w:leader="none" w:pos="8860" w:val="left"/>
          <w:tab w:leader="none" w:pos="10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9" w:lineRule="exact"/>
        <w:rPr>
          <w:sz w:val="24"/>
          <w:szCs w:val="24"/>
          <w:color w:val="auto"/>
        </w:rPr>
      </w:pPr>
    </w:p>
    <w:p>
      <w:pPr>
        <w:ind w:right="160" w:firstLine="162"/>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176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October 31, 2022</w:t>
            </w:r>
          </w:p>
        </w:tc>
      </w:tr>
      <w:tr>
        <w:trPr>
          <w:trHeight w:val="206"/>
        </w:trPr>
        <w:tc>
          <w:tcPr>
            <w:tcW w:w="17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5980" w:type="dxa"/>
            <w:vAlign w:val="bottom"/>
            <w:gridSpan w:val="2"/>
          </w:tcPr>
          <w:p>
            <w:pPr>
              <w:spacing w:after="0"/>
              <w:rPr>
                <w:sz w:val="20"/>
                <w:szCs w:val="20"/>
                <w:color w:val="auto"/>
              </w:rPr>
            </w:pPr>
            <w:r>
              <w:rPr>
                <w:rFonts w:ascii="Arial" w:cs="Arial" w:eastAsia="Arial" w:hAnsi="Arial"/>
                <w:sz w:val="16"/>
                <w:szCs w:val="16"/>
                <w:color w:val="auto"/>
              </w:rPr>
              <w:t>$0.01 par value</w:t>
            </w:r>
          </w:p>
        </w:tc>
        <w:tc>
          <w:tcPr>
            <w:tcW w:w="3500" w:type="dxa"/>
            <w:vAlign w:val="bottom"/>
          </w:tcPr>
          <w:p>
            <w:pPr>
              <w:jc w:val="right"/>
              <w:ind w:right="1222"/>
              <w:spacing w:after="0"/>
              <w:rPr>
                <w:sz w:val="20"/>
                <w:szCs w:val="20"/>
                <w:color w:val="auto"/>
              </w:rPr>
            </w:pPr>
            <w:r>
              <w:rPr>
                <w:rFonts w:ascii="Arial" w:cs="Arial" w:eastAsia="Arial" w:hAnsi="Arial"/>
                <w:sz w:val="16"/>
                <w:szCs w:val="16"/>
                <w:color w:val="auto"/>
              </w:rPr>
              <w:t>215,920,216</w:t>
            </w:r>
          </w:p>
        </w:tc>
      </w:tr>
      <w:tr>
        <w:trPr>
          <w:trHeight w:val="399"/>
        </w:trPr>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Q3 2022 Form 10-Q</w:t>
            </w:r>
          </w:p>
        </w:tc>
      </w:tr>
      <w:tr>
        <w:trPr>
          <w:trHeight w:val="694"/>
        </w:trPr>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 words “anticipate,” “believe,” “estimate,” “expect,” "plan," “intend,” “will,” “aim,” “should,” “could,” “forecast,” “target,” “may,” "continue to," "if,” “growing,” “projected,” “potential,” “likely,” and similar expressions, as they relate to us, are intended to identify forward-looking statements, but the absence of these words does not mean that a statement is not forward-looking. In addition, all statements regarding anticipated effects of the novel coronavirus, or COVID-19, pandemic and the responses thereto, including the pandemic’s impact on general economic and market conditions, as well as on our business, customers, and markets, results of operations and financial condition and anticipated actions to be taken by management to sustain our business during the economic uncertainty caused by the pandemic and related governmental and business actions, as well as other statements that are not strictly historical in nature, are forward looking.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10-Q, any exhibits to this Form 10-Q and other public statements we make. Our actual results may vary materially from those expressed or implied in our forward-looking statements. These forward-looking statements are also subject to the significant continuing impact of the COVID-19 pandemic on our business, operations, financial results and financial condition, which is dependent on developments which are highly uncertain and cannot be predicted.</w:t>
      </w:r>
    </w:p>
    <w:p>
      <w:pPr>
        <w:spacing w:after="0" w:line="9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Important factors and uncertainties that could cause actual results to differ materially from those in our forward-looking statements include, but are not limited to: the significant continuing effects of the ongoing COVID-19 pandemic on our business, operations, financial results and financial condition, which is dependent on developments which are highly uncertain and cannot be predicted;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our ability to deliver on our contractual obligations properly and on time; changes in interest in outsourced business process services; risk and impact of geopolitical events (such as the war in the Ukraine), natural disasters and other factors (such as pandemics, including coronavirus) in a particular country or region on our workforce, customers and vendors;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increases in the cost of telephone and data services or significant interruptions in such services; our failure to develop new service offerings and protect our intellectual property rights; our ability to modernize our information technology infrastructure and consolidate data centers;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changes in tax and other laws and regulations; risk and impact of potential goodwill and other asset impairments; our significant indebtedness;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our failure to maintain a satisfactory credit rating; our ability to receive dividends or other payments from our subsidiaries; developments in various contingent liabilities that are not reflected on our balance sheet, including those arising as a result of being involved in a variety of claims, lawsuits, investigations and proceedings; conditions abroad, including local economics, political environments, fluctuating foreign currencies and shifting regulatory schemes; changes in government regulation and economic, strategic, political and social conditions; volatility of our stock price and the risk of litigation following a decline in the price of our stock; economic factors such as inflation, the level of economic activity and labor market conditions, as well as rising interest rates; and other factors that are set forth in the “Risk Factors” section, the “Legal Proceedings” section, the “Management's Discussion and Analysis of Financial Condition and Results of Operations” section and other sections of this Quarterly Report on Form 10-Q as well as in our 2021 Annual Report on Form 10-K filed with the Securities and Exchange Commission (SEC) and any subsequent Quarterly Report on Form 10-Q and Current Report on Form 8-K. Any forward-looking statements made by us in this Quarterly Report on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7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9880" w:type="dxa"/>
            <w:vAlign w:val="bottom"/>
            <w:gridSpan w:val="2"/>
          </w:tcPr>
          <w:p>
            <w:pPr>
              <w:spacing w:after="0"/>
              <w:rPr>
                <w:sz w:val="20"/>
                <w:szCs w:val="20"/>
                <w:color w:val="auto"/>
              </w:rPr>
            </w:pPr>
            <w:r>
              <w:rPr>
                <w:rFonts w:ascii="Arial" w:cs="Arial" w:eastAsia="Arial" w:hAnsi="Arial"/>
                <w:sz w:val="18"/>
                <w:szCs w:val="18"/>
                <w:b w:val="1"/>
                <w:bCs w:val="1"/>
                <w:color w:val="1269BC"/>
              </w:rPr>
              <w:t>September 30, 2022</w:t>
            </w:r>
          </w:p>
        </w:tc>
        <w:tc>
          <w:tcPr>
            <w:tcW w:w="134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8720" w:type="dxa"/>
            <w:vAlign w:val="bottom"/>
          </w:tcPr>
          <w:p>
            <w:pPr>
              <w:ind w:left="350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73"/>
        </w:trPr>
        <w:tc>
          <w:tcPr>
            <w:tcW w:w="1160" w:type="dxa"/>
            <w:vAlign w:val="bottom"/>
            <w:tcBorders>
              <w:bottom w:val="single" w:sz="8" w:color="CCEEFF"/>
            </w:tcBorders>
          </w:tcPr>
          <w:p>
            <w:pPr>
              <w:spacing w:after="0"/>
              <w:rPr>
                <w:sz w:val="24"/>
                <w:szCs w:val="24"/>
                <w:color w:val="auto"/>
              </w:rPr>
            </w:pPr>
          </w:p>
        </w:tc>
        <w:tc>
          <w:tcPr>
            <w:tcW w:w="87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1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8"/>
                <w:szCs w:val="18"/>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1.</w:t>
            </w:r>
          </w:p>
        </w:tc>
        <w:tc>
          <w:tcPr>
            <w:tcW w:w="8720" w:type="dxa"/>
            <w:vAlign w:val="bottom"/>
          </w:tcPr>
          <w:p>
            <w:pPr>
              <w:ind w:left="18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29"/>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30"/>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24</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720" w:type="dxa"/>
            <w:vAlign w:val="bottom"/>
          </w:tcPr>
          <w:p>
            <w:pPr>
              <w:ind w:left="18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35</w:t>
            </w:r>
          </w:p>
        </w:tc>
      </w:tr>
      <w:tr>
        <w:trPr>
          <w:trHeight w:val="229"/>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36</w:t>
            </w:r>
          </w:p>
        </w:tc>
      </w:tr>
      <w:tr>
        <w:trPr>
          <w:trHeight w:val="148"/>
        </w:trPr>
        <w:tc>
          <w:tcPr>
            <w:tcW w:w="988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 Information</w:t>
            </w:r>
          </w:p>
        </w:tc>
        <w:tc>
          <w:tcPr>
            <w:tcW w:w="134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36</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720" w:type="dxa"/>
            <w:vAlign w:val="bottom"/>
          </w:tcPr>
          <w:p>
            <w:pPr>
              <w:ind w:left="18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36</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37</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0000FF"/>
              </w:rPr>
              <w:t>Item 6.</w:t>
            </w:r>
          </w:p>
        </w:tc>
        <w:tc>
          <w:tcPr>
            <w:tcW w:w="8720" w:type="dxa"/>
            <w:vAlign w:val="bottom"/>
          </w:tcPr>
          <w:p>
            <w:pPr>
              <w:ind w:left="180"/>
              <w:spacing w:after="0"/>
              <w:rPr>
                <w:sz w:val="20"/>
                <w:szCs w:val="20"/>
                <w:color w:val="auto"/>
              </w:rPr>
            </w:pPr>
            <w:r>
              <w:rPr>
                <w:rFonts w:ascii="Arial" w:cs="Arial" w:eastAsia="Arial" w:hAnsi="Arial"/>
                <w:sz w:val="18"/>
                <w:szCs w:val="18"/>
                <w:color w:val="0000FF"/>
              </w:rPr>
              <w:t>Exhibits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38</w:t>
            </w:r>
          </w:p>
        </w:tc>
      </w:tr>
      <w:tr>
        <w:trPr>
          <w:trHeight w:val="229"/>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Signatures</w:t>
            </w:r>
          </w:p>
        </w:tc>
        <w:tc>
          <w:tcPr>
            <w:tcW w:w="87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39</w:t>
            </w:r>
          </w:p>
        </w:tc>
      </w:tr>
    </w:tbl>
    <w:p>
      <w:pPr>
        <w:spacing w:after="0" w:line="33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88"/>
              <w:spacing w:after="0"/>
              <w:rPr>
                <w:sz w:val="20"/>
                <w:szCs w:val="20"/>
                <w:color w:val="auto"/>
              </w:rPr>
            </w:pPr>
            <w:r>
              <w:rPr>
                <w:rFonts w:ascii="Arial" w:cs="Arial" w:eastAsia="Arial" w:hAnsi="Arial"/>
                <w:sz w:val="14"/>
                <w:szCs w:val="14"/>
                <w:color w:val="auto"/>
              </w:rPr>
              <w:t>Nine Months Ended</w:t>
            </w: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2100" w:type="dxa"/>
            <w:vAlign w:val="bottom"/>
            <w:gridSpan w:val="4"/>
          </w:tcPr>
          <w:p>
            <w:pPr>
              <w:jc w:val="right"/>
              <w:ind w:right="628"/>
              <w:spacing w:after="0"/>
              <w:rPr>
                <w:sz w:val="20"/>
                <w:szCs w:val="20"/>
                <w:color w:val="auto"/>
              </w:rPr>
            </w:pPr>
            <w:r>
              <w:rPr>
                <w:rFonts w:ascii="Arial" w:cs="Arial" w:eastAsia="Arial" w:hAnsi="Arial"/>
                <w:sz w:val="14"/>
                <w:szCs w:val="14"/>
                <w:color w:val="auto"/>
              </w:rPr>
              <w:t>September 30,</w:t>
            </w:r>
          </w:p>
        </w:tc>
      </w:tr>
      <w:tr>
        <w:trPr>
          <w:trHeight w:val="155"/>
        </w:trPr>
        <w:tc>
          <w:tcPr>
            <w:tcW w:w="20" w:type="dxa"/>
            <w:vAlign w:val="bottom"/>
          </w:tcPr>
          <w:p>
            <w:pPr>
              <w:spacing w:after="0"/>
              <w:rPr>
                <w:sz w:val="13"/>
                <w:szCs w:val="13"/>
                <w:color w:val="auto"/>
              </w:rPr>
            </w:pPr>
          </w:p>
        </w:tc>
        <w:tc>
          <w:tcPr>
            <w:tcW w:w="642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2,335</w:t>
            </w:r>
          </w:p>
        </w:tc>
      </w:tr>
      <w:tr>
        <w:trPr>
          <w:trHeight w:val="209"/>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r>
      <w:tr>
        <w:trPr>
          <w:trHeight w:val="196"/>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9"/>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196"/>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9"/>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96"/>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9"/>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9"/>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0"/>
        </w:trPr>
        <w:tc>
          <w:tcPr>
            <w:tcW w:w="2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1,019</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2,634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3,063</w:t>
            </w:r>
          </w:p>
        </w:tc>
      </w:tr>
      <w:tr>
        <w:trPr>
          <w:trHeight w:val="148"/>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8"/>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 per Share: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208"/>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4"/>
                <w:szCs w:val="14"/>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368"/>
              <w:spacing w:after="0"/>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benefit plans, net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Comprehensive Income (Loss),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spacing w:after="0"/>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61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4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16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September 30, 2022</w:t>
            </w:r>
          </w:p>
        </w:tc>
        <w:tc>
          <w:tcPr>
            <w:tcW w:w="18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Assets held for sale</w:t>
            </w:r>
          </w:p>
        </w:tc>
        <w:tc>
          <w:tcPr>
            <w:tcW w:w="16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Contract assets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Land, buildings and equipment, net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7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portion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 and benefits costs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Unearned income</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 held for sale</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13)</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3,924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3,910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Retained earnings (deficit)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5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common stock issued and outstanding</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215,803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215,381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80"/>
        <w:spacing w:after="0"/>
        <w:rPr>
          <w:sz w:val="20"/>
          <w:szCs w:val="20"/>
          <w:color w:val="auto"/>
        </w:rPr>
      </w:pPr>
      <w:r>
        <w:rPr>
          <w:rFonts w:ascii="Arial" w:cs="Arial" w:eastAsia="Arial" w:hAnsi="Arial"/>
          <w:sz w:val="14"/>
          <w:szCs w:val="14"/>
          <w:color w:val="auto"/>
        </w:rPr>
        <w:t>Nine Months Ended</w:t>
      </w:r>
    </w:p>
    <w:p>
      <w:pPr>
        <w:ind w:left="9160"/>
        <w:spacing w:after="0"/>
        <w:rPr>
          <w:sz w:val="20"/>
          <w:szCs w:val="20"/>
          <w:color w:val="auto"/>
        </w:rPr>
      </w:pPr>
      <w:r>
        <w:rPr>
          <w:rFonts w:ascii="Arial" w:cs="Arial" w:eastAsia="Arial" w:hAnsi="Arial"/>
          <w:sz w:val="14"/>
          <w:szCs w:val="14"/>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265</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from investments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Allowance for credit losses</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96"/>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r>
      <w:tr>
        <w:trPr>
          <w:trHeight w:val="202"/>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r>
      <w:tr>
        <w:trPr>
          <w:trHeight w:val="177"/>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97"/>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96"/>
        </w:trPr>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188"/>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revolving credit facility</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97"/>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Premium on debt redemption</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7"/>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96"/>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97"/>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55" w:lineRule="exact"/>
        <w:rPr>
          <w:sz w:val="20"/>
          <w:szCs w:val="20"/>
          <w:color w:val="auto"/>
        </w:rPr>
      </w:pPr>
    </w:p>
    <w:p>
      <w:pPr>
        <w:ind w:left="340" w:right="460" w:hanging="332"/>
        <w:spacing w:after="0" w:line="299"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$10 million and $6 million of restricted cash as of September 30, 2022 and 2021, respectively, that were included in Other current assets on their respective Condensed Consolidated Balance Sheets.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color w:val="auto"/>
              </w:rPr>
              <w:t>Three Months Ended September 30, 2022</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53"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3"/>
                <w:szCs w:val="13"/>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3"/>
                <w:szCs w:val="13"/>
                <w:color w:val="auto"/>
              </w:rPr>
            </w:pPr>
          </w:p>
        </w:tc>
        <w:tc>
          <w:tcPr>
            <w:tcW w:w="1160" w:type="dxa"/>
            <w:vAlign w:val="bottom"/>
          </w:tcPr>
          <w:p>
            <w:pPr>
              <w:jc w:val="center"/>
              <w:ind w:right="89"/>
              <w:spacing w:after="0" w:line="153"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gridSpan w:val="2"/>
          </w:tcPr>
          <w:p>
            <w:pPr>
              <w:spacing w:after="0" w:line="144" w:lineRule="exact"/>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80"/>
              <w:spacing w:after="0" w:line="144"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4" w:lineRule="exact"/>
              <w:rPr>
                <w:sz w:val="20"/>
                <w:szCs w:val="20"/>
                <w:color w:val="auto"/>
              </w:rPr>
            </w:pPr>
            <w:r>
              <w:rPr>
                <w:rFonts w:ascii="Arial" w:cs="Arial" w:eastAsia="Arial" w:hAnsi="Arial"/>
                <w:sz w:val="14"/>
                <w:szCs w:val="14"/>
                <w:color w:val="auto"/>
                <w:w w:val="99"/>
              </w:rPr>
              <w:t>(Deficit)</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9"/>
              <w:spacing w:after="0" w:line="144"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color w:val="auto"/>
              </w:rPr>
              <w:t>Three Months Ended September 30, 2021</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color w:val="auto"/>
              </w:rPr>
              <w:t>AOCL</w:t>
            </w:r>
            <w:r>
              <w:rPr>
                <w:rFonts w:ascii="Arial" w:cs="Arial" w:eastAsia="Arial" w:hAnsi="Arial"/>
                <w:sz w:val="9"/>
                <w:szCs w:val="9"/>
                <w:color w:val="auto"/>
              </w:rPr>
              <w:t>(1)</w:t>
            </w:r>
          </w:p>
        </w:tc>
        <w:tc>
          <w:tcPr>
            <w:tcW w:w="160" w:type="dxa"/>
            <w:vAlign w:val="bottom"/>
          </w:tcPr>
          <w:p>
            <w:pPr>
              <w:spacing w:after="0"/>
              <w:rPr>
                <w:sz w:val="14"/>
                <w:szCs w:val="14"/>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color w:val="auto"/>
              </w:rPr>
              <w:t>Nine Months Ended September 30, 2022</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4"/>
                <w:szCs w:val="14"/>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$60/share</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color w:val="auto"/>
              </w:rPr>
              <w:t>Nine Months Ended September 30, 2021</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53"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3"/>
                <w:szCs w:val="13"/>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3"/>
                <w:szCs w:val="13"/>
                <w:color w:val="auto"/>
              </w:rPr>
            </w:pPr>
          </w:p>
        </w:tc>
        <w:tc>
          <w:tcPr>
            <w:tcW w:w="1160" w:type="dxa"/>
            <w:vAlign w:val="bottom"/>
          </w:tcPr>
          <w:p>
            <w:pPr>
              <w:jc w:val="center"/>
              <w:ind w:right="89"/>
              <w:spacing w:after="0" w:line="153"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gridSpan w:val="2"/>
          </w:tcPr>
          <w:p>
            <w:pPr>
              <w:spacing w:after="0" w:line="144" w:lineRule="exact"/>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80"/>
              <w:spacing w:after="0" w:line="144"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4" w:lineRule="exact"/>
              <w:rPr>
                <w:sz w:val="20"/>
                <w:szCs w:val="20"/>
                <w:color w:val="auto"/>
              </w:rPr>
            </w:pPr>
            <w:r>
              <w:rPr>
                <w:rFonts w:ascii="Arial" w:cs="Arial" w:eastAsia="Arial" w:hAnsi="Arial"/>
                <w:sz w:val="14"/>
                <w:szCs w:val="14"/>
                <w:color w:val="auto"/>
                <w:w w:val="99"/>
              </w:rPr>
              <w:t>(Deficit)</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9"/>
              <w:spacing w:after="0" w:line="144"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$60/share</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55" w:lineRule="exact"/>
        <w:rPr>
          <w:sz w:val="20"/>
          <w:szCs w:val="20"/>
          <w:color w:val="auto"/>
        </w:rPr>
      </w:pPr>
    </w:p>
    <w:p>
      <w:pPr>
        <w:ind w:left="2380" w:right="2060" w:hanging="2372"/>
        <w:spacing w:after="0" w:line="664" w:lineRule="auto"/>
        <w:tabs>
          <w:tab w:leader="none" w:pos="31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12 – Accumulated Other Comprehensive Loss for the components of AOCL. The accompanying notes are an integral part of these Condensed Consolidated Financial Statements.</w:t>
      </w:r>
    </w:p>
    <w:p>
      <w:pPr>
        <w:spacing w:after="0" w:line="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8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one of the largest diversified business process services companies in the world, Conduent delivers mission-critical solutions and services on behalf of businesses and governments – creating exceptional outcomes for its clients and the millions of people who count on them. Through its dedicated people, processes and technologies, Conduent's services and solutions enhance customer experience, increase efficiencies, reduce costs and improve performance for most Fortune 100 companies and more than 500 government entities.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(SEC). 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2021. Certain reclassifications have been made to prior year information to conform to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November 1, 2022 and no material subsequent events were identified.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54"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As of September 30, 2022, the effects of global macroeconomic and geopolitical uncertainty, including COVID-19 pandemic related factors, on the Company's business, results of operations and financial condition continue to evolve.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200" w:lineRule="exact"/>
        <w:rPr>
          <w:sz w:val="20"/>
          <w:szCs w:val="20"/>
          <w:color w:val="auto"/>
        </w:rPr>
      </w:pPr>
    </w:p>
    <w:p>
      <w:pPr>
        <w:spacing w:after="0" w:line="3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Contingencies and Litigation</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Company is currently involved in various claims and legal proceedings. At least quarterly, it reviews the status of each significant matter and assesses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the Company accrues a liability for the estimated loss. The estimated losses are recorded within Litigation settlements (recoveries), net in the 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 These revisions in the estimates of the potential liabilities could have a material impact on the results of operations and financial position. The Company's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w:t>
      </w:r>
    </w:p>
    <w:p>
      <w:pPr>
        <w:spacing w:after="0" w:line="15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Refer to Note 13 – Contingencies and Litigation to the Condensed Consolidated Financial Statements for additional information regarding loss contingencies.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Goodwill</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acquired businesses, the Company records the acquired assets and assumed liabilities based on their relative fair values at the date of acquisitions (commonly referred to as the purchase price allocation). Goodwill represents the excess of the purchase price paid in excess of the fair value of net tangible and intangible assets acquired. For the Company’s business acquisitions, the purchase price is allocated to identifiable intangible assets separate from goodwill if they are from contractual or other legal rights, or if they could be separated from the acquired business and sold, transferred, licensed, rented or exchanged.</w:t>
      </w:r>
    </w:p>
    <w:p>
      <w:pPr>
        <w:spacing w:after="0" w:line="15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 tests goodwill for impairment annually or more frequently if an event or change in circumstances indicate the asset may be impaired. Impairment testing for goodwill is done at the reporting unit level.</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January 1, 2022, the Company underwent an internal reorganization in its Commercial reportable segment resulting in the previous four Commercial operating segments being combined into one single operating segment and reporting unit, led by a single segment manager.</w:t>
      </w:r>
    </w:p>
    <w:p>
      <w:pPr>
        <w:spacing w:after="0" w:line="14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Company considered the reorganization in the first quarter of 2022 a triggering event and performed an interim qualitative goodwill impairment assessment of the reporting units before and after the reorganization and concluded no impairment existed at the time of the change.</w:t>
      </w:r>
    </w:p>
    <w:p>
      <w:pPr>
        <w:spacing w:after="0" w:line="14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Additionally, as part of the reorganization in the first quarter of 2022, certain clients were reassigned from the Government Services reportable segment to the Commercial reportable segment (refer to Note 4 – Segment Reporting to the Condensed Consolidated Financial Statements for additional information). This change resulted in less than 1% of goodwill being reallocated between the reporting units within the two reportable segments.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8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Company's significant accounting policies are described in Note 1–Basis of Presentation and Summary of Significant Accounting Policies in the Company's Annual Report on Form 10-K for the year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adopted any new accounting standards in 2022 that had a material impact on its Consolidated Financial Statements.</w:t>
      </w:r>
    </w:p>
    <w:p>
      <w:pPr>
        <w:spacing w:after="0" w:line="200" w:lineRule="exact"/>
        <w:rPr>
          <w:sz w:val="20"/>
          <w:szCs w:val="20"/>
          <w:color w:val="auto"/>
        </w:rPr>
      </w:pPr>
    </w:p>
    <w:p>
      <w:pPr>
        <w:spacing w:after="0" w:line="36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Company has considered all recent accounting standards issued, but not yet effective, and does not expect any to have a material impact on its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first quarter of 2022, certain clients were reclassified from the Government Services segment to the Commercial segment. Additionally, revenue for the Midas business divested in the first quarter of 2022 has been reclassified from the Commercial segment to the Divestitures segment. These changes have no impact on the timing of revenue recognition. All prior periods presented have been revised to reflect these changes.</w:t>
      </w:r>
    </w:p>
    <w:p>
      <w:pPr>
        <w:spacing w:after="0" w:line="1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94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healthcare solutions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resource and learning services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Government Services: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 Services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Roadway charging &amp; management services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Curbside management solutions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Public safety solutions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61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Divestitures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Total Consolidated Revenue</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2,872</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Timing of Revenue Recognition: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Point in time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1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Over time</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200" w:lineRule="exact"/>
        <w:rPr>
          <w:sz w:val="20"/>
          <w:szCs w:val="20"/>
          <w:color w:val="auto"/>
        </w:rPr>
      </w:pPr>
    </w:p>
    <w:p>
      <w:pPr>
        <w:spacing w:after="0" w:line="35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color w:val="auto"/>
              </w:rPr>
              <w:t>September 30, 2022</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4"/>
                <w:szCs w:val="14"/>
                <w:color w:val="auto"/>
              </w:rPr>
              <w:t>Long-term contract assets</w:t>
            </w:r>
            <w:r>
              <w:rPr>
                <w:rFonts w:ascii="Arial" w:cs="Arial" w:eastAsia="Arial" w:hAnsi="Arial"/>
                <w:sz w:val="18"/>
                <w:szCs w:val="18"/>
                <w:color w:val="auto"/>
                <w:vertAlign w:val="superscript"/>
              </w:rPr>
              <w:t>(1)</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4"/>
                <w:szCs w:val="14"/>
                <w:color w:val="auto"/>
              </w:rPr>
              <w:t>Long-term unearned income</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270"/>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1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Revenues of $14 million and $67 million were recognized during the three and nine months ended September 30, 2022, respectively, related to the Company's unearned income at December 31, 2021. Additionally, the Company recognized $7 million of revenue related to the unearned income of the divested Midas business for the nine months ended September 30, 2022. Such amount was included in Liabilities Held for Sale on the December 31, 2021 consolidated balance sheet.</w:t>
      </w:r>
    </w:p>
    <w:p>
      <w:pPr>
        <w:spacing w:after="0" w:line="150"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Revenues of $11 million and $99 million were recognized during the three and nine months ended September 30, 2021 related to the Company's unearned income at December 31, 2020.</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had no material asset impairment charges related to contract assets for the three and nine months ended September 30, 2022 or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9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September 30, 2022 was approximately $950 million. The Company expects to recognize approximately 73% of this revenue over the next two years and the remainder thereafter.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8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the Company's Chief Operating Decision Maker (CODM). The Company's segments involve the delivery of business process services and include service arrangements where it manages a customer's business activity or process.</w:t>
      </w:r>
    </w:p>
    <w:p>
      <w:pPr>
        <w:spacing w:after="0" w:line="14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the first quarter of 2022, the Company realigned certain clients between reportable segments to reflect how the Company currently manages its business. Certain clients were reclassified from the Government Services reportable segment to the Commercial reportable segment to align with a product view of the business. Additionally, in the first quarter of 2022, in order to provide greater visibility into the profitability of the Company's segments, certain real estate costs that were previously included in Unallocated Costs have been allocated to each of the reportable segments.</w:t>
      </w:r>
    </w:p>
    <w:p>
      <w:pPr>
        <w:spacing w:after="0" w:line="15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As described in Note 5 – Assets/Liabilities Held for Sale and Divestiture, the Company sold its Midas Suite of patient safety, quality and advanced analytics solutions to a third party in the first quarter of 2022. Accordingly, the results of this disposed business, which had previously been reported in the Commercial segment have been reclassified to the Divestitures segment. All prior periods presented have been recast to reflect these changes.</w:t>
      </w:r>
    </w:p>
    <w:p>
      <w:pPr>
        <w:spacing w:after="0" w:line="150"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The Company's financial performance is based on Segment Profit/(Loss) for its three reportable segments (Commercial, Government Services and Transportation), Divestitures and Unallocated Costs. The Company's CODM does not evaluate operating segments using discrete asset information.</w:t>
      </w:r>
    </w:p>
    <w:p>
      <w:pPr>
        <w:spacing w:after="0" w:line="200" w:lineRule="exact"/>
        <w:rPr>
          <w:sz w:val="20"/>
          <w:szCs w:val="20"/>
          <w:color w:val="auto"/>
        </w:rPr>
      </w:pPr>
    </w:p>
    <w:p>
      <w:pPr>
        <w:spacing w:after="0" w:line="34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and customized solutions to clients in a variety of industries.</w:t>
      </w:r>
      <w:r>
        <w:rPr>
          <w:rFonts w:ascii="Arial" w:cs="Arial" w:eastAsia="Arial" w:hAnsi="Arial"/>
          <w:sz w:val="18"/>
          <w:szCs w:val="18"/>
          <w:b w:val="1"/>
          <w:bCs w:val="1"/>
          <w:color w:val="0066CC"/>
        </w:rPr>
        <w:t xml:space="preserve"> </w:t>
      </w:r>
      <w:r>
        <w:rPr>
          <w:rFonts w:ascii="Arial" w:cs="Arial" w:eastAsia="Arial" w:hAnsi="Arial"/>
          <w:sz w:val="18"/>
          <w:szCs w:val="18"/>
          <w:color w:val="000000"/>
        </w:rPr>
        <w:t>Across the Commercial segment, the Company operates on its clients’ behalf to deliver mission-critical solutions and services to reduce costs, improve efficiencies and enable revenue growth for the Company's clients and their consumers and employees.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color w:val="0066CC"/>
        </w:rPr>
        <w:t xml:space="preserve">Government Services: </w:t>
      </w:r>
      <w:r>
        <w:rPr>
          <w:rFonts w:ascii="Arial" w:cs="Arial" w:eastAsia="Arial" w:hAnsi="Arial"/>
          <w:sz w:val="18"/>
          <w:szCs w:val="18"/>
          <w:color w:val="000000"/>
        </w:rPr>
        <w:t>The Government Services segment provides government-centric business process services to U.S. federal, state</w:t>
      </w:r>
      <w:r>
        <w:rPr>
          <w:rFonts w:ascii="Arial" w:cs="Arial" w:eastAsia="Arial" w:hAnsi="Arial"/>
          <w:sz w:val="18"/>
          <w:szCs w:val="18"/>
          <w:b w:val="1"/>
          <w:bCs w:val="1"/>
          <w:color w:val="0066CC"/>
        </w:rPr>
        <w:t xml:space="preserve"> </w:t>
      </w:r>
      <w:r>
        <w:rPr>
          <w:rFonts w:ascii="Arial" w:cs="Arial" w:eastAsia="Arial" w:hAnsi="Arial"/>
          <w:sz w:val="18"/>
          <w:szCs w:val="18"/>
          <w:color w:val="000000"/>
        </w:rPr>
        <w:t>and local and foreign governments for public assistance, health services, program administration, transaction processing and payment services. The solutions in this segment help governments respond to changing rules for eligibility and increasing citizen expectations.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and support, as well as revenue-generating services, to government clients.</w:t>
      </w:r>
      <w:r>
        <w:rPr>
          <w:rFonts w:ascii="Arial" w:cs="Arial" w:eastAsia="Arial" w:hAnsi="Arial"/>
          <w:sz w:val="18"/>
          <w:szCs w:val="18"/>
          <w:b w:val="1"/>
          <w:bCs w:val="1"/>
          <w:color w:val="0066CC"/>
        </w:rPr>
        <w:t xml:space="preserve"> </w:t>
      </w:r>
      <w:r>
        <w:rPr>
          <w:rFonts w:ascii="Arial" w:cs="Arial" w:eastAsia="Arial" w:hAnsi="Arial"/>
          <w:sz w:val="18"/>
          <w:szCs w:val="18"/>
          <w:color w:val="000000"/>
        </w:rPr>
        <w:t>On behalf of government agencies and authorities in the transportation industry, the Company delivers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Divestitures includes the Company's Midas Suite of patient safety, quality and advanced analytics solutions which it sold to a third party in the first quarter of 2022. Refer to Note 5 – Assets/Liabilities Held for Sale and Divestiture for additional information.</w:t>
      </w:r>
    </w:p>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color w:val="auto"/>
              </w:rPr>
              <w:t>Government</w:t>
            </w:r>
          </w:p>
        </w:tc>
        <w:tc>
          <w:tcPr>
            <w:tcW w:w="12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color w:val="auto"/>
              </w:rPr>
              <w:t>Transportation</w:t>
            </w:r>
          </w:p>
        </w:tc>
        <w:tc>
          <w:tcPr>
            <w:tcW w:w="14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color w:val="auto"/>
              </w:rPr>
              <w:t>Divestitures</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color w:val="auto"/>
              </w:rPr>
              <w:t>Unallocated Costs</w:t>
            </w:r>
          </w:p>
        </w:tc>
        <w:tc>
          <w:tcPr>
            <w:tcW w:w="260" w:type="dxa"/>
            <w:vAlign w:val="bottom"/>
          </w:tcPr>
          <w:p>
            <w:pPr>
              <w:spacing w:after="0"/>
              <w:rPr>
                <w:sz w:val="13"/>
                <w:szCs w:val="13"/>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80" w:type="dxa"/>
            <w:vAlign w:val="bottom"/>
            <w:gridSpan w:val="2"/>
          </w:tcPr>
          <w:p>
            <w:pPr>
              <w:spacing w:after="0" w:line="144" w:lineRule="exact"/>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4"/>
                <w:szCs w:val="14"/>
                <w:color w:val="auto"/>
              </w:rPr>
              <w:t>Services</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7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4"/>
                <w:szCs w:val="14"/>
                <w:color w:val="auto"/>
              </w:rPr>
              <w:t>Nine Months Ended</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rPr>
              <w:t>Government</w:t>
            </w:r>
          </w:p>
        </w:tc>
        <w:tc>
          <w:tcPr>
            <w:tcW w:w="12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color w:val="auto"/>
              </w:rPr>
              <w:t>Transportation</w:t>
            </w:r>
          </w:p>
        </w:tc>
        <w:tc>
          <w:tcPr>
            <w:tcW w:w="14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color w:val="auto"/>
              </w:rPr>
              <w:t>Divestitures</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color w:val="auto"/>
              </w:rPr>
              <w:t>Unallocated Costs</w:t>
            </w:r>
          </w:p>
        </w:tc>
        <w:tc>
          <w:tcPr>
            <w:tcW w:w="260" w:type="dxa"/>
            <w:vAlign w:val="bottom"/>
          </w:tcPr>
          <w:p>
            <w:pPr>
              <w:spacing w:after="0"/>
              <w:rPr>
                <w:sz w:val="13"/>
                <w:szCs w:val="13"/>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2,872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3"/>
                <w:szCs w:val="23"/>
                <w:color w:val="auto"/>
              </w:rPr>
            </w:pP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7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40" w:type="dxa"/>
            <w:vAlign w:val="bottom"/>
            <w:gridSpan w:val="4"/>
          </w:tcPr>
          <w:p>
            <w:pPr>
              <w:jc w:val="right"/>
              <w:ind w:right="188"/>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54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gridSpan w:val="4"/>
          </w:tcPr>
          <w:p>
            <w:pPr>
              <w:spacing w:after="0" w:line="144" w:lineRule="exact"/>
              <w:rPr>
                <w:sz w:val="20"/>
                <w:szCs w:val="20"/>
                <w:color w:val="auto"/>
              </w:rPr>
            </w:pPr>
            <w:r>
              <w:rPr>
                <w:rFonts w:ascii="Arial" w:cs="Arial" w:eastAsia="Arial" w:hAnsi="Arial"/>
                <w:sz w:val="13"/>
                <w:szCs w:val="13"/>
                <w:color w:val="auto"/>
              </w:rPr>
              <w:t>(in millions)</w:t>
            </w:r>
          </w:p>
        </w:tc>
        <w:tc>
          <w:tcPr>
            <w:tcW w:w="760" w:type="dxa"/>
            <w:vAlign w:val="bottom"/>
          </w:tcPr>
          <w:p>
            <w:pPr>
              <w:spacing w:after="0"/>
              <w:rPr>
                <w:sz w:val="12"/>
                <w:szCs w:val="12"/>
                <w:color w:val="auto"/>
              </w:rPr>
            </w:pPr>
          </w:p>
        </w:tc>
        <w:tc>
          <w:tcPr>
            <w:tcW w:w="1380" w:type="dxa"/>
            <w:vAlign w:val="bottom"/>
            <w:gridSpan w:val="3"/>
          </w:tcPr>
          <w:p>
            <w:pPr>
              <w:jc w:val="right"/>
              <w:ind w:right="368"/>
              <w:spacing w:after="0" w:line="144" w:lineRule="exact"/>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3"/>
          </w:tcPr>
          <w:p>
            <w:pPr>
              <w:jc w:val="right"/>
              <w:spacing w:after="0" w:line="144" w:lineRule="exact"/>
              <w:rPr>
                <w:sz w:val="20"/>
                <w:szCs w:val="20"/>
                <w:color w:val="auto"/>
              </w:rPr>
            </w:pPr>
            <w:r>
              <w:rPr>
                <w:rFonts w:ascii="Arial" w:cs="Arial" w:eastAsia="Arial" w:hAnsi="Arial"/>
                <w:sz w:val="14"/>
                <w:szCs w:val="14"/>
                <w:color w:val="auto"/>
              </w:rPr>
              <w:t>September 30,</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4"/>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2022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 net</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Loss on extinguishment of debt</w:t>
            </w:r>
          </w:p>
        </w:tc>
        <w:tc>
          <w:tcPr>
            <w:tcW w:w="7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Segment Pre-tax Income (Loss)</w:t>
            </w: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Assets/Liabilities Held for Sale and Divestiture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Assets/Liabilities Held for Sale</w:t>
      </w:r>
    </w:p>
    <w:p>
      <w:pPr>
        <w:spacing w:after="0" w:line="19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As of December 31, 2021, the sale of the Midas Suite of patient safety, quality and advanced analytics solutions to Symplr Software, Inc. had not yet closed. Accordingly, the assets and liabilities of this portfolio, collectively referred to as the Disposal Group, were reclassified as held for sale and measured at the lower of carrying value or fair value less costs to sell. As described below, the sale closed in the first quarter of 2022 and the assets and liabilities held for sale have been removed from the Company's Condensed Consolidated Balance Sheet.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 February 8, 2022, the Company completed the sale of its Midas Suite of patient safety, quality and advanced analytics solutions to Symplr Software, Inc. The Company received $321 million of cash consideration for this divestiture, subject to customary working capital adjustments. The working capital adjustments were settled during the second quarter of 2022 and were not material. The divestiture generated a pre-tax gain of $166 million, which is included in (Gain) loss on divestitures and transaction costs. The Company recorded approximately $62 million of income taxes in connection with the divestiture. The revenue generated by this business was $ 7 million for the nine months ended September 30, 2022 and $19 million and $54 million, respectively, for the three and nine months ended September 30, 2021. There was no revenue generated by this business for the three months ended September 30, 2022.</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Goodwill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gridSpan w:val="2"/>
          </w:tcPr>
          <w:p>
            <w:pPr>
              <w:ind w:left="40"/>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Government Services</w:t>
            </w: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c>
          <w:tcPr>
            <w:tcW w:w="38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w:t>
            </w:r>
          </w:p>
        </w:tc>
      </w:tr>
      <w:tr>
        <w:trPr>
          <w:trHeight w:val="196"/>
        </w:trPr>
        <w:tc>
          <w:tcPr>
            <w:tcW w:w="20" w:type="dxa"/>
            <w:vAlign w:val="bottom"/>
            <w:tcBorders>
              <w:bottom w:val="single" w:sz="8" w:color="CCEEFF"/>
            </w:tcBorders>
          </w:tcPr>
          <w:p>
            <w:pPr>
              <w:spacing w:after="0"/>
              <w:rPr>
                <w:sz w:val="17"/>
                <w:szCs w:val="17"/>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Foreign currency translation</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2022</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goodwill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4,173</w:t>
            </w:r>
          </w:p>
        </w:tc>
      </w:tr>
      <w:tr>
        <w:trPr>
          <w:trHeight w:val="197"/>
        </w:trPr>
        <w:tc>
          <w:tcPr>
            <w:tcW w:w="20" w:type="dxa"/>
            <w:vAlign w:val="bottom"/>
            <w:tcBorders>
              <w:bottom w:val="single" w:sz="8" w:color="CCEEFF"/>
            </w:tcBorders>
          </w:tcPr>
          <w:p>
            <w:pPr>
              <w:spacing w:after="0"/>
              <w:rPr>
                <w:sz w:val="17"/>
                <w:szCs w:val="17"/>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impairment</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(2,887)</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2022</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third quarter of 2022, the Company performed its ongoing assessment to consider whether events or circumstances had occurred that could more likely than not reduce the fair value of a reporting unit below its carrying value. After evaluating and weighing all relevant events and circumstances, the Company concluded that it is not more likely than not that the fair values of any of its reporting units were less than their carrying values. Consequently, the Company determined that it was not necessary to perform an interim impairment test for any of its reporting units.</w:t>
      </w:r>
    </w:p>
    <w:p>
      <w:pPr>
        <w:spacing w:after="0" w:line="200" w:lineRule="exact"/>
        <w:rPr>
          <w:sz w:val="20"/>
          <w:szCs w:val="20"/>
          <w:color w:val="auto"/>
        </w:rPr>
      </w:pPr>
    </w:p>
    <w:p>
      <w:pPr>
        <w:spacing w:after="0" w:line="36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the extent that: (i) the COVID-19 pandemic or a potential recession disrupts the economic environment, such as a decline in the performance of the reporting units or loss of a significant contract or multiple significant contracts, or (ii) interest rates continue to rise in response to persistent inflation, the fair value of one or more of the reporting units could fall below their carrying value, resulting in a goodwill impairment charge.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Restructuring Programs and Related Costs</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Also included in Restructuring and related costs are incremental, non-recurring costs related to the consolidation of the Company's data centers, which totaled $ 2 million and $4 million for the three months ended September 30, 2022 and 2021, respectively, and $9 million and $19 million for the nine months ended September 30, 2022 and 2021,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our real estate footprint include impairment of operating lease right-of-use (ROU) assets and associated leasehold improvements.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nine months ended September 30, 2022 and 2021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380" w:type="dxa"/>
            <w:vAlign w:val="bottom"/>
            <w:gridSpan w:val="3"/>
          </w:tcPr>
          <w:p>
            <w:pPr>
              <w:ind w:left="280"/>
              <w:spacing w:after="0" w:line="110" w:lineRule="exact"/>
              <w:rPr>
                <w:sz w:val="20"/>
                <w:szCs w:val="20"/>
                <w:color w:val="auto"/>
              </w:rPr>
            </w:pPr>
            <w:r>
              <w:rPr>
                <w:rFonts w:ascii="Arial" w:cs="Arial" w:eastAsia="Arial" w:hAnsi="Arial"/>
                <w:sz w:val="12"/>
                <w:szCs w:val="12"/>
                <w:color w:val="auto"/>
              </w:rPr>
              <w:t>Costs</w:t>
            </w:r>
          </w:p>
        </w:tc>
        <w:tc>
          <w:tcPr>
            <w:tcW w:w="120" w:type="dxa"/>
            <w:vAlign w:val="bottom"/>
          </w:tcPr>
          <w:p>
            <w:pPr>
              <w:spacing w:after="0"/>
              <w:rPr>
                <w:sz w:val="11"/>
                <w:szCs w:val="11"/>
                <w:color w:val="auto"/>
              </w:rPr>
            </w:pPr>
          </w:p>
        </w:tc>
        <w:tc>
          <w:tcPr>
            <w:tcW w:w="1640" w:type="dxa"/>
            <w:vAlign w:val="bottom"/>
            <w:gridSpan w:val="2"/>
          </w:tcPr>
          <w:p>
            <w:pPr>
              <w:jc w:val="center"/>
              <w:ind w:right="20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September 30, 2022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3"/>
                <w:szCs w:val="23"/>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3"/>
                <w:szCs w:val="23"/>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23"/>
                <w:szCs w:val="23"/>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gridSpan w:val="3"/>
          </w:tcPr>
          <w:p>
            <w:pPr>
              <w:spacing w:after="0" w:line="144"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ind w:left="260"/>
              <w:spacing w:after="0" w:line="144"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2"/>
          </w:tcPr>
          <w:p>
            <w:pPr>
              <w:jc w:val="center"/>
              <w:ind w:right="220"/>
              <w:spacing w:after="0" w:line="144" w:lineRule="exact"/>
              <w:rPr>
                <w:sz w:val="20"/>
                <w:szCs w:val="20"/>
                <w:color w:val="auto"/>
              </w:rPr>
            </w:pPr>
            <w:r>
              <w:rPr>
                <w:rFonts w:ascii="Arial" w:cs="Arial" w:eastAsia="Arial" w:hAnsi="Arial"/>
                <w:sz w:val="14"/>
                <w:szCs w:val="14"/>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2020</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3"/>
          </w:tcPr>
          <w:p>
            <w:pPr>
              <w:spacing w:after="0" w:line="202"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September 30, 2021</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the Company recorded professional support costs associated with the implementation of certain strategic transformation programs of $1 million for the three months ended September 30, 2021, and $2 million and $3 million for the nine months ended September 30, 2022 and 2021, respectively. The Company did not record any such costs for the three months ended September 30, 2022.</w:t>
      </w:r>
    </w:p>
    <w:p>
      <w:pPr>
        <w:spacing w:after="0" w:line="200" w:lineRule="exact"/>
        <w:rPr>
          <w:sz w:val="20"/>
          <w:szCs w:val="20"/>
          <w:color w:val="auto"/>
        </w:rPr>
      </w:pPr>
    </w:p>
    <w:p>
      <w:pPr>
        <w:spacing w:after="0" w:line="34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80" w:type="dxa"/>
            <w:vAlign w:val="bottom"/>
            <w:gridSpan w:val="4"/>
          </w:tcPr>
          <w:p>
            <w:pPr>
              <w:jc w:val="right"/>
              <w:ind w:right="28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tcPr>
          <w:p>
            <w:pPr>
              <w:jc w:val="right"/>
              <w:ind w:right="328"/>
              <w:spacing w:after="0"/>
              <w:rPr>
                <w:sz w:val="20"/>
                <w:szCs w:val="20"/>
                <w:color w:val="auto"/>
              </w:rPr>
            </w:pPr>
            <w:r>
              <w:rPr>
                <w:rFonts w:ascii="Arial" w:cs="Arial" w:eastAsia="Arial" w:hAnsi="Arial"/>
                <w:sz w:val="14"/>
                <w:szCs w:val="14"/>
                <w:color w:val="auto"/>
              </w:rPr>
              <w:t>Nine Months Ended</w:t>
            </w:r>
          </w:p>
        </w:tc>
        <w:tc>
          <w:tcPr>
            <w:tcW w:w="36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September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860" w:type="dxa"/>
            <w:vAlign w:val="bottom"/>
          </w:tcPr>
          <w:p>
            <w:pPr>
              <w:jc w:val="right"/>
              <w:spacing w:after="0"/>
              <w:rPr>
                <w:sz w:val="20"/>
                <w:szCs w:val="20"/>
                <w:color w:val="auto"/>
              </w:rPr>
            </w:pPr>
            <w:r>
              <w:rPr>
                <w:rFonts w:ascii="Arial" w:cs="Arial" w:eastAsia="Arial" w:hAnsi="Arial"/>
                <w:sz w:val="14"/>
                <w:szCs w:val="14"/>
                <w:color w:val="auto"/>
              </w:rPr>
              <w:t>2022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2021</w:t>
            </w:r>
          </w:p>
        </w:tc>
        <w:tc>
          <w:tcPr>
            <w:tcW w:w="36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Government Services</w:t>
            </w: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Divestitures</w:t>
            </w: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Total Net Restructuring Charges</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5" w:lineRule="exact"/>
        <w:rPr>
          <w:sz w:val="20"/>
          <w:szCs w:val="20"/>
          <w:color w:val="auto"/>
        </w:rPr>
      </w:pPr>
    </w:p>
    <w:p>
      <w:pPr>
        <w:ind w:left="340" w:right="360" w:hanging="332"/>
        <w:spacing w:after="0" w:line="299"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4"/>
                <w:szCs w:val="1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September 30, 2022</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r>
      <w:tr>
        <w:trPr>
          <w:trHeight w:val="196"/>
        </w:trPr>
        <w:tc>
          <w:tcPr>
            <w:tcW w:w="38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tcPr>
          <w:p>
            <w:pPr>
              <w:spacing w:after="0"/>
              <w:rPr>
                <w:sz w:val="20"/>
                <w:szCs w:val="20"/>
                <w:color w:val="auto"/>
              </w:rPr>
            </w:pPr>
            <w:r>
              <w:rPr>
                <w:rFonts w:ascii="Arial" w:cs="Arial" w:eastAsia="Arial" w:hAnsi="Arial"/>
                <w:sz w:val="14"/>
                <w:szCs w:val="14"/>
                <w:color w:val="auto"/>
              </w:rPr>
              <w:t>Term loan B due 2028</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515</w:t>
            </w:r>
          </w:p>
        </w:tc>
      </w:tr>
      <w:tr>
        <w:trPr>
          <w:trHeight w:val="209"/>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r>
      <w:tr>
        <w:trPr>
          <w:trHeight w:val="196"/>
        </w:trPr>
        <w:tc>
          <w:tcPr>
            <w:tcW w:w="38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tcPr>
          <w:p>
            <w:pPr>
              <w:spacing w:after="0"/>
              <w:rPr>
                <w:sz w:val="20"/>
                <w:szCs w:val="20"/>
                <w:color w:val="auto"/>
              </w:rPr>
            </w:pPr>
            <w:r>
              <w:rPr>
                <w:rFonts w:ascii="Arial" w:cs="Arial" w:eastAsia="Arial" w:hAnsi="Arial"/>
                <w:sz w:val="14"/>
                <w:szCs w:val="14"/>
                <w:color w:val="auto"/>
              </w:rPr>
              <w:t>Revolving credit facility maturing 2026</w:t>
            </w:r>
          </w:p>
        </w:tc>
        <w:tc>
          <w:tcPr>
            <w:tcW w:w="18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100</w:t>
            </w:r>
          </w:p>
        </w:tc>
      </w:tr>
      <w:tr>
        <w:trPr>
          <w:trHeight w:val="209"/>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r>
      <w:tr>
        <w:trPr>
          <w:trHeight w:val="196"/>
        </w:trPr>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6"/>
              </w:rPr>
              <w:t>Other</w:t>
            </w:r>
          </w:p>
        </w:tc>
        <w:tc>
          <w:tcPr>
            <w:tcW w:w="28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r>
      <w:tr>
        <w:trPr>
          <w:trHeight w:val="202"/>
        </w:trPr>
        <w:tc>
          <w:tcPr>
            <w:tcW w:w="20" w:type="dxa"/>
            <w:vAlign w:val="bottom"/>
            <w:shd w:val="clear" w:color="auto" w:fill="CCEEFF"/>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1,440</w:t>
            </w:r>
          </w:p>
        </w:tc>
      </w:tr>
      <w:tr>
        <w:trPr>
          <w:trHeight w:val="197"/>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Debt issuance costs and unamortized discounts</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2"/>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4"/>
                <w:szCs w:val="14"/>
                <w:b w:val="1"/>
                <w:bCs w:val="1"/>
                <w:color w:val="auto"/>
              </w:rPr>
              <w:t>Total Long-term Debt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During the first quarter of 2022, the Company repaid $100 million that was outstanding as of December 31, 2021 under its 2021 Revolving Credit Facility maturing in 2026 (Revolver). As of September 30, 2022, the Company had no outstanding borrowings under its Revolver. However, the Company utilized $2 million of the Revolver to issue letters of credit as of September 30, 2022. The net Revolver available to be drawn upon as of September 30, 2022 was $548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2022, the Company was in compliance with all debt covenants related to the borrowings in the table above.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Financial Instruments</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September 30, 2022 and December 31, 2021, the Company had outstanding forward exchange contracts with gross notional values of $105 million and $150 million, respectively. At September 30, 2022, approximately 66% of these contracts mature within three months, 13% in three to six months, 16% in six to twelve months and 5% in greater than twelve months. Most of these foreign currency derivative contracts are designated as cash flow hedges and did not have a material impact on the Company's balance sheet, income statement or cash flows for the periods presented.</w:t>
      </w:r>
    </w:p>
    <w:p>
      <w:pPr>
        <w:spacing w:after="0" w:line="15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Refer to Note 10 – Fair Value of Financial Assets and Liabilities for additional information regarding the fair value of the Company's foreign exchange forward contracts.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Fair Value of Financial Assets and Liabilities</w:t>
      </w:r>
    </w:p>
    <w:p>
      <w:pPr>
        <w:spacing w:after="0" w:line="18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4"/>
                <w:szCs w:val="14"/>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color w:val="auto"/>
              </w:rPr>
              <w:t>September 30, 2022</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 - forward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color w:val="auto"/>
              </w:rPr>
              <w:t>September 30, 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December 31, 2021</w:t>
            </w: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208"/>
              <w:spacing w:after="0" w:line="153"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3"/>
                <w:szCs w:val="13"/>
                <w:color w:val="auto"/>
              </w:rPr>
            </w:pPr>
          </w:p>
        </w:tc>
        <w:tc>
          <w:tcPr>
            <w:tcW w:w="1140" w:type="dxa"/>
            <w:vAlign w:val="bottom"/>
            <w:gridSpan w:val="2"/>
          </w:tcPr>
          <w:p>
            <w:pPr>
              <w:jc w:val="center"/>
              <w:ind w:right="380"/>
              <w:spacing w:after="0" w:line="153"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3"/>
                <w:szCs w:val="13"/>
                <w:color w:val="auto"/>
              </w:rPr>
            </w:pPr>
          </w:p>
        </w:tc>
        <w:tc>
          <w:tcPr>
            <w:tcW w:w="1120" w:type="dxa"/>
            <w:vAlign w:val="bottom"/>
          </w:tcPr>
          <w:p>
            <w:pPr>
              <w:jc w:val="center"/>
              <w:ind w:right="208"/>
              <w:spacing w:after="0" w:line="153"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3"/>
                <w:szCs w:val="13"/>
                <w:color w:val="auto"/>
              </w:rPr>
            </w:pPr>
          </w:p>
        </w:tc>
        <w:tc>
          <w:tcPr>
            <w:tcW w:w="1040" w:type="dxa"/>
            <w:vAlign w:val="bottom"/>
          </w:tcPr>
          <w:p>
            <w:pPr>
              <w:jc w:val="center"/>
              <w:ind w:right="228"/>
              <w:spacing w:after="0" w:line="153" w:lineRule="exact"/>
              <w:rPr>
                <w:sz w:val="20"/>
                <w:szCs w:val="20"/>
                <w:color w:val="auto"/>
              </w:rPr>
            </w:pPr>
            <w:r>
              <w:rPr>
                <w:rFonts w:ascii="Arial" w:cs="Arial" w:eastAsia="Arial" w:hAnsi="Arial"/>
                <w:sz w:val="14"/>
                <w:szCs w:val="14"/>
                <w:color w:val="auto"/>
              </w:rPr>
              <w:t>Fair</w:t>
            </w:r>
          </w:p>
        </w:tc>
      </w:tr>
      <w:tr>
        <w:trPr>
          <w:trHeight w:val="144"/>
        </w:trPr>
        <w:tc>
          <w:tcPr>
            <w:tcW w:w="20" w:type="dxa"/>
            <w:vAlign w:val="bottom"/>
          </w:tcPr>
          <w:p>
            <w:pPr>
              <w:spacing w:after="0"/>
              <w:rPr>
                <w:sz w:val="12"/>
                <w:szCs w:val="12"/>
                <w:color w:val="auto"/>
              </w:rPr>
            </w:pPr>
          </w:p>
        </w:tc>
        <w:tc>
          <w:tcPr>
            <w:tcW w:w="5600" w:type="dxa"/>
            <w:vAlign w:val="bottom"/>
            <w:gridSpan w:val="2"/>
          </w:tcPr>
          <w:p>
            <w:pPr>
              <w:spacing w:after="0" w:line="144" w:lineRule="exact"/>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1100" w:type="dxa"/>
            <w:vAlign w:val="bottom"/>
          </w:tcPr>
          <w:p>
            <w:pPr>
              <w:jc w:val="center"/>
              <w:ind w:right="208"/>
              <w:spacing w:after="0" w:line="144"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2"/>
                <w:szCs w:val="12"/>
                <w:color w:val="auto"/>
              </w:rPr>
            </w:pPr>
          </w:p>
        </w:tc>
        <w:tc>
          <w:tcPr>
            <w:tcW w:w="1140" w:type="dxa"/>
            <w:vAlign w:val="bottom"/>
            <w:gridSpan w:val="2"/>
          </w:tcPr>
          <w:p>
            <w:pPr>
              <w:jc w:val="center"/>
              <w:ind w:right="380"/>
              <w:spacing w:after="0" w:line="144" w:lineRule="exact"/>
              <w:rPr>
                <w:sz w:val="20"/>
                <w:szCs w:val="20"/>
                <w:color w:val="auto"/>
              </w:rPr>
            </w:pPr>
            <w:r>
              <w:rPr>
                <w:rFonts w:ascii="Arial" w:cs="Arial" w:eastAsia="Arial" w:hAnsi="Arial"/>
                <w:sz w:val="14"/>
                <w:szCs w:val="14"/>
                <w:color w:val="auto"/>
              </w:rPr>
              <w:t>Value</w:t>
            </w:r>
          </w:p>
        </w:tc>
        <w:tc>
          <w:tcPr>
            <w:tcW w:w="240" w:type="dxa"/>
            <w:vAlign w:val="bottom"/>
          </w:tcPr>
          <w:p>
            <w:pPr>
              <w:spacing w:after="0"/>
              <w:rPr>
                <w:sz w:val="12"/>
                <w:szCs w:val="12"/>
                <w:color w:val="auto"/>
              </w:rPr>
            </w:pPr>
          </w:p>
        </w:tc>
        <w:tc>
          <w:tcPr>
            <w:tcW w:w="1120" w:type="dxa"/>
            <w:vAlign w:val="bottom"/>
          </w:tcPr>
          <w:p>
            <w:pPr>
              <w:jc w:val="center"/>
              <w:ind w:right="208"/>
              <w:spacing w:after="0" w:line="144"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1040" w:type="dxa"/>
            <w:vAlign w:val="bottom"/>
          </w:tcPr>
          <w:p>
            <w:pPr>
              <w:jc w:val="center"/>
              <w:ind w:right="208"/>
              <w:spacing w:after="0" w:line="144" w:lineRule="exact"/>
              <w:rPr>
                <w:sz w:val="20"/>
                <w:szCs w:val="20"/>
                <w:color w:val="auto"/>
              </w:rPr>
            </w:pPr>
            <w:r>
              <w:rPr>
                <w:rFonts w:ascii="Arial" w:cs="Arial" w:eastAsia="Arial" w:hAnsi="Arial"/>
                <w:sz w:val="14"/>
                <w:szCs w:val="14"/>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1,145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1,383</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1,374</w:t>
            </w:r>
          </w:p>
        </w:tc>
      </w:tr>
    </w:tbl>
    <w:p>
      <w:pPr>
        <w:spacing w:after="0" w:line="25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Employee Benefit Plans</w:t>
      </w:r>
    </w:p>
    <w:p>
      <w:pPr>
        <w:spacing w:after="0" w:line="18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Company has post-retirement savings and investment plans in several countries, including the U.S., U.K. and Canada.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50"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The Company recognized an expense related to its defined contribution plans of $4 million and $6 million for the three months ended September 30, 2022 and 2021, respectively and $12 million and $ 16 million for the nine months ended September 30, 2022 and 2021, respectively. The balance sheet and income statement impacts of any remaining defined benefit plans are immaterial for all periods presented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Accumulated Other Comprehensive Loss (AOCL)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00"/>
              <w:spacing w:after="0" w:line="157" w:lineRule="exact"/>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tcPr>
          <w:p>
            <w:pPr>
              <w:ind w:left="60"/>
              <w:spacing w:after="0" w:line="135" w:lineRule="exact"/>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40"/>
              <w:spacing w:after="0" w:line="135" w:lineRule="exact"/>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500" w:type="dxa"/>
            <w:vAlign w:val="bottom"/>
            <w:gridSpan w:val="3"/>
          </w:tcPr>
          <w:p>
            <w:pPr>
              <w:spacing w:after="0" w:line="124" w:lineRule="exact"/>
              <w:rPr>
                <w:sz w:val="20"/>
                <w:szCs w:val="20"/>
                <w:color w:val="auto"/>
              </w:rPr>
            </w:pPr>
            <w:r>
              <w:rPr>
                <w:rFonts w:ascii="Arial" w:cs="Arial" w:eastAsia="Arial" w:hAnsi="Arial"/>
                <w:sz w:val="13"/>
                <w:szCs w:val="13"/>
                <w:color w:val="auto"/>
              </w:rPr>
              <w:t>(in millions)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24"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1420" w:type="dxa"/>
            <w:vAlign w:val="bottom"/>
            <w:gridSpan w:val="3"/>
          </w:tcPr>
          <w:p>
            <w:pPr>
              <w:ind w:left="40"/>
              <w:spacing w:after="0" w:line="124" w:lineRule="exact"/>
              <w:rPr>
                <w:sz w:val="20"/>
                <w:szCs w:val="20"/>
                <w:color w:val="auto"/>
              </w:rPr>
            </w:pPr>
            <w:r>
              <w:rPr>
                <w:rFonts w:ascii="Arial" w:cs="Arial" w:eastAsia="Arial" w:hAnsi="Arial"/>
                <w:sz w:val="14"/>
                <w:szCs w:val="14"/>
                <w:color w:val="auto"/>
              </w:rPr>
              <w:t>Cash Flow Hedges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240"/>
              <w:spacing w:after="0" w:line="124" w:lineRule="exact"/>
              <w:rPr>
                <w:sz w:val="20"/>
                <w:szCs w:val="20"/>
                <w:color w:val="auto"/>
              </w:rPr>
            </w:pPr>
            <w:r>
              <w:rPr>
                <w:rFonts w:ascii="Arial" w:cs="Arial" w:eastAsia="Arial" w:hAnsi="Arial"/>
                <w:sz w:val="14"/>
                <w:szCs w:val="14"/>
                <w:color w:val="auto"/>
              </w:rPr>
              <w:t>Pension Items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ind w:left="200"/>
              <w:spacing w:after="0" w:line="12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Borders>
              <w:right w:val="single" w:sz="8" w:color="CCEEFF"/>
            </w:tcBorders>
          </w:tcPr>
          <w:p>
            <w:pPr>
              <w:spacing w:after="0"/>
              <w:rPr>
                <w:sz w:val="17"/>
                <w:szCs w:val="17"/>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tcBorders>
              <w:bottom w:val="single" w:sz="8" w:color="CCEEFF"/>
            </w:tcBorders>
            <w:gridSpan w:val="3"/>
          </w:tcPr>
          <w:p>
            <w:pPr>
              <w:ind w:left="20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2022</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2"/>
                <w:szCs w:val="12"/>
                <w:color w:val="auto"/>
              </w:rPr>
            </w:pPr>
          </w:p>
        </w:tc>
        <w:tc>
          <w:tcPr>
            <w:tcW w:w="14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gridSpan w:val="4"/>
          </w:tcPr>
          <w:p>
            <w:pPr>
              <w:spacing w:after="0" w:line="144" w:lineRule="exact"/>
              <w:rPr>
                <w:sz w:val="20"/>
                <w:szCs w:val="20"/>
                <w:color w:val="auto"/>
              </w:rPr>
            </w:pPr>
            <w:r>
              <w:rPr>
                <w:rFonts w:ascii="Arial" w:cs="Arial" w:eastAsia="Arial" w:hAnsi="Arial"/>
                <w:sz w:val="13"/>
                <w:szCs w:val="13"/>
                <w:color w:val="auto"/>
              </w:rPr>
              <w:t>(in millions)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260"/>
              <w:spacing w:after="0" w:line="144"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1420" w:type="dxa"/>
            <w:vAlign w:val="bottom"/>
            <w:gridSpan w:val="3"/>
          </w:tcPr>
          <w:p>
            <w:pPr>
              <w:ind w:left="60"/>
              <w:spacing w:after="0" w:line="144" w:lineRule="exact"/>
              <w:rPr>
                <w:sz w:val="20"/>
                <w:szCs w:val="20"/>
                <w:color w:val="auto"/>
              </w:rPr>
            </w:pPr>
            <w:r>
              <w:rPr>
                <w:rFonts w:ascii="Arial" w:cs="Arial" w:eastAsia="Arial" w:hAnsi="Arial"/>
                <w:sz w:val="14"/>
                <w:szCs w:val="14"/>
                <w:color w:val="auto"/>
              </w:rPr>
              <w:t>Cash Flow Hedges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200"/>
              <w:spacing w:after="0" w:line="144" w:lineRule="exact"/>
              <w:rPr>
                <w:sz w:val="20"/>
                <w:szCs w:val="20"/>
                <w:color w:val="auto"/>
              </w:rPr>
            </w:pPr>
            <w:r>
              <w:rPr>
                <w:rFonts w:ascii="Arial" w:cs="Arial" w:eastAsia="Arial" w:hAnsi="Arial"/>
                <w:sz w:val="14"/>
                <w:szCs w:val="14"/>
                <w:color w:val="auto"/>
              </w:rPr>
              <w:t>Pension Items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13 – Contingencies and Litigation</w:t>
      </w:r>
    </w:p>
    <w:p>
      <w:pPr>
        <w:spacing w:after="0" w:line="18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September 30, 2022.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5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September 30, 2022, the Company had accrued its estimate of liability incurred under its indemnification arrangements and guarantees.</w:t>
      </w:r>
    </w:p>
    <w:p>
      <w:pPr>
        <w:spacing w:after="0" w:line="200" w:lineRule="exact"/>
        <w:rPr>
          <w:sz w:val="20"/>
          <w:szCs w:val="20"/>
          <w:color w:val="auto"/>
        </w:rPr>
      </w:pPr>
    </w:p>
    <w:p>
      <w:pPr>
        <w:spacing w:after="0" w:line="35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u w:val="single" w:color="auto"/>
          <w:color w:val="1269BC"/>
        </w:rPr>
        <w:t>Employees’ Retirement System of the Puerto Rico Electric Power Authority et al v. Conduent Inc.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March 8, 2019, a putative</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class action lawsuit alleging violations of certain federal securities laws in connection with our statements and alleged omissions regarding our financial guidance and business and operations was filed against us, our former Chief Executive Officer, and our former Chief Financial Officer in the United States District Court for the District of New Jersey. The complaint seeks certification of a class of all persons who purchased or otherwise acquired our securities from February 21, 2018 through November 6, 2018, and also seeks unspecified monetary damages, costs, and attorneys’ fees. We moved to dismiss the class action complaint in its entirety. In June 2020, the court denied the motion to dismiss and allowed the claims to proceed. The Court granted Class Certification on February 28, 2022. Upon the substantial completion of document discovery, the parties agreed to engage in mediation, and the Court administratively terminated the litigation to permit those efforts to proceed. Without any admission of liability or damages, in the third quarter of 2022, the parties settled this matter following that mediation, and are preparing the necessary documentation for approval by the court, class notice, and the claims administration process. The Company maintains insurance that will cover the costs arising out of this litigation and resulting settlement subject to meeting the deductible and other terms and conditions thereof. Until the court approves the documentation for the settlement, the Company is not able to determine or predict the ultimate outcome of this proceeding or reasonably provide an estimate or range of estimate of the possible outcome or loss, if any, in excess of currently recorded reserves.</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u w:val="single" w:color="auto"/>
          <w:color w:val="1269BC"/>
        </w:rPr>
        <w:t>Skyview Capital LLC and Continuum Global Solutions, LLC v. Conduent Business Services, LLC:</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February 3, 2020, plaintiffs filed</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a lawsuit in the Superior Court of New York County, New York. The lawsuit relates to the sale of a portion of Conduent Business Service, LLC's (CBS) select standalone customer care call center business to plaintiffs, which sale closed in February 2019. Under the terms of the sale agreement, CBS received approximately $23 million of notes from plaintiffs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LLC (Skyview) seeking the outstanding balance on the Notes, the amounts owed for the Jamaica deferred closing, and other transition services agreement and late rent payment obligations. Conduent also moved to dismiss Skyview’s claims in 2020. In May 2021, the court denied the motion and allowed the claims to proceed. Conduent denies all of the plaintiffs' allegations, believes that it has strong defenses to all of plaintiffs’ claims, and it intends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i w:val="1"/>
          <w:iCs w:val="1"/>
          <w:u w:val="single" w:color="auto"/>
          <w:color w:val="1269BC"/>
        </w:rPr>
        <w:t>Dennis Nasrawi v. Buck Consultants et al.:</w:t>
      </w:r>
      <w:r>
        <w:rPr>
          <w:rFonts w:ascii="Arial" w:cs="Arial" w:eastAsia="Arial" w:hAnsi="Arial"/>
          <w:sz w:val="17"/>
          <w:szCs w:val="17"/>
          <w:b w:val="1"/>
          <w:bCs w:val="1"/>
          <w:i w:val="1"/>
          <w:iCs w:val="1"/>
          <w:color w:val="1269BC"/>
        </w:rPr>
        <w:t xml:space="preserve"> </w:t>
      </w:r>
      <w:r>
        <w:rPr>
          <w:rFonts w:ascii="Arial" w:cs="Arial" w:eastAsia="Arial" w:hAnsi="Arial"/>
          <w:sz w:val="17"/>
          <w:szCs w:val="17"/>
          <w:color w:val="000000"/>
        </w:rPr>
        <w:t>On October 8, 2009, plaintiffs filed a lawsuit in the Superior Court of California, Stanislaus</w:t>
      </w:r>
      <w:r>
        <w:rPr>
          <w:rFonts w:ascii="Arial" w:cs="Arial" w:eastAsia="Arial" w:hAnsi="Arial"/>
          <w:sz w:val="17"/>
          <w:szCs w:val="17"/>
          <w:b w:val="1"/>
          <w:bCs w:val="1"/>
          <w:i w:val="1"/>
          <w:iCs w:val="1"/>
          <w:color w:val="1269BC"/>
        </w:rPr>
        <w:t xml:space="preserve"> </w:t>
      </w:r>
      <w:r>
        <w:rPr>
          <w:rFonts w:ascii="Arial" w:cs="Arial" w:eastAsia="Arial" w:hAnsi="Arial"/>
          <w:sz w:val="17"/>
          <w:szCs w:val="17"/>
          <w:color w:val="000000"/>
        </w:rPr>
        <w:t>County, and on November 24, 2009, the case was removed to the U.S. Court for the Eastern District of California, Fresno Division. Plaintiffs</w:t>
      </w:r>
    </w:p>
    <w:p>
      <w:pPr>
        <w:ind w:right="160"/>
        <w:spacing w:after="0" w:line="226" w:lineRule="auto"/>
        <w:rPr>
          <w:sz w:val="20"/>
          <w:szCs w:val="20"/>
          <w:color w:val="auto"/>
        </w:rPr>
      </w:pPr>
      <w:r>
        <w:rPr>
          <w:rFonts w:ascii="Arial" w:cs="Arial" w:eastAsia="Arial" w:hAnsi="Arial"/>
          <w:sz w:val="18"/>
          <w:szCs w:val="18"/>
          <w:color w:val="auto"/>
        </w:rPr>
        <w:t>alleged actuarial negligence against Buck Consultants, LLC (Buck), which was a wholly-owned subsidiary of Conduent, for the use of faulty actuarial assumptions in connection with the 2007 actuarial valuation for the Stanislaus County Employees Retirement Association</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(StanCERA). Plaintiffs alleged that the employer contribution rate adopted by StanCERA based on Buck’s valuation was insufficient to fund the benefits promised by the County. On July 13, 2012, the Court entered its ruling that the plaintiffs lacked standing to sue in a representative capacity on behalf of all plan participants. The Court also ruled that plaintiffs had adequately pleaded their claim that Buck allegedly aided and abetted StanCERA in breaching its fiduciary duty. Plaintiffs then filed their Fifth Amended Complaint and added StanCERA to the litigation. Buck and StanCERA filed demurrers to the amended complaint. On September 13, 2012, the Court sustained both demurrers with prejudice, completely dismissing the matter and barring plaintiffs from refiling their claims. Plaintiffs appealed, and ultimately the California Court of Appeals (Sixth District) reversed the trial court’s ruling and remanded the case back to the trial court as to Buck only, and only with respect to plaintiff's claim of aiding and abetting StanCERA in breaching its fiduciary duty. This case was stayed pending the outcome of parallel litigation the plaintiffs were pursuing against StanCERA. The parallel litigation was tried before the bench in June 2018, and on January 24, 2019, the Court found in favor of StanCERA, holding that it had not breached its fiduciary duty to plaintiffs. In</w:t>
      </w:r>
    </w:p>
    <w:p>
      <w:pPr>
        <w:spacing w:after="0" w:line="7"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August 2018, the Company sold Buck; however, the Company retained this liability after the sale. On April 26, 2019, plaintiffs in the parallel litigation filed an appeal. On December 8, 2021, the appellate court affirmed the trial court’s decision, and the judgment became final on</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January 7, 2022. On January 18, 2022, Plaintiffs in the parallel litigation filed a petition for review to the California Supreme Court. On March 16, 2022, the California Supreme Court denied Plaintiffs’ petition, thereby foreclosing further avenues for Plaintiffs. Plaintiffs filed their Notice of Dismissal, which the Court entered on March 22, 2022. As a result, during the first quarter of 2022, the Company reversed the reserve pertaining to this matter.</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u w:val="single" w:color="auto"/>
          <w:color w:val="1269BC"/>
        </w:rPr>
        <w:t>Conduent Business Services, LLC v. Cognizant Business Services Corporation:</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April 12, 2017, CBS filed a lawsuit against</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Cognizant Business Services Corporation (Cognizant)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$25 million termination fee. Cognizant's second amended counterclaim increased Cognizant's damages to $89 million. The matter has been proceeding through fact and expert discovery. CBS will continue to vigorously defend itself against the counterclaims but the Company is not able to determine or predict the ultimate outcome of this proceeding or reasonably provide an estimate or range of estimate of the possible outcome or loss, if any, in excess of currently recorded reserves.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 Matters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first quarter of 2022, the Company entered into settlement agreements with six of its insurers under its 2012–2013 errors and omission insurance policy in which the Company agreed to resolve its claims for insurance coverage in connection with the previously disclosed State of Texas matter that settled in February 2019, as included in the Company’s Annual Report on Form 10-K for the year ended December 31, 2020. As a result of the settlement agreements entered with the insurers, the Company received an aggregate sum of $38 million, of which $14 million was recognized as defense costs recovery in Selling, general and administrative and $24 million was recognized in Litigation settlements (recoveries), net.</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Since 2014, Xerox Education Services, Inc. (XES) has cooperated with several federal and state agencies regarding a variety of matters, including XES' self-disclosure to the U.S. Department of Education (Department) and the Consumer Financial Protection Bureau (CFPB) that some third-party student loans under outsourcing arrangements for various financial institutions required adjustments. With the exception of one remaining state attorney general inquiry, the Company has resolved all investigations by the CFPB, several state agencies, the Department and the U.S. Department of Justice. The Company cannot provide assurance that the CFPB, another regulator, a financial institution on behalf of which XES serviced third-party student loans, or another party will not ultimately commence a legal action against XES in which fines, penalties or other liabilities are sought from XES.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Certain contracts, primarily in the Company's Government Services and Transportation segments, require the Company to provide a surety bond or a letter of credit as a guarantee of performance. As of September 30, 2022, the Company had $565 million of outstanding surety bonds issued to secure its performance of contractual obligations with its clients and $91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14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9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Earnings (Loss)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608"/>
              <w:spacing w:after="0"/>
              <w:rPr>
                <w:sz w:val="20"/>
                <w:szCs w:val="20"/>
                <w:color w:val="auto"/>
              </w:rPr>
            </w:pPr>
            <w:r>
              <w:rPr>
                <w:rFonts w:ascii="Arial" w:cs="Arial" w:eastAsia="Arial" w:hAnsi="Arial"/>
                <w:sz w:val="14"/>
                <w:szCs w:val="14"/>
                <w:color w:val="auto"/>
              </w:rPr>
              <w:t>Nine Months Ended</w:t>
            </w: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596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Pr>
          <w:p>
            <w:pPr>
              <w:spacing w:after="0"/>
              <w:rPr>
                <w:sz w:val="13"/>
                <w:szCs w:val="13"/>
                <w:color w:val="auto"/>
              </w:rPr>
            </w:pPr>
          </w:p>
        </w:tc>
        <w:tc>
          <w:tcPr>
            <w:tcW w:w="94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2"/>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6"/>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215,775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212,633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215,632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212,438</w:t>
            </w:r>
          </w:p>
        </w:tc>
      </w:tr>
      <w:tr>
        <w:trPr>
          <w:trHeight w:val="197"/>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7,239</w:t>
            </w:r>
          </w:p>
        </w:tc>
      </w:tr>
      <w:tr>
        <w:trPr>
          <w:trHeight w:val="197"/>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219,817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219,016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0.67</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209"/>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06" w:lineRule="exact"/>
        <w:rPr>
          <w:sz w:val="20"/>
          <w:szCs w:val="20"/>
          <w:color w:val="auto"/>
        </w:rPr>
      </w:pPr>
    </w:p>
    <w:p>
      <w:pPr>
        <w:ind w:left="20" w:right="340"/>
        <w:spacing w:after="0" w:line="239"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20" w:type="dxa"/>
            <w:vAlign w:val="bottom"/>
          </w:tcPr>
          <w:p>
            <w:pPr>
              <w:jc w:val="right"/>
              <w:spacing w:after="0"/>
              <w:rPr>
                <w:sz w:val="20"/>
                <w:szCs w:val="20"/>
                <w:color w:val="auto"/>
              </w:rPr>
            </w:pPr>
            <w:r>
              <w:rPr>
                <w:rFonts w:ascii="Arial" w:cs="Arial" w:eastAsia="Arial" w:hAnsi="Arial"/>
                <w:sz w:val="14"/>
                <w:szCs w:val="14"/>
                <w:color w:val="auto"/>
              </w:rPr>
              <w:t>5,717</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3,606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5,705</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2,229</w:t>
            </w:r>
          </w:p>
        </w:tc>
      </w:tr>
      <w:tr>
        <w:trPr>
          <w:trHeight w:val="20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r>
      <w:tr>
        <w:trPr>
          <w:trHeight w:val="202"/>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11,110</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8,999</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7,622</w:t>
            </w:r>
          </w:p>
        </w:tc>
      </w:tr>
      <w:tr>
        <w:trPr>
          <w:trHeight w:val="20"/>
        </w:trPr>
        <w:tc>
          <w:tcPr>
            <w:tcW w:w="5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Supplementary Financial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color w:val="auto"/>
              </w:rPr>
              <w:t>September 30, 2022</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portion of capitalized cloud computing implementation costs, net</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2"/>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2"/>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2"/>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Internal use software,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contract costs, net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6"/>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Product software, net</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Cloud computing implementation costs, net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27"/>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6"/>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Unearned income</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2"/>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17 – Related Party Transactions</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Condensed Consolidated Statements of Income (Loss).</w:t>
      </w:r>
    </w:p>
    <w:p>
      <w:pPr>
        <w:spacing w:after="0" w:line="200" w:lineRule="exact"/>
        <w:rPr>
          <w:sz w:val="20"/>
          <w:szCs w:val="20"/>
          <w:color w:val="auto"/>
        </w:rPr>
      </w:pPr>
    </w:p>
    <w:p>
      <w:pPr>
        <w:spacing w:after="0" w:line="34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related parties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Nine Months Ended</w:t>
            </w:r>
          </w:p>
        </w:tc>
        <w:tc>
          <w:tcPr>
            <w:tcW w:w="98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r>
      <w:tr>
        <w:trPr>
          <w:trHeight w:val="161"/>
        </w:trPr>
        <w:tc>
          <w:tcPr>
            <w:tcW w:w="20" w:type="dxa"/>
            <w:vAlign w:val="bottom"/>
          </w:tcPr>
          <w:p>
            <w:pPr>
              <w:spacing w:after="0"/>
              <w:rPr>
                <w:sz w:val="14"/>
                <w:szCs w:val="14"/>
                <w:color w:val="auto"/>
              </w:rPr>
            </w:pPr>
          </w:p>
        </w:tc>
        <w:tc>
          <w:tcPr>
            <w:tcW w:w="4580" w:type="dxa"/>
            <w:vAlign w:val="bottom"/>
            <w:gridSpan w:val="2"/>
          </w:tcPr>
          <w:p>
            <w:pPr>
              <w:ind w:left="40"/>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54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ind w:right="548"/>
              <w:spacing w:after="0"/>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from related parties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0"/>
        </w:trPr>
        <w:tc>
          <w:tcPr>
            <w:tcW w:w="2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4"/>
                <w:szCs w:val="14"/>
                <w:color w:val="auto"/>
              </w:rPr>
              <w:t>Purchases from related parties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r>
    </w:tbl>
    <w:p>
      <w:pPr>
        <w:spacing w:after="0" w:line="3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Company's receivable and payable balances with related party entities were not material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40"/>
        <w:spacing w:after="0" w:line="274"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1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six sections:</w:t>
      </w:r>
    </w:p>
    <w:p>
      <w:pPr>
        <w:spacing w:after="0" w:line="150"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auto"/>
        </w:rPr>
        <w:t>Overview;</w:t>
      </w:r>
    </w:p>
    <w:p>
      <w:pPr>
        <w:spacing w:after="0" w:line="12"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and Policies;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Changes.</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 leading provider of business process services with expertise in transaction-intensive processing, analytics and automation. We serve as a trusted business partner in both the front office and back office, enabling personalized, seamless interactions on a massive scale that improve end-user experience.</w:t>
      </w:r>
    </w:p>
    <w:p>
      <w:pPr>
        <w:spacing w:after="0" w:line="14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Headquartered in Florham Park, New Jersey, we have a team of approximately 62,000 associates as of September 30, 2022, servicing customers from service centers in 24 countries.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correspond to how we organize and manage the business and are aligned to the solutions we offer our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organize and manage our businesses through three reportable segments.</w:t>
      </w:r>
    </w:p>
    <w:p>
      <w:pPr>
        <w:spacing w:after="0" w:line="149" w:lineRule="exact"/>
        <w:rPr>
          <w:sz w:val="20"/>
          <w:szCs w:val="20"/>
          <w:color w:val="auto"/>
        </w:rPr>
      </w:pPr>
    </w:p>
    <w:p>
      <w:pPr>
        <w:ind w:left="340" w:right="10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services and customized solutions to clients in a variety of</w:t>
      </w:r>
      <w:r>
        <w:rPr>
          <w:rFonts w:ascii="Arial" w:cs="Arial" w:eastAsia="Arial" w:hAnsi="Arial"/>
          <w:sz w:val="18"/>
          <w:szCs w:val="18"/>
          <w:b w:val="1"/>
          <w:bCs w:val="1"/>
          <w:color w:val="3051F2"/>
        </w:rPr>
        <w:t xml:space="preserve"> </w:t>
      </w:r>
      <w:r>
        <w:rPr>
          <w:rFonts w:ascii="Arial" w:cs="Arial" w:eastAsia="Arial" w:hAnsi="Arial"/>
          <w:sz w:val="18"/>
          <w:szCs w:val="18"/>
          <w:color w:val="000000"/>
        </w:rPr>
        <w:t>industries. Across the Commercial segment, we operate on our clients’ behalf to deliver mission-critical solutions and services to reduce costs, improve efficiencies and enable revenue growth for our clients and their consumers and employees.</w:t>
      </w:r>
    </w:p>
    <w:p>
      <w:pPr>
        <w:spacing w:after="0" w:line="116" w:lineRule="exact"/>
        <w:rPr>
          <w:rFonts w:ascii="Arial" w:cs="Arial" w:eastAsia="Arial" w:hAnsi="Arial"/>
          <w:sz w:val="18"/>
          <w:szCs w:val="18"/>
          <w:color w:val="auto"/>
        </w:rPr>
      </w:pPr>
    </w:p>
    <w:p>
      <w:pPr>
        <w:ind w:left="340" w:right="30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Services </w:t>
      </w:r>
      <w:r>
        <w:rPr>
          <w:rFonts w:ascii="Arial" w:cs="Arial" w:eastAsia="Arial" w:hAnsi="Arial"/>
          <w:sz w:val="18"/>
          <w:szCs w:val="18"/>
          <w:color w:val="000000"/>
        </w:rPr>
        <w:t>– Our Government Services segment provides government-centric business process services to U.S. federal,</w:t>
      </w:r>
      <w:r>
        <w:rPr>
          <w:rFonts w:ascii="Arial" w:cs="Arial" w:eastAsia="Arial" w:hAnsi="Arial"/>
          <w:sz w:val="18"/>
          <w:szCs w:val="18"/>
          <w:b w:val="1"/>
          <w:bCs w:val="1"/>
          <w:color w:val="3051F2"/>
        </w:rPr>
        <w:t xml:space="preserve"> </w:t>
      </w:r>
      <w:r>
        <w:rPr>
          <w:rFonts w:ascii="Arial" w:cs="Arial" w:eastAsia="Arial" w:hAnsi="Arial"/>
          <w:sz w:val="18"/>
          <w:szCs w:val="18"/>
          <w:color w:val="000000"/>
        </w:rPr>
        <w:t>state and local and foreign governments for public assistance, health services, program administration, transaction processing and payment services. Our solutions in this segment help governments respond to changing rules for eligibility and increasing citizen expectations.</w:t>
      </w:r>
    </w:p>
    <w:p>
      <w:pPr>
        <w:spacing w:after="0" w:line="122" w:lineRule="exact"/>
        <w:rPr>
          <w:rFonts w:ascii="Arial" w:cs="Arial" w:eastAsia="Arial" w:hAnsi="Arial"/>
          <w:sz w:val="18"/>
          <w:szCs w:val="18"/>
          <w:color w:val="auto"/>
        </w:rPr>
      </w:pPr>
    </w:p>
    <w:p>
      <w:pPr>
        <w:ind w:left="340" w:right="10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and support, as well as revenue-generating services,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clients. On behalf of government agencies 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8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continue to transform our business through an intense focus on growth, quality, and efficiency – utilizing a programmatic and project management approach. Beginning in the first quarter of 2020 and through the third quarter of 2022, we have expanded the focus of our project portfolio to include both efficiency and growth initiatives, aimed to position the company to pivot to revenue growth and margin expansion over time.</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intend to drive portfolio focus, operating discipline, sales and delivery excellence and innovation, complemented by tightly aligned investments to achieve this mission and purpose. Our strategy is designed to deliver value by delivering profitable growth, expanding operating margins and deploying a disciplined capital allocation strategy. During the nine months ended September 30, 2022, our strategy is showing results, including the following:</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ectPr>
          <w:pgSz w:w="11900" w:h="16838" w:orient="portrait"/>
          <w:cols w:equalWidth="0" w:num="1">
            <w:col w:w="11220"/>
          </w:cols>
          <w:pgMar w:left="320" w:top="152" w:right="35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0" w:right="4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of $151 million for the nine months ended September 30, 2022 as compared to net income of $12 million for the same period in the prior year.</w:t>
      </w:r>
    </w:p>
    <w:p>
      <w:pPr>
        <w:spacing w:after="0" w:line="35"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of our three segments posting revenue growth for the quarter, including the first quarter of year-over-year revenue growth for the Commercial segment since the spin-off of Conduent as a separate public company.</w:t>
      </w:r>
    </w:p>
    <w:p>
      <w:pPr>
        <w:spacing w:after="0" w:line="35" w:lineRule="exact"/>
        <w:rPr>
          <w:rFonts w:ascii="Arial" w:cs="Arial" w:eastAsia="Arial" w:hAnsi="Arial"/>
          <w:sz w:val="18"/>
          <w:szCs w:val="18"/>
          <w:color w:val="auto"/>
        </w:rPr>
      </w:pPr>
    </w:p>
    <w:p>
      <w:pPr>
        <w:ind w:left="340" w:right="100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annual contract value (ACV) of $191 million in the third quarter increased for the fifth consecutive quarter, with proportional contributions from all segments.</w:t>
      </w:r>
    </w:p>
    <w:p>
      <w:pPr>
        <w:spacing w:after="0" w:line="35" w:lineRule="exact"/>
        <w:rPr>
          <w:rFonts w:ascii="Arial" w:cs="Arial" w:eastAsia="Arial" w:hAnsi="Arial"/>
          <w:sz w:val="18"/>
          <w:szCs w:val="18"/>
          <w:color w:val="auto"/>
        </w:rPr>
      </w:pPr>
    </w:p>
    <w:p>
      <w:pPr>
        <w:ind w:left="340" w:right="14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recurring revenue signings of $296 million for the nine months ended September 30, 2022 is substantially unchanged compared to the prior year.</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Renewal TCV of $1,896 million for the nine months ended September 30, 2022 is 38% higher than the same period in the prior year.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Macroeconomic and Geopolitical Uncertainty</w:t>
      </w:r>
    </w:p>
    <w:p>
      <w:pPr>
        <w:spacing w:after="0" w:line="18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Given the nature of our business and our global operations, the effects of global macroeconomic and geopolitical uncertainty, including COVID-19 pandemic related factors (as discussed in more detail below) could have a materially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COVID-19 Pandemic</w:t>
      </w:r>
    </w:p>
    <w:p>
      <w:pPr>
        <w:spacing w:after="0" w:line="18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Throughout the COVID-19 pandemic, we have continued to provide critical and best-in-class services to our customers and their end-users, while ensuring the health and safety of our greatest assets - our associates. To address the potential impact to our business over the near-term, our Business Continuity team established a proactive plan in the first quarter of 2020 that has continued throughout the pandemic, which includes:</w:t>
      </w:r>
    </w:p>
    <w:p>
      <w:pPr>
        <w:spacing w:after="0" w:line="150" w:lineRule="exact"/>
        <w:rPr>
          <w:sz w:val="20"/>
          <w:szCs w:val="20"/>
          <w:color w:val="auto"/>
        </w:rPr>
      </w:pPr>
    </w:p>
    <w:p>
      <w:pPr>
        <w:ind w:left="340" w:right="580" w:hanging="332"/>
        <w:spacing w:after="0" w:line="261"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Supporting our associates with a number of specific initiatives, including making improvements to our policies to extend short-term disability, providing extra supplemental sick leave coverage and introducing a hardship leave policy.</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sanitation and social distancing for on-site essential associates.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the end of the third quarter of 2022, we continued to have most of our workforce in either a work-from-home or hybrid environment. We will continue to assess when to bring associates back to our offices, as appropriate, based on the specific COVID-19 conditions in certain geographies, as well as business requirements.</w:t>
      </w:r>
    </w:p>
    <w:p>
      <w:pPr>
        <w:spacing w:after="0" w:line="14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the pandemic continues, we may revise our approach to these initiatives or take additional actions to meet the needs of our employees, customers and their end-users as well as the Company's needs and to continue to provide our mission-critical services and solutions.</w:t>
      </w:r>
    </w:p>
    <w:p>
      <w:pPr>
        <w:spacing w:after="0" w:line="37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Review of Operations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2022 vs.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4"/>
                <w:szCs w:val="2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2022 vs. 2021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2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2,236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2,634</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3,063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9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Revenue for the three and nine months ended September 30, 2022 decreased, compared to the prior year periods, primarily due to lower federal stimulus revenue in the Government Services segment, lost business from prior years, as well as negative foreign exchange translation impact, particularly the Euro and British pound, partially offset by recognition of a $15 million revenue benefit associated with a minimum annual volume commitment contract with a large client, higher interest rates positively impacting our Benefit Wallet business and new business ramp across all segments.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9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Cost of services for the three and nine months ended September 30, 2022 decreased, compared to the prior year periods, driven by lost business from prior years, increased operational efficiency and favorable foreign exchange translation impact.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8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SG&amp;A for the three months ended September 30, 2022 decreased, compared to the prior year period, driven by progress in our efficiency initiatives, most notably within shared technology infrastructure, as well as lower variable employee costs.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SG&amp;A for the nine months ended September 30, 2022 decreased, compared to the prior year period, primarily driven by the recovery of $14 million of defense costs as part of the settlement with insurance carriers relating to the previously disclosed State of Texas matter, progress in our efficiency initiatives, most notably within shared technology infrastructure, as well as lower variable employee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9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Depreciation and amortization for the three and nine months ended September 30, 2022 decreased, compared to the prior year periods, primarily due to portions of certain customer relationship intangible assets from acquisitions in years past being fully amortized.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9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580" w:type="dxa"/>
            <w:vAlign w:val="bottom"/>
            <w:gridSpan w:val="4"/>
          </w:tcPr>
          <w:p>
            <w:pPr>
              <w:jc w:val="right"/>
              <w:ind w:right="368"/>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tcPr>
          <w:p>
            <w:pPr>
              <w:jc w:val="right"/>
              <w:ind w:right="388"/>
              <w:spacing w:after="0"/>
              <w:rPr>
                <w:sz w:val="20"/>
                <w:szCs w:val="20"/>
                <w:color w:val="auto"/>
              </w:rPr>
            </w:pPr>
            <w:r>
              <w:rPr>
                <w:rFonts w:ascii="Arial" w:cs="Arial" w:eastAsia="Arial" w:hAnsi="Arial"/>
                <w:sz w:val="14"/>
                <w:szCs w:val="14"/>
                <w:color w:val="auto"/>
              </w:rPr>
              <w:t>Nine Months Ended</w:t>
            </w:r>
          </w:p>
        </w:tc>
        <w:tc>
          <w:tcPr>
            <w:tcW w:w="4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color w:val="auto"/>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color w:val="auto"/>
              </w:rPr>
              <w:t>September 30,</w:t>
            </w:r>
          </w:p>
        </w:tc>
        <w:tc>
          <w:tcPr>
            <w:tcW w:w="400" w:type="dxa"/>
            <w:vAlign w:val="bottom"/>
            <w:tcBorders>
              <w:bottom w:val="single" w:sz="8" w:color="auto"/>
            </w:tcBorders>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2022</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2021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2022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2021</w:t>
            </w:r>
          </w:p>
        </w:tc>
        <w:tc>
          <w:tcPr>
            <w:tcW w:w="400" w:type="dxa"/>
            <w:vAlign w:val="bottom"/>
          </w:tcPr>
          <w:p>
            <w:pPr>
              <w:spacing w:after="0"/>
              <w:rPr>
                <w:sz w:val="13"/>
                <w:szCs w:val="13"/>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7"/>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Data center consolidation</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8"/>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and asset impairment costs</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0"/>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Total net current period charges</w:t>
            </w: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09"/>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Consulting and other costs</w:t>
            </w:r>
            <w:r>
              <w:rPr>
                <w:rFonts w:ascii="Arial" w:cs="Arial" w:eastAsia="Arial" w:hAnsi="Arial"/>
                <w:sz w:val="18"/>
                <w:szCs w:val="18"/>
                <w:color w:val="auto"/>
                <w:vertAlign w:val="superscript"/>
              </w:rPr>
              <w:t>(1)</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Restructuring and related costs</w:t>
            </w: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professional support costs associated with certain strategic transformation programs.</w:t>
      </w:r>
    </w:p>
    <w:p>
      <w:pPr>
        <w:spacing w:after="0" w:line="185"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Refer to Note 7 – Restructuring Programs and Related Costs to the Condensed Consolidated Financial Statements for additional information regarding our restructuring programs.</w:t>
      </w:r>
    </w:p>
    <w:p>
      <w:pPr>
        <w:spacing w:after="0" w:line="200" w:lineRule="exact"/>
        <w:rPr>
          <w:sz w:val="20"/>
          <w:szCs w:val="20"/>
          <w:color w:val="auto"/>
        </w:rPr>
      </w:pPr>
    </w:p>
    <w:p>
      <w:pPr>
        <w:spacing w:after="0" w:line="35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9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Interest expense represents interest on long-term debt and the amortization of debt issuance costs. On October 15, 2021, we completed the refinancing of our previously outstanding debt, which extended the maturity profile of our debt. The increase in Interest expense for the three and nine months ended September 30, 2022, compared to the prior year periods, was driven by higher interest rates on our refinanced credit facilities, partially offset by a lower total outstanding debt balance.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8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divestiture of the Midas business in the first quarter of 2022 resulted in a gain of $ 166 million. Additionally, professional fees and other costs related to certain consummated and non-consummated transactions considered by the Company are included in this financial statement line item.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Litigation settlements (recoveries), net for the nine months ended September 30, 2022 primarily consist of $24 million of insurance recoveries recorded in the first quarter of 2022 related to the previously disclosed State of Texas matter.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 Contingencies and Litigation to the Condensed Consolidated Financial Statements for additional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effective tax rate for the three months ended September 30, 2022 was 33.8%, compared to 38.3% for the three months ended September 30, 2021. The September 30, 2022 rate was higher than the U.S. statutory rate of 21%, primarily due to charges related to return to provision adjustments for 2021 and charges of valuation allowances partially offset by changes in the geographic mix of income.</w:t>
      </w:r>
    </w:p>
    <w:p>
      <w:pPr>
        <w:spacing w:after="0" w:line="14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effective tax rate for the three months ended September 30, 2021 was higher than the U.S. statutory rate of 21%, primarily due to the geographic mix of income, permanent book-tax differences and valuation allowances, partially offset by a benefit attributable to the return to provision adjustment for 2020.</w:t>
      </w:r>
    </w:p>
    <w:p>
      <w:pPr>
        <w:spacing w:after="0" w:line="14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Excluding the impact of discrete tax adjustments, amortization of intangible assets and restructuring costs, the normalized effective tax rate for the three months ended September 30, 2022 was 27.5%. The normalized effective tax rate for the three months ended September 30, 2021 was 30.4%, predominantly due to excluding the impact of discrete tax adjustments, amortization of intangible assets and restructuring costs. The normalized effective tax rate for the third quarter of 2022 was lower than the third quarter of 2021 rate primarily due to the geographic mix of income.</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effective tax rate for the nine months ended September 30, 2022 was 36.7%, compared to 58.5% for the nine months ended September 30, 2021. The September 30, 2022 rate was higher than the U.S. statutory rate of 21%, primarily due to the geographic mix of income, state and local taxes and permanently non-deductible amounts related to the Midas divestiture transaction, partially offset by the tax benefit of valuation allowances released due to the gain from this divestiture and tax credits.</w:t>
      </w:r>
    </w:p>
    <w:p>
      <w:pPr>
        <w:spacing w:after="0" w:line="150"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The effective tax rate for the nine months ended September 30, 2021 was higher than the U.S. statutory rate of 21%, primarily due to the geographic mix of income, permanent book-tax differences, valuation allowances, and tax audit reserves, partially offset by tax credits.</w:t>
      </w:r>
    </w:p>
    <w:p>
      <w:pPr>
        <w:spacing w:after="0" w:line="1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Excluding the impact of the Midas divestiture, the litigation insurance recoveries, amortization of intangible assets, restructuring costs and certain discrete tax items, the normalized effective tax rate for the nine months ended September 30, 2022 was 32.4%. The normalized effective tax rate for the nine months ended September 30, 2021 was 26.8%, predominantly due to excluding the impact of discrete tax adjustments, charges for amortization of intangible assets and restructuring costs. The normalized effective tax rate for the year-to-date September 30, 2022 was higher than the year-to-date September 30, 2021 rate predominantly due to the geographic mix of income, increase in permanent tax differences and lower adjusted pre-tax income.</w:t>
      </w:r>
    </w:p>
    <w:p>
      <w:pPr>
        <w:spacing w:after="0" w:line="154"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We believe it is reasonably possible that unrecognized tax benefits of approximately $3 million will reverse within 12 months due to settlements. A payment of $8 million was made in June 2022 decreasing unrecognized tax benefits.</w:t>
      </w:r>
    </w:p>
    <w:p>
      <w:pPr>
        <w:spacing w:after="0" w:line="200" w:lineRule="exact"/>
        <w:rPr>
          <w:sz w:val="20"/>
          <w:szCs w:val="20"/>
          <w:color w:val="auto"/>
        </w:rPr>
      </w:pPr>
    </w:p>
    <w:p>
      <w:pPr>
        <w:spacing w:after="0" w:line="34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August 16, 2022, the Inflation Reduction Act (IRA) was enacted. The law imposes two new taxes: (i) 15% corporate alternative minimum tax (CAMT) on adjusted financial statement income of corporations with profits over $1 billion, which is effective for tax years beginning after December 31, 2022, and (ii) a 1% surcharge on corporate stock buybacks of public US companies, which applies to repurchases of stock after December 31, 2022. We do not expect any material impacts from this tax law change.</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first quarter of 2022, we realigned certain clients between reportable segments to reflect how we currently manage our business. Certain clients were reclassified from the Government Services reportable segment to the Commercial reportable segment to align with a product view of the business. This change had an insignificant impact. Additionally, in the first quarter of 2022, in order to provide greater visibility into the profitability of our segments, certain real estate costs that were previously included in Unallocated Costs have been allocated to each of the reportable segments. As described in Note 5 – Assets/Liabilities Held for Sale and Divestiture, we sold our Midas Suite of patient safety, quality and advanced analytics solutions to a third party in the first quarter of 2022. Accordingly, the results of this disposed business, which had been reported in the Commercial segment have been reclassified to the Divestitures segment. All prior periods presented have been recast to reflect these changes.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Profit/(Loss) and Segment Adjusted EBITDA for the following three segments:</w:t>
      </w:r>
    </w:p>
    <w:p>
      <w:pPr>
        <w:spacing w:after="0" w:line="6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Services;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Divestitures includes our Midas business which was sold in the first quarter of 2022.</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14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continue to modernize a significant portion of our infrastructure with new systems and processes and consolidate our data centers as part of our quality and efficiency initiatives. There is a risk, however, that our modernization efforts and data center consolidations could materially and adversely disrupt our operations. See Part I, Item 1A – Risk Factors of our Annual Report on Form 10-K for the year ended December 31, 2021 for additional information.</w:t>
      </w:r>
    </w:p>
    <w:p>
      <w:pPr>
        <w:spacing w:after="0" w:line="200" w:lineRule="exact"/>
        <w:rPr>
          <w:sz w:val="20"/>
          <w:szCs w:val="20"/>
          <w:color w:val="auto"/>
        </w:rPr>
      </w:pPr>
    </w:p>
    <w:p>
      <w:pPr>
        <w:spacing w:after="0" w:line="3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Transportation</w:t>
            </w:r>
          </w:p>
        </w:tc>
        <w:tc>
          <w:tcPr>
            <w:tcW w:w="16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Divestitures</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3"/>
                <w:szCs w:val="13"/>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gridSpan w:val="2"/>
          </w:tcPr>
          <w:p>
            <w:pPr>
              <w:spacing w:after="0" w:line="144" w:lineRule="exact"/>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4"/>
                <w:szCs w:val="14"/>
                <w:color w:val="auto"/>
              </w:rPr>
              <w:t>Services</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ind w:left="48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10.7 %</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2021</w:t>
            </w:r>
          </w:p>
        </w:tc>
        <w:tc>
          <w:tcPr>
            <w:tcW w:w="2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Nine Months Ended</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Transportation</w:t>
            </w:r>
          </w:p>
        </w:tc>
        <w:tc>
          <w:tcPr>
            <w:tcW w:w="16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Divestitures</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3"/>
                <w:szCs w:val="13"/>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2,872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ind w:left="48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28.6 %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276"/>
        </w:trPr>
        <w:tc>
          <w:tcPr>
            <w:tcW w:w="660" w:type="dxa"/>
            <w:vAlign w:val="bottom"/>
            <w:gridSpan w:val="2"/>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2021</w:t>
            </w:r>
          </w:p>
        </w:tc>
        <w:tc>
          <w:tcPr>
            <w:tcW w:w="2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gridSpan w:val="4"/>
          </w:tcPr>
          <w:p>
            <w:pPr>
              <w:jc w:val="right"/>
              <w:ind w:right="12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54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gridSpan w:val="4"/>
          </w:tcPr>
          <w:p>
            <w:pPr>
              <w:spacing w:after="0" w:line="144" w:lineRule="exact"/>
              <w:rPr>
                <w:sz w:val="20"/>
                <w:szCs w:val="20"/>
                <w:color w:val="auto"/>
              </w:rPr>
            </w:pPr>
            <w:r>
              <w:rPr>
                <w:rFonts w:ascii="Arial" w:cs="Arial" w:eastAsia="Arial" w:hAnsi="Arial"/>
                <w:sz w:val="13"/>
                <w:szCs w:val="13"/>
                <w:color w:val="auto"/>
              </w:rPr>
              <w:t>(in millions)</w:t>
            </w:r>
          </w:p>
        </w:tc>
        <w:tc>
          <w:tcPr>
            <w:tcW w:w="740" w:type="dxa"/>
            <w:vAlign w:val="bottom"/>
          </w:tcPr>
          <w:p>
            <w:pPr>
              <w:spacing w:after="0"/>
              <w:rPr>
                <w:sz w:val="12"/>
                <w:szCs w:val="12"/>
                <w:color w:val="auto"/>
              </w:rPr>
            </w:pPr>
          </w:p>
        </w:tc>
        <w:tc>
          <w:tcPr>
            <w:tcW w:w="1340" w:type="dxa"/>
            <w:vAlign w:val="bottom"/>
            <w:gridSpan w:val="3"/>
          </w:tcPr>
          <w:p>
            <w:pPr>
              <w:jc w:val="right"/>
              <w:ind w:right="308"/>
              <w:spacing w:after="0" w:line="144" w:lineRule="exact"/>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right"/>
              <w:spacing w:after="0" w:line="144" w:lineRule="exact"/>
              <w:rPr>
                <w:sz w:val="20"/>
                <w:szCs w:val="20"/>
                <w:color w:val="auto"/>
              </w:rPr>
            </w:pPr>
            <w:r>
              <w:rPr>
                <w:rFonts w:ascii="Arial" w:cs="Arial" w:eastAsia="Arial" w:hAnsi="Arial"/>
                <w:sz w:val="14"/>
                <w:szCs w:val="14"/>
                <w:color w:val="auto"/>
              </w:rPr>
              <w:t>September 30,</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4"/>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2022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2021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7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Loss on extinguishment of debt</w:t>
            </w:r>
          </w:p>
        </w:tc>
        <w:tc>
          <w:tcPr>
            <w:tcW w:w="74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Segment Pre-tax Income (Loss)</w:t>
            </w:r>
          </w:p>
        </w:tc>
        <w:tc>
          <w:tcPr>
            <w:tcW w:w="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74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Adjusted EBITDA</w:t>
            </w:r>
          </w:p>
        </w:tc>
        <w:tc>
          <w:tcPr>
            <w:tcW w:w="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Commercial revenue for the three months ended September 30, 2022 was higher compared to the prior year period primarily due to recognition of the revenue benefit associated with a minimum annual volume commitment contract with a large client, as well as higher interest rates positively impacting our Benefit Wallet business, partially offset by unfavorable exchange rate movement.</w:t>
      </w:r>
    </w:p>
    <w:p>
      <w:pPr>
        <w:spacing w:after="0" w:line="14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Commercial revenue for the nine months ended September 30, 2022 was lower compared to the prior year periods, primarily due to the merger of two of our clients resulting in lower volumes as well as unfavorable exchange rate movement and lost business from prior years, partially offset by recognition of the revenue benefit associated with a minimum annual volume commitment contract with a large client, higher interest rates positively impacting our Benefit Wallet business and strong new business ramp.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Increases in the Commercial segment profit and adjusted EBITDA margin for the three and nine months ended September 30, 2022, compared to the prior year periods, were mainly driven by increased operational efficiency and expense reductions resulting from progress in our efficiency initiatives, higher interest rates positively impacting our Benefit Wallet business and recognition of the revenue benefit associated with a minimum annual volume commitment contract with a large client more than offsetting the dynamics of a challenging labor market in both North America and Europe.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Services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Government Services revenue for the three and nine months ended September 30, 2022 decreased, compared to the prior year periods. This decrease was primarily driven by significantly lower Federal stimulus revenue, while increases in volume, price and new business offset lost business from prior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8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Decreases in the Government Services segment profit and adjusted EBITDA margin for the three and nine months ended September 30, 2022, compared to the prior year periods, were mainly driven by lower Federal stimulus revenue.</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Transportation revenue for the three months ended September 30, 2022 increased slightly, compared to the prior year period, primarily driven by increased volumes offsetting the unfavorable exchange rate movement, particularly the Euro.</w:t>
      </w:r>
    </w:p>
    <w:p>
      <w:pPr>
        <w:spacing w:after="0" w:line="14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Transportation revenue for the nine months ended September 30, 2022 decreased, compared to the prior year period, primarily driven by unfavorable exchange rate movement, particularly the Euro, and a one-time revenue benefit in the prior 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8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Transportation segment profit and adjusted EBITDA margin for the three months ended September 30, 2022 increased primarily due to progress in our efficiency initiatives.</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Transportation segment profit and adjusted EBITDA margin decreased for the nine months ended September 30, 2022, compared to the prior year period, mainly driven by the impact of lost business, a one-time item benefiting the prior year period and the impact of unfavorable exchange rate movement, partially offset by new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(Loss) and Adjusted EBITDA</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decline in revenue, segment profit and Adjusted EBITDA for the three and nine months ended September 30, 2022 was primarily due to the sale of the Midas Suite of products. The current year includes slightly more than one month of activity versus the prior year, which includes a full nine months of activity.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Unallocated Costs for the three months ended September 30, 2022 were substantially unchanged compared to the prior year period.</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Unallocated Costs for the nine months ended September 30, 2022 decreased, compared to the prior year period, primarily due to a portion of the recovery of defense costs as part of the settlement with insurance carriers relating to the previously disclosed State of Texas matter that settled in February 2019 that was allocated to SG&amp;A, progress with our efficiency initiatives and lower variable employee costs.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ACV is calculated as TCV divided by the contract term, in months, multiplied by 12 for an annual measure.</w:t>
      </w:r>
    </w:p>
    <w:p>
      <w:pPr>
        <w:spacing w:after="0" w:line="151"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For the three months ended September 30, 2022, the Company signed $191 million of new business ACV, an increase for the fifth consecutive quarter, with proportional contributions from all segments.</w:t>
      </w:r>
    </w:p>
    <w:p>
      <w:pPr>
        <w:spacing w:after="0" w:line="14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the nine months ended September 30, 2022, the Company signed $538 million of new business ACV, down 13% from the prior year, primarily due to $158 million of federal stimulus signings and volume from a large client we no longer include in the sales metrics.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and nine months ended September 30, 2022 and 2021 is as follows:</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3" w:name="page34"/>
    <w:bookmarkEnd w:id="3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tcPr>
          <w:p>
            <w:pPr>
              <w:jc w:val="center"/>
              <w:ind w:right="4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2022 vs. 2021</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vMerge w:val="continue"/>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4"/>
                <w:szCs w:val="14"/>
                <w:color w:val="auto"/>
              </w:rPr>
            </w:pPr>
          </w:p>
        </w:tc>
        <w:tc>
          <w:tcPr>
            <w:tcW w:w="1220" w:type="dxa"/>
            <w:vAlign w:val="bottom"/>
          </w:tcPr>
          <w:p>
            <w:pPr>
              <w:jc w:val="right"/>
              <w:ind w:right="468"/>
              <w:spacing w:after="0" w:line="16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ind w:right="488"/>
              <w:spacing w:after="0" w:line="162" w:lineRule="exact"/>
              <w:rPr>
                <w:sz w:val="20"/>
                <w:szCs w:val="20"/>
                <w:color w:val="auto"/>
              </w:rPr>
            </w:pPr>
            <w:r>
              <w:rPr>
                <w:rFonts w:ascii="Arial" w:cs="Arial" w:eastAsia="Arial" w:hAnsi="Arial"/>
                <w:sz w:val="14"/>
                <w:szCs w:val="14"/>
                <w:color w:val="auto"/>
                <w:w w:val="91"/>
              </w:rPr>
              <w:t>2021</w:t>
            </w:r>
            <w:r>
              <w:rPr>
                <w:rFonts w:ascii="Arial" w:cs="Arial" w:eastAsia="Arial" w:hAnsi="Arial"/>
                <w:sz w:val="18"/>
                <w:szCs w:val="18"/>
                <w:color w:val="auto"/>
                <w:w w:val="91"/>
                <w:vertAlign w:val="superscript"/>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ind w:left="180"/>
              <w:spacing w:after="0"/>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center"/>
              <w:ind w:left="568"/>
              <w:spacing w:after="0"/>
              <w:rPr>
                <w:sz w:val="20"/>
                <w:szCs w:val="20"/>
                <w:color w:val="auto"/>
              </w:rPr>
            </w:pPr>
            <w:r>
              <w:rPr>
                <w:rFonts w:ascii="Arial" w:cs="Arial" w:eastAsia="Arial" w:hAnsi="Arial"/>
                <w:sz w:val="14"/>
                <w:szCs w:val="14"/>
                <w:color w:val="auto"/>
              </w:rPr>
              <w:t>Nine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2022 vs. 2021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468"/>
              <w:spacing w:after="0" w:line="155" w:lineRule="exact"/>
              <w:rPr>
                <w:sz w:val="20"/>
                <w:szCs w:val="20"/>
                <w:color w:val="auto"/>
              </w:rPr>
            </w:pPr>
            <w:r>
              <w:rPr>
                <w:rFonts w:ascii="Arial" w:cs="Arial" w:eastAsia="Arial" w:hAnsi="Arial"/>
                <w:sz w:val="14"/>
                <w:szCs w:val="14"/>
                <w:color w:val="auto"/>
              </w:rPr>
              <w:t>2022</w:t>
            </w:r>
            <w:r>
              <w:rPr>
                <w:rFonts w:ascii="Arial" w:cs="Arial" w:eastAsia="Arial" w:hAnsi="Arial"/>
                <w:sz w:val="9"/>
                <w:szCs w:val="9"/>
                <w:color w:val="auto"/>
              </w:rPr>
              <w:t>(3)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jc w:val="right"/>
              <w:ind w:right="488"/>
              <w:spacing w:after="0" w:line="155" w:lineRule="exact"/>
              <w:rPr>
                <w:sz w:val="20"/>
                <w:szCs w:val="20"/>
                <w:color w:val="auto"/>
              </w:rPr>
            </w:pPr>
            <w:r>
              <w:rPr>
                <w:rFonts w:ascii="Arial" w:cs="Arial" w:eastAsia="Arial" w:hAnsi="Arial"/>
                <w:sz w:val="14"/>
                <w:szCs w:val="14"/>
                <w:color w:val="auto"/>
                <w:w w:val="99"/>
              </w:rPr>
              <w:t>2021</w:t>
            </w:r>
            <w:r>
              <w:rPr>
                <w:rFonts w:ascii="Arial" w:cs="Arial" w:eastAsia="Arial" w:hAnsi="Arial"/>
                <w:sz w:val="9"/>
                <w:szCs w:val="9"/>
                <w:color w:val="auto"/>
                <w:w w:val="99"/>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Annual recurring revenue signings</w:t>
            </w:r>
            <w:r>
              <w:rPr>
                <w:rFonts w:ascii="Arial" w:cs="Arial" w:eastAsia="Arial" w:hAnsi="Arial"/>
                <w:sz w:val="9"/>
                <w:szCs w:val="9"/>
                <w:color w:val="auto"/>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9"/>
                <w:szCs w:val="9"/>
                <w:color w:val="auto"/>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55"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Midas new business signings.</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total new business pipeline at the end of September 30, 2022 and 2021 was $24.0 billion and $21.0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8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Net ARR Activity metric is defined as Projected Annual Recurring Revenue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COVID-related volume impacts and non-recurring revenue signings. This metric is not indicative of any specific 12-month timeframe.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rPr>
                <w:sz w:val="20"/>
                <w:szCs w:val="20"/>
                <w:color w:val="auto"/>
              </w:rPr>
            </w:pPr>
            <w:r>
              <w:rPr>
                <w:rFonts w:ascii="Arial" w:cs="Arial" w:eastAsia="Arial" w:hAnsi="Arial"/>
                <w:sz w:val="14"/>
                <w:szCs w:val="14"/>
                <w:color w:val="auto"/>
              </w:rPr>
              <w:t>Net ARR Activity metric</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2022</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97"/>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June 30, 2022</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8"/>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2022</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97"/>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December 31, 2021</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208"/>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2021</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8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As of September 30, 2022 and December 31, 2021, total cash and cash equivalents were $577 million and $415 million, respectively. We also have a $550 million revolving line of credit for our various cash needs, of which $2 million was used for letters of credit. In the first quarter of 2022, we repaid $100 million that was outstanding as of December 31, 2021 under our revolving line of credit. The net amount available to be drawn upon under our revolving line of credit as of September 30, 2022, was $548 million.</w:t>
      </w:r>
    </w:p>
    <w:p>
      <w:pPr>
        <w:spacing w:after="0" w:line="15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As of September 30, 2022, our total debt outstanding was $1,272 million of which $33 million was due within one year. Refer to Note 7 – Debt in the Condensed Consolidated Financial Statements for additional debt information.</w:t>
      </w:r>
    </w:p>
    <w:p>
      <w:pPr>
        <w:spacing w:after="0" w:line="144"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order 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Better (Worse)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96"/>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313</w:t>
            </w:r>
          </w:p>
        </w:tc>
      </w:tr>
      <w:tr>
        <w:trPr>
          <w:trHeight w:val="209"/>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net decrease in cash generated from operating activities of $65 million, compared to the prior year period, was primarily related to lower Adjusted EBITDA, higher cash tax payments, which are mainly related to the Midas gain, and higher cash interest paid. These items were partially offset by the $38 million of insurance recoveries related to the previously disclosed State of Texas matter.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increase in cash provided by investing activities of $313 million was primarily due to the proceeds from the divestiture of the Midas business, partially offset by slightly increased spending related to modernizing our infrastructure and productivity tools.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9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increase in cash used in financing activities was primarily related to the repayment of the $100 million borrowed under the revolver partially offset by lower Term loan and Senior note principal payments.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5" w:name="page36"/>
    <w:bookmarkEnd w:id="3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enter into factoring agreements in the normal course of business as part of our cash and liquidity management, to sell certain accounts receivable without recourse to third-party financial institutions. During the third quarter of 2022, we replaced our previously outstanding factoring agreements with an agreement with a new third-party financial institution with substantially equivalent terms. The transactions under this agreement are treated as a sale and are accounted for as a reduction in accounts receivable because the agreement transfers effective control over, and risk related to, the receivables to the buyer. Cash proceeds from this arrangement are included in cash flow from operating activities in the Consolidated Statements of Cash Flows.</w:t>
      </w:r>
    </w:p>
    <w:p>
      <w:pPr>
        <w:spacing w:after="0" w:line="15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nine months ended September 30, 2022 and 2021 was $35 million and $(21)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93"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The Company believes its balances of cash and cash equivalents, which totaled $577 million as of September 30, 2022, along with cash generated by operations and amounts available for borrowing under its 2021 Revolving Credit Facility, will be sufficient to satisfy its cash requirements over the next 12 months and beyond.</w:t>
      </w:r>
    </w:p>
    <w:p>
      <w:pPr>
        <w:spacing w:after="0" w:line="14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At September 30, 2022, the Company’s material cash requirements include debt, leases and estimated purchase commitments. See Part II, Item 7 – Management's Discussion and Analysis of Financial Condition and Results of Operation of our Annual Report on Form 10-K for the year ended December 31, 2021 for additional information on our material cash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8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in certain circumstances that affect amounts reported in the accompanying Condensed Consolidated Financial Statements and notes thereto. There have been no significant changes during the nine months ended September 30, 2022 to our critical accounting estimates and policies from those disclosed in our Annual Report on Form 10-K for the year ended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8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8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Recent market and economic events, including the effects of the COVID-19 pandemic, have not caused us to materially modify nor change our financial risk management strategies with respect to our exposures to foreign currency risk. Refer to Note 8 – Financial Instruments in the Condensed Consolidated Financial Statements for additional discussion on our financial risk management.</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2021.</w:t>
      </w:r>
    </w:p>
    <w:p>
      <w:pPr>
        <w:spacing w:after="0" w:line="200" w:lineRule="exact"/>
        <w:rPr>
          <w:sz w:val="20"/>
          <w:szCs w:val="20"/>
          <w:color w:val="auto"/>
        </w:rPr>
      </w:pPr>
    </w:p>
    <w:p>
      <w:pPr>
        <w:spacing w:after="0" w:line="38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93"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amended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36"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93" w:lineRule="exact"/>
        <w:rPr>
          <w:sz w:val="20"/>
          <w:szCs w:val="20"/>
          <w:color w:val="auto"/>
        </w:rPr>
      </w:pPr>
    </w:p>
    <w:p>
      <w:pPr>
        <w:ind w:left="340" w:right="22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2022,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information set forth under Note 13 – Contingencies and Litigation in the Condensed Consolidated Financial Statements of this Form 10-Q is incorporated herein by reference in answer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Below is an update to a risk factor as previously reported in our Annual Report on Form 10-K for the year ended December 31, 2021.</w:t>
      </w:r>
    </w:p>
    <w:p>
      <w:pPr>
        <w:spacing w:after="0" w:line="149"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0066CC"/>
        </w:rPr>
        <w:t>Our business may be adversely affected by geopolitical events, natural disasters and other factors that could directly impact certain of our employees, customers and vendors in countries or regions effected by such events and factors.</w:t>
      </w:r>
    </w:p>
    <w:p>
      <w:pPr>
        <w:spacing w:after="0" w:line="12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have a global workforce and global customers. Our employees and customers in a particular country or region in the world may be impacted as a result of a variety of diversions, including: geopolitical events, such as war, the threat of war, or terrorist activity; natural disasters or the effects of climate change (such as drought, flooding, wildfires, increased storm severity, and sea level rise); power shortages or outages, major public health issues, including pandemics (such as the coronavirus); and significant local, national or global events capturing the attention of a large part of the population. As an example of a geopolitical event, in February 2022, Russian forces launched significant military action against Ukraine, which has resulted in conflict and disruptions in the region. To date, while we do not believe Russia’s military action in Ukraine and governmental actions in response thereto have had a material impact on our business, financial position or operations, we continue to monitor the situation closely. If any of these, or any other factors, disrupt a country or region where we have a significant workforce (such as the U.S., India or the Philippines) or customers (such as the U.S. or Europe), or vendors, our business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September 30, 2022</w:t>
      </w:r>
    </w:p>
    <w:p>
      <w:pPr>
        <w:spacing w:after="0" w:line="193"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color w:val="auto"/>
        </w:rPr>
        <w:t>During the quarter ended September 30, 2022, the Company did not issue any securities in transactions that were not registered under the Securities Act of 1933, as amended.</w:t>
      </w:r>
    </w:p>
    <w:p>
      <w:pPr>
        <w:spacing w:after="0" w:line="122"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1269BC"/>
        </w:rPr>
      </w:pPr>
      <w:r>
        <w:rPr>
          <w:rFonts w:ascii="Arial" w:cs="Arial" w:eastAsia="Arial" w:hAnsi="Arial"/>
          <w:sz w:val="18"/>
          <w:szCs w:val="18"/>
          <w:b w:val="1"/>
          <w:bCs w:val="1"/>
          <w:color w:val="1269BC"/>
        </w:rPr>
        <w:t>Issuer Purchases of Equity Securities during the Quarter ended September 30, 2022</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2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8" w:name="page39"/>
    <w:bookmarkEnd w:id="3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3.1</w:t>
            </w:r>
          </w:p>
        </w:tc>
        <w:tc>
          <w:tcPr>
            <w:tcW w:w="9400" w:type="dxa"/>
            <w:vAlign w:val="bottom"/>
            <w:tcBorders>
              <w:bottom w:val="single" w:sz="8" w:color="0000FF"/>
            </w:tcBorders>
            <w:gridSpan w:val="5"/>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Restated Certificate of Incorporation of Registrant filed with the Department of the State of New York on December 31,</w:t>
              </w:r>
            </w:hyperlink>
          </w:p>
        </w:tc>
      </w:tr>
      <w:tr>
        <w:trPr>
          <w:trHeight w:val="155"/>
        </w:trPr>
        <w:tc>
          <w:tcPr>
            <w:tcW w:w="1440" w:type="dxa"/>
            <w:vAlign w:val="bottom"/>
          </w:tcPr>
          <w:p>
            <w:pPr>
              <w:spacing w:after="0"/>
              <w:rPr>
                <w:sz w:val="13"/>
                <w:szCs w:val="13"/>
                <w:color w:val="auto"/>
              </w:rPr>
            </w:pPr>
          </w:p>
        </w:tc>
        <w:tc>
          <w:tcPr>
            <w:tcW w:w="440" w:type="dxa"/>
            <w:vAlign w:val="bottom"/>
            <w:tcBorders>
              <w:bottom w:val="single" w:sz="8" w:color="0000FF"/>
            </w:tcBorders>
          </w:tcPr>
          <w:p>
            <w:pPr>
              <w:spacing w:after="0" w:line="156"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2016.</w:t>
              </w:r>
            </w:hyperlink>
          </w:p>
        </w:tc>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64"/>
        </w:trPr>
        <w:tc>
          <w:tcPr>
            <w:tcW w:w="1440" w:type="dxa"/>
            <w:vAlign w:val="bottom"/>
          </w:tcPr>
          <w:p>
            <w:pPr>
              <w:spacing w:after="0"/>
              <w:rPr>
                <w:sz w:val="22"/>
                <w:szCs w:val="22"/>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Incorporated by reference to Exhibit 3.1 to Registrant's Current Report on Form 8-K dated December 23, 2016.</w:t>
            </w: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7080" w:type="dxa"/>
            <w:vAlign w:val="bottom"/>
            <w:tcBorders>
              <w:bottom w:val="single" w:sz="8" w:color="0000FF"/>
            </w:tcBorders>
            <w:gridSpan w:val="4"/>
          </w:tcPr>
          <w:p>
            <w:pPr>
              <w:spacing w:after="0" w:line="189"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Amended and Restated By-Laws of Registrant as amended through December 31, 2016.</w:t>
              </w:r>
            </w:hyperlink>
          </w:p>
        </w:tc>
        <w:tc>
          <w:tcPr>
            <w:tcW w:w="2320" w:type="dxa"/>
            <w:vAlign w:val="bottom"/>
          </w:tcPr>
          <w:p>
            <w:pPr>
              <w:spacing w:after="0"/>
              <w:rPr>
                <w:sz w:val="16"/>
                <w:szCs w:val="16"/>
                <w:color w:val="auto"/>
              </w:rPr>
            </w:pPr>
          </w:p>
        </w:tc>
      </w:tr>
      <w:tr>
        <w:trPr>
          <w:trHeight w:val="250"/>
        </w:trPr>
        <w:tc>
          <w:tcPr>
            <w:tcW w:w="1440" w:type="dxa"/>
            <w:vAlign w:val="bottom"/>
          </w:tcPr>
          <w:p>
            <w:pPr>
              <w:spacing w:after="0"/>
              <w:rPr>
                <w:sz w:val="21"/>
                <w:szCs w:val="21"/>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Incorporated by reference to Exhibit 3.2 to Registrant's Current Report on Form 8-K dated December 23, 2016.</w:t>
            </w: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31(a)</w:t>
            </w:r>
          </w:p>
        </w:tc>
        <w:tc>
          <w:tcPr>
            <w:tcW w:w="530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9"/>
              </w:rPr>
              <w:t>Certification of CEO pursuant to Rule 13a-14(a) or Rule 15d-14(a).</w:t>
            </w:r>
          </w:p>
        </w:tc>
        <w:tc>
          <w:tcPr>
            <w:tcW w:w="4100" w:type="dxa"/>
            <w:vAlign w:val="bottom"/>
            <w:gridSpan w:val="2"/>
          </w:tcPr>
          <w:p>
            <w:pPr>
              <w:spacing w:after="0"/>
              <w:rPr>
                <w:sz w:val="16"/>
                <w:szCs w:val="16"/>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31(b)</w:t>
            </w:r>
          </w:p>
        </w:tc>
        <w:tc>
          <w:tcPr>
            <w:tcW w:w="9400" w:type="dxa"/>
            <w:vAlign w:val="bottom"/>
            <w:gridSpan w:val="5"/>
          </w:tcPr>
          <w:p>
            <w:pPr>
              <w:spacing w:after="0"/>
              <w:rPr>
                <w:sz w:val="20"/>
                <w:szCs w:val="20"/>
                <w:color w:val="auto"/>
              </w:rPr>
            </w:pPr>
            <w:r>
              <w:rPr>
                <w:rFonts w:ascii="Arial" w:cs="Arial" w:eastAsia="Arial" w:hAnsi="Arial"/>
                <w:sz w:val="18"/>
                <w:szCs w:val="18"/>
                <w:color w:val="0000FF"/>
              </w:rPr>
              <w:t>Certification of CFO pursuant to Rule 13a-14(a) or Rule 15d-14(a).</w:t>
            </w:r>
          </w:p>
        </w:tc>
      </w:tr>
      <w:tr>
        <w:trPr>
          <w:trHeight w:val="20"/>
        </w:trPr>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40" w:lineRule="exact"/>
        <w:rPr>
          <w:sz w:val="20"/>
          <w:szCs w:val="20"/>
          <w:color w:val="auto"/>
        </w:rPr>
      </w:pPr>
    </w:p>
    <w:p>
      <w:pPr>
        <w:ind w:left="1460" w:right="200" w:hanging="1434"/>
        <w:spacing w:after="0" w:line="22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0000FF"/>
        </w:rPr>
        <w:t>Certification of CEO and CFO pursuant to 18 U.S.C. Section 1350, as adopted pursuant to Section 906 of the Sarbanes-Oxley Act of 2002.</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Pr>
          <w:p>
            <w:pPr>
              <w:ind w:left="360"/>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w:t>
            </w:r>
          </w:p>
        </w:tc>
      </w:tr>
      <w:tr>
        <w:trPr>
          <w:trHeight w:val="217"/>
        </w:trPr>
        <w:tc>
          <w:tcPr>
            <w:tcW w:w="108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tags are embedded within the Inline XBRL document.</w:t>
            </w: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Presentation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Schema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tcPr>
          <w:p>
            <w:pPr>
              <w:ind w:left="3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9" w:name="page40"/>
    <w:bookmarkEnd w:id="3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9"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104"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6350</wp:posOffset>
            </wp:positionV>
            <wp:extent cx="2888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Stephen Wood</w:t>
      </w:r>
    </w:p>
    <w:p>
      <w:pPr>
        <w:ind w:left="580"/>
        <w:spacing w:after="0" w:line="209" w:lineRule="auto"/>
        <w:rPr>
          <w:sz w:val="20"/>
          <w:szCs w:val="20"/>
          <w:color w:val="auto"/>
        </w:rPr>
      </w:pPr>
      <w:r>
        <w:rPr>
          <w:rFonts w:ascii="Arial" w:cs="Arial" w:eastAsia="Arial" w:hAnsi="Arial"/>
          <w:sz w:val="14"/>
          <w:szCs w:val="14"/>
          <w:b w:val="1"/>
          <w:bCs w:val="1"/>
          <w:color w:val="auto"/>
        </w:rPr>
        <w:t>Chief Financial Officer</w:t>
      </w:r>
    </w:p>
    <w:p>
      <w:pPr>
        <w:ind w:left="580"/>
        <w:spacing w:after="0"/>
        <w:rPr>
          <w:sz w:val="20"/>
          <w:szCs w:val="20"/>
          <w:color w:val="auto"/>
        </w:rPr>
      </w:pPr>
      <w:r>
        <w:rPr>
          <w:rFonts w:ascii="Arial" w:cs="Arial" w:eastAsia="Arial" w:hAnsi="Arial"/>
          <w:sz w:val="14"/>
          <w:szCs w:val="14"/>
          <w:b w:val="1"/>
          <w:bCs w:val="1"/>
          <w:color w:val="auto"/>
        </w:rPr>
        <w:t>(Principal Financial Officer)</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2022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52"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November 1, 2022</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18859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Clifford Skelton</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November 1,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632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Stephen Wood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1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Form 10-Q of Conduent Incorporated, a New York corporation (the “Company”), for the quarter ended September 30, 2022,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7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Clifford Skelton</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November 1, 2022</w:t>
      </w:r>
    </w:p>
    <w:p>
      <w:pPr>
        <w:spacing w:after="0" w:line="200" w:lineRule="exact"/>
        <w:rPr>
          <w:sz w:val="20"/>
          <w:szCs w:val="20"/>
          <w:color w:val="auto"/>
        </w:rPr>
      </w:pPr>
    </w:p>
    <w:p>
      <w:pPr>
        <w:spacing w:after="0" w:line="3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Stephen Wood</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November 1, 2022</w:t>
      </w:r>
    </w:p>
    <w:p>
      <w:pPr>
        <w:spacing w:after="0" w:line="3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decimal"/>
      <w:start w:val="32"/>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9" Type="http://schemas.openxmlformats.org/officeDocument/2006/relationships/hyperlink" Target="http://www.sec.gov/Archives/edgar/data/1677703/000119312516803247/d275811dex31.htm" TargetMode="External"/><Relationship Id="rId50" Type="http://schemas.openxmlformats.org/officeDocument/2006/relationships/hyperlink" Target="http://www.sec.gov/Archives/edgar/data/1677703/000119312516803247/d27581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2022-11-01T15:24:40Z</dcterms:created>
  <dcterms:modified xsi:type="dcterms:W3CDTF">2022-11-01T15:24:40Z</dcterms:modified>
</cp:coreProperties>
</file>