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9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85"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120650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4" w:right="339" w:bottom="1440" w:gutter="0" w:footer="0" w:header="0"/>
        </w:sectPr>
      </w:pPr>
    </w:p>
    <w:p>
      <w:pPr>
        <w:spacing w:after="0" w:line="31"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81-2983623</w:t>
      </w:r>
    </w:p>
    <w:p>
      <w:pPr>
        <w:spacing w:after="0" w:line="32" w:lineRule="exact"/>
        <w:rPr>
          <w:sz w:val="24"/>
          <w:szCs w:val="24"/>
          <w:color w:val="auto"/>
        </w:rPr>
      </w:pPr>
    </w:p>
    <w:p>
      <w:pPr>
        <w:sectPr>
          <w:pgSz w:w="11900" w:h="16838" w:orient="portrait"/>
          <w:cols w:equalWidth="0" w:num="2">
            <w:col w:w="7940" w:space="720"/>
            <w:col w:w="2580"/>
          </w:cols>
          <w:pgMar w:left="320" w:top="264"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112" w:lineRule="exact"/>
        <w:rPr>
          <w:sz w:val="24"/>
          <w:szCs w:val="24"/>
          <w:color w:val="auto"/>
        </w:rPr>
      </w:pPr>
    </w:p>
    <w:p>
      <w:pPr>
        <w:sectPr>
          <w:pgSz w:w="11900" w:h="16838" w:orient="portrait"/>
          <w:cols w:equalWidth="0" w:num="2">
            <w:col w:w="7800" w:space="720"/>
            <w:col w:w="2720"/>
          </w:cols>
          <w:pgMar w:left="320" w:top="264" w:right="339" w:bottom="1440" w:gutter="0" w:footer="0" w:header="0"/>
          <w:type w:val="continuous"/>
        </w:sectPr>
      </w:pPr>
    </w:p>
    <w:p>
      <w:pPr>
        <w:ind w:left="920" w:hanging="323"/>
        <w:spacing w:after="0" w:line="292"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51" w:lineRule="exact"/>
        <w:rPr>
          <w:sz w:val="24"/>
          <w:szCs w:val="24"/>
          <w:color w:val="auto"/>
        </w:rPr>
      </w:pPr>
    </w:p>
    <w:p>
      <w:pPr>
        <w:sectPr>
          <w:pgSz w:w="11900" w:h="16838" w:orient="portrait"/>
          <w:cols w:equalWidth="0" w:num="3">
            <w:col w:w="2200" w:space="560"/>
            <w:col w:w="5400" w:space="720"/>
            <w:col w:w="2360"/>
          </w:cols>
          <w:pgMar w:left="320" w:top="264"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6" w:lineRule="exact"/>
        <w:rPr>
          <w:sz w:val="24"/>
          <w:szCs w:val="24"/>
          <w:color w:val="auto"/>
        </w:rPr>
      </w:pPr>
    </w:p>
    <w:p>
      <w:pPr>
        <w:sectPr>
          <w:pgSz w:w="11900" w:h="16838" w:orient="portrait"/>
          <w:cols w:equalWidth="0" w:num="2">
            <w:col w:w="8060" w:space="720"/>
            <w:col w:w="2460"/>
          </w:cols>
          <w:pgMar w:left="320" w:top="26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ectPr>
          <w:pgSz w:w="11900" w:h="16838" w:orient="portrait"/>
          <w:cols w:equalWidth="0" w:num="1">
            <w:col w:w="11240"/>
          </w:cols>
          <w:pgMar w:left="320" w:top="264" w:right="339" w:bottom="1440" w:gutter="0" w:footer="0" w:header="0"/>
          <w:type w:val="continuous"/>
        </w:sectPr>
      </w:pPr>
    </w:p>
    <w:p>
      <w:pPr>
        <w:spacing w:after="0" w:line="3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4" w:right="33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4040" w:space="720"/>
            <w:col w:w="1960" w:space="720"/>
            <w:col w:w="3800"/>
          </w:cols>
          <w:pgMar w:left="320" w:top="264"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00" w:lineRule="exact"/>
        <w:rPr>
          <w:sz w:val="24"/>
          <w:szCs w:val="24"/>
          <w:color w:val="auto"/>
        </w:rPr>
      </w:pPr>
    </w:p>
    <w:p>
      <w:pPr>
        <w:sectPr>
          <w:pgSz w:w="11900" w:h="16838" w:orient="portrait"/>
          <w:cols w:equalWidth="0" w:num="3">
            <w:col w:w="4380" w:space="720"/>
            <w:col w:w="1760" w:space="720"/>
            <w:col w:w="3660"/>
          </w:cols>
          <w:pgMar w:left="320" w:top="264" w:right="339" w:bottom="1440" w:gutter="0" w:footer="0" w:header="0"/>
          <w:type w:val="continuous"/>
        </w:sectPr>
      </w:pPr>
    </w:p>
    <w:p>
      <w:pPr>
        <w:ind w:right="300" w:firstLine="162"/>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320" w:firstLine="162"/>
        <w:spacing w:after="0" w:line="26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3" w:lineRule="exact"/>
        <w:rPr>
          <w:sz w:val="24"/>
          <w:szCs w:val="24"/>
          <w:color w:val="auto"/>
        </w:rPr>
      </w:pPr>
    </w:p>
    <w:p>
      <w:pPr>
        <w:ind w:right="20"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
        <w:spacing w:after="0" w:line="181" w:lineRule="exact"/>
        <w:tabs>
          <w:tab w:leader="none" w:pos="1960" w:val="left"/>
          <w:tab w:leader="none" w:pos="2420" w:val="left"/>
          <w:tab w:leader="none" w:pos="3740" w:val="left"/>
          <w:tab w:leader="none" w:pos="4220" w:val="left"/>
          <w:tab w:leader="none" w:pos="5880" w:val="left"/>
          <w:tab w:leader="none" w:pos="6380" w:val="left"/>
          <w:tab w:leader="none" w:pos="8340" w:val="left"/>
          <w:tab w:leader="none" w:pos="8860" w:val="left"/>
          <w:tab w:leader="none" w:pos="10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9" w:lineRule="exact"/>
        <w:rPr>
          <w:sz w:val="24"/>
          <w:szCs w:val="24"/>
          <w:color w:val="auto"/>
        </w:rPr>
      </w:pPr>
    </w:p>
    <w:p>
      <w:pPr>
        <w:ind w:right="160" w:firstLine="162"/>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tabs>
          <w:tab w:leader="none" w:pos="9100" w:val="left"/>
        </w:tabs>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76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w w:val="98"/>
              </w:rPr>
              <w:t>Class</w:t>
            </w:r>
          </w:p>
        </w:tc>
        <w:tc>
          <w:tcPr>
            <w:tcW w:w="132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at May 7, 2026</w:t>
            </w:r>
          </w:p>
        </w:tc>
      </w:tr>
      <w:tr>
        <w:trPr>
          <w:trHeight w:val="208"/>
        </w:trPr>
        <w:tc>
          <w:tcPr>
            <w:tcW w:w="17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320" w:type="dxa"/>
            <w:vAlign w:val="bottom"/>
          </w:tcPr>
          <w:p>
            <w:pPr>
              <w:spacing w:after="0"/>
              <w:rPr>
                <w:sz w:val="20"/>
                <w:szCs w:val="20"/>
                <w:color w:val="auto"/>
              </w:rPr>
            </w:pPr>
            <w:r>
              <w:rPr>
                <w:rFonts w:ascii="Arial" w:cs="Arial" w:eastAsia="Arial" w:hAnsi="Arial"/>
                <w:sz w:val="16"/>
                <w:szCs w:val="16"/>
                <w:color w:val="auto"/>
              </w:rPr>
              <w:t>$0.01 par value</w:t>
            </w:r>
          </w:p>
        </w:tc>
        <w:tc>
          <w:tcPr>
            <w:tcW w:w="4660" w:type="dxa"/>
            <w:vAlign w:val="bottom"/>
          </w:tcPr>
          <w:p>
            <w:pPr>
              <w:spacing w:after="0"/>
              <w:rPr>
                <w:sz w:val="18"/>
                <w:szCs w:val="18"/>
                <w:color w:val="auto"/>
              </w:rPr>
            </w:pPr>
          </w:p>
        </w:tc>
        <w:tc>
          <w:tcPr>
            <w:tcW w:w="3500" w:type="dxa"/>
            <w:vAlign w:val="bottom"/>
          </w:tcPr>
          <w:p>
            <w:pPr>
              <w:jc w:val="right"/>
              <w:ind w:right="1222"/>
              <w:spacing w:after="0"/>
              <w:rPr>
                <w:sz w:val="20"/>
                <w:szCs w:val="20"/>
                <w:color w:val="auto"/>
              </w:rPr>
            </w:pPr>
            <w:r>
              <w:rPr>
                <w:rFonts w:ascii="Arial" w:cs="Arial" w:eastAsia="Arial" w:hAnsi="Arial"/>
                <w:sz w:val="16"/>
                <w:szCs w:val="16"/>
                <w:color w:val="auto"/>
              </w:rPr>
              <w:t>155,096,814</w:t>
            </w:r>
          </w:p>
        </w:tc>
      </w:tr>
      <w:tr>
        <w:trPr>
          <w:trHeight w:val="398"/>
        </w:trPr>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Q1 2026 Form 10-Q</w:t>
            </w:r>
          </w:p>
        </w:tc>
      </w:tr>
      <w:tr>
        <w:trPr>
          <w:trHeight w:val="690"/>
        </w:trPr>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4"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w:t>
      </w:r>
    </w:p>
    <w:p>
      <w:pPr>
        <w:spacing w:after="0" w:line="5"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are subject to certain risks, uncertainties and assumptions, many of which are outside of our control, that could cause actual results to differ materially from those expected or implied by such forward-looking statements and could materially adversely affect our business,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condition, results of operations, cash flows and liquidity.</w:t>
      </w:r>
    </w:p>
    <w:p>
      <w:pPr>
        <w:spacing w:after="0" w:line="9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Important factors and uncertainties that could cause our actual results to differ materially from those in our forward-looking statements include, but are not limited to: government appropriations and termination rights contained in our government contracts; the competitiveness of the markets in which we operate and our ability to renew commercial and government contracts, including contracts awarded through competitive bidding processes; our ability to recover capital and other investments in connection with our contracts; the impact of geopolitical events and geopolitical tensions (such as the war in Ukraine and conflict in the Middle East), macroeconomic conditions, natural disasters and other factors in a particular country or region on our workforce, customers and vendors; our reliance on third-party providers; our ability to deliver on our contractual obligations properly and on time; changes in continued interest in outsourced business process services; the adverse effect of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effects related to our use of artificial intelligence ("AI") on our business;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our investigation of such incident and mitigation and remediation efforts, the nature and extent of such incident, the potential disruption to our business or operations, the potential impact on our reputation, and our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risks related to divestiture transactions, including but not limited to our ability to realize the benefits anticipated from such transactions, and unexpected costs or liabilities in connection with such transactions; the impact of potential goodwill and other asset impairments on our results of operations;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10-Q as well as in our 2025 Annual Report on Form 10-K and any subsequent Quarterly Report on Form 10-Q and Current Report on Form 8-K filed (or furnished) with the Securities and Exchange Commission (the "SEC"). Any forward-looking statements made by us in this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2026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2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5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1269BC"/>
              </w:rPr>
              <w:t>March 31, 2026</w:t>
            </w:r>
          </w:p>
        </w:tc>
        <w:tc>
          <w:tcPr>
            <w:tcW w:w="8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320" w:type="dxa"/>
            <w:vAlign w:val="bottom"/>
          </w:tcPr>
          <w:p>
            <w:pPr>
              <w:spacing w:after="0"/>
              <w:rPr>
                <w:sz w:val="24"/>
                <w:szCs w:val="24"/>
                <w:color w:val="auto"/>
              </w:rPr>
            </w:pPr>
          </w:p>
        </w:tc>
        <w:tc>
          <w:tcPr>
            <w:tcW w:w="8560" w:type="dxa"/>
            <w:vAlign w:val="bottom"/>
          </w:tcPr>
          <w:p>
            <w:pPr>
              <w:ind w:left="334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61"/>
        </w:trPr>
        <w:tc>
          <w:tcPr>
            <w:tcW w:w="1320" w:type="dxa"/>
            <w:vAlign w:val="bottom"/>
            <w:tcBorders>
              <w:bottom w:val="single" w:sz="8" w:color="CCEEFF"/>
            </w:tcBorders>
          </w:tcPr>
          <w:p>
            <w:pPr>
              <w:spacing w:after="0"/>
              <w:rPr>
                <w:sz w:val="24"/>
                <w:szCs w:val="24"/>
                <w:color w:val="auto"/>
              </w:rPr>
            </w:pPr>
          </w:p>
        </w:tc>
        <w:tc>
          <w:tcPr>
            <w:tcW w:w="85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1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 — Financial Information</w:t>
            </w:r>
          </w:p>
        </w:tc>
        <w:tc>
          <w:tcPr>
            <w:tcW w:w="1340" w:type="dxa"/>
            <w:vAlign w:val="bottom"/>
            <w:shd w:val="clear" w:color="auto" w:fill="CCEEFF"/>
          </w:tcPr>
          <w:p>
            <w:pPr>
              <w:spacing w:after="0"/>
              <w:rPr>
                <w:sz w:val="18"/>
                <w:szCs w:val="18"/>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1.</w:t>
            </w:r>
          </w:p>
        </w:tc>
        <w:tc>
          <w:tcPr>
            <w:tcW w:w="8560" w:type="dxa"/>
            <w:vAlign w:val="bottom"/>
          </w:tcPr>
          <w:p>
            <w:pPr>
              <w:ind w:left="20"/>
              <w:spacing w:after="0"/>
              <w:rPr>
                <w:sz w:val="20"/>
                <w:szCs w:val="20"/>
                <w:color w:val="auto"/>
              </w:rPr>
            </w:pPr>
            <w:r>
              <w:rPr>
                <w:rFonts w:ascii="Arial" w:cs="Arial" w:eastAsia="Arial" w:hAnsi="Arial"/>
                <w:sz w:val="18"/>
                <w:szCs w:val="18"/>
                <w:color w:val="0000FF"/>
              </w:rPr>
              <w:t>Financial Statements (Unaudited)</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w:t>
            </w:r>
          </w:p>
        </w:tc>
      </w:tr>
      <w:tr>
        <w:trPr>
          <w:trHeight w:val="229"/>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Statements of Income (Loss)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w:t>
            </w:r>
          </w:p>
        </w:tc>
      </w:tr>
      <w:tr>
        <w:trPr>
          <w:trHeight w:val="230"/>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Condensed Consolidated Statements of Comprehensive Income (Loss)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29"/>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Balance Sheets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5</w:t>
            </w:r>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Condensed Consolidated Statements of Cash Flows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6</w:t>
            </w:r>
          </w:p>
        </w:tc>
      </w:tr>
      <w:tr>
        <w:trPr>
          <w:trHeight w:val="230"/>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Statements of Shareholders' Equity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7</w:t>
            </w:r>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Notes to the Condensed Consolidated Financial Statements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8</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20</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3.</w:t>
            </w:r>
          </w:p>
        </w:tc>
        <w:tc>
          <w:tcPr>
            <w:tcW w:w="8560" w:type="dxa"/>
            <w:vAlign w:val="bottom"/>
          </w:tcPr>
          <w:p>
            <w:pPr>
              <w:ind w:left="20"/>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30</w:t>
            </w:r>
          </w:p>
        </w:tc>
      </w:tr>
      <w:tr>
        <w:trPr>
          <w:trHeight w:val="229"/>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Controls and Procedures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30</w:t>
            </w:r>
          </w:p>
        </w:tc>
      </w:tr>
      <w:tr>
        <w:trPr>
          <w:trHeight w:val="148"/>
        </w:trPr>
        <w:tc>
          <w:tcPr>
            <w:tcW w:w="13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0000FF"/>
              </w:rPr>
              <w:t>Part II — Other</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0000FF"/>
              </w:rPr>
              <w:t>Information</w:t>
            </w:r>
          </w:p>
        </w:tc>
        <w:tc>
          <w:tcPr>
            <w:tcW w:w="1340" w:type="dxa"/>
            <w:vAlign w:val="bottom"/>
            <w:shd w:val="clear" w:color="auto" w:fill="CCEEFF"/>
          </w:tcPr>
          <w:p>
            <w:pPr>
              <w:spacing w:after="0"/>
              <w:rPr>
                <w:sz w:val="19"/>
                <w:szCs w:val="19"/>
                <w:color w:val="auto"/>
              </w:rPr>
            </w:pPr>
          </w:p>
        </w:tc>
      </w:tr>
      <w:tr>
        <w:trPr>
          <w:trHeight w:val="162"/>
        </w:trPr>
        <w:tc>
          <w:tcPr>
            <w:tcW w:w="13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Legal Proceedings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30</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1A.</w:t>
            </w:r>
          </w:p>
        </w:tc>
        <w:tc>
          <w:tcPr>
            <w:tcW w:w="8560" w:type="dxa"/>
            <w:vAlign w:val="bottom"/>
          </w:tcPr>
          <w:p>
            <w:pPr>
              <w:ind w:left="20"/>
              <w:spacing w:after="0"/>
              <w:rPr>
                <w:sz w:val="20"/>
                <w:szCs w:val="20"/>
                <w:color w:val="auto"/>
              </w:rPr>
            </w:pPr>
            <w:r>
              <w:rPr>
                <w:rFonts w:ascii="Arial" w:cs="Arial" w:eastAsia="Arial" w:hAnsi="Arial"/>
                <w:sz w:val="18"/>
                <w:szCs w:val="18"/>
                <w:color w:val="0000FF"/>
              </w:rPr>
              <w:t>Risk Factors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30</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31</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0000FF"/>
              </w:rPr>
              <w:t>Item 3.</w:t>
            </w:r>
          </w:p>
        </w:tc>
        <w:tc>
          <w:tcPr>
            <w:tcW w:w="8560" w:type="dxa"/>
            <w:vAlign w:val="bottom"/>
          </w:tcPr>
          <w:p>
            <w:pPr>
              <w:ind w:left="20"/>
              <w:spacing w:after="0"/>
              <w:rPr>
                <w:sz w:val="20"/>
                <w:szCs w:val="20"/>
                <w:color w:val="auto"/>
              </w:rPr>
            </w:pPr>
            <w:r>
              <w:rPr>
                <w:rFonts w:ascii="Arial" w:cs="Arial" w:eastAsia="Arial" w:hAnsi="Arial"/>
                <w:sz w:val="18"/>
                <w:szCs w:val="18"/>
                <w:color w:val="0000FF"/>
              </w:rPr>
              <w:t>Defaults Upon Senior Securities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31</w:t>
            </w:r>
          </w:p>
        </w:tc>
      </w:tr>
      <w:tr>
        <w:trPr>
          <w:trHeight w:val="229"/>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Mine Safety Disclosures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31</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0000FF"/>
              </w:rPr>
              <w:t>Item 5.</w:t>
            </w:r>
          </w:p>
        </w:tc>
        <w:tc>
          <w:tcPr>
            <w:tcW w:w="8560" w:type="dxa"/>
            <w:vAlign w:val="bottom"/>
          </w:tcPr>
          <w:p>
            <w:pPr>
              <w:ind w:left="20"/>
              <w:spacing w:after="0"/>
              <w:rPr>
                <w:sz w:val="20"/>
                <w:szCs w:val="20"/>
                <w:color w:val="auto"/>
              </w:rPr>
            </w:pPr>
            <w:r>
              <w:rPr>
                <w:rFonts w:ascii="Arial" w:cs="Arial" w:eastAsia="Arial" w:hAnsi="Arial"/>
                <w:sz w:val="18"/>
                <w:szCs w:val="18"/>
                <w:color w:val="0000FF"/>
              </w:rPr>
              <w:t>Other Information</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31</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6.</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Exhibits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32</w:t>
            </w:r>
          </w:p>
        </w:tc>
      </w:tr>
      <w:tr>
        <w:trPr>
          <w:trHeight w:val="247"/>
        </w:trPr>
        <w:tc>
          <w:tcPr>
            <w:tcW w:w="1320" w:type="dxa"/>
            <w:vAlign w:val="bottom"/>
          </w:tcPr>
          <w:p>
            <w:pPr>
              <w:ind w:left="20"/>
              <w:spacing w:after="0"/>
              <w:rPr>
                <w:sz w:val="20"/>
                <w:szCs w:val="20"/>
                <w:color w:val="auto"/>
              </w:rPr>
            </w:pPr>
            <w:r>
              <w:rPr>
                <w:rFonts w:ascii="Arial" w:cs="Arial" w:eastAsia="Arial" w:hAnsi="Arial"/>
                <w:sz w:val="18"/>
                <w:szCs w:val="18"/>
                <w:b w:val="1"/>
                <w:bCs w:val="1"/>
                <w:color w:val="0000FF"/>
              </w:rPr>
              <w:t>Signatures</w:t>
            </w:r>
          </w:p>
        </w:tc>
        <w:tc>
          <w:tcPr>
            <w:tcW w:w="85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33</w:t>
            </w:r>
          </w:p>
        </w:tc>
      </w:tr>
    </w:tbl>
    <w:p>
      <w:pPr>
        <w:spacing w:after="0" w:line="30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PART I —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41"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74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88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2026</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618</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Borders>
              <w:bottom w:val="single" w:sz="8" w:color="CCEEFF"/>
            </w:tcBorders>
          </w:tcPr>
          <w:p>
            <w:pPr>
              <w:spacing w:after="0"/>
              <w:rPr>
                <w:sz w:val="17"/>
                <w:szCs w:val="17"/>
                <w:color w:val="auto"/>
              </w:rPr>
            </w:pPr>
          </w:p>
        </w:tc>
        <w:tc>
          <w:tcPr>
            <w:tcW w:w="8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(income) expenses, net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w:t>
            </w:r>
          </w:p>
        </w:tc>
      </w:tr>
      <w:tr>
        <w:trPr>
          <w:trHeight w:val="143"/>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69"/>
        </w:trPr>
        <w:tc>
          <w:tcPr>
            <w:tcW w:w="20" w:type="dxa"/>
            <w:vAlign w:val="bottom"/>
          </w:tcPr>
          <w:p>
            <w:pPr>
              <w:spacing w:after="0"/>
              <w:rPr>
                <w:sz w:val="14"/>
                <w:szCs w:val="14"/>
                <w:color w:val="auto"/>
              </w:rPr>
            </w:pPr>
          </w:p>
        </w:tc>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01"/>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Net Income (Loss) per Share: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4"/>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r>
      <w:tr>
        <w:trPr>
          <w:trHeight w:val="194"/>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(0.33)</w:t>
            </w: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9"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Three Months Ended</w:t>
      </w:r>
    </w:p>
    <w:p>
      <w:pPr>
        <w:ind w:left="966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7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8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 Net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2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24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March 31, 2026</w:t>
            </w:r>
          </w:p>
        </w:tc>
        <w:tc>
          <w:tcPr>
            <w:tcW w:w="180" w:type="dxa"/>
            <w:vAlign w:val="bottom"/>
          </w:tcPr>
          <w:p>
            <w:pPr>
              <w:spacing w:after="0"/>
              <w:rPr>
                <w:sz w:val="14"/>
                <w:szCs w:val="14"/>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233</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Contract assets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123</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r>
      <w:tr>
        <w:trPr>
          <w:trHeight w:val="192"/>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1,069</w:t>
            </w: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buildings and equipment,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136</w:t>
            </w: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contract costs,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617</w:t>
            </w:r>
          </w:p>
        </w:tc>
      </w:tr>
      <w:tr>
        <w:trPr>
          <w:trHeight w:val="202"/>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r>
      <w:tr>
        <w:trPr>
          <w:trHeight w:val="200"/>
        </w:trPr>
        <w:tc>
          <w:tcPr>
            <w:tcW w:w="20" w:type="dxa"/>
            <w:vAlign w:val="bottom"/>
          </w:tcPr>
          <w:p>
            <w:pPr>
              <w:spacing w:after="0"/>
              <w:rPr>
                <w:sz w:val="17"/>
                <w:szCs w:val="17"/>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22</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173</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Contract liabilities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270</w:t>
            </w: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681</w:t>
            </w:r>
          </w:p>
        </w:tc>
      </w:tr>
      <w:tr>
        <w:trPr>
          <w:trHeight w:val="192"/>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665</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102</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1,570</w:t>
            </w:r>
          </w:p>
        </w:tc>
      </w:tr>
      <w:tr>
        <w:trPr>
          <w:trHeight w:val="197"/>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11)</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Treasury stock, at cost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3,968</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Retained earnings (deficit)</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(2,613)</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Equity</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685</w:t>
            </w: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issued and outstanding</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154,709</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120</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held in treasury</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70,097</w:t>
            </w: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894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0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3"/>
                <w:szCs w:val="13"/>
                <w:color w:val="auto"/>
              </w:rPr>
            </w:pPr>
          </w:p>
        </w:tc>
        <w:tc>
          <w:tcPr>
            <w:tcW w:w="118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187"/>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2"/>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revolving credit facility</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r>
      <w:tr>
        <w:trPr>
          <w:trHeight w:val="199"/>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of revolving credit facility</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of debt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2"/>
        </w:trPr>
        <w:tc>
          <w:tcPr>
            <w:tcW w:w="20" w:type="dxa"/>
            <w:vAlign w:val="bottom"/>
          </w:tcPr>
          <w:p>
            <w:pPr>
              <w:spacing w:after="0"/>
              <w:rPr>
                <w:sz w:val="16"/>
                <w:szCs w:val="16"/>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06"/>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99"/>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377</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spacing w:after="0" w:line="200"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40" w:right="760" w:hanging="332"/>
        <w:spacing w:after="0" w:line="302"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$23 million and $16 million of restricted cash as of March 31, 2026 and 2025, respectively, that were included in Other current assets on the respective Condensed Consolidated Balance Sheets.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ind w:left="440"/>
              <w:spacing w:after="0"/>
              <w:rPr>
                <w:sz w:val="20"/>
                <w:szCs w:val="20"/>
                <w:color w:val="auto"/>
              </w:rPr>
            </w:pPr>
            <w:r>
              <w:rPr>
                <w:rFonts w:ascii="Arial" w:cs="Arial" w:eastAsia="Arial" w:hAnsi="Arial"/>
                <w:sz w:val="13"/>
                <w:szCs w:val="13"/>
                <w:color w:val="auto"/>
              </w:rPr>
              <w:t>Three Months Ended March 31, 2026</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2025</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8"/>
              </w:rPr>
              <w:t>(235)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Buyback of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4"/>
        </w:trPr>
        <w:tc>
          <w:tcPr>
            <w:tcW w:w="20" w:type="dxa"/>
            <w:vAlign w:val="bottom"/>
            <w:tcBorders>
              <w:top w:val="single" w:sz="8" w:color="CCEEFF"/>
            </w:tcBorders>
            <w:shd w:val="clear" w:color="auto" w:fill="CCEEFF"/>
          </w:tcPr>
          <w:p>
            <w:pPr>
              <w:spacing w:after="0"/>
              <w:rPr>
                <w:sz w:val="15"/>
                <w:szCs w:val="15"/>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March 31, 2026</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w w:val="98"/>
              </w:rPr>
              <w:t>(235)</w:t>
            </w:r>
          </w:p>
        </w:tc>
        <w:tc>
          <w:tcPr>
            <w:tcW w:w="100" w:type="dxa"/>
            <w:vAlign w:val="bottom"/>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3,968</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ind w:left="440"/>
              <w:spacing w:after="0"/>
              <w:rPr>
                <w:sz w:val="20"/>
                <w:szCs w:val="20"/>
                <w:color w:val="auto"/>
              </w:rPr>
            </w:pPr>
            <w:r>
              <w:rPr>
                <w:rFonts w:ascii="Arial" w:cs="Arial" w:eastAsia="Arial" w:hAnsi="Arial"/>
                <w:sz w:val="13"/>
                <w:szCs w:val="13"/>
                <w:color w:val="auto"/>
              </w:rPr>
              <w:t>Three Months Ended March 31, 2025</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2024</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8"/>
              </w:rPr>
              <w:t>(210)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6"/>
                <w:szCs w:val="16"/>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2025</w:t>
            </w: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w w:val="98"/>
              </w:rPr>
              <w:t>(210)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jc w:val="right"/>
        <w:ind w:left="2700" w:right="2040" w:hanging="2692"/>
        <w:spacing w:after="0" w:line="382" w:lineRule="auto"/>
        <w:tabs>
          <w:tab w:leader="none" w:pos="314"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10 – Accumulated Other Comprehensive Loss for the components of AOCL. The accompanying notes are an integral part of these Condensed Consolidated Financial Statements.</w:t>
      </w:r>
    </w:p>
    <w:p>
      <w:pPr>
        <w:spacing w:after="0" w:line="1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6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Conduent Incorporated is a New York corporation, organized in 2016. Conduent delivers digital business solutions and services spanning the commercial, government and transportation spectrum – creating valuable outcomes for its clients and the millions of people who count on them. The Company leverages cloud computing, artificial intelligence ("AI"), machine learning, automation and advanced analytics to deliver mission-critical solutions. Through a dedicated global team of approximately 48,000 associates, process expertise and advanced technologies, Conduent's solutions and services digitally transform its clients’ operations to enhance customer experiences, improve performance, increase efficiencies and reduce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71" w:lineRule="exact"/>
        <w:rPr>
          <w:sz w:val="20"/>
          <w:szCs w:val="20"/>
          <w:color w:val="auto"/>
        </w:rPr>
      </w:pPr>
    </w:p>
    <w:p>
      <w:pPr>
        <w:jc w:val="both"/>
        <w:ind w:right="640"/>
        <w:spacing w:after="0" w:line="257"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(the "SEC").</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Accordingly, they do not include all the information and notes required by U.S. GAAP for complete financial statements. The December 31, 2025 Condensed Consolidated Balance Sheet was derived from the audited Consolidated Financial Statements included in the Company's Annual Report on Form 10-K for the year ended December 31, 2025. Certain reclassifications have been made to prior year's amounts to conform to the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Summary of Significant Accounting Policies</w:t>
      </w:r>
    </w:p>
    <w:p>
      <w:pPr>
        <w:spacing w:after="0" w:line="17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Company's significant accounting policies are described in Note 1 – Basis of Presentation and Summary of Significant Accounting Policies in the Company's Annual Report on Form 10-K for the year ended December 31,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During 2026, there have been no changes to the Company's significant accounting policies as described therein.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adopted any new accounting standards in 2026.</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auto"/>
        </w:rPr>
        <w:t xml:space="preserve">Disaggregation of Income Statement Expenses: </w:t>
      </w:r>
      <w:r>
        <w:rPr>
          <w:rFonts w:ascii="Arial" w:cs="Arial" w:eastAsia="Arial" w:hAnsi="Arial"/>
          <w:sz w:val="18"/>
          <w:szCs w:val="18"/>
          <w:color w:val="auto"/>
        </w:rPr>
        <w:t>In November 2024, the Financial Accounting Standards Board ("FASB") issued final</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designed to enhance financial reporting by requiring public business entities to disclose additional details regarding specific expense categories in the notes to the financial statements for both interim and annual periods. The new guidance is effective for annual periods beginning after December 15, 2026 and interim periods beginning after December 15, 2027. The Company is not early adopting this guidance. As the guidance is disclosure related, adoption will not have any impact on the Company's Consolidated Financial Statements.</w:t>
      </w:r>
    </w:p>
    <w:p>
      <w:pPr>
        <w:spacing w:after="0" w:line="1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color w:val="auto"/>
        </w:rPr>
        <w:t xml:space="preserve">Internal-use Software: </w:t>
      </w:r>
      <w:r>
        <w:rPr>
          <w:rFonts w:ascii="Arial" w:cs="Arial" w:eastAsia="Arial" w:hAnsi="Arial"/>
          <w:sz w:val="18"/>
          <w:szCs w:val="18"/>
          <w:color w:val="auto"/>
        </w:rPr>
        <w:t>In September 2025, the FASB issued final guidance designed to modernize the accounting for software costs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accounted for as "internal-use software." This new guidance removes all previous references to project stages. It requires capitalization of software costs when (i) management has authorized and committed to funding the software project and (ii) it is probable that the project will be completed and the software will be used to perform the function intended. The new guidance is effective for annual and interim periods beginning after December 15, 2027. Early adoption is permitted as of the beginning of an annual reporting period. The Company is currently evaluating the impact that this new standard will have on its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1"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color w:val="auto"/>
        </w:rPr>
        <w:t>The following table provides information about disaggregated revenue by major service offering and reportable segment and the timing of revenue recognition. Refer to Note 4 – Segment Reporting for additional information on the Company's reportable segments.</w:t>
      </w:r>
    </w:p>
    <w:p>
      <w:pPr>
        <w:spacing w:after="0" w:line="1"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66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7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2026</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00" w:type="dxa"/>
            <w:vAlign w:val="bottom"/>
            <w:gridSpan w:val="2"/>
          </w:tcPr>
          <w:p>
            <w:pPr>
              <w:ind w:left="120"/>
              <w:spacing w:after="0"/>
              <w:rPr>
                <w:sz w:val="20"/>
                <w:szCs w:val="20"/>
                <w:color w:val="auto"/>
              </w:rPr>
            </w:pPr>
            <w:r>
              <w:rPr>
                <w:rFonts w:ascii="Arial" w:cs="Arial" w:eastAsia="Arial" w:hAnsi="Arial"/>
                <w:sz w:val="14"/>
                <w:szCs w:val="14"/>
                <w:color w:val="auto"/>
              </w:rPr>
              <w:t>BPaaS</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Integrated Digital Solutions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7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Commercial</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Government: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00" w:type="dxa"/>
            <w:vAlign w:val="bottom"/>
            <w:gridSpan w:val="2"/>
          </w:tcPr>
          <w:p>
            <w:pPr>
              <w:ind w:left="120"/>
              <w:spacing w:after="0"/>
              <w:rPr>
                <w:sz w:val="20"/>
                <w:szCs w:val="20"/>
                <w:color w:val="auto"/>
              </w:rPr>
            </w:pPr>
            <w:r>
              <w:rPr>
                <w:rFonts w:ascii="Arial" w:cs="Arial" w:eastAsia="Arial" w:hAnsi="Arial"/>
                <w:sz w:val="14"/>
                <w:szCs w:val="14"/>
                <w:color w:val="auto"/>
              </w:rPr>
              <w:t>Government Healthcare Solutions</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Services Solutions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7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Government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00" w:type="dxa"/>
            <w:vAlign w:val="bottom"/>
            <w:gridSpan w:val="2"/>
          </w:tcPr>
          <w:p>
            <w:pPr>
              <w:ind w:left="120"/>
              <w:spacing w:after="0"/>
              <w:rPr>
                <w:sz w:val="20"/>
                <w:szCs w:val="20"/>
                <w:color w:val="auto"/>
              </w:rPr>
            </w:pPr>
            <w:r>
              <w:rPr>
                <w:rFonts w:ascii="Arial" w:cs="Arial" w:eastAsia="Arial" w:hAnsi="Arial"/>
                <w:sz w:val="14"/>
                <w:szCs w:val="14"/>
                <w:color w:val="auto"/>
              </w:rPr>
              <w:t>Road Usage Charging &amp; Management Solutions</w:t>
            </w:r>
          </w:p>
        </w:tc>
        <w:tc>
          <w:tcPr>
            <w:tcW w:w="2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Transit Solutions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7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Consolidated Revenue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Timing of Revenue Recognition: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00" w:type="dxa"/>
            <w:vAlign w:val="bottom"/>
            <w:gridSpan w:val="2"/>
          </w:tcPr>
          <w:p>
            <w:pPr>
              <w:spacing w:after="0"/>
              <w:rPr>
                <w:sz w:val="20"/>
                <w:szCs w:val="20"/>
                <w:color w:val="auto"/>
              </w:rPr>
            </w:pPr>
            <w:r>
              <w:rPr>
                <w:rFonts w:ascii="Arial" w:cs="Arial" w:eastAsia="Arial" w:hAnsi="Arial"/>
                <w:sz w:val="14"/>
                <w:szCs w:val="14"/>
                <w:color w:val="auto"/>
              </w:rPr>
              <w:t>Point in time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Over time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Contract liabilities include payments received in advance of performance under the contract, which are realized when the associated revenue is recognized under the contract.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significant movements in contract assets (current and long-term)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2026 and 2025:</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2025</w:t>
            </w:r>
          </w:p>
        </w:tc>
      </w:tr>
      <w:tr>
        <w:trPr>
          <w:trHeight w:val="21"/>
        </w:trPr>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98"/>
        </w:trPr>
        <w:tc>
          <w:tcPr>
            <w:tcW w:w="7520" w:type="dxa"/>
            <w:vAlign w:val="bottom"/>
            <w:gridSpan w:val="2"/>
          </w:tcPr>
          <w:p>
            <w:pPr>
              <w:ind w:left="120"/>
              <w:spacing w:after="0"/>
              <w:rPr>
                <w:sz w:val="20"/>
                <w:szCs w:val="20"/>
                <w:color w:val="auto"/>
              </w:rPr>
            </w:pPr>
            <w:r>
              <w:rPr>
                <w:rFonts w:ascii="Arial" w:cs="Arial" w:eastAsia="Arial" w:hAnsi="Arial"/>
                <w:sz w:val="14"/>
                <w:szCs w:val="14"/>
                <w:color w:val="auto"/>
              </w:rPr>
              <w:t>Additional contract assets recognized</w:t>
            </w:r>
          </w:p>
        </w:tc>
        <w:tc>
          <w:tcPr>
            <w:tcW w:w="42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3"/>
        </w:trPr>
        <w:tc>
          <w:tcPr>
            <w:tcW w:w="7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Billed and transferred to Accounts receivable and other</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00"/>
        </w:trPr>
        <w:tc>
          <w:tcPr>
            <w:tcW w:w="7520" w:type="dxa"/>
            <w:vAlign w:val="bottom"/>
            <w:gridSpan w:val="2"/>
          </w:tcPr>
          <w:p>
            <w:pPr>
              <w:spacing w:after="0" w:line="200" w:lineRule="exact"/>
              <w:rPr>
                <w:sz w:val="20"/>
                <w:szCs w:val="20"/>
                <w:color w:val="auto"/>
              </w:rPr>
            </w:pPr>
            <w:r>
              <w:rPr>
                <w:rFonts w:ascii="Arial" w:cs="Arial" w:eastAsia="Arial" w:hAnsi="Arial"/>
                <w:sz w:val="14"/>
                <w:szCs w:val="14"/>
                <w:color w:val="auto"/>
              </w:rPr>
              <w:t>Ending balance</w:t>
            </w:r>
            <w:r>
              <w:rPr>
                <w:rFonts w:ascii="Arial" w:cs="Arial" w:eastAsia="Arial" w:hAnsi="Arial"/>
                <w:sz w:val="18"/>
                <w:szCs w:val="18"/>
                <w:color w:val="auto"/>
                <w:vertAlign w:val="superscript"/>
              </w:rPr>
              <w:t>(1)</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r>
      <w:tr>
        <w:trPr>
          <w:trHeight w:val="21"/>
        </w:trPr>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w:t>
      </w:r>
    </w:p>
    <w:p>
      <w:pPr>
        <w:spacing w:after="0" w:line="20"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Of which $7 million and $6 million are included in Other long-term assets as of March 31, 2026 and 2025, respectively.</w:t>
      </w:r>
    </w:p>
    <w:p>
      <w:pPr>
        <w:spacing w:after="0" w:line="13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provides information about significant movements in contract liabilities balances (current and long-term) for the three months ended March 31, 2026 and 2025:</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2025</w:t>
            </w:r>
          </w:p>
        </w:tc>
      </w:tr>
      <w:tr>
        <w:trPr>
          <w:trHeight w:val="20"/>
        </w:trPr>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98"/>
        </w:trPr>
        <w:tc>
          <w:tcPr>
            <w:tcW w:w="7520" w:type="dxa"/>
            <w:vAlign w:val="bottom"/>
            <w:gridSpan w:val="2"/>
          </w:tcPr>
          <w:p>
            <w:pPr>
              <w:ind w:left="120"/>
              <w:spacing w:after="0"/>
              <w:rPr>
                <w:sz w:val="20"/>
                <w:szCs w:val="20"/>
                <w:color w:val="auto"/>
              </w:rPr>
            </w:pPr>
            <w:r>
              <w:rPr>
                <w:rFonts w:ascii="Arial" w:cs="Arial" w:eastAsia="Arial" w:hAnsi="Arial"/>
                <w:sz w:val="14"/>
                <w:szCs w:val="14"/>
                <w:color w:val="auto"/>
              </w:rPr>
              <w:t>Deferral of income</w:t>
            </w:r>
          </w:p>
        </w:tc>
        <w:tc>
          <w:tcPr>
            <w:tcW w:w="42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7"/>
        </w:trPr>
        <w:tc>
          <w:tcPr>
            <w:tcW w:w="7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Revenue recognized related to deferral of income</w:t>
            </w:r>
            <w:r>
              <w:rPr>
                <w:rFonts w:ascii="Arial" w:cs="Arial" w:eastAsia="Arial" w:hAnsi="Arial"/>
                <w:sz w:val="18"/>
                <w:szCs w:val="18"/>
                <w:color w:val="auto"/>
                <w:vertAlign w:val="superscript"/>
              </w:rPr>
              <w:t>(1)</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96"/>
        </w:trPr>
        <w:tc>
          <w:tcPr>
            <w:tcW w:w="7520" w:type="dxa"/>
            <w:vAlign w:val="bottom"/>
            <w:gridSpan w:val="2"/>
          </w:tcPr>
          <w:p>
            <w:pPr>
              <w:spacing w:after="0" w:line="196" w:lineRule="exact"/>
              <w:rPr>
                <w:sz w:val="20"/>
                <w:szCs w:val="20"/>
                <w:color w:val="auto"/>
              </w:rPr>
            </w:pPr>
            <w:r>
              <w:rPr>
                <w:rFonts w:ascii="Arial" w:cs="Arial" w:eastAsia="Arial" w:hAnsi="Arial"/>
                <w:sz w:val="14"/>
                <w:szCs w:val="14"/>
                <w:color w:val="auto"/>
              </w:rPr>
              <w:t>Ending balance</w:t>
            </w:r>
            <w:r>
              <w:rPr>
                <w:rFonts w:ascii="Arial" w:cs="Arial" w:eastAsia="Arial" w:hAnsi="Arial"/>
                <w:sz w:val="18"/>
                <w:szCs w:val="18"/>
                <w:color w:val="auto"/>
                <w:vertAlign w:val="superscript"/>
              </w:rPr>
              <w:t>(2)</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20"/>
        </w:trPr>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w:t>
      </w:r>
    </w:p>
    <w:p>
      <w:pPr>
        <w:spacing w:after="0" w:line="15" w:lineRule="exact"/>
        <w:rPr>
          <w:sz w:val="20"/>
          <w:szCs w:val="20"/>
          <w:color w:val="auto"/>
        </w:rPr>
      </w:pPr>
    </w:p>
    <w:p>
      <w:pPr>
        <w:ind w:right="60" w:firstLine="8"/>
        <w:spacing w:after="0" w:line="284" w:lineRule="auto"/>
        <w:tabs>
          <w:tab w:leader="none" w:pos="154" w:val="left"/>
        </w:tabs>
        <w:numPr>
          <w:ilvl w:val="0"/>
          <w:numId w:val="6"/>
        </w:numPr>
        <w:rPr>
          <w:rFonts w:ascii="Arial" w:cs="Arial" w:eastAsia="Arial" w:hAnsi="Arial"/>
          <w:sz w:val="9"/>
          <w:szCs w:val="9"/>
          <w:i w:val="1"/>
          <w:iCs w:val="1"/>
          <w:color w:val="auto"/>
        </w:rPr>
      </w:pPr>
      <w:r>
        <w:rPr>
          <w:rFonts w:ascii="Arial" w:cs="Arial" w:eastAsia="Arial" w:hAnsi="Arial"/>
          <w:sz w:val="14"/>
          <w:szCs w:val="14"/>
          <w:i w:val="1"/>
          <w:iCs w:val="1"/>
          <w:color w:val="auto"/>
        </w:rPr>
        <w:t>Of which $37 million and $52 million were recognized during the three months ended March 31, 2026 and 2025, respectively, that related to the Company's contract liabilities as of December 31, 2025 and 2024, respectively.</w:t>
      </w:r>
    </w:p>
    <w:p>
      <w:pPr>
        <w:ind w:left="160" w:hanging="152"/>
        <w:spacing w:after="0"/>
        <w:tabs>
          <w:tab w:leader="none" w:pos="160" w:val="left"/>
        </w:tabs>
        <w:numPr>
          <w:ilvl w:val="0"/>
          <w:numId w:val="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Of which $68 million and $49 million are included in Other long-term liabilities as of March 31, 2026 and 2025,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71"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March 31, 2026 was approximately $1.2 billion. The Company expects to recognize approximately 75% of this revenue over the next two years and the remainder thereafter.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its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spacing w:after="0" w:line="1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Company's CODM evaluates the Company's financial performance based on Segment profit (loss) for its three reportable segments - Commercial, Government and Transportation. The Company's CODM uses Segment profit (loss) information to monitor budget versus actual results and then uses this information to help make informed decisions about future resource investment, potential restructuring of segments to enhance overall company performance, and future divestitures and acquisitions.</w:t>
      </w:r>
    </w:p>
    <w:p>
      <w:pPr>
        <w:spacing w:after="0" w:line="12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Company's CODM does not evaluate operating segments using discrete asset information as a significant portion of the assets is managed at the total company level.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the Company's reportable segments is as follows:</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right="100" w:hanging="332"/>
        <w:spacing w:after="0" w:line="259" w:lineRule="auto"/>
        <w:tabs>
          <w:tab w:leader="none" w:pos="33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that span its clients' businesses end-to-end from the front-office to the back-office for a variety of commercial industries. These solutions are both cross-industry and industry-specific in nature. Across the Commercial segment, the Company operates on its clients’ behalf to deliver mission-critical solutions and services to reduce costs, improve efficiencies and enable revenue growth for the Company's clients and deliver better experiences for their consumers and employees.</w:t>
      </w:r>
    </w:p>
    <w:p>
      <w:pPr>
        <w:spacing w:after="0" w:line="125" w:lineRule="exact"/>
        <w:rPr>
          <w:rFonts w:ascii="Arial" w:cs="Arial" w:eastAsia="Arial" w:hAnsi="Arial"/>
          <w:sz w:val="18"/>
          <w:szCs w:val="18"/>
          <w:b w:val="1"/>
          <w:bCs w:val="1"/>
          <w:color w:val="auto"/>
        </w:rPr>
      </w:pPr>
    </w:p>
    <w:p>
      <w:pPr>
        <w:ind w:left="340" w:right="80" w:hanging="332"/>
        <w:spacing w:after="0" w:line="259"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0066CC"/>
        </w:rPr>
        <w:t xml:space="preserve">Government: </w:t>
      </w:r>
      <w:r>
        <w:rPr>
          <w:rFonts w:ascii="Arial" w:cs="Arial" w:eastAsia="Arial" w:hAnsi="Arial"/>
          <w:sz w:val="18"/>
          <w:szCs w:val="18"/>
          <w:color w:val="000000"/>
        </w:rPr>
        <w:t>The Government segment provides government-centric services and solutions to U.S. federal, state, local and foreign</w:t>
      </w:r>
      <w:r>
        <w:rPr>
          <w:rFonts w:ascii="Arial" w:cs="Arial" w:eastAsia="Arial" w:hAnsi="Arial"/>
          <w:sz w:val="18"/>
          <w:szCs w:val="18"/>
          <w:b w:val="1"/>
          <w:bCs w:val="1"/>
          <w:color w:val="0066CC"/>
        </w:rPr>
        <w:t xml:space="preserve"> </w:t>
      </w:r>
      <w:r>
        <w:rPr>
          <w:rFonts w:ascii="Arial" w:cs="Arial" w:eastAsia="Arial" w:hAnsi="Arial"/>
          <w:sz w:val="18"/>
          <w:szCs w:val="18"/>
          <w:color w:val="000000"/>
        </w:rPr>
        <w:t>governments for public assistance, healthcare programs administration, transaction processing, eligibility and enrollment processing, payment services and case management. In this segment, the Company helps governments respond to changing rules for eligibility and keep pace with increasing citizen expectations, modernize legacy technology systems, combat benefits fraud and adapt to an evolving regulatory environment.</w:t>
      </w:r>
    </w:p>
    <w:p>
      <w:pPr>
        <w:spacing w:after="0" w:line="125" w:lineRule="exact"/>
        <w:rPr>
          <w:rFonts w:ascii="Arial" w:cs="Arial" w:eastAsia="Arial" w:hAnsi="Arial"/>
          <w:sz w:val="18"/>
          <w:szCs w:val="18"/>
          <w:color w:val="auto"/>
        </w:rPr>
      </w:pPr>
    </w:p>
    <w:p>
      <w:pPr>
        <w:ind w:left="340" w:right="360" w:hanging="332"/>
        <w:spacing w:after="0" w:line="259"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government agencies and transportation authorities around the world with</w:t>
      </w:r>
      <w:r>
        <w:rPr>
          <w:rFonts w:ascii="Arial" w:cs="Arial" w:eastAsia="Arial" w:hAnsi="Arial"/>
          <w:sz w:val="18"/>
          <w:szCs w:val="18"/>
          <w:b w:val="1"/>
          <w:bCs w:val="1"/>
          <w:color w:val="0066CC"/>
        </w:rPr>
        <w:t xml:space="preserve"> </w:t>
      </w:r>
      <w:r>
        <w:rPr>
          <w:rFonts w:ascii="Arial" w:cs="Arial" w:eastAsia="Arial" w:hAnsi="Arial"/>
          <w:sz w:val="18"/>
          <w:szCs w:val="18"/>
          <w:color w:val="000000"/>
        </w:rPr>
        <w:t>systems, support and revenue-generating solutions serving toll and fare collections as well as mobility and digital payments that help streamline operations and increase revenue to government transportation agencies. With an expanded focus on sustainability and enhancing the quality of life for citizens and communities around the world, the Company's solutions help reduce congestion and greenhouse emissions, while creating seamless travel experiences for consumers throughout transportation ecosystems.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segments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color w:val="auto"/>
              </w:rPr>
              <w:t>March 31,</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96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3"/>
                <w:szCs w:val="13"/>
                <w:color w:val="auto"/>
              </w:rPr>
            </w:pPr>
          </w:p>
        </w:tc>
        <w:tc>
          <w:tcPr>
            <w:tcW w:w="12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Transportation</w:t>
            </w:r>
          </w:p>
        </w:tc>
        <w:tc>
          <w:tcPr>
            <w:tcW w:w="220" w:type="dxa"/>
            <w:vAlign w:val="bottom"/>
          </w:tcPr>
          <w:p>
            <w:pPr>
              <w:spacing w:after="0"/>
              <w:rPr>
                <w:sz w:val="13"/>
                <w:szCs w:val="13"/>
                <w:color w:val="auto"/>
              </w:rPr>
            </w:pPr>
          </w:p>
        </w:tc>
        <w:tc>
          <w:tcPr>
            <w:tcW w:w="880" w:type="dxa"/>
            <w:vAlign w:val="bottom"/>
          </w:tcPr>
          <w:p>
            <w:pPr>
              <w:jc w:val="right"/>
              <w:ind w:right="268"/>
              <w:spacing w:after="0" w:line="156" w:lineRule="exact"/>
              <w:rPr>
                <w:sz w:val="20"/>
                <w:szCs w:val="20"/>
                <w:color w:val="auto"/>
              </w:rPr>
            </w:pPr>
            <w:r>
              <w:rPr>
                <w:rFonts w:ascii="Arial" w:cs="Arial" w:eastAsia="Arial" w:hAnsi="Arial"/>
                <w:sz w:val="14"/>
                <w:szCs w:val="14"/>
                <w:color w:val="auto"/>
              </w:rPr>
              <w:t>Total</w:t>
            </w:r>
            <w:r>
              <w:rPr>
                <w:rFonts w:ascii="Arial" w:cs="Arial" w:eastAsia="Arial" w:hAnsi="Arial"/>
                <w:sz w:val="18"/>
                <w:szCs w:val="18"/>
                <w:color w:val="auto"/>
                <w:vertAlign w:val="superscript"/>
              </w:rPr>
              <w:t>(1)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52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5960" w:type="dxa"/>
            <w:vAlign w:val="bottom"/>
            <w:gridSpan w:val="3"/>
          </w:tcPr>
          <w:p>
            <w:pPr>
              <w:spacing w:after="0"/>
              <w:rPr>
                <w:sz w:val="20"/>
                <w:szCs w:val="20"/>
                <w:color w:val="auto"/>
              </w:rPr>
            </w:pPr>
            <w:r>
              <w:rPr>
                <w:rFonts w:ascii="Arial" w:cs="Arial" w:eastAsia="Arial" w:hAnsi="Arial"/>
                <w:sz w:val="14"/>
                <w:szCs w:val="14"/>
                <w:color w:val="auto"/>
              </w:rPr>
              <w:t>Segment revenue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723</w:t>
            </w:r>
          </w:p>
        </w:tc>
      </w:tr>
      <w:tr>
        <w:trPr>
          <w:trHeight w:val="98"/>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8"/>
        </w:trPr>
        <w:tc>
          <w:tcPr>
            <w:tcW w:w="20" w:type="dxa"/>
            <w:vAlign w:val="bottom"/>
          </w:tcPr>
          <w:p>
            <w:pPr>
              <w:spacing w:after="0"/>
              <w:rPr>
                <w:sz w:val="17"/>
                <w:szCs w:val="17"/>
                <w:color w:val="auto"/>
              </w:rPr>
            </w:pPr>
          </w:p>
        </w:tc>
        <w:tc>
          <w:tcPr>
            <w:tcW w:w="596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Wages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Services and supplies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Rent lease and maintenance expense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Other operating expense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2"/>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Segment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r>
      <w:tr>
        <w:trPr>
          <w:trHeight w:val="79"/>
        </w:trPr>
        <w:tc>
          <w:tcPr>
            <w:tcW w:w="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198"/>
        </w:trPr>
        <w:tc>
          <w:tcPr>
            <w:tcW w:w="20" w:type="dxa"/>
            <w:vAlign w:val="bottom"/>
          </w:tcPr>
          <w:p>
            <w:pPr>
              <w:spacing w:after="0"/>
              <w:rPr>
                <w:sz w:val="17"/>
                <w:szCs w:val="17"/>
                <w:color w:val="auto"/>
              </w:rPr>
            </w:pPr>
          </w:p>
        </w:tc>
        <w:tc>
          <w:tcPr>
            <w:tcW w:w="5960" w:type="dxa"/>
            <w:vAlign w:val="bottom"/>
            <w:gridSpan w:val="3"/>
          </w:tcPr>
          <w:p>
            <w:pPr>
              <w:spacing w:after="0"/>
              <w:rPr>
                <w:sz w:val="20"/>
                <w:szCs w:val="20"/>
                <w:color w:val="auto"/>
              </w:rPr>
            </w:pPr>
            <w:r>
              <w:rPr>
                <w:rFonts w:ascii="Arial" w:cs="Arial" w:eastAsia="Arial" w:hAnsi="Arial"/>
                <w:sz w:val="14"/>
                <w:szCs w:val="14"/>
                <w:color w:val="auto"/>
              </w:rPr>
              <w:t>Segment profit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99"/>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2025</w:t>
            </w:r>
          </w:p>
        </w:tc>
        <w:tc>
          <w:tcPr>
            <w:tcW w:w="5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r>
      <w:tr>
        <w:trPr>
          <w:trHeight w:val="95"/>
        </w:trPr>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Expenses</w:t>
            </w:r>
            <w:r>
              <w:rPr>
                <w:rFonts w:ascii="Arial" w:cs="Arial" w:eastAsia="Arial" w:hAnsi="Arial"/>
                <w:sz w:val="18"/>
                <w:szCs w:val="18"/>
                <w:color w:val="auto"/>
                <w:vertAlign w:val="superscript"/>
              </w:rPr>
              <w:t>(2)</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Wages and benefits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Services and supplies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98"/>
        </w:trPr>
        <w:tc>
          <w:tcPr>
            <w:tcW w:w="20" w:type="dxa"/>
            <w:vAlign w:val="bottom"/>
          </w:tcPr>
          <w:p>
            <w:pPr>
              <w:spacing w:after="0"/>
              <w:rPr>
                <w:sz w:val="17"/>
                <w:szCs w:val="17"/>
                <w:color w:val="auto"/>
              </w:rPr>
            </w:pPr>
          </w:p>
        </w:tc>
        <w:tc>
          <w:tcPr>
            <w:tcW w:w="5960" w:type="dxa"/>
            <w:vAlign w:val="bottom"/>
            <w:gridSpan w:val="3"/>
          </w:tcPr>
          <w:p>
            <w:pPr>
              <w:ind w:left="340"/>
              <w:spacing w:after="0"/>
              <w:rPr>
                <w:sz w:val="20"/>
                <w:szCs w:val="20"/>
                <w:color w:val="auto"/>
              </w:rPr>
            </w:pPr>
            <w:r>
              <w:rPr>
                <w:rFonts w:ascii="Arial" w:cs="Arial" w:eastAsia="Arial" w:hAnsi="Arial"/>
                <w:sz w:val="14"/>
                <w:szCs w:val="14"/>
                <w:color w:val="auto"/>
              </w:rPr>
              <w:t>Rent lease and maintenance expense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operating expense</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w:t>
            </w:r>
          </w:p>
        </w:tc>
      </w:tr>
      <w:tr>
        <w:trPr>
          <w:trHeight w:val="7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316"/>
        </w:trPr>
        <w:tc>
          <w:tcPr>
            <w:tcW w:w="5860" w:type="dxa"/>
            <w:vAlign w:val="bottom"/>
            <w:gridSpan w:val="3"/>
          </w:tcPr>
          <w:p>
            <w:pPr>
              <w:spacing w:after="0"/>
              <w:rPr>
                <w:sz w:val="20"/>
                <w:szCs w:val="20"/>
                <w:color w:val="auto"/>
              </w:rPr>
            </w:pPr>
            <w:r>
              <w:rPr>
                <w:rFonts w:ascii="Arial" w:cs="Arial" w:eastAsia="Arial" w:hAnsi="Arial"/>
                <w:sz w:val="14"/>
                <w:szCs w:val="14"/>
                <w:color w:val="auto"/>
              </w:rPr>
              <w:t>__________</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1"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Total excludes Unallocated Costs.</w:t>
      </w:r>
    </w:p>
    <w:p>
      <w:pPr>
        <w:spacing w:after="0" w:line="53" w:lineRule="exact"/>
        <w:rPr>
          <w:rFonts w:ascii="Arial" w:cs="Arial" w:eastAsia="Arial" w:hAnsi="Arial"/>
          <w:sz w:val="19"/>
          <w:szCs w:val="19"/>
          <w:i w:val="1"/>
          <w:iCs w:val="1"/>
          <w:color w:val="auto"/>
          <w:vertAlign w:val="superscript"/>
        </w:rPr>
      </w:pPr>
    </w:p>
    <w:p>
      <w:pPr>
        <w:jc w:val="both"/>
        <w:ind w:left="340" w:right="80" w:hanging="332"/>
        <w:spacing w:after="0" w:line="234" w:lineRule="auto"/>
        <w:tabs>
          <w:tab w:leader="none" w:pos="290"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 the first quarter of 2026, the Company revised its methodology for allocating certain technology costs to the expense categories within its reportable segments. The prior year's expenses have been reclassified to conform to the current year's methodology. This update had no impact on total segment expenses by reportable segment or on total expenses by expense category.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 shown above is primarily comprised of third-party legal fees and other miscellaneous expenses.</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2026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Segment profit (loss) to Income (loss) before income taxes:</w:t>
      </w:r>
    </w:p>
    <w:p>
      <w:pPr>
        <w:spacing w:after="0" w:line="101"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Three Months Ended</w:t>
      </w:r>
    </w:p>
    <w:p>
      <w:pPr>
        <w:ind w:left="968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74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2026</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7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62"/>
        </w:trPr>
        <w:tc>
          <w:tcPr>
            <w:tcW w:w="20" w:type="dxa"/>
            <w:vAlign w:val="bottom"/>
          </w:tcPr>
          <w:p>
            <w:pPr>
              <w:spacing w:after="0"/>
              <w:rPr>
                <w:sz w:val="14"/>
                <w:szCs w:val="14"/>
                <w:color w:val="auto"/>
              </w:rPr>
            </w:pPr>
          </w:p>
        </w:tc>
        <w:tc>
          <w:tcPr>
            <w:tcW w:w="8740" w:type="dxa"/>
            <w:vAlign w:val="bottom"/>
            <w:gridSpan w:val="3"/>
          </w:tcPr>
          <w:p>
            <w:pPr>
              <w:spacing w:after="0"/>
              <w:rPr>
                <w:sz w:val="20"/>
                <w:szCs w:val="20"/>
                <w:color w:val="auto"/>
              </w:rPr>
            </w:pPr>
            <w:r>
              <w:rPr>
                <w:rFonts w:ascii="Arial" w:cs="Arial" w:eastAsia="Arial" w:hAnsi="Arial"/>
                <w:sz w:val="14"/>
                <w:szCs w:val="14"/>
                <w:color w:val="auto"/>
              </w:rPr>
              <w:t>Reconciling items: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7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r>
      <w:tr>
        <w:trPr>
          <w:trHeight w:val="198"/>
        </w:trPr>
        <w:tc>
          <w:tcPr>
            <w:tcW w:w="20" w:type="dxa"/>
            <w:vAlign w:val="bottom"/>
          </w:tcPr>
          <w:p>
            <w:pPr>
              <w:spacing w:after="0"/>
              <w:rPr>
                <w:sz w:val="17"/>
                <w:szCs w:val="17"/>
                <w:color w:val="auto"/>
              </w:rPr>
            </w:pPr>
          </w:p>
        </w:tc>
        <w:tc>
          <w:tcPr>
            <w:tcW w:w="8740" w:type="dxa"/>
            <w:vAlign w:val="bottom"/>
            <w:gridSpan w:val="3"/>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Restructuring and related costs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0" w:type="dxa"/>
            <w:vAlign w:val="bottom"/>
          </w:tcPr>
          <w:p>
            <w:pPr>
              <w:spacing w:after="0"/>
              <w:rPr>
                <w:sz w:val="17"/>
                <w:szCs w:val="17"/>
                <w:color w:val="auto"/>
              </w:rPr>
            </w:pPr>
          </w:p>
        </w:tc>
        <w:tc>
          <w:tcPr>
            <w:tcW w:w="8740" w:type="dxa"/>
            <w:vAlign w:val="bottom"/>
            <w:gridSpan w:val="3"/>
          </w:tcPr>
          <w:p>
            <w:pPr>
              <w:ind w:left="1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20" w:type="dxa"/>
            <w:vAlign w:val="bottom"/>
            <w:shd w:val="clear" w:color="auto" w:fill="CCEEFF"/>
          </w:tcPr>
          <w:p>
            <w:pPr>
              <w:spacing w:after="0"/>
              <w:rPr>
                <w:sz w:val="17"/>
                <w:szCs w:val="17"/>
                <w:color w:val="auto"/>
              </w:rPr>
            </w:pPr>
          </w:p>
        </w:tc>
        <w:tc>
          <w:tcPr>
            <w:tcW w:w="8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Gain (loss) on divestitures and transaction costs, net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8"/>
        </w:trPr>
        <w:tc>
          <w:tcPr>
            <w:tcW w:w="20" w:type="dxa"/>
            <w:vAlign w:val="bottom"/>
          </w:tcPr>
          <w:p>
            <w:pPr>
              <w:spacing w:after="0"/>
              <w:rPr>
                <w:sz w:val="17"/>
                <w:szCs w:val="17"/>
                <w:color w:val="auto"/>
              </w:rPr>
            </w:pPr>
          </w:p>
        </w:tc>
        <w:tc>
          <w:tcPr>
            <w:tcW w:w="8740" w:type="dxa"/>
            <w:vAlign w:val="bottom"/>
            <w:gridSpan w:val="3"/>
          </w:tcPr>
          <w:p>
            <w:pPr>
              <w:ind w:left="120"/>
              <w:spacing w:after="0"/>
              <w:rPr>
                <w:sz w:val="20"/>
                <w:szCs w:val="20"/>
                <w:color w:val="auto"/>
              </w:rPr>
            </w:pPr>
            <w:r>
              <w:rPr>
                <w:rFonts w:ascii="Arial" w:cs="Arial" w:eastAsia="Arial" w:hAnsi="Arial"/>
                <w:sz w:val="14"/>
                <w:szCs w:val="14"/>
                <w:color w:val="auto"/>
              </w:rPr>
              <w:t>Litigation (settlements) recoveries, net</w:t>
            </w:r>
          </w:p>
        </w:tc>
        <w:tc>
          <w:tcPr>
            <w:tcW w:w="2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20" w:type="dxa"/>
            <w:vAlign w:val="bottom"/>
            <w:shd w:val="clear" w:color="auto" w:fill="CCEEFF"/>
          </w:tcPr>
          <w:p>
            <w:pPr>
              <w:spacing w:after="0"/>
              <w:rPr>
                <w:sz w:val="17"/>
                <w:szCs w:val="17"/>
                <w:color w:val="auto"/>
              </w:rPr>
            </w:pPr>
          </w:p>
        </w:tc>
        <w:tc>
          <w:tcPr>
            <w:tcW w:w="8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Other income (expenses), net</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20" w:type="dxa"/>
            <w:vAlign w:val="bottom"/>
          </w:tcPr>
          <w:p>
            <w:pPr>
              <w:spacing w:after="0"/>
              <w:rPr>
                <w:sz w:val="17"/>
                <w:szCs w:val="17"/>
                <w:color w:val="auto"/>
              </w:rPr>
            </w:pPr>
          </w:p>
        </w:tc>
        <w:tc>
          <w:tcPr>
            <w:tcW w:w="8740" w:type="dxa"/>
            <w:vAlign w:val="bottom"/>
            <w:gridSpan w:val="3"/>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hanging="332"/>
        <w:spacing w:after="0" w:line="275" w:lineRule="auto"/>
        <w:tabs>
          <w:tab w:leader="none" w:pos="234"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Unallocated Costs includes IT infrastructure costs that are shared by multiple reportable segments, enterprise application costs and certain corporate overhead expenses not directly attributable or allocated to the reportable segments. Included in the three months ended March 31, 2026 period are $4 million of former CEO separation costs and a benefit related to a stock compensation plan change as described in Note 12 – Preferred Stock and Common Stock. Included in the three months ended March 31, 2025 period are $25 million of Direct response costs related to the January 2025 Cyber Event as well as a $9 million insurance recovery related to the 2019 Texas Matter.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5 – Restructuring Programs and Related Costs</w:t>
      </w:r>
    </w:p>
    <w:p>
      <w:pPr>
        <w:spacing w:after="0" w:line="1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 Management continues to evaluate the Company's businesses, and in the future, there may be additional provisions for new plan initiatives and/or changes in previously recorded estimates as payments are made, or actions are completed. Costs associated with restructuring are generally recognized when it has been determined that a liability has been incurred, upon communication to the affected employees or exit from the leased facility.</w:t>
      </w:r>
    </w:p>
    <w:p>
      <w:pPr>
        <w:spacing w:after="0" w:line="129"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 summary of the Company's restructuring program activity in the table below for the three months ended March 31, 2026 and 2025 includes:</w:t>
      </w:r>
    </w:p>
    <w:p>
      <w:pPr>
        <w:spacing w:after="0" w:line="99" w:lineRule="exact"/>
        <w:rPr>
          <w:sz w:val="20"/>
          <w:szCs w:val="20"/>
          <w:color w:val="auto"/>
        </w:rPr>
      </w:pPr>
    </w:p>
    <w:p>
      <w:pPr>
        <w:ind w:left="660" w:right="70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Severance and related costs - employee termination costs, which include severance, retraining and other related contractual benefits;</w:t>
      </w:r>
    </w:p>
    <w:p>
      <w:pPr>
        <w:spacing w:after="0" w:line="44"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Contract termination and other costs - incremental, non-recurring costs related to professional support services associated with the implementation of certain cost reductions and strategic transformation programs and non-lease costs associated with exited lease facilities; and</w:t>
      </w:r>
    </w:p>
    <w:p>
      <w:pPr>
        <w:spacing w:after="0" w:line="62" w:lineRule="exact"/>
        <w:rPr>
          <w:rFonts w:ascii="Arial" w:cs="Arial" w:eastAsia="Arial" w:hAnsi="Arial"/>
          <w:sz w:val="18"/>
          <w:szCs w:val="18"/>
          <w:color w:val="auto"/>
        </w:rPr>
      </w:pPr>
    </w:p>
    <w:p>
      <w:pPr>
        <w:ind w:left="660" w:right="220" w:hanging="328"/>
        <w:spacing w:after="0" w:line="27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Asset impairments - non-cash impairments of operating lease right-of-use ("ROU") assets and associated leasehold improvements related to the reduction of the Company's real estate footprint.</w:t>
      </w: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Severance and Related</w:t>
            </w:r>
          </w:p>
        </w:tc>
        <w:tc>
          <w:tcPr>
            <w:tcW w:w="1840" w:type="dxa"/>
            <w:vAlign w:val="bottom"/>
            <w:gridSpan w:val="3"/>
          </w:tcPr>
          <w:p>
            <w:pPr>
              <w:jc w:val="center"/>
              <w:ind w:right="80"/>
              <w:spacing w:after="0" w:line="145" w:lineRule="exact"/>
              <w:rPr>
                <w:sz w:val="20"/>
                <w:szCs w:val="20"/>
                <w:color w:val="auto"/>
              </w:rPr>
            </w:pPr>
            <w:r>
              <w:rPr>
                <w:rFonts w:ascii="Arial" w:cs="Arial" w:eastAsia="Arial" w:hAnsi="Arial"/>
                <w:sz w:val="14"/>
                <w:szCs w:val="14"/>
                <w:color w:val="auto"/>
              </w:rPr>
              <w:t>Contract Termination and</w:t>
            </w:r>
          </w:p>
        </w:tc>
        <w:tc>
          <w:tcPr>
            <w:tcW w:w="200" w:type="dxa"/>
            <w:vAlign w:val="bottom"/>
          </w:tcPr>
          <w:p>
            <w:pPr>
              <w:spacing w:after="0"/>
              <w:rPr>
                <w:sz w:val="12"/>
                <w:szCs w:val="12"/>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Asset Impairments</w:t>
            </w:r>
          </w:p>
        </w:tc>
        <w:tc>
          <w:tcPr>
            <w:tcW w:w="420" w:type="dxa"/>
            <w:vAlign w:val="bottom"/>
          </w:tcPr>
          <w:p>
            <w:pPr>
              <w:spacing w:after="0"/>
              <w:rPr>
                <w:sz w:val="12"/>
                <w:szCs w:val="12"/>
                <w:color w:val="auto"/>
              </w:rPr>
            </w:pPr>
          </w:p>
        </w:tc>
        <w:tc>
          <w:tcPr>
            <w:tcW w:w="1340" w:type="dxa"/>
            <w:vAlign w:val="bottom"/>
            <w:vMerge w:val="restart"/>
          </w:tcPr>
          <w:p>
            <w:pPr>
              <w:jc w:val="right"/>
              <w:ind w:right="6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Costs</w:t>
            </w:r>
          </w:p>
        </w:tc>
        <w:tc>
          <w:tcPr>
            <w:tcW w:w="4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20" w:type="dxa"/>
            <w:vAlign w:val="bottom"/>
            <w:gridSpan w:val="2"/>
          </w:tcPr>
          <w:p>
            <w:pPr>
              <w:ind w:left="200"/>
              <w:spacing w:after="0"/>
              <w:rPr>
                <w:sz w:val="20"/>
                <w:szCs w:val="20"/>
                <w:color w:val="auto"/>
              </w:rPr>
            </w:pPr>
            <w:r>
              <w:rPr>
                <w:rFonts w:ascii="Arial" w:cs="Arial" w:eastAsia="Arial" w:hAnsi="Arial"/>
                <w:sz w:val="14"/>
                <w:szCs w:val="14"/>
                <w:color w:val="auto"/>
              </w:rPr>
              <w:t>Provision</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1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1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Accrued Balance at March 31, 2026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color w:val="auto"/>
              </w:rPr>
              <w:t>Severance and Related</w:t>
            </w:r>
          </w:p>
        </w:tc>
        <w:tc>
          <w:tcPr>
            <w:tcW w:w="1840" w:type="dxa"/>
            <w:vAlign w:val="bottom"/>
            <w:gridSpan w:val="3"/>
          </w:tcPr>
          <w:p>
            <w:pPr>
              <w:jc w:val="center"/>
              <w:ind w:right="100"/>
              <w:spacing w:after="0"/>
              <w:rPr>
                <w:sz w:val="20"/>
                <w:szCs w:val="20"/>
                <w:color w:val="auto"/>
              </w:rPr>
            </w:pPr>
            <w:r>
              <w:rPr>
                <w:rFonts w:ascii="Arial" w:cs="Arial" w:eastAsia="Arial" w:hAnsi="Arial"/>
                <w:sz w:val="14"/>
                <w:szCs w:val="14"/>
                <w:color w:val="auto"/>
              </w:rPr>
              <w:t>Contract Termination and</w:t>
            </w:r>
          </w:p>
        </w:tc>
        <w:tc>
          <w:tcPr>
            <w:tcW w:w="180" w:type="dxa"/>
            <w:vAlign w:val="bottom"/>
          </w:tcPr>
          <w:p>
            <w:pPr>
              <w:spacing w:after="0"/>
              <w:rPr>
                <w:sz w:val="14"/>
                <w:szCs w:val="14"/>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color w:val="auto"/>
              </w:rPr>
              <w:t>Asset Impairments</w:t>
            </w:r>
          </w:p>
        </w:tc>
        <w:tc>
          <w:tcPr>
            <w:tcW w:w="400" w:type="dxa"/>
            <w:vAlign w:val="bottom"/>
          </w:tcPr>
          <w:p>
            <w:pPr>
              <w:spacing w:after="0"/>
              <w:rPr>
                <w:sz w:val="14"/>
                <w:szCs w:val="14"/>
                <w:color w:val="auto"/>
              </w:rPr>
            </w:pPr>
          </w:p>
        </w:tc>
        <w:tc>
          <w:tcPr>
            <w:tcW w:w="1320" w:type="dxa"/>
            <w:vAlign w:val="bottom"/>
            <w:vMerge w:val="restart"/>
          </w:tcPr>
          <w:p>
            <w:pPr>
              <w:jc w:val="right"/>
              <w:ind w:right="6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2"/>
                <w:szCs w:val="12"/>
                <w:color w:val="auto"/>
              </w:rPr>
            </w:pP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Costs</w:t>
            </w:r>
          </w:p>
        </w:tc>
        <w:tc>
          <w:tcPr>
            <w:tcW w:w="4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6"/>
              </w:rPr>
              <w:t>Other</w:t>
            </w: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20" w:type="dxa"/>
            <w:vAlign w:val="bottom"/>
            <w:gridSpan w:val="2"/>
          </w:tcPr>
          <w:p>
            <w:pPr>
              <w:ind w:left="200"/>
              <w:spacing w:after="0"/>
              <w:rPr>
                <w:sz w:val="20"/>
                <w:szCs w:val="20"/>
                <w:color w:val="auto"/>
              </w:rPr>
            </w:pPr>
            <w:r>
              <w:rPr>
                <w:rFonts w:ascii="Arial" w:cs="Arial" w:eastAsia="Arial" w:hAnsi="Arial"/>
                <w:sz w:val="14"/>
                <w:szCs w:val="14"/>
                <w:color w:val="auto"/>
              </w:rPr>
              <w:t>Provision</w:t>
            </w: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gridSpan w:val="2"/>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9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1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Accrued Balance at March 31, 2025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Condensed Consolidated Statements of Income (Loss) for the periods shown.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 restructuring and related costs are allocated to the segments.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March 31, 2026</w:t>
            </w:r>
          </w:p>
        </w:tc>
        <w:tc>
          <w:tcPr>
            <w:tcW w:w="180" w:type="dxa"/>
            <w:vAlign w:val="bottom"/>
          </w:tcPr>
          <w:p>
            <w:pPr>
              <w:spacing w:after="0"/>
              <w:rPr>
                <w:sz w:val="14"/>
                <w:szCs w:val="14"/>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Revolving credit facility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Senior notes due 2029</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520</w:t>
            </w: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obligations</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r>
      <w:tr>
        <w:trPr>
          <w:trHeight w:val="200"/>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Principal debt balance</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691</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Debt issuance costs and unamortized discounts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Long-term Debt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665</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2026, the Company had $144 million outstanding borrowings under its Revolving Credit Facility. The Company utilized $23 million of the Revolving Credit Facility to issue letters of credit as of March 31, 2026. Additionally, the Company utilized $76 million of the Performance Letter of Credit Facility to issue performance letters of credit as of March 31, 2026. The remaining unused capacity, reflecting total borrowing facility size minus outstanding borrowings and letters of credit, under the Revolving Credit Facility and the Performance Letter of Credit Facility was $190 million and $17 million, respectively, as of March 31, 2026.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2026, the Company was in compliance with all debt covenants related to the borrowings in the table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Financial Instruments</w:t>
      </w:r>
    </w:p>
    <w:p>
      <w:pPr>
        <w:spacing w:after="0" w:line="16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2026 and December 31, 2025, the Company had outstanding forward exchange contracts with gross notional values of $178 million and $163 million, respectively. At March 31, 2026, approximately 75% of these contracts mature within three months, 10% in three to six months, 12% in six to twelve months and 3% in greater than twelve months. Most of these foreign currency derivative contracts are designated as cash flow hedges and did not have a material impact on the Company's condensed consolidated balance sheet, income statement or cash flows for the periods presented.</w:t>
      </w:r>
    </w:p>
    <w:p>
      <w:pPr>
        <w:spacing w:after="0" w:line="12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Refer to Note 8 – Fair Value of Financial Assets and Liabilities for additional information regarding the fair value of the Company's foreign exchange forward contracts.</w:t>
      </w:r>
    </w:p>
    <w:p>
      <w:pPr>
        <w:spacing w:after="0" w:line="200" w:lineRule="exact"/>
        <w:rPr>
          <w:sz w:val="20"/>
          <w:szCs w:val="20"/>
          <w:color w:val="auto"/>
        </w:rPr>
      </w:pPr>
    </w:p>
    <w:p>
      <w:pPr>
        <w:spacing w:after="0" w:line="38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Fair Value of Financial Assets and Liabilities</w:t>
      </w:r>
    </w:p>
    <w:p>
      <w:pPr>
        <w:spacing w:after="0" w:line="16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17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March 31, 2026</w:t>
            </w:r>
          </w:p>
        </w:tc>
        <w:tc>
          <w:tcPr>
            <w:tcW w:w="180" w:type="dxa"/>
            <w:vAlign w:val="bottom"/>
          </w:tcPr>
          <w:p>
            <w:pPr>
              <w:spacing w:after="0"/>
              <w:rPr>
                <w:sz w:val="13"/>
                <w:szCs w:val="13"/>
                <w:color w:val="auto"/>
              </w:rPr>
            </w:pPr>
          </w:p>
        </w:tc>
        <w:tc>
          <w:tcPr>
            <w:tcW w:w="1660" w:type="dxa"/>
            <w:vAlign w:val="bottom"/>
          </w:tcPr>
          <w:p>
            <w:pPr>
              <w:ind w:left="100"/>
              <w:spacing w:after="0" w:line="159" w:lineRule="exact"/>
              <w:rPr>
                <w:sz w:val="20"/>
                <w:szCs w:val="20"/>
                <w:color w:val="auto"/>
              </w:rPr>
            </w:pP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contracts - forward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ind w:left="1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ind w:left="13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 2026</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color w:val="auto"/>
              </w:rPr>
              <w:t>December 31, 2025</w:t>
            </w: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6" w:lineRule="exact"/>
              <w:rPr>
                <w:sz w:val="20"/>
                <w:szCs w:val="20"/>
                <w:color w:val="auto"/>
              </w:rPr>
            </w:pPr>
            <w:r>
              <w:rPr>
                <w:rFonts w:ascii="Arial" w:cs="Arial" w:eastAsia="Arial" w:hAnsi="Arial"/>
                <w:sz w:val="14"/>
                <w:szCs w:val="14"/>
                <w:color w:val="auto"/>
              </w:rPr>
              <w:t>Carrying</w:t>
            </w:r>
          </w:p>
        </w:tc>
        <w:tc>
          <w:tcPr>
            <w:tcW w:w="460" w:type="dxa"/>
            <w:vAlign w:val="bottom"/>
          </w:tcPr>
          <w:p>
            <w:pPr>
              <w:spacing w:after="0"/>
              <w:rPr>
                <w:sz w:val="12"/>
                <w:szCs w:val="12"/>
                <w:color w:val="auto"/>
              </w:rPr>
            </w:pPr>
          </w:p>
        </w:tc>
        <w:tc>
          <w:tcPr>
            <w:tcW w:w="960" w:type="dxa"/>
            <w:vAlign w:val="bottom"/>
            <w:gridSpan w:val="2"/>
          </w:tcPr>
          <w:p>
            <w:pPr>
              <w:jc w:val="center"/>
              <w:ind w:right="560"/>
              <w:spacing w:after="0" w:line="146"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6" w:lineRule="exact"/>
              <w:rPr>
                <w:sz w:val="20"/>
                <w:szCs w:val="20"/>
                <w:color w:val="auto"/>
              </w:rPr>
            </w:pPr>
            <w:r>
              <w:rPr>
                <w:rFonts w:ascii="Arial" w:cs="Arial" w:eastAsia="Arial" w:hAnsi="Arial"/>
                <w:sz w:val="14"/>
                <w:szCs w:val="14"/>
                <w:color w:val="auto"/>
              </w:rPr>
              <w:t>Carrying</w:t>
            </w:r>
          </w:p>
        </w:tc>
        <w:tc>
          <w:tcPr>
            <w:tcW w:w="300" w:type="dxa"/>
            <w:vAlign w:val="bottom"/>
          </w:tcPr>
          <w:p>
            <w:pPr>
              <w:spacing w:after="0"/>
              <w:rPr>
                <w:sz w:val="12"/>
                <w:szCs w:val="12"/>
                <w:color w:val="auto"/>
              </w:rPr>
            </w:pPr>
          </w:p>
        </w:tc>
        <w:tc>
          <w:tcPr>
            <w:tcW w:w="1040" w:type="dxa"/>
            <w:vAlign w:val="bottom"/>
          </w:tcPr>
          <w:p>
            <w:pPr>
              <w:jc w:val="center"/>
              <w:ind w:right="228"/>
              <w:spacing w:after="0" w:line="146" w:lineRule="exact"/>
              <w:rPr>
                <w:sz w:val="20"/>
                <w:szCs w:val="20"/>
                <w:color w:val="auto"/>
              </w:rPr>
            </w:pPr>
            <w:r>
              <w:rPr>
                <w:rFonts w:ascii="Arial" w:cs="Arial" w:eastAsia="Arial" w:hAnsi="Arial"/>
                <w:sz w:val="14"/>
                <w:szCs w:val="14"/>
                <w:color w:val="auto"/>
              </w:rPr>
              <w:t>Fair</w:t>
            </w:r>
          </w:p>
        </w:tc>
      </w:tr>
      <w:tr>
        <w:trPr>
          <w:trHeight w:val="148"/>
        </w:trPr>
        <w:tc>
          <w:tcPr>
            <w:tcW w:w="20" w:type="dxa"/>
            <w:vAlign w:val="bottom"/>
          </w:tcPr>
          <w:p>
            <w:pPr>
              <w:spacing w:after="0"/>
              <w:rPr>
                <w:sz w:val="12"/>
                <w:szCs w:val="12"/>
                <w:color w:val="auto"/>
              </w:rPr>
            </w:pPr>
          </w:p>
        </w:tc>
        <w:tc>
          <w:tcPr>
            <w:tcW w:w="56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Amount</w:t>
            </w:r>
          </w:p>
        </w:tc>
        <w:tc>
          <w:tcPr>
            <w:tcW w:w="460" w:type="dxa"/>
            <w:vAlign w:val="bottom"/>
          </w:tcPr>
          <w:p>
            <w:pPr>
              <w:spacing w:after="0"/>
              <w:rPr>
                <w:sz w:val="12"/>
                <w:szCs w:val="12"/>
                <w:color w:val="auto"/>
              </w:rPr>
            </w:pPr>
          </w:p>
        </w:tc>
        <w:tc>
          <w:tcPr>
            <w:tcW w:w="9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rPr>
              <w:t>Value</w:t>
            </w:r>
          </w:p>
        </w:tc>
        <w:tc>
          <w:tcPr>
            <w:tcW w:w="2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Amount</w:t>
            </w:r>
          </w:p>
        </w:tc>
        <w:tc>
          <w:tcPr>
            <w:tcW w:w="300" w:type="dxa"/>
            <w:vAlign w:val="bottom"/>
          </w:tcPr>
          <w:p>
            <w:pPr>
              <w:spacing w:after="0"/>
              <w:rPr>
                <w:sz w:val="12"/>
                <w:szCs w:val="12"/>
                <w:color w:val="auto"/>
              </w:rPr>
            </w:pPr>
          </w:p>
        </w:tc>
        <w:tc>
          <w:tcPr>
            <w:tcW w:w="1040" w:type="dxa"/>
            <w:vAlign w:val="bottom"/>
          </w:tcPr>
          <w:p>
            <w:pPr>
              <w:jc w:val="center"/>
              <w:ind w:right="208"/>
              <w:spacing w:after="0" w:line="149" w:lineRule="exact"/>
              <w:rPr>
                <w:sz w:val="20"/>
                <w:szCs w:val="20"/>
                <w:color w:val="auto"/>
              </w:rPr>
            </w:pPr>
            <w:r>
              <w:rPr>
                <w:rFonts w:ascii="Arial" w:cs="Arial" w:eastAsia="Arial" w:hAnsi="Arial"/>
                <w:sz w:val="14"/>
                <w:szCs w:val="14"/>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592</w:t>
            </w:r>
          </w:p>
        </w:tc>
      </w:tr>
    </w:tbl>
    <w:p>
      <w:pPr>
        <w:spacing w:after="0" w:line="23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Employee Benefit Plans</w:t>
      </w:r>
    </w:p>
    <w:p>
      <w:pPr>
        <w:spacing w:after="0" w:line="16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has post-retirement pension,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2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Company recognized an expense related to its defined contribution plans of $2 million and $2 million for the three months ended March 31, 2026 and 2025, respectively. The balance sheet and income statement impacts of any remaining defined benefit plans are immaterial for all periods presented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2026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Accumulated Other Comprehensive Loss ("AOCL")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2025</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2026</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21"/>
                <w:szCs w:val="2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2024</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2025</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Contingencies and Litigation</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March 31, 2026.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Condensed Consolidated Financial position or liquidity.</w:t>
      </w:r>
    </w:p>
    <w:p>
      <w:pPr>
        <w:spacing w:after="0" w:line="200" w:lineRule="exact"/>
        <w:rPr>
          <w:sz w:val="20"/>
          <w:szCs w:val="20"/>
          <w:color w:val="auto"/>
        </w:rPr>
      </w:pPr>
    </w:p>
    <w:p>
      <w:pPr>
        <w:spacing w:after="0" w:line="33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1269BC"/>
        </w:rPr>
        <w:t xml:space="preserve">Skyview Capital LLC and Continuum Global Solutions, LLC v. Conduent Business Services, LLC: </w:t>
      </w:r>
      <w:r>
        <w:rPr>
          <w:rFonts w:ascii="Arial" w:cs="Arial" w:eastAsia="Arial" w:hAnsi="Arial"/>
          <w:sz w:val="17"/>
          <w:szCs w:val="17"/>
          <w:color w:val="000000"/>
        </w:rPr>
        <w:t>On February 3, 2020, plaintiffs</w:t>
      </w:r>
      <w:r>
        <w:rPr>
          <w:rFonts w:ascii="Arial" w:cs="Arial" w:eastAsia="Arial" w:hAnsi="Arial"/>
          <w:sz w:val="17"/>
          <w:szCs w:val="17"/>
          <w:b w:val="1"/>
          <w:bCs w:val="1"/>
          <w:i w:val="1"/>
          <w:iCs w:val="1"/>
          <w:color w:val="1269BC"/>
        </w:rPr>
        <w:t xml:space="preserve"> </w:t>
      </w:r>
      <w:r>
        <w:rPr>
          <w:rFonts w:ascii="Arial" w:cs="Arial" w:eastAsia="Arial" w:hAnsi="Arial"/>
          <w:sz w:val="17"/>
          <w:szCs w:val="17"/>
          <w:color w:val="000000"/>
        </w:rPr>
        <w:t>Skyview Capital LLC and Continuum Global Solutions LLC (collectively "Skyview") filed a lawsuit in the Supreme Court of the State of New York, County of New York against Conduent Business Services, LLC ("CBS"), a wholly-owned subsidiary of the Company. The lawsuit relates to the sale of a portion of CBS's select standalone customer care call center business to plaintiffs, which sale closed in February 2019. Under the terms of the sale agreement, CBS received approximately $23 million of promissory notes from plaintiffs (the "Notes"). The lawsuit alleges various causes of action in connection with the acquisition, including: indemnification for breaches of representations and warranties; indemnification for breaches of covenants; and fraud. Plaintiffs alleged that their obligation to mitigate damages and their contractual right of set-off permitted them to withhold and deduct from any amounts that are owed to CBS under the Notes, and plaintiffs sought a judgment that they had no obligation to pay the Notes. On August 20, 2020, CBS filed counterclaims against Skyview seeking the outstanding balance on the Notes, the amounts owed for operating certain Jamaica-based call centers on plaintiffs' behalf pending closing (the "Jamaica Deferred Closing"), other obligations under a transition services agreement and its amendments (the "TSAs"), and late rent payment obligations. CBS also moved to dismiss Skyview’s claims in 2020. In May 2021, the court denied the motion to dismiss and allowed Skyview's claims to proceed. Fact and expert discovery concluded and the parties filed summary judgment motions in July 2023. On December 8, 2023, the court rendered its decision on the parties’ cross-motions for summary judgment, finding there were certain material issues of fact that required trial on Skyview's fraud claim, and also entering partial summary judgment for each side. On January 5, 2024, CBS filed a notice of appeal with the New York Supreme Court, Appellate Division, First Department ("Appellate Division") with respect to the portion of the ruling that did not grant CBS's summary judgment motion in its entirety and that granted certain limited relief in favor of Skyview. On January 23, 2024, Skyview filed its own notice of appeal, challenging the decision granting summary judgment on certain of CBS’s counterclaims.</w:t>
      </w:r>
    </w:p>
    <w:p>
      <w:pPr>
        <w:spacing w:after="0" w:line="3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July 2024, Skyview informed CBS of its intention to sell a portion of its call center business. The parties reached an agreement on August 8, 2024, under which, contemporaneously with the closing of such a transaction, Skyview would pay the outstanding principal plus interest due on the outstanding Notes, fully discharging Skyview's obligations under the Notes, and would pay certain of CBS's litigation costs.</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September 24, 2024, Skyview and the buyer announced a signed and binding asset purchase agreement. Following regulatory review, the transaction closed in December 2024, at which point Skyview paid CBS approximately $33 million, representing all outstanding principal and interest due on the Notes and reimbursement of certain litigation costs. As a result, CBS dismissed its two counterclaims related to the Notes.</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2025, the Appellate Division heard arguments on the parties’ 2024 cross-appeals and issued a ruling in June 2025, finding predominantly in CBS’s favor. Specifically, the Appellate Division reversed the trial court’s denial of summary judgment as to Skyview’s fraud claim and dismissed such claim in its entirety (along with Skyview’s request for punitive damages). In addition, the Appellate Division reversed the grant of summary judgment to Skyview on its breach of contract claim, finding there to be issues of fact for trial. With respect to CBS’s counterclaims, the Appellate Division (i) affirmed the grant of summary judgment on the counterclaims concerning the TSAs and late rent payment amounts and (ii) instructed the trial court to adjudicate the final amount owed by Skyview to CBS on the Jamaica Deferred Closing counterclaim. The Appellate Division further found that the maximum amount that Skyview would have been entitled to set off against its liability on the Notes was $5 million (the contractual indemnification limit set forth in the sale agreement).</w:t>
      </w:r>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trial court accordingly entered judgment of approximately $24 million on the TSA and late rent payment counterclaims on June 23, 2025, with final entry by the County Clerk on August 20, 2025.</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July 3, 2025, Skyview filed a motion to reargue the Appellate Division’s decision and, alternatively, for leave to appeal to the New York Court of Appeals. This motion was denied on September 4, 2025. Conduent is in the process of seeking to collect on the outstanding judgment and is continuing to pursue the amount owed by Skyview to CBS on the Jamaica Deferred Closing counterclaim. No trial date has yet been set.</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CBS continues to deny all of plaintiffs' allegations, believes that it has strong defenses to all plaintiffs’ claims, and will continue to defend the litigation vigorously. The Company is not able to determine or predict the ultimate outcome of this proceeding or reasonably provide an estimate or range of estimates of the possible outcome or loss, if any, in excess of currently recorded reserves.</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January 2025 Cyber Event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and CBS (collectively, “Conduent”) are parties to several lawsuits in the U.S. asserted by or on behalf of individuals who allegedly received a notification letter that their personal information may have been affected by the January 2025 Cyber Event. Most of these lawsuits have been consolidated into one single action in the U.S. District Court, District of New Jersey (</w:t>
      </w:r>
      <w:r>
        <w:rPr>
          <w:rFonts w:ascii="Arial" w:cs="Arial" w:eastAsia="Arial" w:hAnsi="Arial"/>
          <w:sz w:val="18"/>
          <w:szCs w:val="18"/>
          <w:i w:val="1"/>
          <w:iCs w:val="1"/>
          <w:color w:val="auto"/>
        </w:rPr>
        <w:t>In re: Conduent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Services Data Breach Litigation</w:t>
      </w:r>
      <w:r>
        <w:rPr>
          <w:rFonts w:ascii="Arial" w:cs="Arial" w:eastAsia="Arial" w:hAnsi="Arial"/>
          <w:sz w:val="18"/>
          <w:szCs w:val="18"/>
          <w:color w:val="auto"/>
        </w:rPr>
        <w:t>). Conduent continues to work on consolidating these lawsuits and responding accordingly.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complaint was filed by plaintiffs on March 18, 2026, with a response from defendants due in the second or third quarter of 2026. Conduent denies plaintiffs' allegations, believes that it has strong defenses to plaintiffs’ claims, and will continue to defend the litigations vigorously. The Company has also been responding to several subpoenas, information requests, and investigations from certain governmental agencies and other stakeholders. The Company is not able to determine or predict the ultimate outcome or duration of these proceedings or reasonably provide an estimate or range of estimates of the possible outcome or loss, if 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contracts, primarily in the Company's Government and Transportation segments, require the Company to provide a surety bond or a letter of credit as a guarantee of performance. As of March 31, 2026, the Company had $578 million of outstanding surety bonds issued to secure its performance of contractual obligations with its clients and $123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12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 and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Common Stock - Stock Compensation Plan Change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2025, for certain senior executives, the Company changed its Annual Performance Incentive Plan (“APIP”) cash incentive by awarding a portion of the incentive in Performance Stock Units (“PSUs”). In March 2026, the Compensation Committee of the Board of Directors used its discretion under the APIP plan documents to reduce the aggregate 2025 APIP pool and cancel the issuance of these PSUs. The impact of this change reduced compensation expense in the first quarter of 2026 by approximately $3 million and reduced PSUs outstanding by approximately 3.3 million.</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13 – Earnings (Loss)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5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62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620" w:type="dxa"/>
            <w:vAlign w:val="bottom"/>
            <w:gridSpan w:val="2"/>
          </w:tcPr>
          <w:p>
            <w:pPr>
              <w:spacing w:after="0"/>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2026</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4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98"/>
        </w:trPr>
        <w:tc>
          <w:tcPr>
            <w:tcW w:w="20" w:type="dxa"/>
            <w:vAlign w:val="bottom"/>
            <w:tcBorders>
              <w:bottom w:val="single" w:sz="8" w:color="CCEEFF"/>
            </w:tcBorders>
          </w:tcPr>
          <w:p>
            <w:pPr>
              <w:spacing w:after="0"/>
              <w:rPr>
                <w:sz w:val="17"/>
                <w:szCs w:val="17"/>
                <w:color w:val="auto"/>
              </w:rPr>
            </w:pPr>
          </w:p>
        </w:tc>
        <w:tc>
          <w:tcPr>
            <w:tcW w:w="8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8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161,830</w:t>
            </w:r>
          </w:p>
        </w:tc>
      </w:tr>
      <w:tr>
        <w:trPr>
          <w:trHeight w:val="198"/>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620" w:type="dxa"/>
            <w:vAlign w:val="bottom"/>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02"/>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62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(0.33)</w:t>
            </w:r>
          </w:p>
        </w:tc>
      </w:tr>
      <w:tr>
        <w:trPr>
          <w:trHeight w:val="206"/>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92" w:lineRule="exact"/>
        <w:rPr>
          <w:sz w:val="20"/>
          <w:szCs w:val="20"/>
          <w:color w:val="auto"/>
        </w:rPr>
      </w:pPr>
    </w:p>
    <w:p>
      <w:pPr>
        <w:ind w:left="20" w:right="340"/>
        <w:spacing w:after="0" w:line="252"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4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40" w:type="dxa"/>
            <w:vAlign w:val="bottom"/>
          </w:tcPr>
          <w:p>
            <w:pPr>
              <w:jc w:val="right"/>
              <w:spacing w:after="0"/>
              <w:rPr>
                <w:sz w:val="20"/>
                <w:szCs w:val="20"/>
                <w:color w:val="auto"/>
              </w:rPr>
            </w:pPr>
            <w:r>
              <w:rPr>
                <w:rFonts w:ascii="Arial" w:cs="Arial" w:eastAsia="Arial" w:hAnsi="Arial"/>
                <w:sz w:val="14"/>
                <w:szCs w:val="14"/>
                <w:color w:val="auto"/>
              </w:rPr>
              <w:t>13,224</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7,782</w:t>
            </w:r>
          </w:p>
        </w:tc>
      </w:tr>
      <w:tr>
        <w:trPr>
          <w:trHeight w:val="20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r>
      <w:tr>
        <w:trPr>
          <w:trHeight w:val="200"/>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18,617</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13,175</w:t>
            </w:r>
          </w:p>
        </w:tc>
      </w:tr>
      <w:tr>
        <w:trPr>
          <w:trHeight w:val="21"/>
        </w:trPr>
        <w:tc>
          <w:tcPr>
            <w:tcW w:w="8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Supplementary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color w:val="auto"/>
              </w:rPr>
              <w:t>March 31, 2026</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receivable</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Net receivables from buyers of divested businesses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Liabilities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 to vendors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Current operating lease liabilities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Restructuring liabilities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payable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Other taxes payable</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Accrued interest</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Direct response costs - cyber event liabilities</w:t>
            </w:r>
          </w:p>
        </w:tc>
        <w:tc>
          <w:tcPr>
            <w:tcW w:w="240" w:type="dxa"/>
            <w:vAlign w:val="bottom"/>
          </w:tcPr>
          <w:p>
            <w:pPr>
              <w:spacing w:after="0"/>
              <w:rPr>
                <w:sz w:val="17"/>
                <w:szCs w:val="17"/>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Due to factoring counterparty</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5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Internal use software, net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Product software, net</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liabilities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60"/>
        <w:spacing w:after="0" w:line="285"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7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seven sections:</w:t>
      </w:r>
    </w:p>
    <w:p>
      <w:pPr>
        <w:spacing w:after="0" w:line="136"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8"/>
          <w:szCs w:val="18"/>
          <w:color w:val="auto"/>
        </w:rPr>
        <w:t>Overview;</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Critical Accounting Estimates and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Recent Accounting Changes;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153"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deliver digital business solutions and services spanning the commercial, government and transportation spectrum – creating valuable outcomes for our clients and the millions of people who count on them. We leverage cloud computing, artificial intelligence ("AI"), machine learning, automation and advanced analytics to deliver mission-critical solutions. Through a dedicated global team of approximately 48,000 associates, process expertise and advanced technologies, our solutions and services digitally transform our clients’ operations to enhance customer experiences, improve performance, increase efficiencies and reduce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Florham Park, New Jersey, we have operations in 24 countries as of March 31, 2026.</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Our reportable segments correspond to how we organize and manage the business and are aligned to the industries in which our clients operate. These three segments are:</w:t>
      </w:r>
    </w:p>
    <w:p>
      <w:pPr>
        <w:spacing w:after="0" w:line="99" w:lineRule="exact"/>
        <w:rPr>
          <w:sz w:val="20"/>
          <w:szCs w:val="20"/>
          <w:color w:val="auto"/>
        </w:rPr>
      </w:pPr>
    </w:p>
    <w:p>
      <w:pPr>
        <w:ind w:left="340" w:hanging="332"/>
        <w:spacing w:after="0" w:line="262"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services that span our clients' businesses end-to-end from the front-office to the back-office for a variety of commercial industries. These solutions are both cross-industry and industry-specific in nature. Across the Commercial segment, we operate on our clients’ behalf to deliver mission-critical solutions and services to reduce costs, improve efficiencies and enable revenue growth for our clients and deliver better experiences for their consumers and employees.</w:t>
      </w:r>
    </w:p>
    <w:p>
      <w:pPr>
        <w:spacing w:after="0" w:line="122" w:lineRule="exact"/>
        <w:rPr>
          <w:rFonts w:ascii="Arial" w:cs="Arial" w:eastAsia="Arial" w:hAnsi="Arial"/>
          <w:sz w:val="18"/>
          <w:szCs w:val="18"/>
          <w:color w:val="auto"/>
        </w:rPr>
      </w:pPr>
    </w:p>
    <w:p>
      <w:pPr>
        <w:ind w:left="340" w:right="16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w:t>
      </w:r>
      <w:r>
        <w:rPr>
          <w:rFonts w:ascii="Arial" w:cs="Arial" w:eastAsia="Arial" w:hAnsi="Arial"/>
          <w:sz w:val="18"/>
          <w:szCs w:val="18"/>
          <w:color w:val="000000"/>
        </w:rPr>
        <w:t>– Our Government segment provides government-centric services and solutions to U.S. federal, state, local and foreign</w:t>
      </w:r>
      <w:r>
        <w:rPr>
          <w:rFonts w:ascii="Arial" w:cs="Arial" w:eastAsia="Arial" w:hAnsi="Arial"/>
          <w:sz w:val="18"/>
          <w:szCs w:val="18"/>
          <w:b w:val="1"/>
          <w:bCs w:val="1"/>
          <w:color w:val="3051F2"/>
        </w:rPr>
        <w:t xml:space="preserve"> </w:t>
      </w:r>
      <w:r>
        <w:rPr>
          <w:rFonts w:ascii="Arial" w:cs="Arial" w:eastAsia="Arial" w:hAnsi="Arial"/>
          <w:sz w:val="18"/>
          <w:szCs w:val="18"/>
          <w:color w:val="000000"/>
        </w:rPr>
        <w:t>governments for public assistance, healthcare programs administration, transaction processing, eligibility and enrollment processing, payment services and case management. In this segment, we help governments respond to changing rules for eligibility and keep pace with increasing citizen expectations, modernize legacy technology systems, combat benefits fraud and adapt to an evolving regulatory environment.</w:t>
      </w:r>
    </w:p>
    <w:p>
      <w:pPr>
        <w:spacing w:after="0" w:line="125" w:lineRule="exact"/>
        <w:rPr>
          <w:rFonts w:ascii="Arial" w:cs="Arial" w:eastAsia="Arial" w:hAnsi="Arial"/>
          <w:sz w:val="18"/>
          <w:szCs w:val="18"/>
          <w:color w:val="auto"/>
        </w:rPr>
      </w:pPr>
    </w:p>
    <w:p>
      <w:pPr>
        <w:ind w:left="340" w:right="380" w:hanging="332"/>
        <w:spacing w:after="0" w:line="259"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government agencies and transportation authorities around the world with</w:t>
      </w:r>
      <w:r>
        <w:rPr>
          <w:rFonts w:ascii="Arial" w:cs="Arial" w:eastAsia="Arial" w:hAnsi="Arial"/>
          <w:sz w:val="18"/>
          <w:szCs w:val="18"/>
          <w:b w:val="1"/>
          <w:bCs w:val="1"/>
          <w:color w:val="3051F2"/>
        </w:rPr>
        <w:t xml:space="preserve"> </w:t>
      </w:r>
      <w:r>
        <w:rPr>
          <w:rFonts w:ascii="Arial" w:cs="Arial" w:eastAsia="Arial" w:hAnsi="Arial"/>
          <w:sz w:val="18"/>
          <w:szCs w:val="18"/>
          <w:color w:val="000000"/>
        </w:rPr>
        <w:t>systems, support and revenue-generating solutions serving toll and fare collections as well as mobility and digital payments that help streamline operations and increase revenue to government transportation agencies. With an expanded focus on sustainability and enhancing the quality of life for citizens and communities around the world, our solutions help reduce congestion and greenhouse emissions, while creating seamless travel experiences for consumers throughout transportation ecosystems.</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emphasis on growth, quality, and efficiency, launched in 2020 and reinforced in our 2023 investor briefing, continued into the first quarter of 2026 as we build on the progress achieved at the conclusion of our three-year plan. During the quarter, we remained focused on targeted-growth areas within each business, continued advancing our portfolio rationalization strategy, and invested in our solutions to improve operational efficiency and execution. We believe these actions continue to position Conduent as a more agile company with the potential for improved margins, stronger free cash flow, and a more resilient capital structure over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2026 we achieved the following:</w:t>
      </w:r>
    </w:p>
    <w:p>
      <w:pPr>
        <w:spacing w:after="0" w:line="131" w:lineRule="exact"/>
        <w:rPr>
          <w:sz w:val="20"/>
          <w:szCs w:val="20"/>
          <w:color w:val="auto"/>
        </w:rPr>
      </w:pPr>
    </w:p>
    <w:p>
      <w:pPr>
        <w:ind w:left="660" w:right="120" w:hanging="328"/>
        <w:spacing w:after="0" w:line="232" w:lineRule="exact"/>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completed our first Conduent Medicaid Suite implementation for a large Government client, replacing a 24</w:t>
      </w:r>
      <w:r>
        <w:rPr>
          <w:rFonts w:ascii="MS PGothic" w:cs="MS PGothic" w:eastAsia="MS PGothic" w:hAnsi="MS PGothic"/>
          <w:sz w:val="18"/>
          <w:szCs w:val="18"/>
          <w:color w:val="auto"/>
        </w:rPr>
        <w:t>‑</w:t>
      </w:r>
      <w:r>
        <w:rPr>
          <w:rFonts w:ascii="Arial" w:cs="Arial" w:eastAsia="Arial" w:hAnsi="Arial"/>
          <w:sz w:val="18"/>
          <w:szCs w:val="18"/>
          <w:color w:val="auto"/>
        </w:rPr>
        <w:t>year old legacy system with a fully integrated, modern Medicaid platform supporting nearly one million members. This milestone strengthens our Government segment market position and demonstrates our ability to deliver large</w:t>
      </w:r>
      <w:r>
        <w:rPr>
          <w:rFonts w:ascii="MS PGothic" w:cs="MS PGothic" w:eastAsia="MS PGothic" w:hAnsi="MS PGothic"/>
          <w:sz w:val="18"/>
          <w:szCs w:val="18"/>
          <w:color w:val="auto"/>
        </w:rPr>
        <w:t>‑</w:t>
      </w:r>
      <w:r>
        <w:rPr>
          <w:rFonts w:ascii="Arial" w:cs="Arial" w:eastAsia="Arial" w:hAnsi="Arial"/>
          <w:sz w:val="18"/>
          <w:szCs w:val="18"/>
          <w:color w:val="auto"/>
        </w:rPr>
        <w:t>scale, mission</w:t>
      </w:r>
      <w:r>
        <w:rPr>
          <w:rFonts w:ascii="MS PGothic" w:cs="MS PGothic" w:eastAsia="MS PGothic" w:hAnsi="MS PGothic"/>
          <w:sz w:val="18"/>
          <w:szCs w:val="18"/>
          <w:color w:val="auto"/>
        </w:rPr>
        <w:t>‑</w:t>
      </w:r>
      <w:r>
        <w:rPr>
          <w:rFonts w:ascii="Arial" w:cs="Arial" w:eastAsia="Arial" w:hAnsi="Arial"/>
          <w:sz w:val="18"/>
          <w:szCs w:val="18"/>
          <w:color w:val="auto"/>
        </w:rPr>
        <w:t>critical Medicaid system modernizations at scale.</w:t>
      </w:r>
    </w:p>
    <w:p>
      <w:pPr>
        <w:spacing w:after="0" w:line="87"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implemented an intelligent automation solution for a marquee Commercial client, modernizing Explanation of Benefits processing and improving operational efficiency and scalability.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Event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13, 2025, the Company experienced an operational disruption and learned that a threat actor gained unauthorized access to a limited portion of the Company’s environment (the "January 2025 Cyber Event"). Upon detection, the Company activated its cybersecurity response plan with the help of external cybersecurity experts to contain, assess, and remediate the incident. The Company restored the affected systems and returned to normal operations within days, and in some cases, hours. The disruption did not have a material impact to the Company’s operations.</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its investigation, the Company determined that the threat actor exfiltrated a set of files associated with a limited number of the Company’s clients. Due to the complexity of the files, the Company engaged cybersecurity data mining experts to conduct a detailed analysis of the affected files to identify the personal information contained therein. This detailed analysis confirmed that the data sets contained a significant number of individuals’ personal information associated with our clients’ end-users. Upon completion of this time intensive data analysis, the Company notified impacted clients concerning their affected end-users. The Company worked with affected clients to determine next steps as required by federal and state law, including individual and regulatory notifications that began in October 2025 and have been substantially concluded. To the Company’s knowledge, the exfiltrated data has not been released on the dark web or otherwise publicly. The Company has also notified federal law enforcement authorities of the incident.</w:t>
      </w:r>
    </w:p>
    <w:p>
      <w:pPr>
        <w:spacing w:after="0" w:line="13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While the Company did not experience material impacts to its operating environment or costs from the event itself, the Company incurred and accrued $25 million of non-recurring expenses in the first quarter of 2025 related to the event based on the notification requirements described above. We have made cash disbursements of $25 million through March 31, 2026 related to this matter. Any expense in excess of these amounts up to the coverage limit are anticipated to be covered by the cyber insurance policy that the Company maintains.</w:t>
      </w:r>
    </w:p>
    <w:p>
      <w:pPr>
        <w:spacing w:after="0" w:line="12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It is possible that future risks and uncertainties resulting from the January 2025 Cyber Event, including those related to impacted data, litigation, reputational harm, and regulatory actions, could adversely affect the Company’s financial condition or results of operations. See also Part I, Item 1A of the Company's Annual Report on Form 10-K for the year ended December 31, 2025 (Risk Factors).</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Information and Analysis of Results of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2026 vs. 2025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Revenue for the three months ended March 31, 2026 decreased compared to the prior year period, primarily driven by lost business and lower volumes in our Commercial segment, partially offset by new business ramp, particularly in our Government and Transportation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71"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Cost of services for the three months ended March 31, 2026 decreased compared to the prior year period, primarily driven by lower expenses associated with reduced revenues and cost optimization initiatives.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SG&amp;A for the three months ended March 31, 2026 decreased year over year, primarily driven by non-recurring items in the first quarter of 2025. These items included the $25 million of direct response costs related to the January 2025 Cyber Event and the $9 million benefit from the recovery of legal costs from one of our insurance carriers related to the previously disclosed State of Texas matter that settled in February 2019. In addition, cost efficiencies in our corporate functions in the current year and lower healthcare costs due to lower U.S. headcount contributed to the decrease. The current year period SG&amp;A included two offsetting items. Separation costs of approximately $4 million related to the departure of our former Chief Executive Officer were offset by an approximate $3 million net benefit related to our 2025 Annual Performance Incentive Plan ("APIP") as described in Note 12 – Preferred Stock and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for the three months ended March 31, 2026 was substantially unchanged compared to the prior year period.</w:t>
      </w:r>
    </w:p>
    <w:p>
      <w:pPr>
        <w:spacing w:after="0" w:line="200" w:lineRule="exact"/>
        <w:rPr>
          <w:sz w:val="20"/>
          <w:szCs w:val="20"/>
          <w:color w:val="auto"/>
        </w:rPr>
      </w:pPr>
    </w:p>
    <w:p>
      <w:pPr>
        <w:spacing w:after="0" w:line="38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7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ind w:left="9060"/>
        <w:spacing w:after="0" w:line="229" w:lineRule="auto"/>
        <w:rPr>
          <w:sz w:val="20"/>
          <w:szCs w:val="20"/>
          <w:color w:val="auto"/>
        </w:rPr>
      </w:pPr>
      <w:r>
        <w:rPr>
          <w:rFonts w:ascii="Arial" w:cs="Arial" w:eastAsia="Arial" w:hAnsi="Arial"/>
          <w:sz w:val="14"/>
          <w:szCs w:val="14"/>
          <w:color w:val="auto"/>
        </w:rPr>
        <w:t>Three Months Ended</w:t>
      </w:r>
    </w:p>
    <w:p>
      <w:pPr>
        <w:ind w:left="944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2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4"/>
                <w:szCs w:val="14"/>
                <w:color w:val="auto"/>
              </w:rPr>
              <w:t>Contract termination and other costs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3"/>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 impairments</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4"/>
                <w:szCs w:val="14"/>
                <w:color w:val="auto"/>
              </w:rPr>
              <w:t>Restructuring and related costs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Refer to Note 5 – Restructuring Programs and Related Costs to the Condensed Consolidated Financial Statements for additional information regarding our restructuring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71" w:lineRule="exact"/>
        <w:rPr>
          <w:sz w:val="20"/>
          <w:szCs w:val="20"/>
          <w:color w:val="auto"/>
        </w:rPr>
      </w:pPr>
    </w:p>
    <w:p>
      <w:pPr>
        <w:jc w:val="both"/>
        <w:ind w:right="300"/>
        <w:spacing w:after="0" w:line="287" w:lineRule="auto"/>
        <w:rPr>
          <w:sz w:val="20"/>
          <w:szCs w:val="20"/>
          <w:color w:val="auto"/>
        </w:rPr>
      </w:pPr>
      <w:r>
        <w:rPr>
          <w:rFonts w:ascii="Arial" w:cs="Arial" w:eastAsia="Arial" w:hAnsi="Arial"/>
          <w:sz w:val="18"/>
          <w:szCs w:val="18"/>
          <w:color w:val="auto"/>
        </w:rPr>
        <w:t>Interest expense represents interest on long-term debt and the amortization of debt issuance costs. Interest expense for the three months ended March 31, 2026 was unchanged, compared to the prior year period due to comparable average debt balances and interest rates.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71"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(Gain) loss on divestitures and transaction costs include professional fees and other costs related to consummated and certain other non-consummated transactions considered by the Company related to its portfolio rationalization activities. The amount of these costs for the three months ended March 31, 2026 was unchanged, compared to the prior 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Litigation settlements (recoveries), net for the three months ended March 31, 2026 and 2025 were not 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(Income) Expenses, Net</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Other (income) expenses, net for the three months ended March 31, 2026 and 2025 primarily include interest income on cash investments, accounts receivable factoring fees and foreign currency transaction losses (gains).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effective tax rate for the three months ended March 31, 2026 was (21.5)%, compared to 9.0% for the three months ended March 31, 2025. The March 31, 2026 rate was lower than the U.S. statutory rate of 21%, primarily due to geographic mix of income, valuation allowances recorded on net deferred tax assets and discrete tax items. The effective tax rate for the three months ended March 31, 2025 was lower than the U.S. statutory rate of 21%, primarily due to incremental tax from geographic mix, valuation allowances recorded on net deferred tax assets and discrete tax items.</w:t>
      </w:r>
    </w:p>
    <w:p>
      <w:pPr>
        <w:spacing w:after="0" w:line="12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Excluding the impact of restructuring, former CEO separation costs, divestiture-related transaction costs, other expenses, amortization, valuation allowances and discrete tax items, the normalized effective tax rate for the three months ended March 31, 2026 was 25.7%. The normalized effective tax rate for the three months ended March 31, 2025 was largely consistent at 23.9%, primarily due to excluding the impact of amortization, restructuring, divestitures, reserves for the Direct response costs - cyber event, valuation allowances and discrete tax items.</w:t>
      </w:r>
    </w:p>
    <w:p>
      <w:pPr>
        <w:spacing w:after="0" w:line="123"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In 2021, the Organization for Economic Cooperation and Development released model rules for a 15% global minimum tax, known as Pillar Two. This alternative minimum tax is treated as a period cost beginning in 2024 and does not have a material impact on our financial results of operations for the current period. We continue to monitor legislative developments, as well as additional guidance from countries that have enacted legislation.</w:t>
      </w:r>
    </w:p>
    <w:p>
      <w:pPr>
        <w:spacing w:after="0" w:line="200" w:lineRule="exact"/>
        <w:rPr>
          <w:sz w:val="20"/>
          <w:szCs w:val="20"/>
          <w:color w:val="auto"/>
        </w:rPr>
      </w:pPr>
    </w:p>
    <w:p>
      <w:pPr>
        <w:spacing w:after="0" w:line="33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 (Loss) for the following three segments:</w:t>
      </w:r>
    </w:p>
    <w:p>
      <w:pPr>
        <w:spacing w:after="0" w:line="63"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9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We also present Segment Adjusted Earnings before Interest, Taxes, Depreciation and Amortization ("Adjusted EBITDA") and Adjusted EBITDA Margin for the reasons described in Non-GAAP Financial Measures section of the MD&amp;A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Results of our financial performance were: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March 31,</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6"/>
                <w:szCs w:val="16"/>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Government</w:t>
            </w:r>
          </w:p>
        </w:tc>
        <w:tc>
          <w:tcPr>
            <w:tcW w:w="240" w:type="dxa"/>
            <w:vAlign w:val="bottom"/>
          </w:tcPr>
          <w:p>
            <w:pPr>
              <w:spacing w:after="0"/>
              <w:rPr>
                <w:sz w:val="16"/>
                <w:szCs w:val="16"/>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Transportation</w:t>
            </w:r>
          </w:p>
        </w:tc>
        <w:tc>
          <w:tcPr>
            <w:tcW w:w="12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color w:val="auto"/>
              </w:rPr>
              <w:t>Total</w:t>
            </w: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(in millions)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gridSpan w:val="3"/>
            <w:shd w:val="clear" w:color="auto" w:fill="CCEEFF"/>
          </w:tcPr>
          <w:p>
            <w:pPr>
              <w:ind w:left="60"/>
              <w:spacing w:after="0" w:line="159" w:lineRule="exact"/>
              <w:rPr>
                <w:sz w:val="20"/>
                <w:szCs w:val="20"/>
                <w:color w:val="auto"/>
              </w:rPr>
            </w:pPr>
            <w:r>
              <w:rPr>
                <w:rFonts w:ascii="Arial" w:cs="Arial" w:eastAsia="Arial" w:hAnsi="Arial"/>
                <w:sz w:val="14"/>
                <w:szCs w:val="14"/>
                <w:color w:val="auto"/>
              </w:rPr>
              <w:t>Reportable Segments</w:t>
            </w: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178"/>
        </w:trPr>
        <w:tc>
          <w:tcPr>
            <w:tcW w:w="20" w:type="dxa"/>
            <w:vAlign w:val="bottom"/>
            <w:tcBorders>
              <w:top w:val="single" w:sz="8" w:color="CCEEFF"/>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2026</w:t>
            </w:r>
          </w:p>
        </w:tc>
        <w:tc>
          <w:tcPr>
            <w:tcW w:w="36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1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CCEEFF"/>
            </w:tcBorders>
          </w:tcPr>
          <w:p>
            <w:pPr>
              <w:spacing w:after="0"/>
              <w:rPr>
                <w:sz w:val="15"/>
                <w:szCs w:val="15"/>
                <w:color w:val="auto"/>
              </w:rPr>
            </w:pPr>
          </w:p>
        </w:tc>
        <w:tc>
          <w:tcPr>
            <w:tcW w:w="114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480" w:type="dxa"/>
            <w:vAlign w:val="bottom"/>
            <w:tcBorders>
              <w:top w:val="single" w:sz="8" w:color="CCEEFF"/>
              <w:bottom w:val="single" w:sz="8" w:color="CCEEFF"/>
            </w:tcBorders>
          </w:tcPr>
          <w:p>
            <w:pPr>
              <w:spacing w:after="0"/>
              <w:rPr>
                <w:sz w:val="15"/>
                <w:szCs w:val="15"/>
                <w:color w:val="auto"/>
              </w:rPr>
            </w:pPr>
          </w:p>
        </w:tc>
        <w:tc>
          <w:tcPr>
            <w:tcW w:w="7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CCEEFF"/>
              <w:bottom w:val="single" w:sz="8" w:color="CCEEFF"/>
            </w:tcBorders>
          </w:tcPr>
          <w:p>
            <w:pPr>
              <w:spacing w:after="0"/>
              <w:rPr>
                <w:sz w:val="15"/>
                <w:szCs w:val="15"/>
                <w:color w:val="auto"/>
              </w:rPr>
            </w:pPr>
          </w:p>
        </w:tc>
        <w:tc>
          <w:tcPr>
            <w:tcW w:w="940" w:type="dxa"/>
            <w:vAlign w:val="bottom"/>
            <w:tcBorders>
              <w:top w:val="single" w:sz="8" w:color="CCEEFF"/>
              <w:bottom w:val="single" w:sz="8" w:color="CCEEFF"/>
            </w:tcBorders>
          </w:tcPr>
          <w:p>
            <w:pPr>
              <w:spacing w:after="0"/>
              <w:rPr>
                <w:sz w:val="15"/>
                <w:szCs w:val="15"/>
                <w:color w:val="auto"/>
              </w:rPr>
            </w:pPr>
          </w:p>
        </w:tc>
      </w:tr>
      <w:tr>
        <w:trPr>
          <w:trHeight w:val="200"/>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361</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136</w:t>
            </w:r>
          </w:p>
        </w:tc>
        <w:tc>
          <w:tcPr>
            <w:tcW w:w="6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723</w:t>
            </w: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22</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47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6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07"/>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6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w:t>
            </w:r>
          </w:p>
        </w:tc>
      </w:tr>
      <w:tr>
        <w:trPr>
          <w:trHeight w:val="203"/>
        </w:trPr>
        <w:tc>
          <w:tcPr>
            <w:tcW w:w="20" w:type="dxa"/>
            <w:vAlign w:val="bottom"/>
          </w:tcPr>
          <w:p>
            <w:pPr>
              <w:spacing w:after="0"/>
              <w:rPr>
                <w:sz w:val="17"/>
                <w:szCs w:val="17"/>
                <w:color w:val="auto"/>
              </w:rPr>
            </w:pPr>
          </w:p>
        </w:tc>
        <w:tc>
          <w:tcPr>
            <w:tcW w:w="4260" w:type="dxa"/>
            <w:vAlign w:val="bottom"/>
            <w:gridSpan w:val="2"/>
          </w:tcPr>
          <w:p>
            <w:pPr>
              <w:spacing w:after="0" w:line="202" w:lineRule="exact"/>
              <w:rPr>
                <w:sz w:val="20"/>
                <w:szCs w:val="20"/>
                <w:color w:val="auto"/>
              </w:rPr>
            </w:pPr>
            <w:r>
              <w:rPr>
                <w:rFonts w:ascii="Arial" w:cs="Arial" w:eastAsia="Arial" w:hAnsi="Arial"/>
                <w:sz w:val="14"/>
                <w:szCs w:val="14"/>
                <w:color w:val="auto"/>
              </w:rPr>
              <w:t>Other adjustments</w:t>
            </w:r>
            <w:r>
              <w:rPr>
                <w:rFonts w:ascii="Arial" w:cs="Arial" w:eastAsia="Arial" w:hAnsi="Arial"/>
                <w:sz w:val="18"/>
                <w:szCs w:val="18"/>
                <w:color w:val="auto"/>
                <w:vertAlign w:val="superscript"/>
              </w:rPr>
              <w:t>(1)</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w:t>
            </w:r>
          </w:p>
        </w:tc>
      </w:tr>
      <w:tr>
        <w:trPr>
          <w:trHeight w:val="203"/>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6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49.9 %</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18.8 %</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11.9 %</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26.1 %</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6.8 %</w:t>
            </w:r>
          </w:p>
        </w:tc>
      </w:tr>
      <w:tr>
        <w:trPr>
          <w:trHeight w:val="274"/>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2025</w:t>
            </w:r>
          </w:p>
        </w:tc>
        <w:tc>
          <w:tcPr>
            <w:tcW w:w="3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Revenue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402</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133</w:t>
            </w:r>
          </w:p>
        </w:tc>
        <w:tc>
          <w:tcPr>
            <w:tcW w:w="6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751</w:t>
            </w: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16</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28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6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(36)</w:t>
            </w:r>
          </w:p>
        </w:tc>
      </w:tr>
      <w:tr>
        <w:trPr>
          <w:trHeight w:val="207"/>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6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w:t>
            </w:r>
          </w:p>
        </w:tc>
      </w:tr>
      <w:tr>
        <w:trPr>
          <w:trHeight w:val="198"/>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Direct response costs - cyber event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25</w:t>
            </w:r>
          </w:p>
        </w:tc>
      </w:tr>
      <w:tr>
        <w:trPr>
          <w:trHeight w:val="207"/>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6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53.5 %</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28.8 %</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17.7 %</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4"/>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10.0 %</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17.6 %</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4.5 %</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4.9 %</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_____</w:t>
      </w:r>
    </w:p>
    <w:p>
      <w:pPr>
        <w:spacing w:after="0" w:line="24"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Other adjustments in 2026 consist of former CEO separation costs.</w:t>
      </w:r>
    </w:p>
    <w:p>
      <w:pPr>
        <w:spacing w:after="0" w:line="37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800" w:type="dxa"/>
            <w:vAlign w:val="bottom"/>
            <w:gridSpan w:val="2"/>
            <w:vMerge w:val="restart"/>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right"/>
              <w:ind w:right="62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78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March 31,</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Adjusted EBITDA and Segment Profit (Loss) Reconciliation to Income (Loss) Before Income Taxes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540" w:type="dxa"/>
            <w:vAlign w:val="bottom"/>
            <w:tcBorders>
              <w:bottom w:val="single" w:sz="8" w:color="CCEEFF"/>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85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540" w:type="dxa"/>
            <w:vAlign w:val="bottom"/>
            <w:gridSpan w:val="3"/>
          </w:tcPr>
          <w:p>
            <w:pPr>
              <w:spacing w:after="0"/>
              <w:rPr>
                <w:sz w:val="20"/>
                <w:szCs w:val="20"/>
                <w:color w:val="auto"/>
              </w:rPr>
            </w:pPr>
            <w:r>
              <w:rPr>
                <w:rFonts w:ascii="Arial" w:cs="Arial" w:eastAsia="Arial" w:hAnsi="Arial"/>
                <w:sz w:val="14"/>
                <w:szCs w:val="14"/>
                <w:color w:val="auto"/>
              </w:rPr>
              <w:t>Reconciling items: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5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gridSpan w:val="3"/>
          </w:tcPr>
          <w:p>
            <w:pPr>
              <w:ind w:left="220"/>
              <w:spacing w:after="0"/>
              <w:rPr>
                <w:sz w:val="20"/>
                <w:szCs w:val="20"/>
                <w:color w:val="auto"/>
              </w:rPr>
            </w:pPr>
            <w:r>
              <w:rPr>
                <w:rFonts w:ascii="Arial" w:cs="Arial" w:eastAsia="Arial" w:hAnsi="Arial"/>
                <w:sz w:val="14"/>
                <w:szCs w:val="14"/>
                <w:color w:val="auto"/>
              </w:rPr>
              <w:t>Direct response costs - cyber event</w:t>
            </w: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Other adjustments</w:t>
            </w:r>
            <w:r>
              <w:rPr>
                <w:rFonts w:ascii="Arial" w:cs="Arial" w:eastAsia="Arial" w:hAnsi="Arial"/>
                <w:sz w:val="18"/>
                <w:szCs w:val="18"/>
                <w:color w:val="auto"/>
                <w:vertAlign w:val="superscript"/>
              </w:rPr>
              <w:t>(1)</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540" w:type="dxa"/>
            <w:vAlign w:val="bottom"/>
            <w:gridSpan w:val="3"/>
          </w:tcPr>
          <w:p>
            <w:pPr>
              <w:spacing w:after="0"/>
              <w:rPr>
                <w:sz w:val="20"/>
                <w:szCs w:val="20"/>
                <w:color w:val="auto"/>
              </w:rPr>
            </w:pPr>
            <w:r>
              <w:rPr>
                <w:rFonts w:ascii="Arial" w:cs="Arial" w:eastAsia="Arial" w:hAnsi="Arial"/>
                <w:sz w:val="14"/>
                <w:szCs w:val="14"/>
                <w:b w:val="1"/>
                <w:bCs w:val="1"/>
                <w:color w:val="auto"/>
              </w:rPr>
              <w:t>Segment Profit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Reconciling items:</w:t>
            </w:r>
          </w:p>
        </w:tc>
        <w:tc>
          <w:tcPr>
            <w:tcW w:w="7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gridSpan w:val="3"/>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5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Restructuring and related costs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gridSpan w:val="3"/>
          </w:tcPr>
          <w:p>
            <w:pPr>
              <w:ind w:left="20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5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40" w:type="dxa"/>
            <w:vAlign w:val="bottom"/>
            <w:gridSpan w:val="3"/>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5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540" w:type="dxa"/>
            <w:vAlign w:val="bottom"/>
            <w:gridSpan w:val="3"/>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w:t>
      </w:r>
    </w:p>
    <w:p>
      <w:pPr>
        <w:spacing w:after="0" w:line="20"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Other adjustments in 2026 consist of former CEO separation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Commercial revenue for the three months ended March 31, 2026 decreased by 10% compared to the prior year period, primarily driven by contract losses and lower volumes, partially offset by new business ramp.</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Commercial segment profit and adjusted EBITDA for the three months ended March 31, 2026 increased, compared to the prior year period, primarily driven by cost efficiencies implemented in the second half of the prior year, including lower fixed technology overhead, partially offset by the revenue drivers noted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Government revenue for the three months ended March 31, 2026 increased, compared to the prior year period, primarily driven by the ramp of new business, price increases, and a discrete benefit recognized during the quarter. The prior year also reflected discrete negative impacts from the establishment of reserves for service level disputes in the first quarter of 2025. These favorable items were partially offset by lost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Government segment profit and adjusted EBITDA for the three months ended March 31, 2026 increased, compared to the prior year period, primarily due to the revenue drivers noted above, as well as cost efficiencies and continued lower expenses in our Government Services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Transportation revenue for the three months ended March 31, 2026 increased modestly compared to the prior year period, primarily driven by increased volumes, favorable exchange rate movements and new business ramp. These increases were partially offset by lost business and the absence of discrete incremental revenue recognized in the prior year period related to the go-live of our congestion charging back-office solution under a Road Usage Charging contract.</w:t>
      </w:r>
    </w:p>
    <w:p>
      <w:pPr>
        <w:spacing w:after="0" w:line="200" w:lineRule="exact"/>
        <w:rPr>
          <w:sz w:val="20"/>
          <w:szCs w:val="20"/>
          <w:color w:val="auto"/>
        </w:rPr>
      </w:pPr>
    </w:p>
    <w:p>
      <w:pPr>
        <w:spacing w:after="0" w:line="32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Transportation segment profit and adjusted EBITDA for the three months ended March 31, 2026 decreased compared to the prior year period, primarily driven by the absence of the discrete revenue recognized in the prior year period noted above, which had no significant associated costs, as well as higher expenses associated with this contract in the current period, partially offset by the revenue drivers noted above.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Unallocated Costs for the three months ended March 31, 2026 were favorable, compared to the prior year period, primarily driven by the absence of non-recurring items recognized in the prior year, including direct response costs related to the January 2025 Cyber Event and the recovery of legal costs from an insurance carrier related to the previously disclosed State of Texas matter, as well as cost efficiencies in our corporate functions.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Metrics</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present certain key metrics, including Signings and ACV Activity as defined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months ended March 31, 2026 and 2025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2026 vs. 2025</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60" w:type="dxa"/>
            <w:vAlign w:val="bottom"/>
          </w:tcPr>
          <w:p>
            <w:pPr>
              <w:spacing w:after="0"/>
              <w:rPr>
                <w:sz w:val="13"/>
                <w:szCs w:val="13"/>
                <w:color w:val="auto"/>
              </w:rPr>
            </w:pPr>
          </w:p>
        </w:tc>
        <w:tc>
          <w:tcPr>
            <w:tcW w:w="118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2026</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ind w:right="548"/>
              <w:spacing w:after="0" w:line="155"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1"/>
                <w:szCs w:val="21"/>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5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total new business pipeline as of March 31, 2026 and 2025 was $3.5 billion and $3.2 billion, respectively. Total new business pipeline is defined as total new business ACV pipeline of deals at or beyond the qualified prospect stage. This extends past the next twelve-month period to include total pipeline.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ACV Activity</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ACV Activity reflects the Company’s trailing twelve-month (“TTM”) ACV sales activity and is used to evaluate trends in overall contract value generation across periods. Beginning in the current period, the Company replaced Net ARR Activity with ACV Activity to better reflect total annual contract value-based sales activity rather than projected recurring revenue impacts. The metric represents total ACV generated over the trailing twelve months, with the timing of revenue varying based on contract start dates and implementation timelines. ACV Activity during the period reflects positive fluctuations in the Company's sales activity, including the conversion of pipeline opportunities, large contract awards, renewals and extensions of existing client relationships, and expansion within key accounts across its segments.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ACV Activity metric for the trailing twelve months for each of the prior five quarters was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4"/>
                <w:szCs w:val="14"/>
                <w:color w:val="auto"/>
              </w:rPr>
            </w:pPr>
          </w:p>
        </w:tc>
        <w:tc>
          <w:tcPr>
            <w:tcW w:w="2040" w:type="dxa"/>
            <w:vAlign w:val="bottom"/>
          </w:tcPr>
          <w:p>
            <w:pPr>
              <w:jc w:val="right"/>
              <w:ind w:right="508"/>
              <w:spacing w:after="0"/>
              <w:rPr>
                <w:sz w:val="20"/>
                <w:szCs w:val="20"/>
                <w:color w:val="auto"/>
              </w:rPr>
            </w:pPr>
            <w:r>
              <w:rPr>
                <w:rFonts w:ascii="Arial" w:cs="Arial" w:eastAsia="Arial" w:hAnsi="Arial"/>
                <w:sz w:val="14"/>
                <w:szCs w:val="14"/>
                <w:color w:val="auto"/>
              </w:rPr>
              <w:t>ACV Activity metric</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2026</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December 31, 2025</w:t>
            </w:r>
          </w:p>
        </w:tc>
        <w:tc>
          <w:tcPr>
            <w:tcW w:w="3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517</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2025</w:t>
            </w:r>
          </w:p>
        </w:tc>
        <w:tc>
          <w:tcPr>
            <w:tcW w:w="34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June 30, 2025</w:t>
            </w:r>
          </w:p>
        </w:tc>
        <w:tc>
          <w:tcPr>
            <w:tcW w:w="3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502</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2025</w:t>
            </w:r>
          </w:p>
        </w:tc>
        <w:tc>
          <w:tcPr>
            <w:tcW w:w="34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2026 and December 31, 2025, total cash and cash equivalents were $ 228 million and $233 million, respectively. We also have a $357 million Revolving Credit Facility (the "Facility") (reducing to $187 million in October 2026 and maturing in August 2028) for our various cash needs. As of March 31, 2026 we had $144 million outstanding borrowings under the Facility and an additional $ 23 million was used for letters of credit. The net amount available under the Facility as of March 31, 2026, was $190 million and the amount of borrowings at each quarter-end may be limited by our leverage covenant.</w:t>
      </w:r>
    </w:p>
    <w:p>
      <w:pPr>
        <w:spacing w:after="0" w:line="1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March 31, 2026, our total principal debt outstanding was $725 million, of which $23 million was due within one year. We have the intent and ability to refinance the amount outstanding under the Facility on a long-term basis; therefore all amounts outstanding as of March 31, 2026 are classified as long-term on our Condensed Consolidated Balance Sheets. Refer to Note 6 – Debt in the Condensed Consolidated Financial Statements for additional debt information.</w:t>
      </w:r>
    </w:p>
    <w:p>
      <w:pPr>
        <w:spacing w:after="0" w:line="12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2026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2025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Better (Worse)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r>
      <w:tr>
        <w:trPr>
          <w:trHeight w:val="198"/>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7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net improvement in cash used in operating activities of $50 million, compared to the prior year period, was primarily due to improved Adjusted EBITDA and favorable working capital results, which included, among other things, net timing differences in payment of variable compensation of $14 million, which benefited the first quarter of 2026. These were partially offset by January 2025 Cyber Event related payments.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Investing cash flow decreased slightly from the prior year due to planned reductions in 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cash provided by financing activities was due to a net $35 million usage of the Facility for various cash needs.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Sales of Accounts Receivable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entered into a factoring agreement in the normal course of business as part of our cash and liquidity management, to sell certain accounts receivable without recourse to a third-party financial institution. The transactions under this agreement are treated as sales and are accounted for as reductions in accounts receivable because the agreement transfers effective control over, and risk related to, the receivables to the buyer. Cash proceeds from this arrangement are included in cash flow from operating activities in the Condensed Consolidated Statements of Cash Flows.</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net impact from the sales of accounts receivable on net cash provided by (used in) operating activities for the three months ended March 31, 2026 and 2025 was $(8) million and $3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believe our balances of cash and cash equivalents, which totaled $228 million as of March 31, 2026, along with cash generated by operations and amounts available for borrowing under our revolving credit facility, will be sufficient to satisfy our cash requirements over the next 12 months and beyond.</w:t>
      </w:r>
    </w:p>
    <w:p>
      <w:pPr>
        <w:spacing w:after="0" w:line="11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At March 31, 2026, the Company’s material cash requirements include debt, leases and estimated purchase commitments. See Part II, Item 7 – Management's Discussion and Analysis of Financial Condition and Results of Operation of our Annual Report on Form 10-K for the year ended December 31, 2025 for additional information on our material cash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of America ("U.S. GAAP"). The preparation of financial statements in conformity with U.S. GAAP requires us to make estimates and assumptions in certain circumstances that involve a significant level of estimation uncertainty and have had or are reasonably likely to have a material impact on amounts reported in the accompanying Condensed Consolidated Financial Statements and notes thereto.</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There have been no significant changes during the three months ended March 31, 2026 to our critical accounting estimates and policies from those disclosed in our Annual Report on Form 10-K for the year ended December 31, 2025.</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Non-GAAP Financial Measures</w:t>
      </w:r>
    </w:p>
    <w:p>
      <w:pPr>
        <w:spacing w:after="0" w:line="16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report our financial results in accordance with accounting principles generally accepted in the U.S. (U.S. GAAP). In addition, within this Form 10-Q Part I Item 2 we have discussed our financial results using non-GAAP measures.</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compared to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spacing w:after="0" w:line="13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 reconciliation of the non-GAAP financial measure Adjusted EBITDA to the most directly comparable financial measure calculated and presented in accordance with U.S. GAAP is provided in the "Operations Review of Segment Revenue and Profit" section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Adjusted EBITDA and Adjusted EBITDA Margin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Margin is adjusted EBITDA divided by revenue. Adjusted EBITDA represents income (loss) before interest, income taxes, depreciation and amortization and contract inducement amortization adjusted for the following items, if applicable:</w:t>
      </w:r>
    </w:p>
    <w:p>
      <w:pPr>
        <w:spacing w:after="0" w:line="71" w:lineRule="exact"/>
        <w:rPr>
          <w:sz w:val="20"/>
          <w:szCs w:val="20"/>
          <w:color w:val="auto"/>
        </w:rPr>
      </w:pPr>
    </w:p>
    <w:p>
      <w:pPr>
        <w:ind w:left="660" w:right="78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of acquired intangible assets. This is driven by acquisition activity, which can vary in size, nature and timing as compared to other companies within our industry and from period to period.</w:t>
      </w:r>
    </w:p>
    <w:p>
      <w:pPr>
        <w:spacing w:after="0" w:line="1"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and related costs. This includes restructuring and asset impairment charges as well as costs associated with our strategic transformation program.</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impairment. This represents goodwill impairment charges arising from annual or interim goodwill testing.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loss on divestitures and transaction costs. This represents (gain) loss on divested businesses and transaction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settlements (recoveries), net. This represents settlements or recoveries for various matters subject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on extinguishment of debt. This represents write-off of debt issuance costs related to prepayments of debt.</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response costs - cyber event. This represents costs related to investigating, remediating and responding to the January 2025 Cyber Event.</w:t>
      </w:r>
    </w:p>
    <w:p>
      <w:pPr>
        <w:ind w:left="660" w:right="180" w:hanging="328"/>
        <w:spacing w:after="0" w:line="26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charges (credits). This includes Other (income) expenses, net on the Condensed Consolidated Statements of Income (Loss) and other adjustments, including former CEO separation costs.</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market risk from foreign currency exchange rates which could affect operating results, financial position and cash flows. We manage our exposure to this market risk through our regular operating and financing activities and, when appropriate, using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spacing w:after="0" w:line="1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Recent market events have not caused us to materially modify or change our financial risk management strategies with respect to our exposures to foreign currency risk. Refer to Note 7 – Financial Instruments in the Condensed Consolidated Financial Statements for additional discussion on our financial risk management.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2025.</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62"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71"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 -15(e) under the Securities Exchange Act of 1934, as amended (the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27"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71" w:lineRule="exact"/>
        <w:rPr>
          <w:sz w:val="20"/>
          <w:szCs w:val="20"/>
          <w:color w:val="auto"/>
        </w:rPr>
      </w:pPr>
    </w:p>
    <w:p>
      <w:pPr>
        <w:ind w:left="340" w:right="160"/>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information set forth under Note 11 – Contingencies and Litigation in the Condensed Consolidated Financial Statements of this Form 10-Q is incorporated herein by reference in answer to this Item.</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2025. There have been no material changes to our risk factors as previously reported in our Annual Report on Form 10-K for the year ended December 31, 2025.</w:t>
      </w:r>
    </w:p>
    <w:p>
      <w:pPr>
        <w:spacing w:after="0" w:line="200" w:lineRule="exact"/>
        <w:rPr>
          <w:sz w:val="20"/>
          <w:szCs w:val="20"/>
          <w:color w:val="auto"/>
        </w:rPr>
      </w:pPr>
    </w:p>
    <w:p>
      <w:pPr>
        <w:spacing w:after="0" w:line="3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March 31, 2026</w:t>
      </w:r>
    </w:p>
    <w:p>
      <w:pPr>
        <w:spacing w:after="0" w:line="171"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color w:val="auto"/>
        </w:rPr>
        <w:t>During the quarter ended March 31, 2026, the Company did not issue any securities in transactions that were not registered under the Securities Act of 1933, as amended.</w:t>
      </w:r>
    </w:p>
    <w:p>
      <w:pPr>
        <w:spacing w:after="0" w:line="99"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b w:val="1"/>
          <w:bCs w:val="1"/>
          <w:color w:val="1269BC"/>
        </w:rPr>
      </w:pPr>
      <w:r>
        <w:rPr>
          <w:rFonts w:ascii="Arial" w:cs="Arial" w:eastAsia="Arial" w:hAnsi="Arial"/>
          <w:sz w:val="18"/>
          <w:szCs w:val="18"/>
          <w:b w:val="1"/>
          <w:bCs w:val="1"/>
          <w:color w:val="1269BC"/>
        </w:rPr>
        <w:t>Purchases of Equity Securities by the Issuer and Affiliated Purchasers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share repurchases during the three months ended March 31, 2026.</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5 —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10b5-1 Plans</w:t>
      </w:r>
    </w:p>
    <w:p>
      <w:pPr>
        <w:spacing w:after="0" w:line="171"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During the three months ended March 31, 2026,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2026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vMerge w:val="restart"/>
          </w:tcPr>
          <w:p>
            <w:pPr>
              <w:ind w:left="18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140" w:type="dxa"/>
            <w:vAlign w:val="bottom"/>
            <w:gridSpan w:val="21"/>
            <w:vMerge w:val="restart"/>
          </w:tcPr>
          <w:p>
            <w:pPr>
              <w:ind w:left="20"/>
              <w:spacing w:after="0"/>
              <w:rPr>
                <w:sz w:val="20"/>
                <w:szCs w:val="20"/>
                <w:color w:val="auto"/>
              </w:rPr>
            </w:pPr>
            <w:r>
              <w:rPr>
                <w:rFonts w:ascii="Arial" w:cs="Arial" w:eastAsia="Arial" w:hAnsi="Arial"/>
                <w:sz w:val="18"/>
                <w:szCs w:val="18"/>
                <w:color w:val="auto"/>
              </w:rPr>
              <w:t>Description</w:t>
            </w:r>
          </w:p>
        </w:tc>
        <w:tc>
          <w:tcPr>
            <w:tcW w:w="1020" w:type="dxa"/>
            <w:vAlign w:val="bottom"/>
          </w:tcPr>
          <w:p>
            <w:pPr>
              <w:jc w:val="cente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43"/>
        </w:trPr>
        <w:tc>
          <w:tcPr>
            <w:tcW w:w="13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140" w:type="dxa"/>
            <w:vAlign w:val="bottom"/>
            <w:gridSpan w:val="21"/>
            <w:vMerge w:val="continue"/>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183"/>
        </w:trPr>
        <w:tc>
          <w:tcPr>
            <w:tcW w:w="1320" w:type="dxa"/>
            <w:vAlign w:val="bottom"/>
          </w:tcPr>
          <w:p>
            <w:pPr>
              <w:spacing w:after="0" w:line="182" w:lineRule="exact"/>
              <w:rPr>
                <w:sz w:val="20"/>
                <w:szCs w:val="20"/>
                <w:color w:val="auto"/>
              </w:rPr>
            </w:pPr>
            <w:r>
              <w:rPr>
                <w:rFonts w:ascii="Arial" w:cs="Arial" w:eastAsia="Arial" w:hAnsi="Arial"/>
                <w:sz w:val="18"/>
                <w:szCs w:val="18"/>
                <w:color w:val="auto"/>
              </w:rPr>
              <w:t>2.1</w:t>
            </w:r>
          </w:p>
        </w:tc>
        <w:tc>
          <w:tcPr>
            <w:tcW w:w="20" w:type="dxa"/>
            <w:vAlign w:val="bottom"/>
            <w:tcBorders>
              <w:top w:val="single" w:sz="8" w:color="auto"/>
            </w:tcBorders>
          </w:tcPr>
          <w:p>
            <w:pPr>
              <w:spacing w:after="0"/>
              <w:rPr>
                <w:sz w:val="15"/>
                <w:szCs w:val="15"/>
                <w:color w:val="auto"/>
              </w:rPr>
            </w:pPr>
          </w:p>
        </w:tc>
        <w:tc>
          <w:tcPr>
            <w:tcW w:w="4340" w:type="dxa"/>
            <w:vAlign w:val="bottom"/>
            <w:tcBorders>
              <w:top w:val="single" w:sz="8" w:color="auto"/>
              <w:bottom w:val="single" w:sz="8" w:color="0000FF"/>
            </w:tcBorders>
            <w:gridSpan w:val="10"/>
          </w:tcPr>
          <w:p>
            <w:pPr>
              <w:spacing w:after="0" w:line="182"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Custodial Transfer and Purchase Agreement, between</w:t>
              </w:r>
            </w:hyperlink>
          </w:p>
        </w:tc>
        <w:tc>
          <w:tcPr>
            <w:tcW w:w="820" w:type="dxa"/>
            <w:vAlign w:val="bottom"/>
            <w:tcBorders>
              <w:top w:val="single" w:sz="8" w:color="auto"/>
            </w:tcBorders>
            <w:gridSpan w:val="14"/>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25"/>
          </w:tcPr>
          <w:p>
            <w:pPr>
              <w:spacing w:after="0" w:line="156" w:lineRule="exact"/>
              <w:rPr>
                <w:rFonts w:ascii="Arial" w:cs="Arial" w:eastAsia="Arial" w:hAnsi="Arial"/>
                <w:sz w:val="18"/>
                <w:szCs w:val="18"/>
                <w:color w:val="0000FF"/>
              </w:rPr>
            </w:pPr>
            <w:hyperlink r:id="rId43">
              <w:r>
                <w:rPr>
                  <w:rFonts w:ascii="Arial" w:cs="Arial" w:eastAsia="Arial" w:hAnsi="Arial"/>
                  <w:sz w:val="18"/>
                  <w:szCs w:val="18"/>
                  <w:color w:val="0000FF"/>
                </w:rPr>
                <w:t>Conduent Business Services, LLC and HealthEquity, Inc., dated</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43">
              <w:r>
                <w:rPr>
                  <w:rFonts w:ascii="Arial" w:cs="Arial" w:eastAsia="Arial" w:hAnsi="Arial"/>
                  <w:sz w:val="18"/>
                  <w:szCs w:val="18"/>
                  <w:color w:val="0000FF"/>
                </w:rPr>
                <w:t>as of September 18, 2023.</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5240" w:type="dxa"/>
            <w:vAlign w:val="bottom"/>
            <w:gridSpan w:val="25"/>
          </w:tcPr>
          <w:p>
            <w:pPr>
              <w:spacing w:after="0"/>
              <w:rPr>
                <w:rFonts w:ascii="Arial" w:cs="Arial" w:eastAsia="Arial" w:hAnsi="Arial"/>
                <w:sz w:val="18"/>
                <w:szCs w:val="18"/>
                <w:color w:val="0000FF"/>
              </w:rPr>
            </w:pPr>
            <w:hyperlink r:id="rId44">
              <w:r>
                <w:rPr>
                  <w:rFonts w:ascii="Arial" w:cs="Arial" w:eastAsia="Arial" w:hAnsi="Arial"/>
                  <w:sz w:val="18"/>
                  <w:szCs w:val="18"/>
                  <w:color w:val="0000FF"/>
                </w:rPr>
                <w:t>First Amendment to Custodial Transfer and Purchase</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25"/>
          </w:tcPr>
          <w:p>
            <w:pPr>
              <w:spacing w:after="0" w:line="156" w:lineRule="exact"/>
              <w:rPr>
                <w:rFonts w:ascii="Arial" w:cs="Arial" w:eastAsia="Arial" w:hAnsi="Arial"/>
                <w:sz w:val="18"/>
                <w:szCs w:val="18"/>
                <w:color w:val="0000FF"/>
              </w:rPr>
            </w:pPr>
            <w:hyperlink r:id="rId44">
              <w:r>
                <w:rPr>
                  <w:rFonts w:ascii="Arial" w:cs="Arial" w:eastAsia="Arial" w:hAnsi="Arial"/>
                  <w:sz w:val="18"/>
                  <w:szCs w:val="18"/>
                  <w:color w:val="0000FF"/>
                </w:rPr>
                <w:t>Agreement, between Conduent Business Services, LLC and</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HealthEquity, Inc., dated as of March 7, 2024.</w:t>
              </w:r>
            </w:hyperlink>
          </w:p>
        </w:tc>
        <w:tc>
          <w:tcPr>
            <w:tcW w:w="116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240" w:type="dxa"/>
            <w:vAlign w:val="bottom"/>
            <w:gridSpan w:val="25"/>
          </w:tcPr>
          <w:p>
            <w:pPr>
              <w:spacing w:after="0"/>
              <w:rPr>
                <w:rFonts w:ascii="Arial" w:cs="Arial" w:eastAsia="Arial" w:hAnsi="Arial"/>
                <w:sz w:val="18"/>
                <w:szCs w:val="18"/>
                <w:color w:val="0000FF"/>
              </w:rPr>
            </w:pPr>
            <w:hyperlink r:id="rId45">
              <w:r>
                <w:rPr>
                  <w:rFonts w:ascii="Arial" w:cs="Arial" w:eastAsia="Arial" w:hAnsi="Arial"/>
                  <w:sz w:val="18"/>
                  <w:szCs w:val="18"/>
                  <w:color w:val="0000FF"/>
                </w:rPr>
                <w:t>Restated Certificate of Incorporation of Registrant filed with the</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Department of the State of New York on December 31, 2016.</w:t>
              </w:r>
            </w:hyperlink>
          </w:p>
        </w:tc>
        <w:tc>
          <w:tcPr>
            <w:tcW w:w="12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FF"/>
              </w:rPr>
            </w:pPr>
            <w:hyperlink r:id="rId46">
              <w:r>
                <w:rPr>
                  <w:rFonts w:ascii="Arial" w:cs="Arial" w:eastAsia="Arial" w:hAnsi="Arial"/>
                  <w:sz w:val="18"/>
                  <w:szCs w:val="18"/>
                  <w:color w:val="0000FF"/>
                </w:rPr>
                <w:t>Amended and Restated By-Laws of Registrant as amended</w:t>
              </w:r>
            </w:hyperlink>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through October 31, 2023.</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FF"/>
              </w:rPr>
            </w:pPr>
            <w:hyperlink r:id="rId47">
              <w:r>
                <w:rPr>
                  <w:rFonts w:ascii="Arial" w:cs="Arial" w:eastAsia="Arial" w:hAnsi="Arial"/>
                  <w:sz w:val="18"/>
                  <w:szCs w:val="18"/>
                  <w:color w:val="0000FF"/>
                </w:rPr>
                <w:t>Offer Letter Agreement between Harsha V. Agadi and Conduent</w:t>
              </w:r>
            </w:hyperlink>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Incorporated, dated January 16, 2026</w:t>
              </w:r>
              <w:r>
                <w:rPr>
                  <w:rFonts w:ascii="Arial" w:cs="Arial" w:eastAsia="Arial" w:hAnsi="Arial"/>
                  <w:sz w:val="18"/>
                  <w:szCs w:val="18"/>
                  <w:color w:val="000000"/>
                </w:rPr>
                <w:t>.</w:t>
              </w:r>
            </w:hyperlink>
          </w:p>
        </w:tc>
        <w:tc>
          <w:tcPr>
            <w:tcW w:w="14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5240" w:type="dxa"/>
            <w:vAlign w:val="bottom"/>
            <w:gridSpan w:val="25"/>
          </w:tcPr>
          <w:p>
            <w:pPr>
              <w:spacing w:after="0"/>
              <w:rPr>
                <w:rFonts w:ascii="Arial" w:cs="Arial" w:eastAsia="Arial" w:hAnsi="Arial"/>
                <w:sz w:val="18"/>
                <w:szCs w:val="18"/>
                <w:color w:val="0000FF"/>
              </w:rPr>
            </w:pPr>
            <w:hyperlink r:id="rId48">
              <w:r>
                <w:rPr>
                  <w:rFonts w:ascii="Arial" w:cs="Arial" w:eastAsia="Arial" w:hAnsi="Arial"/>
                  <w:sz w:val="18"/>
                  <w:szCs w:val="18"/>
                  <w:color w:val="0000FF"/>
                </w:rPr>
                <w:t>Restricted Stock Unit Award Agreement between Harsha V.</w:t>
              </w:r>
            </w:hyperlink>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12"/>
          </w:tcPr>
          <w:p>
            <w:pPr>
              <w:spacing w:after="0" w:line="156"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Agadi and Conduent Incorporated, dated January 16, 2026</w:t>
              </w:r>
              <w:r>
                <w:rPr>
                  <w:rFonts w:ascii="Arial" w:cs="Arial" w:eastAsia="Arial" w:hAnsi="Arial"/>
                  <w:sz w:val="18"/>
                  <w:szCs w:val="18"/>
                  <w:color w:val="000000"/>
                  <w:w w:val="99"/>
                </w:rPr>
                <w:t>.</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4980" w:type="dxa"/>
            <w:vAlign w:val="bottom"/>
            <w:tcBorders>
              <w:bottom w:val="single" w:sz="8" w:color="0000FF"/>
            </w:tcBorders>
            <w:gridSpan w:val="19"/>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Performance Restricted Stock Unit Award Agreement between</w:t>
              </w:r>
            </w:hyperlink>
          </w:p>
        </w:tc>
        <w:tc>
          <w:tcPr>
            <w:tcW w:w="260" w:type="dxa"/>
            <w:vAlign w:val="bottom"/>
            <w:gridSpan w:val="6"/>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25"/>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Harsha V. Agadi and Conduent Incorporated, dated January 16,</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top w:val="single" w:sz="8" w:color="0000FF"/>
            </w:tcBorders>
            <w:gridSpan w:val="3"/>
          </w:tcPr>
          <w:p>
            <w:pPr>
              <w:spacing w:after="0" w:line="169" w:lineRule="exact"/>
              <w:rPr>
                <w:rFonts w:ascii="Arial" w:cs="Arial" w:eastAsia="Arial" w:hAnsi="Arial"/>
                <w:sz w:val="18"/>
                <w:szCs w:val="18"/>
                <w:color w:val="0000FF"/>
              </w:rPr>
            </w:pPr>
            <w:hyperlink r:id="rId49">
              <w:r>
                <w:rPr>
                  <w:rFonts w:ascii="Arial" w:cs="Arial" w:eastAsia="Arial" w:hAnsi="Arial"/>
                  <w:sz w:val="18"/>
                  <w:szCs w:val="18"/>
                  <w:color w:val="0000FF"/>
                </w:rPr>
                <w:t>2026</w:t>
              </w:r>
              <w:r>
                <w:rPr>
                  <w:rFonts w:ascii="Arial" w:cs="Arial" w:eastAsia="Arial" w:hAnsi="Arial"/>
                  <w:sz w:val="18"/>
                  <w:szCs w:val="18"/>
                  <w:color w:val="000000"/>
                </w:rPr>
                <w:t>.</w:t>
              </w:r>
            </w:hyperlink>
          </w:p>
        </w:tc>
        <w:tc>
          <w:tcPr>
            <w:tcW w:w="16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10.6(a)(i)*</w:t>
            </w:r>
          </w:p>
        </w:tc>
        <w:tc>
          <w:tcPr>
            <w:tcW w:w="20" w:type="dxa"/>
            <w:vAlign w:val="bottom"/>
          </w:tcPr>
          <w:p>
            <w:pPr>
              <w:spacing w:after="0"/>
              <w:rPr>
                <w:sz w:val="18"/>
                <w:szCs w:val="18"/>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Form of Performance Restricted Unit Award Agreement 2026</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(Margin) under the 2021 PIP</w:t>
            </w:r>
          </w:p>
        </w:tc>
        <w:tc>
          <w:tcPr>
            <w:tcW w:w="2600" w:type="dxa"/>
            <w:vAlign w:val="bottom"/>
            <w:tcBorders>
              <w:top w:val="single" w:sz="8" w:color="0000FF"/>
            </w:tcBorders>
            <w:gridSpan w:val="13"/>
          </w:tcPr>
          <w:p>
            <w:pPr>
              <w:spacing w:after="0"/>
              <w:rPr>
                <w:sz w:val="13"/>
                <w:szCs w:val="13"/>
                <w:color w:val="auto"/>
              </w:rPr>
            </w:pPr>
          </w:p>
        </w:tc>
        <w:tc>
          <w:tcPr>
            <w:tcW w:w="160" w:type="dxa"/>
            <w:vAlign w:val="bottom"/>
            <w:gridSpan w:val="3"/>
          </w:tcPr>
          <w:p>
            <w:pPr>
              <w:spacing w:after="0"/>
              <w:rPr>
                <w:sz w:val="13"/>
                <w:szCs w:val="13"/>
                <w:color w:val="auto"/>
              </w:rPr>
            </w:pPr>
          </w:p>
        </w:tc>
        <w:tc>
          <w:tcPr>
            <w:tcW w:w="2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10.6(a)(ii)*</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Form of Performance Restricted Unit Award Agreement 2026</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color w:val="0000FF"/>
              </w:rPr>
              <w:t>(Share Price) under the 2021 PIP</w:t>
            </w:r>
          </w:p>
        </w:tc>
        <w:tc>
          <w:tcPr>
            <w:tcW w:w="160" w:type="dxa"/>
            <w:vAlign w:val="bottom"/>
            <w:gridSpan w:val="3"/>
          </w:tcPr>
          <w:p>
            <w:pPr>
              <w:spacing w:after="0"/>
              <w:rPr>
                <w:sz w:val="13"/>
                <w:szCs w:val="13"/>
                <w:color w:val="auto"/>
              </w:rPr>
            </w:pPr>
          </w:p>
        </w:tc>
        <w:tc>
          <w:tcPr>
            <w:tcW w:w="2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10.6(a)(iii)*</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Form of Restricted Unit Award Agreement 2026 under the 2021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6"/>
              </w:rPr>
              <w:t>PIP</w:t>
            </w:r>
          </w:p>
        </w:tc>
        <w:tc>
          <w:tcPr>
            <w:tcW w:w="4740" w:type="dxa"/>
            <w:vAlign w:val="bottom"/>
            <w:tcBorders>
              <w:top w:val="single" w:sz="8" w:color="0000FF"/>
            </w:tcBorders>
            <w:gridSpan w:val="20"/>
          </w:tcPr>
          <w:p>
            <w:pPr>
              <w:spacing w:after="0"/>
              <w:rPr>
                <w:sz w:val="13"/>
                <w:szCs w:val="13"/>
                <w:color w:val="auto"/>
              </w:rPr>
            </w:pPr>
          </w:p>
        </w:tc>
        <w:tc>
          <w:tcPr>
            <w:tcW w:w="20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31(a)</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Certification of CEO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7"/>
              </w:rPr>
              <w:t>14(a).</w:t>
            </w:r>
          </w:p>
        </w:tc>
        <w:tc>
          <w:tcPr>
            <w:tcW w:w="4380" w:type="dxa"/>
            <w:vAlign w:val="bottom"/>
            <w:tcBorders>
              <w:top w:val="single" w:sz="8" w:color="0000FF"/>
            </w:tcBorders>
            <w:gridSpan w:val="14"/>
          </w:tcPr>
          <w:p>
            <w:pPr>
              <w:spacing w:after="0"/>
              <w:rPr>
                <w:sz w:val="13"/>
                <w:szCs w:val="13"/>
                <w:color w:val="auto"/>
              </w:rPr>
            </w:pPr>
          </w:p>
        </w:tc>
        <w:tc>
          <w:tcPr>
            <w:tcW w:w="380" w:type="dxa"/>
            <w:vAlign w:val="bottom"/>
            <w:gridSpan w:val="8"/>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31(b)</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Certification of CFO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7"/>
              </w:rPr>
              <w:t>14(a).</w:t>
            </w:r>
          </w:p>
        </w:tc>
        <w:tc>
          <w:tcPr>
            <w:tcW w:w="4360" w:type="dxa"/>
            <w:vAlign w:val="bottom"/>
            <w:tcBorders>
              <w:top w:val="single" w:sz="8" w:color="0000FF"/>
            </w:tcBorders>
            <w:gridSpan w:val="13"/>
          </w:tcPr>
          <w:p>
            <w:pPr>
              <w:spacing w:after="0"/>
              <w:rPr>
                <w:sz w:val="13"/>
                <w:szCs w:val="13"/>
                <w:color w:val="auto"/>
              </w:rPr>
            </w:pPr>
          </w:p>
        </w:tc>
        <w:tc>
          <w:tcPr>
            <w:tcW w:w="400" w:type="dxa"/>
            <w:vAlign w:val="bottom"/>
            <w:gridSpan w:val="9"/>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25"/>
          </w:tcPr>
          <w:p>
            <w:pPr>
              <w:spacing w:after="0"/>
              <w:rPr>
                <w:sz w:val="20"/>
                <w:szCs w:val="20"/>
                <w:color w:val="auto"/>
              </w:rPr>
            </w:pPr>
            <w:r>
              <w:rPr>
                <w:rFonts w:ascii="Arial" w:cs="Arial" w:eastAsia="Arial" w:hAnsi="Arial"/>
                <w:sz w:val="18"/>
                <w:szCs w:val="18"/>
                <w:color w:val="0000FF"/>
              </w:rPr>
              <w:t>Certification of CEO and CFO pursuant to 18 U.S.C. Section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tcBorders>
            <w:gridSpan w:val="15"/>
          </w:tcPr>
          <w:p>
            <w:pPr>
              <w:spacing w:after="0" w:line="168" w:lineRule="exact"/>
              <w:rPr>
                <w:sz w:val="20"/>
                <w:szCs w:val="20"/>
                <w:color w:val="auto"/>
              </w:rPr>
            </w:pPr>
            <w:r>
              <w:rPr>
                <w:rFonts w:ascii="Arial" w:cs="Arial" w:eastAsia="Arial" w:hAnsi="Arial"/>
                <w:sz w:val="18"/>
                <w:szCs w:val="18"/>
                <w:u w:val="single" w:color="auto"/>
                <w:color w:val="0000FF"/>
              </w:rPr>
              <w:t>1350, as adopted pursuant to Section 906 of the Sarbanes-</w:t>
            </w:r>
          </w:p>
        </w:tc>
        <w:tc>
          <w:tcPr>
            <w:tcW w:w="420" w:type="dxa"/>
            <w:vAlign w:val="bottom"/>
            <w:gridSpan w:val="10"/>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u w:val="single" w:color="auto"/>
          <w:color w:val="0000FF"/>
        </w:rPr>
        <w:t>Oxley Act of 2002.</w:t>
      </w:r>
    </w:p>
    <w:p>
      <w:pPr>
        <w:spacing w:after="0" w:line="14" w:lineRule="exact"/>
        <w:rPr>
          <w:sz w:val="20"/>
          <w:szCs w:val="20"/>
          <w:color w:val="auto"/>
        </w:rPr>
      </w:pPr>
    </w:p>
    <w:p>
      <w:pPr>
        <w:ind w:left="1360" w:right="1160" w:hanging="1334"/>
        <w:spacing w:after="0" w:line="213" w:lineRule="auto"/>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March 31, 2026 formatted in Inline XBRL: (i) Condensed Consolidated Statements of Income, (ii) Condensed Consolidated Statements of Comprehensive Income, (iii) Condensed Consolidated Balance Sheets, (iv) Condensed Consolidated Statements of Cash Flows, (v) Condensed Consolidated Statements of Shareholders' Equity and (vi) Notes to Condensed Consolidated Financial Statements.</w:t>
      </w:r>
    </w:p>
    <w:p>
      <w:pPr>
        <w:spacing w:after="0" w:line="11" w:lineRule="exact"/>
        <w:rPr>
          <w:sz w:val="20"/>
          <w:szCs w:val="20"/>
          <w:color w:val="auto"/>
        </w:rPr>
      </w:pPr>
    </w:p>
    <w:p>
      <w:pPr>
        <w:ind w:left="1360" w:right="1200" w:hanging="1334"/>
        <w:spacing w:after="0"/>
        <w:tabs>
          <w:tab w:leader="none" w:pos="1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2371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Form</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1240" w:type="dxa"/>
            <w:vAlign w:val="bottom"/>
          </w:tcPr>
          <w:p>
            <w:pPr>
              <w:ind w:left="180"/>
              <w:spacing w:after="0"/>
              <w:rPr>
                <w:sz w:val="20"/>
                <w:szCs w:val="20"/>
                <w:color w:val="auto"/>
              </w:rPr>
            </w:pPr>
            <w:r>
              <w:rPr>
                <w:rFonts w:ascii="Arial" w:cs="Arial" w:eastAsia="Arial" w:hAnsi="Arial"/>
                <w:sz w:val="18"/>
                <w:szCs w:val="18"/>
                <w:color w:val="auto"/>
              </w:rPr>
              <w:t>Filing Date</w:t>
            </w:r>
          </w:p>
        </w:tc>
      </w:tr>
      <w:tr>
        <w:trPr>
          <w:trHeight w:val="232"/>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8-K</w:t>
            </w:r>
          </w:p>
        </w:tc>
        <w:tc>
          <w:tcPr>
            <w:tcW w:w="100" w:type="dxa"/>
            <w:vAlign w:val="bottom"/>
          </w:tcPr>
          <w:p>
            <w:pPr>
              <w:spacing w:after="0"/>
              <w:rPr>
                <w:sz w:val="20"/>
                <w:szCs w:val="20"/>
                <w:color w:val="auto"/>
              </w:rPr>
            </w:pPr>
          </w:p>
        </w:tc>
        <w:tc>
          <w:tcPr>
            <w:tcW w:w="1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9/19/2023</w:t>
            </w:r>
          </w:p>
        </w:tc>
      </w:tr>
      <w:tr>
        <w:trPr>
          <w:trHeight w:val="58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8/7/2024</w:t>
            </w:r>
          </w:p>
        </w:tc>
      </w:tr>
      <w:tr>
        <w:trPr>
          <w:trHeight w:val="59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12/23/2016</w:t>
            </w:r>
          </w:p>
        </w:tc>
      </w:tr>
      <w:tr>
        <w:trPr>
          <w:trHeight w:val="418"/>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11/1/2023</w:t>
            </w:r>
          </w:p>
        </w:tc>
      </w:tr>
      <w:tr>
        <w:trPr>
          <w:trHeight w:val="418"/>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1/23/2026</w:t>
            </w:r>
          </w:p>
        </w:tc>
      </w:tr>
      <w:tr>
        <w:trPr>
          <w:trHeight w:val="418"/>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1/23/2026</w:t>
            </w:r>
          </w:p>
        </w:tc>
      </w:tr>
      <w:tr>
        <w:trPr>
          <w:trHeight w:val="41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1/23/2026</w:t>
            </w:r>
          </w:p>
        </w:tc>
      </w:tr>
    </w:tbl>
    <w:p>
      <w:pPr>
        <w:spacing w:after="0" w:line="5219" w:lineRule="exact"/>
        <w:rPr>
          <w:sz w:val="20"/>
          <w:szCs w:val="20"/>
          <w:color w:val="auto"/>
        </w:rPr>
      </w:pPr>
    </w:p>
    <w:p>
      <w:pPr>
        <w:sectPr>
          <w:pgSz w:w="11900" w:h="16838" w:orient="portrait"/>
          <w:cols w:equalWidth="0" w:num="2">
            <w:col w:w="7620" w:space="100"/>
            <w:col w:w="3520"/>
          </w:cols>
          <w:pgMar w:left="320" w:top="156" w:right="339" w:bottom="1440" w:gutter="0" w:footer="0" w:header="0"/>
        </w:sect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3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amendment.</w:t>
      </w:r>
    </w:p>
    <w:p>
      <w:pPr>
        <w:spacing w:after="0" w:line="27" w:lineRule="exact"/>
        <w:rPr>
          <w:sz w:val="20"/>
          <w:szCs w:val="20"/>
          <w:color w:val="auto"/>
        </w:rPr>
      </w:pPr>
    </w:p>
    <w:p>
      <w:pPr>
        <w:ind w:left="660" w:right="140" w:hanging="652"/>
        <w:spacing w:after="0" w:line="258" w:lineRule="auto"/>
        <w:tabs>
          <w:tab w:leader="none" w:pos="3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33" w:name="page34"/>
    <w:bookmarkEnd w:id="3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4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2026</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8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GEORGE ABATE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17780</wp:posOffset>
            </wp:positionV>
            <wp:extent cx="3077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George Abate</w:t>
      </w:r>
    </w:p>
    <w:p>
      <w:pPr>
        <w:ind w:left="580"/>
        <w:spacing w:after="0" w:line="219" w:lineRule="auto"/>
        <w:rPr>
          <w:sz w:val="20"/>
          <w:szCs w:val="20"/>
          <w:color w:val="auto"/>
        </w:rPr>
      </w:pPr>
      <w:r>
        <w:rPr>
          <w:rFonts w:ascii="Arial" w:cs="Arial" w:eastAsia="Arial" w:hAnsi="Arial"/>
          <w:sz w:val="18"/>
          <w:szCs w:val="18"/>
          <w:color w:val="auto"/>
        </w:rPr>
        <w:t>Vice President and Chief Accounting Officer</w:t>
      </w:r>
    </w:p>
    <w:p>
      <w:pPr>
        <w:ind w:left="580"/>
        <w:spacing w:after="0"/>
        <w:rPr>
          <w:sz w:val="20"/>
          <w:szCs w:val="20"/>
          <w:color w:val="auto"/>
        </w:rPr>
      </w:pPr>
      <w:r>
        <w:rPr>
          <w:rFonts w:ascii="Arial" w:cs="Arial" w:eastAsia="Arial" w:hAnsi="Arial"/>
          <w:sz w:val="18"/>
          <w:szCs w:val="18"/>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2026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56"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PERFORMANCE RESTRICTED STOCK UNIT AWARD AGREEMENT PURSUANT TO</w:t>
      </w:r>
    </w:p>
    <w:p>
      <w:pPr>
        <w:spacing w:after="0" w:line="2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34" w:lineRule="exact"/>
        <w:rPr>
          <w:sz w:val="20"/>
          <w:szCs w:val="20"/>
          <w:color w:val="auto"/>
        </w:rPr>
      </w:pPr>
    </w:p>
    <w:p>
      <w:pPr>
        <w:jc w:val="both"/>
        <w:ind w:left="10"/>
        <w:spacing w:after="0" w:line="265"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of the Company has authorized the execution and delivery of this Agreement.</w:t>
      </w:r>
    </w:p>
    <w:p>
      <w:pPr>
        <w:spacing w:after="0" w:line="11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target number of Performance Restricted Stock Units granted pursuant hereto. The Award Summary is incorporated herein in its entirety.</w:t>
      </w:r>
    </w:p>
    <w:p>
      <w:pPr>
        <w:spacing w:after="0" w:line="117"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8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10" w:right="20" w:hanging="10"/>
        <w:spacing w:after="0" w:line="268" w:lineRule="auto"/>
        <w:tabs>
          <w:tab w:leader="none" w:pos="38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target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1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PERFORMANCE RESTRICTED STOCK UNITS</w:t>
      </w:r>
    </w:p>
    <w:p>
      <w:pPr>
        <w:spacing w:after="0" w:line="171" w:lineRule="exact"/>
        <w:rPr>
          <w:sz w:val="20"/>
          <w:szCs w:val="20"/>
          <w:color w:val="auto"/>
        </w:rPr>
      </w:pPr>
    </w:p>
    <w:p>
      <w:pPr>
        <w:jc w:val="both"/>
        <w:ind w:left="10" w:hanging="10"/>
        <w:spacing w:after="0" w:line="257"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the Vesting Date (as defined below) (or such earlier date provided in Section 8) in connection with the PRSUs,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PRSUs as determined pursuant to Section 3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22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performance-based vesting conditions (the “</w:t>
      </w:r>
      <w:r>
        <w:rPr>
          <w:rFonts w:ascii="Arial" w:cs="Arial" w:eastAsia="Arial" w:hAnsi="Arial"/>
          <w:sz w:val="18"/>
          <w:szCs w:val="18"/>
          <w:b w:val="1"/>
          <w:bCs w:val="1"/>
          <w:i w:val="1"/>
          <w:iCs w:val="1"/>
          <w:color w:val="auto"/>
        </w:rPr>
        <w:t>Performance Conditions</w:t>
      </w:r>
      <w:r>
        <w:rPr>
          <w:rFonts w:ascii="Arial" w:cs="Arial" w:eastAsia="Arial" w:hAnsi="Arial"/>
          <w:sz w:val="18"/>
          <w:szCs w:val="18"/>
          <w:color w:val="auto"/>
        </w:rPr>
        <w:t>”) which are set forth on Exhibit A. The PRSUs shall vest on December 31, 2028 or such earlier date as may be provided in Section 8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and the number of PRSUs eligible to vest shall be based on the satisfaction of the Performance Conditions as set forth on Exhibit A and subject to the Employee’s continued employment with or provision of services to the Company or a subsidiary or affiliate through the Vesting Date or as otherwise provided in Section 8.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w:t>
      </w:r>
    </w:p>
    <w:p>
      <w:pPr>
        <w:spacing w:after="0" w:line="129" w:lineRule="exact"/>
        <w:rPr>
          <w:sz w:val="20"/>
          <w:szCs w:val="20"/>
          <w:color w:val="auto"/>
        </w:rPr>
      </w:pPr>
    </w:p>
    <w:p>
      <w:pPr>
        <w:jc w:val="both"/>
        <w:ind w:left="10"/>
        <w:spacing w:after="0" w:line="262" w:lineRule="auto"/>
        <w:rPr>
          <w:sz w:val="20"/>
          <w:szCs w:val="20"/>
          <w:color w:val="auto"/>
        </w:rPr>
      </w:pPr>
      <w:r>
        <w:rPr>
          <w:rFonts w:ascii="Arial" w:cs="Arial" w:eastAsia="Arial" w:hAnsi="Arial"/>
          <w:sz w:val="18"/>
          <w:szCs w:val="18"/>
          <w:color w:val="auto"/>
        </w:rPr>
        <w:t>Notwithstanding, to the extent all or a portion of the PRSUs have not vested as of the Vesting Date, the unvested PRSUs will be forfeited; provided, however, the Committee may, in its sole discretion, cause all or any portion of the PRSUs to be forfeited prior to the Vesting Date if the Committee determines prior to the Vesting Date that actual performance will result in achievement below the maximum performance level.</w:t>
      </w:r>
    </w:p>
    <w:p>
      <w:pPr>
        <w:spacing w:after="0" w:line="122" w:lineRule="exact"/>
        <w:rPr>
          <w:sz w:val="20"/>
          <w:szCs w:val="20"/>
          <w:color w:val="auto"/>
        </w:rPr>
      </w:pPr>
    </w:p>
    <w:p>
      <w:pPr>
        <w:jc w:val="both"/>
        <w:ind w:left="10"/>
        <w:spacing w:after="0" w:line="262"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Section 8 of the Plan, the PRSUs outstanding on the date of such Change in Control, and any dividend equivalents with respect thereto, shall be assumed by the successor company (or its parent company) and remain outstanding, and thereafter the vesting of such PRSUs, and any dividend equivalents with respect</w:t>
      </w:r>
    </w:p>
    <w:p>
      <w:pPr>
        <w:sectPr>
          <w:pgSz w:w="11900" w:h="16838" w:orient="portrait"/>
          <w:cols w:equalWidth="0" w:num="1">
            <w:col w:w="11070"/>
          </w:cols>
          <w:pgMar w:left="490" w:top="580" w:right="339" w:bottom="1440" w:gutter="0" w:footer="0" w:header="0"/>
        </w:sectPr>
      </w:pPr>
    </w:p>
    <w:bookmarkStart w:id="35" w:name="page36"/>
    <w:bookmarkEnd w:id="35"/>
    <w:p>
      <w:pPr>
        <w:jc w:val="both"/>
        <w:ind w:left="10"/>
        <w:spacing w:after="0" w:line="256" w:lineRule="auto"/>
        <w:rPr>
          <w:sz w:val="20"/>
          <w:szCs w:val="20"/>
          <w:color w:val="auto"/>
        </w:rPr>
      </w:pPr>
      <w:r>
        <w:rPr>
          <w:rFonts w:ascii="Arial" w:cs="Arial" w:eastAsia="Arial" w:hAnsi="Arial"/>
          <w:sz w:val="18"/>
          <w:szCs w:val="18"/>
          <w:color w:val="auto"/>
        </w:rPr>
        <w:t xml:space="preserve">thereto, shall be eligible to vest on the Vesting Date, subject to the Employee’s continued employment with or provision of services to the Company or a subsidiary or an affiliate through the Vesting Date (and the Performance Conditions shall each be deemed to have been achieved at the 100% payout levels as set forth on Exhibit A),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or services following such Change in Control and prior to the Vesting Date. Upon payment pursuant to the terms of the Plan, such awards shall be cancelled.</w:t>
      </w:r>
    </w:p>
    <w:p>
      <w:pPr>
        <w:spacing w:after="0" w:line="129" w:lineRule="exact"/>
        <w:rPr>
          <w:sz w:val="20"/>
          <w:szCs w:val="20"/>
          <w:color w:val="auto"/>
        </w:rPr>
      </w:pPr>
    </w:p>
    <w:p>
      <w:pPr>
        <w:jc w:val="both"/>
        <w:ind w:left="10" w:hanging="10"/>
        <w:spacing w:after="0" w:line="259" w:lineRule="auto"/>
        <w:tabs>
          <w:tab w:leader="none" w:pos="42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the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the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10" w:hanging="10"/>
        <w:spacing w:after="0" w:line="268" w:lineRule="auto"/>
        <w:tabs>
          <w:tab w:leader="none" w:pos="21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10" w:hanging="4"/>
        <w:spacing w:after="0" w:line="268" w:lineRule="auto"/>
        <w:tabs>
          <w:tab w:leader="none" w:pos="37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16" w:lineRule="exact"/>
        <w:rPr>
          <w:rFonts w:ascii="Arial" w:cs="Arial" w:eastAsia="Arial" w:hAnsi="Arial"/>
          <w:sz w:val="18"/>
          <w:szCs w:val="18"/>
          <w:color w:val="auto"/>
        </w:rPr>
      </w:pPr>
    </w:p>
    <w:p>
      <w:pPr>
        <w:jc w:val="both"/>
        <w:ind w:left="10" w:hanging="10"/>
        <w:spacing w:after="0" w:line="262"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50" w:hanging="344"/>
        <w:spacing w:after="0"/>
        <w:tabs>
          <w:tab w:leader="none" w:pos="35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490"/>
        <w:spacing w:after="0" w:line="287" w:lineRule="auto"/>
        <w:tabs>
          <w:tab w:leader="none" w:pos="69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or services prior to December 31, 2028, the PRSUs will be treated as set forth below.</w:t>
      </w:r>
    </w:p>
    <w:p>
      <w:pPr>
        <w:spacing w:after="0" w:line="98" w:lineRule="exact"/>
        <w:rPr>
          <w:rFonts w:ascii="Arial" w:cs="Arial" w:eastAsia="Arial" w:hAnsi="Arial"/>
          <w:sz w:val="18"/>
          <w:szCs w:val="18"/>
          <w:color w:val="auto"/>
        </w:rPr>
      </w:pPr>
    </w:p>
    <w:p>
      <w:pPr>
        <w:jc w:val="both"/>
        <w:ind w:left="1130" w:firstLine="4"/>
        <w:spacing w:after="0" w:line="262" w:lineRule="auto"/>
        <w:tabs>
          <w:tab w:leader="none" w:pos="1865" w:val="left"/>
        </w:tabs>
        <w:numPr>
          <w:ilvl w:val="2"/>
          <w:numId w:val="30"/>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a Termination For Good Reason following a Change in Control or a Qualifying Retirement, the PRSUs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jc w:val="both"/>
        <w:ind w:left="1130" w:firstLine="4"/>
        <w:spacing w:after="0" w:line="254" w:lineRule="auto"/>
        <w:tabs>
          <w:tab w:leader="none" w:pos="1570" w:val="left"/>
        </w:tabs>
        <w:numPr>
          <w:ilvl w:val="2"/>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Qualifying Retirement. </w:t>
      </w:r>
      <w:r>
        <w:rPr>
          <w:rFonts w:ascii="Arial" w:cs="Arial" w:eastAsia="Arial" w:hAnsi="Arial"/>
          <w:sz w:val="18"/>
          <w:szCs w:val="18"/>
          <w:color w:val="auto"/>
        </w:rPr>
        <w:t>In the event of a Qualifying Retirement, the Employee will remain eligible to vest in a Pro-Rata</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PRSUs that would otherwise vest on the Vesting Date based on the achievement of the Performance Conditions, and any dividend equivalents with respect thereto; provided that the Employee (A) completes a successful transition of responsibilities (as determined by the Board of Directors of the Company) and cooperates during the remaining vesting period, (B)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70"/>
          </w:cols>
          <w:pgMar w:left="490" w:top="1093" w:right="339" w:bottom="1440" w:gutter="0" w:footer="0" w:header="0"/>
        </w:sectPr>
      </w:pPr>
    </w:p>
    <w:bookmarkStart w:id="36" w:name="page37"/>
    <w:bookmarkEnd w:id="36"/>
    <w:p>
      <w:pPr>
        <w:jc w:val="both"/>
        <w:ind w:left="806" w:firstLine="4"/>
        <w:spacing w:after="0" w:line="256" w:lineRule="auto"/>
        <w:tabs>
          <w:tab w:leader="none" w:pos="1273"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due to death, Disability, or a termination for Cause, the Employee will remain eligible to vest in a Pro-Rata Amount of PRSUs that otherwise vest on December31, 2028 based on the achievement of the Performance Conditions, and any dividend equivalents with respect thereto, provided that the number of full months in the numerator of the Pro-Rata Amount will be increased by a number equal to the number of months of cash severance the Employee would be entitled to under the Company’s applicable severance plan or policy, but shall in no event be greater than 36.</w:t>
      </w:r>
    </w:p>
    <w:p>
      <w:pPr>
        <w:spacing w:after="0" w:line="128" w:lineRule="exact"/>
        <w:rPr>
          <w:rFonts w:ascii="Arial" w:cs="Arial" w:eastAsia="Arial" w:hAnsi="Arial"/>
          <w:sz w:val="18"/>
          <w:szCs w:val="18"/>
          <w:color w:val="auto"/>
        </w:rPr>
      </w:pPr>
    </w:p>
    <w:p>
      <w:pPr>
        <w:jc w:val="both"/>
        <w:ind w:left="806" w:firstLine="4"/>
        <w:spacing w:after="0" w:line="254" w:lineRule="auto"/>
        <w:tabs>
          <w:tab w:leader="none" w:pos="1256"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of or otherwise provide services to 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at the 100% payout levels as set forth on Exhibit A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1" w:lineRule="exact"/>
        <w:rPr>
          <w:rFonts w:ascii="Arial" w:cs="Arial" w:eastAsia="Arial" w:hAnsi="Arial"/>
          <w:sz w:val="18"/>
          <w:szCs w:val="18"/>
          <w:color w:val="auto"/>
        </w:rPr>
      </w:pPr>
    </w:p>
    <w:p>
      <w:pPr>
        <w:jc w:val="both"/>
        <w:ind w:left="806" w:firstLine="4"/>
        <w:spacing w:after="0" w:line="259" w:lineRule="auto"/>
        <w:tabs>
          <w:tab w:leader="none" w:pos="1229"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Employer by reason of death or Disability prior to a Change in Control, the PRSUs covered by this Agreement, and any dividend equivalents with respect thereto, shall remain eligible to vest pursuant to Section 3 based on the satisfaction of the Performance Conditions and as if such Employee remained employed through the Vesting Date and shall be settled within 60 days following the Vesting Date in accordance with Section 2, without proration.</w:t>
      </w:r>
    </w:p>
    <w:p>
      <w:pPr>
        <w:spacing w:after="0" w:line="125" w:lineRule="exact"/>
        <w:rPr>
          <w:rFonts w:ascii="Arial" w:cs="Arial" w:eastAsia="Arial" w:hAnsi="Arial"/>
          <w:sz w:val="18"/>
          <w:szCs w:val="18"/>
          <w:color w:val="auto"/>
        </w:rPr>
      </w:pPr>
    </w:p>
    <w:p>
      <w:pPr>
        <w:jc w:val="both"/>
        <w:ind w:left="806" w:firstLine="4"/>
        <w:spacing w:after="0" w:line="262" w:lineRule="auto"/>
        <w:tabs>
          <w:tab w:leader="none" w:pos="135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due to termination for Cause, the PRSUs shall be cancelled and forfeited on the date of such termination of employment or services, in addition to any other rights reserved under the Conduent Incorporated Compensation Recoupment Policy, as may be amended from time to time, or any successor policy.</w:t>
      </w:r>
    </w:p>
    <w:p>
      <w:pPr>
        <w:spacing w:after="0" w:line="122" w:lineRule="exact"/>
        <w:rPr>
          <w:rFonts w:ascii="Arial" w:cs="Arial" w:eastAsia="Arial" w:hAnsi="Arial"/>
          <w:sz w:val="18"/>
          <w:szCs w:val="18"/>
          <w:color w:val="auto"/>
        </w:rPr>
      </w:pPr>
    </w:p>
    <w:p>
      <w:pPr>
        <w:jc w:val="both"/>
        <w:ind w:left="806" w:firstLine="4"/>
        <w:spacing w:after="0" w:line="254" w:lineRule="auto"/>
        <w:tabs>
          <w:tab w:leader="none" w:pos="139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PRSUs, the Employee’s employment and /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will be considered terminated as of the date the Employee is no longer is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unless otherwise determined by the Company, the Employee’s right to vest in the PRSUs, if any, will terminate as of such date and, in either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PRSUs (including whether the Employee still may be considered to be providing services while on a leave of absence).</w:t>
      </w:r>
    </w:p>
    <w:p>
      <w:pPr>
        <w:spacing w:after="0" w:line="128" w:lineRule="exact"/>
        <w:rPr>
          <w:rFonts w:ascii="Arial" w:cs="Arial" w:eastAsia="Arial" w:hAnsi="Arial"/>
          <w:sz w:val="18"/>
          <w:szCs w:val="18"/>
          <w:color w:val="auto"/>
        </w:rPr>
      </w:pPr>
    </w:p>
    <w:p>
      <w:pPr>
        <w:ind w:left="426" w:hanging="426"/>
        <w:spacing w:after="0"/>
        <w:tabs>
          <w:tab w:leader="none" w:pos="42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6" w:right="2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6"/>
          </w:cols>
          <w:pgMar w:left="814" w:top="1093" w:right="339" w:bottom="1440" w:gutter="0" w:footer="0" w:header="0"/>
        </w:sectPr>
      </w:pPr>
    </w:p>
    <w:bookmarkStart w:id="37" w:name="page38"/>
    <w:bookmarkEnd w:id="37"/>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Data Protection Laws</w:t>
      </w:r>
      <w:r>
        <w:rPr>
          <w:rFonts w:ascii="Arial" w:cs="Arial" w:eastAsia="Arial" w:hAnsi="Arial"/>
          <w:sz w:val="18"/>
          <w:szCs w:val="18"/>
          <w:color w:val="auto"/>
        </w:rPr>
        <w:t>” means all applicable laws and regulations relating to the processing of Personal Data and privacy that may exist in the relevant jurisdictions.</w:t>
      </w:r>
    </w:p>
    <w:p>
      <w:pPr>
        <w:spacing w:after="0" w:line="99"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xml:space="preserve">” will be equal to the number of PRSUs that would otherwise vest on the Vesting Date based on the achievement of the Performance Conditions, multiplied by a fraction, the numerator of which is the number of full months elapsed between January 1, 2026 and the Termination Date and the denominator of which is 36;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as set forth above shall be forfeited.</w:t>
      </w:r>
    </w:p>
    <w:p>
      <w:pPr>
        <w:spacing w:after="0" w:line="129" w:lineRule="exact"/>
        <w:rPr>
          <w:sz w:val="20"/>
          <w:szCs w:val="20"/>
          <w:color w:val="auto"/>
        </w:rPr>
      </w:pPr>
    </w:p>
    <w:p>
      <w:pPr>
        <w:jc w:val="both"/>
        <w:ind w:left="5"/>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w:t>
      </w:r>
    </w:p>
    <w:p>
      <w:pPr>
        <w:spacing w:after="0" w:line="2" w:lineRule="exact"/>
        <w:rPr>
          <w:sz w:val="20"/>
          <w:szCs w:val="20"/>
          <w:color w:val="auto"/>
        </w:rPr>
      </w:pPr>
    </w:p>
    <w:p>
      <w:pPr>
        <w:jc w:val="both"/>
        <w:ind w:left="5" w:hanging="5"/>
        <w:spacing w:after="0" w:line="258" w:lineRule="auto"/>
        <w:tabs>
          <w:tab w:leader="none" w:pos="2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Employee’s retirement has been agreed to and approved by the Chief Executive Officer of the Company (and, if Employee is a Section 16 officer of the Company, by the Board of Directors of the Company), who shall have the sole discretion to determine the date of retirement of such Employee.</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or services to the Employer.</w:t>
      </w:r>
    </w:p>
    <w:p>
      <w:pPr>
        <w:spacing w:after="0" w:line="171"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128" w:lineRule="exact"/>
        <w:rPr>
          <w:sz w:val="20"/>
          <w:szCs w:val="20"/>
          <w:color w:val="auto"/>
        </w:rPr>
      </w:pPr>
    </w:p>
    <w:p>
      <w:pPr>
        <w:ind w:left="385" w:firstLine="4"/>
        <w:spacing w:after="0" w:line="287" w:lineRule="auto"/>
        <w:tabs>
          <w:tab w:leader="none" w:pos="8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385" w:firstLine="4"/>
        <w:spacing w:after="0" w:line="255" w:lineRule="auto"/>
        <w:tabs>
          <w:tab w:leader="none" w:pos="8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30" w:lineRule="exact"/>
        <w:rPr>
          <w:rFonts w:ascii="Arial" w:cs="Arial" w:eastAsia="Arial" w:hAnsi="Arial"/>
          <w:sz w:val="18"/>
          <w:szCs w:val="18"/>
          <w:color w:val="auto"/>
        </w:rPr>
      </w:pPr>
    </w:p>
    <w:p>
      <w:pPr>
        <w:jc w:val="both"/>
        <w:ind w:left="385" w:firstLine="4"/>
        <w:spacing w:after="0" w:line="262" w:lineRule="auto"/>
        <w:tabs>
          <w:tab w:leader="none" w:pos="9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25"/>
          </w:cols>
          <w:pgMar w:left="1235" w:top="1093" w:right="339" w:bottom="1440" w:gutter="0" w:footer="0" w:header="0"/>
        </w:sectPr>
      </w:pPr>
    </w:p>
    <w:bookmarkStart w:id="38" w:name="page39"/>
    <w:bookmarkEnd w:id="38"/>
    <w:p>
      <w:pPr>
        <w:ind w:left="1130"/>
        <w:spacing w:after="0"/>
        <w:rPr>
          <w:sz w:val="20"/>
          <w:szCs w:val="20"/>
          <w:color w:val="auto"/>
        </w:rPr>
      </w:pPr>
      <w:r>
        <w:rPr>
          <w:rFonts w:ascii="Arial" w:cs="Arial" w:eastAsia="Arial" w:hAnsi="Arial"/>
          <w:sz w:val="18"/>
          <w:szCs w:val="18"/>
          <w:color w:val="auto"/>
        </w:rPr>
        <w:t>constitutes a material change in the geographic location at which the Employee is required to perform the services;</w:t>
      </w:r>
    </w:p>
    <w:p>
      <w:pPr>
        <w:spacing w:after="0" w:line="171" w:lineRule="exact"/>
        <w:rPr>
          <w:sz w:val="20"/>
          <w:szCs w:val="20"/>
          <w:color w:val="auto"/>
        </w:rPr>
      </w:pPr>
    </w:p>
    <w:p>
      <w:pPr>
        <w:jc w:val="both"/>
        <w:ind w:left="1130" w:firstLine="4"/>
        <w:spacing w:after="0" w:line="256" w:lineRule="auto"/>
        <w:tabs>
          <w:tab w:leader="none" w:pos="163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1130" w:firstLine="4"/>
        <w:spacing w:after="0" w:line="287" w:lineRule="auto"/>
        <w:tabs>
          <w:tab w:leader="none" w:pos="15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750"/>
        <w:spacing w:after="0" w:line="259" w:lineRule="auto"/>
        <w:rPr>
          <w:sz w:val="20"/>
          <w:szCs w:val="20"/>
          <w:color w:val="auto"/>
        </w:rPr>
      </w:pPr>
      <w:r>
        <w:rPr>
          <w:rFonts w:ascii="Arial" w:cs="Arial" w:eastAsia="Arial" w:hAnsi="Arial"/>
          <w:sz w:val="18"/>
          <w:szCs w:val="18"/>
          <w:color w:val="auto"/>
        </w:rPr>
        <w:t>A termination by the Employee of his or her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650" w:hanging="423"/>
        <w:spacing w:after="0" w:line="256" w:lineRule="auto"/>
        <w:tabs>
          <w:tab w:leader="none" w:pos="851"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a Pro-Rata Amount of the PRSUs shall vest and be paid as provided in Section 8(a)(iii) above; provided, that, in the event the Employee is offered a comparable position with the acquirer of such line of business and does not accept such offer, the PRSUs shall be cancelled and forfeited on the date of termination of employment or services.</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38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pacing w:after="0" w:line="128" w:lineRule="exact"/>
        <w:rPr>
          <w:rFonts w:ascii="Arial" w:cs="Arial" w:eastAsia="Arial" w:hAnsi="Arial"/>
          <w:sz w:val="18"/>
          <w:szCs w:val="18"/>
          <w:color w:val="auto"/>
        </w:rPr>
      </w:pPr>
    </w:p>
    <w:p>
      <w:pPr>
        <w:ind w:left="450" w:hanging="450"/>
        <w:spacing w:after="0"/>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50" w:hanging="407"/>
        <w:spacing w:after="0" w:line="254" w:lineRule="auto"/>
        <w:tabs>
          <w:tab w:leader="none" w:pos="716"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Items</w:t>
      </w:r>
      <w:r>
        <w:rPr>
          <w:rFonts w:ascii="Arial" w:cs="Arial" w:eastAsia="Arial" w:hAnsi="Arial"/>
          <w:sz w:val="18"/>
          <w:szCs w:val="18"/>
          <w:color w:val="auto"/>
        </w:rPr>
        <w:t>”) is and remains the Employee’s responsibility and may exceed the amount, if any, actually withheld by the Company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The Employee further acknowledges that the Company and/or the Employer (i) make no representations or undertakings regarding the treatment of any Tax-Related Items in connection with any aspect of the PRSUs or the underlying shares of Common Stock, including, but not limited to, the grant, vesting or settlement of the PRSUs, the subsequent sale of shares of Common Stock acquired upon the settlement of the PRSUs and the receipt of any dividends; and (ii) do not commit to and are under no obligation to structure the terms of the grant or any aspect of the PRSUs to reduce or eliminate the Employee’s liability for Tax-Related Items or to achieve any particular tax result. Further, if the Employee is subject to Tax-Related Items in more than one jurisdiction,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70"/>
          </w:cols>
          <w:pgMar w:left="490" w:top="1093" w:right="339" w:bottom="1440" w:gutter="0" w:footer="0" w:header="0"/>
        </w:sectPr>
      </w:pPr>
    </w:p>
    <w:bookmarkStart w:id="39" w:name="page40"/>
    <w:bookmarkEnd w:id="39"/>
    <w:p>
      <w:pPr>
        <w:ind w:left="650" w:right="20"/>
        <w:spacing w:after="0" w:line="287" w:lineRule="auto"/>
        <w:rPr>
          <w:sz w:val="20"/>
          <w:szCs w:val="20"/>
          <w:color w:val="auto"/>
        </w:rPr>
      </w:pPr>
      <w:r>
        <w:rPr>
          <w:rFonts w:ascii="Arial" w:cs="Arial" w:eastAsia="Arial" w:hAnsi="Arial"/>
          <w:sz w:val="18"/>
          <w:szCs w:val="18"/>
          <w:color w:val="auto"/>
        </w:rPr>
        <w:t>acknowledges that the Company and/or the Employer (or former employer, as applicable) may be required to withhold or account for Tax-Related Items in more than one jurisdiction.</w:t>
      </w:r>
    </w:p>
    <w:p>
      <w:pPr>
        <w:spacing w:after="0" w:line="153" w:lineRule="exact"/>
        <w:rPr>
          <w:sz w:val="20"/>
          <w:szCs w:val="20"/>
          <w:color w:val="auto"/>
        </w:rPr>
      </w:pPr>
    </w:p>
    <w:p>
      <w:pPr>
        <w:jc w:val="both"/>
        <w:ind w:left="650" w:hanging="407"/>
        <w:spacing w:after="0" w:line="253" w:lineRule="auto"/>
        <w:tabs>
          <w:tab w:leader="none" w:pos="791"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PRSUs either through a voluntary sale or through a mandatory sale arranged by the Company (on the Employee’s behalf pursuant to this authorization without further consent), (iv) withholding from the shares of Common Stock otherwise issuable at vesting of the PRSUs,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189" w:lineRule="exact"/>
        <w:rPr>
          <w:rFonts w:ascii="Arial" w:cs="Arial" w:eastAsia="Arial" w:hAnsi="Arial"/>
          <w:sz w:val="18"/>
          <w:szCs w:val="18"/>
          <w:color w:val="auto"/>
        </w:rPr>
      </w:pPr>
    </w:p>
    <w:p>
      <w:pPr>
        <w:jc w:val="both"/>
        <w:ind w:left="650" w:hanging="407"/>
        <w:spacing w:after="0" w:line="255" w:lineRule="auto"/>
        <w:tabs>
          <w:tab w:leader="none" w:pos="70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 Employee may receive a refund of any over-withheld amount in cash (with no entitlement to the equivalent in shares of Common Stock) or, if not refunded, the Employee may 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subject to the vested PRSUs, notwithstanding that a number of the shares of Common Stock is held back solely for the purpose of paying the Tax-Related Items.</w:t>
      </w:r>
    </w:p>
    <w:p>
      <w:pPr>
        <w:spacing w:after="0" w:line="184" w:lineRule="exact"/>
        <w:rPr>
          <w:rFonts w:ascii="Arial" w:cs="Arial" w:eastAsia="Arial" w:hAnsi="Arial"/>
          <w:sz w:val="18"/>
          <w:szCs w:val="18"/>
          <w:color w:val="auto"/>
        </w:rPr>
      </w:pPr>
    </w:p>
    <w:p>
      <w:pPr>
        <w:jc w:val="both"/>
        <w:ind w:left="650" w:hanging="407"/>
        <w:spacing w:after="0" w:line="259" w:lineRule="auto"/>
        <w:tabs>
          <w:tab w:leader="none" w:pos="7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PRSUs, if the Employee fails to comply with the Employee's obligations in connection with the Tax-Related Items.</w:t>
      </w:r>
    </w:p>
    <w:p>
      <w:pPr>
        <w:spacing w:after="0" w:line="125" w:lineRule="exact"/>
        <w:rPr>
          <w:rFonts w:ascii="Arial" w:cs="Arial" w:eastAsia="Arial" w:hAnsi="Arial"/>
          <w:sz w:val="18"/>
          <w:szCs w:val="18"/>
          <w:color w:val="auto"/>
        </w:rPr>
      </w:pPr>
    </w:p>
    <w:p>
      <w:pPr>
        <w:ind w:left="430" w:hanging="430"/>
        <w:spacing w:after="0"/>
        <w:tabs>
          <w:tab w:leader="none" w:pos="43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570" w:hanging="331"/>
        <w:spacing w:after="0" w:line="268" w:lineRule="auto"/>
        <w:tabs>
          <w:tab w:leader="none" w:pos="5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PRSUs are subject to modification and adjustment under Section 9(c) of the Plan;</w:t>
      </w:r>
    </w:p>
    <w:p>
      <w:pPr>
        <w:spacing w:after="0" w:line="116" w:lineRule="exact"/>
        <w:rPr>
          <w:rFonts w:ascii="Arial" w:cs="Arial" w:eastAsia="Arial" w:hAnsi="Arial"/>
          <w:sz w:val="18"/>
          <w:szCs w:val="18"/>
          <w:color w:val="auto"/>
        </w:rPr>
      </w:pPr>
    </w:p>
    <w:p>
      <w:pPr>
        <w:ind w:left="650" w:hanging="326"/>
        <w:spacing w:after="0" w:line="287" w:lineRule="auto"/>
        <w:tabs>
          <w:tab w:leader="none" w:pos="6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98" w:lineRule="exact"/>
        <w:rPr>
          <w:rFonts w:ascii="Arial" w:cs="Arial" w:eastAsia="Arial" w:hAnsi="Arial"/>
          <w:sz w:val="18"/>
          <w:szCs w:val="18"/>
          <w:color w:val="auto"/>
        </w:rPr>
      </w:pPr>
    </w:p>
    <w:p>
      <w:pPr>
        <w:ind w:left="650" w:hanging="326"/>
        <w:spacing w:after="0" w:line="287" w:lineRule="auto"/>
        <w:tabs>
          <w:tab w:leader="none" w:pos="644" w:val="left"/>
        </w:tabs>
        <w:numPr>
          <w:ilvl w:val="2"/>
          <w:numId w:val="39"/>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650" w:hanging="326"/>
        <w:spacing w:after="0" w:line="268" w:lineRule="auto"/>
        <w:tabs>
          <w:tab w:leader="none" w:pos="6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PRSU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630" w:hanging="306"/>
        <w:spacing w:after="0"/>
        <w:tabs>
          <w:tab w:leader="none" w:pos="63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70"/>
          </w:cols>
          <w:pgMar w:left="490" w:top="1093" w:right="339" w:bottom="1440" w:gutter="0" w:footer="0" w:header="0"/>
        </w:sectPr>
      </w:pPr>
    </w:p>
    <w:bookmarkStart w:id="40" w:name="page41"/>
    <w:bookmarkEnd w:id="40"/>
    <w:p>
      <w:pPr>
        <w:jc w:val="both"/>
        <w:ind w:left="650" w:hanging="326"/>
        <w:spacing w:after="0" w:line="268" w:lineRule="auto"/>
        <w:tabs>
          <w:tab w:leader="none" w:pos="6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650" w:hanging="326"/>
        <w:spacing w:after="0" w:line="287" w:lineRule="auto"/>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98" w:lineRule="exact"/>
        <w:rPr>
          <w:rFonts w:ascii="Arial" w:cs="Arial" w:eastAsia="Arial" w:hAnsi="Arial"/>
          <w:sz w:val="18"/>
          <w:szCs w:val="18"/>
          <w:color w:val="auto"/>
        </w:rPr>
      </w:pPr>
    </w:p>
    <w:p>
      <w:pPr>
        <w:jc w:val="both"/>
        <w:ind w:left="650" w:hanging="326"/>
        <w:spacing w:after="0" w:line="262" w:lineRule="auto"/>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22" w:lineRule="exact"/>
        <w:rPr>
          <w:rFonts w:ascii="Arial" w:cs="Arial" w:eastAsia="Arial" w:hAnsi="Arial"/>
          <w:sz w:val="18"/>
          <w:szCs w:val="18"/>
          <w:color w:val="auto"/>
        </w:rPr>
      </w:pPr>
    </w:p>
    <w:p>
      <w:pPr>
        <w:ind w:left="650" w:hanging="326"/>
        <w:spacing w:after="0"/>
        <w:tabs>
          <w:tab w:leader="none" w:pos="6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650" w:hanging="326"/>
        <w:spacing w:after="0" w:line="255" w:lineRule="auto"/>
        <w:tabs>
          <w:tab w:leader="none" w:pos="6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consideration of the award of the PRSUs, no claim or entitlement to compensation or damages shall arise from forfeiture of the PRSUs, including, but not limited to, (i) forfeiture resulting from termination of the Employee’s employment with or services to the Employer (for any reason whatsoever and whether or not in breach of local labor laws) or (ii) forfeiture of the PRSUs or the recoupment of any shares of Common Stock or other benefits or payments acquired under the Plan resulting from the application of any recoupment or clawback policy or provision required by the Company or any recovery or clawback otherwise required by law, as further described in Section 16.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30" w:lineRule="exact"/>
        <w:rPr>
          <w:rFonts w:ascii="Arial" w:cs="Arial" w:eastAsia="Arial" w:hAnsi="Arial"/>
          <w:sz w:val="18"/>
          <w:szCs w:val="18"/>
          <w:color w:val="auto"/>
        </w:rPr>
      </w:pPr>
    </w:p>
    <w:p>
      <w:pPr>
        <w:ind w:left="650" w:hanging="326"/>
        <w:spacing w:after="0" w:line="287" w:lineRule="auto"/>
        <w:tabs>
          <w:tab w:leader="none" w:pos="644"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PRSUs and the benefits under the Plan, if any, will not automatically transfer to another company in the case of a merger, take-over or transfer of liability.</w:t>
      </w:r>
    </w:p>
    <w:p>
      <w:pPr>
        <w:spacing w:after="0" w:line="98" w:lineRule="exact"/>
        <w:rPr>
          <w:rFonts w:ascii="Arial" w:cs="Arial" w:eastAsia="Arial" w:hAnsi="Arial"/>
          <w:sz w:val="18"/>
          <w:szCs w:val="18"/>
          <w:color w:val="auto"/>
        </w:rPr>
      </w:pPr>
    </w:p>
    <w:p>
      <w:pPr>
        <w:jc w:val="both"/>
        <w:ind w:left="10" w:hanging="10"/>
        <w:spacing w:after="0" w:line="262" w:lineRule="auto"/>
        <w:tabs>
          <w:tab w:leader="none" w:pos="58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122" w:lineRule="exact"/>
        <w:rPr>
          <w:rFonts w:ascii="Arial" w:cs="Arial" w:eastAsia="Arial" w:hAnsi="Arial"/>
          <w:sz w:val="18"/>
          <w:szCs w:val="18"/>
          <w:color w:val="auto"/>
        </w:rPr>
      </w:pPr>
    </w:p>
    <w:p>
      <w:pPr>
        <w:jc w:val="both"/>
        <w:ind w:left="10" w:hanging="10"/>
        <w:spacing w:after="0" w:line="253"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PRSUs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 understands that the Company is under no obligation to register or qualify the shares of Common Stock subject to the PRSUs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135" w:lineRule="exact"/>
        <w:rPr>
          <w:rFonts w:ascii="Arial" w:cs="Arial" w:eastAsia="Arial" w:hAnsi="Arial"/>
          <w:sz w:val="18"/>
          <w:szCs w:val="18"/>
          <w:color w:val="auto"/>
        </w:rPr>
      </w:pPr>
    </w:p>
    <w:p>
      <w:pPr>
        <w:jc w:val="both"/>
        <w:ind w:left="10" w:hanging="10"/>
        <w:spacing w:after="0" w:line="268"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The Committee or its authorized delegate, as applicable, may amend this Agreement in a manner not inconsistent with the Plan; provided, however, no such amendment will materially impair the rights of the Employee without his or her consent.</w:t>
      </w:r>
    </w:p>
    <w:p>
      <w:pPr>
        <w:spacing w:after="0" w:line="116" w:lineRule="exact"/>
        <w:rPr>
          <w:rFonts w:ascii="Arial" w:cs="Arial" w:eastAsia="Arial" w:hAnsi="Arial"/>
          <w:sz w:val="18"/>
          <w:szCs w:val="18"/>
          <w:color w:val="auto"/>
        </w:rPr>
      </w:pPr>
    </w:p>
    <w:p>
      <w:pPr>
        <w:jc w:val="both"/>
        <w:ind w:left="10" w:hanging="10"/>
        <w:spacing w:after="0" w:line="268" w:lineRule="auto"/>
        <w:tabs>
          <w:tab w:leader="none" w:pos="48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(including but not limited to California), by executing this Agreement and accepting the PRSUs and the delivery of any shares of Common Stock hereunder, the Employee expressly acknowledges and agrees to be bound by and to comply with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70"/>
          </w:cols>
          <w:pgMar w:left="490" w:top="1093" w:right="339" w:bottom="1440" w:gutter="0" w:footer="0" w:header="0"/>
        </w:sectPr>
      </w:pPr>
    </w:p>
    <w:bookmarkStart w:id="41" w:name="page42"/>
    <w:bookmarkEnd w:id="41"/>
    <w:p>
      <w:pPr>
        <w:ind w:left="10"/>
        <w:spacing w:after="0" w:line="296" w:lineRule="auto"/>
        <w:rPr>
          <w:sz w:val="20"/>
          <w:szCs w:val="20"/>
          <w:color w:val="auto"/>
        </w:rPr>
      </w:pPr>
      <w:r>
        <w:rPr>
          <w:rFonts w:ascii="Arial" w:cs="Arial" w:eastAsia="Arial" w:hAnsi="Arial"/>
          <w:sz w:val="18"/>
          <w:szCs w:val="18"/>
          <w:color w:val="auto"/>
        </w:rPr>
        <w:t>the terms and conditions contained in the Non-Competition and Non-Solicitation Agreement set forth as Exhibit B to this Agreement and incorporated herein by reference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83" w:lineRule="exact"/>
        <w:rPr>
          <w:sz w:val="20"/>
          <w:szCs w:val="20"/>
          <w:color w:val="auto"/>
        </w:rPr>
      </w:pPr>
    </w:p>
    <w:p>
      <w:pPr>
        <w:jc w:val="both"/>
        <w:ind w:left="10" w:hanging="10"/>
        <w:spacing w:after="0" w:line="282" w:lineRule="auto"/>
        <w:tabs>
          <w:tab w:leader="none" w:pos="487"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Recoupment</w:t>
      </w:r>
      <w:r>
        <w:rPr>
          <w:rFonts w:ascii="Arial" w:cs="Arial" w:eastAsia="Arial" w:hAnsi="Arial"/>
          <w:sz w:val="17"/>
          <w:szCs w:val="17"/>
          <w:color w:val="auto"/>
        </w:rPr>
        <w:t>. This Award shall be subject to (i) the Conduent Incorporated Compensation Recoupment Policy, as may be amended from time to time, or any successor policy and (ii) any other compensation recovery policy adopted after the PRSUs are granted to facilitate compliance with applicable law, including in response to the requirements of Section 10D of the Exchange Act, the U.S. Securities and Exchange Commission’s final rules thereunder, and any applicable listing rules or other rules and regulations implementing the foregoing.</w:t>
      </w:r>
    </w:p>
    <w:p>
      <w:pPr>
        <w:spacing w:after="0" w:line="10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PRSUs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125" w:lineRule="exact"/>
        <w:rPr>
          <w:sz w:val="20"/>
          <w:szCs w:val="20"/>
          <w:color w:val="auto"/>
        </w:rPr>
      </w:pPr>
    </w:p>
    <w:p>
      <w:pPr>
        <w:ind w:left="10" w:hanging="10"/>
        <w:spacing w:after="0" w:line="287" w:lineRule="auto"/>
        <w:tabs>
          <w:tab w:leader="none" w:pos="55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jc w:val="both"/>
        <w:ind w:left="650" w:hanging="407"/>
        <w:spacing w:after="0" w:line="268" w:lineRule="auto"/>
        <w:tabs>
          <w:tab w:leader="none" w:pos="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16" w:lineRule="exact"/>
        <w:rPr>
          <w:rFonts w:ascii="Arial" w:cs="Arial" w:eastAsia="Arial" w:hAnsi="Arial"/>
          <w:sz w:val="18"/>
          <w:szCs w:val="18"/>
          <w:color w:val="auto"/>
        </w:rPr>
      </w:pPr>
    </w:p>
    <w:p>
      <w:pPr>
        <w:jc w:val="both"/>
        <w:ind w:left="650" w:hanging="407"/>
        <w:spacing w:after="0" w:line="262" w:lineRule="auto"/>
        <w:tabs>
          <w:tab w:leader="none" w:pos="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22" w:lineRule="exact"/>
        <w:rPr>
          <w:rFonts w:ascii="Arial" w:cs="Arial" w:eastAsia="Arial" w:hAnsi="Arial"/>
          <w:sz w:val="18"/>
          <w:szCs w:val="18"/>
          <w:color w:val="auto"/>
        </w:rPr>
      </w:pPr>
    </w:p>
    <w:p>
      <w:pPr>
        <w:jc w:val="both"/>
        <w:ind w:left="65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128" w:lineRule="exact"/>
        <w:rPr>
          <w:rFonts w:ascii="Arial" w:cs="Arial" w:eastAsia="Arial" w:hAnsi="Arial"/>
          <w:sz w:val="18"/>
          <w:szCs w:val="18"/>
          <w:color w:val="auto"/>
        </w:rPr>
      </w:pPr>
    </w:p>
    <w:p>
      <w:pPr>
        <w:jc w:val="both"/>
        <w:ind w:left="650" w:hanging="407"/>
        <w:spacing w:after="0" w:line="259" w:lineRule="auto"/>
        <w:tabs>
          <w:tab w:leader="none" w:pos="64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25" w:lineRule="exact"/>
        <w:rPr>
          <w:rFonts w:ascii="Arial" w:cs="Arial" w:eastAsia="Arial" w:hAnsi="Arial"/>
          <w:sz w:val="18"/>
          <w:szCs w:val="18"/>
          <w:color w:val="auto"/>
        </w:rPr>
      </w:pPr>
    </w:p>
    <w:p>
      <w:pPr>
        <w:jc w:val="both"/>
        <w:ind w:left="650" w:hanging="407"/>
        <w:spacing w:after="0" w:line="256" w:lineRule="auto"/>
        <w:tabs>
          <w:tab w:leader="none" w:pos="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jc w:val="both"/>
        <w:ind w:left="10" w:hanging="10"/>
        <w:spacing w:after="0" w:line="268" w:lineRule="auto"/>
        <w:tabs>
          <w:tab w:leader="none" w:pos="51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70"/>
          </w:cols>
          <w:pgMar w:left="490" w:top="1093" w:right="339" w:bottom="1440" w:gutter="0" w:footer="0" w:header="0"/>
        </w:sectPr>
      </w:pPr>
    </w:p>
    <w:bookmarkStart w:id="42" w:name="page43"/>
    <w:bookmarkEnd w:id="42"/>
    <w:p>
      <w:pPr>
        <w:ind w:left="10" w:hanging="10"/>
        <w:spacing w:after="0" w:line="287" w:lineRule="auto"/>
        <w:tabs>
          <w:tab w:leader="none" w:pos="48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98" w:lineRule="exact"/>
        <w:rPr>
          <w:rFonts w:ascii="Arial" w:cs="Arial" w:eastAsia="Arial" w:hAnsi="Arial"/>
          <w:sz w:val="18"/>
          <w:szCs w:val="18"/>
          <w:color w:val="auto"/>
        </w:rPr>
      </w:pPr>
    </w:p>
    <w:p>
      <w:pPr>
        <w:jc w:val="both"/>
        <w:ind w:left="10" w:hanging="10"/>
        <w:spacing w:after="0" w:line="259" w:lineRule="auto"/>
        <w:tabs>
          <w:tab w:leader="none" w:pos="47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5" w:lineRule="exact"/>
        <w:rPr>
          <w:rFonts w:ascii="Arial" w:cs="Arial" w:eastAsia="Arial" w:hAnsi="Arial"/>
          <w:sz w:val="18"/>
          <w:szCs w:val="18"/>
          <w:color w:val="auto"/>
        </w:rPr>
      </w:pPr>
    </w:p>
    <w:p>
      <w:pPr>
        <w:jc w:val="both"/>
        <w:ind w:left="10" w:hanging="10"/>
        <w:spacing w:after="0" w:line="257" w:lineRule="auto"/>
        <w:tabs>
          <w:tab w:leader="none" w:pos="51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10" w:hanging="10"/>
        <w:spacing w:after="0" w:line="28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10" w:hanging="10"/>
        <w:spacing w:after="0" w:line="255" w:lineRule="auto"/>
        <w:tabs>
          <w:tab w:leader="none" w:pos="58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PRSUs, the Employee irrevocably consents to the jurisdiction of, and venue in, such courts and waives any objection that such courts are an inconvenient forum.</w:t>
      </w:r>
    </w:p>
    <w:p>
      <w:pPr>
        <w:spacing w:after="0" w:line="126" w:lineRule="exact"/>
        <w:rPr>
          <w:rFonts w:ascii="Arial" w:cs="Arial" w:eastAsia="Arial" w:hAnsi="Arial"/>
          <w:sz w:val="18"/>
          <w:szCs w:val="18"/>
          <w:color w:val="auto"/>
        </w:rPr>
      </w:pPr>
    </w:p>
    <w:p>
      <w:pPr>
        <w:jc w:val="both"/>
        <w:ind w:left="10" w:hanging="10"/>
        <w:spacing w:after="0" w:line="268" w:lineRule="auto"/>
        <w:tabs>
          <w:tab w:leader="none" w:pos="31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25" w:lineRule="exact"/>
        <w:rPr>
          <w:sz w:val="20"/>
          <w:szCs w:val="20"/>
          <w:color w:val="auto"/>
        </w:rPr>
      </w:pPr>
    </w:p>
    <w:p>
      <w:pPr>
        <w:jc w:val="both"/>
        <w:ind w:left="10"/>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jc w:val="both"/>
        <w:ind w:left="10" w:hanging="10"/>
        <w:spacing w:after="0" w:line="255" w:lineRule="auto"/>
        <w:tabs>
          <w:tab w:leader="none" w:pos="2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28" w:lineRule="exact"/>
        <w:rPr>
          <w:sz w:val="20"/>
          <w:szCs w:val="20"/>
          <w:color w:val="auto"/>
        </w:rPr>
      </w:pPr>
    </w:p>
    <w:p>
      <w:pPr>
        <w:ind w:left="10"/>
        <w:spacing w:after="0" w:line="28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1093" w:right="339" w:bottom="1440" w:gutter="0" w:footer="0" w:header="0"/>
        </w:sectPr>
      </w:pPr>
    </w:p>
    <w:bookmarkStart w:id="43" w:name="page44"/>
    <w:bookmarkEnd w:id="43"/>
    <w:p>
      <w:pPr>
        <w:jc w:val="both"/>
        <w:ind w:left="10"/>
        <w:spacing w:after="0" w:line="259" w:lineRule="auto"/>
        <w:rPr>
          <w:sz w:val="20"/>
          <w:szCs w:val="20"/>
          <w:color w:val="auto"/>
        </w:rPr>
      </w:pPr>
      <w:r>
        <w:rPr>
          <w:rFonts w:ascii="Arial" w:cs="Arial" w:eastAsia="Arial" w:hAnsi="Arial"/>
          <w:sz w:val="18"/>
          <w:szCs w:val="18"/>
          <w:color w:val="auto"/>
        </w:rPr>
        <w:t>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25" w:lineRule="exact"/>
        <w:rPr>
          <w:sz w:val="20"/>
          <w:szCs w:val="20"/>
          <w:color w:val="auto"/>
        </w:rPr>
      </w:pPr>
    </w:p>
    <w:p>
      <w:pPr>
        <w:ind w:left="450" w:hanging="450"/>
        <w:spacing w:after="0"/>
        <w:tabs>
          <w:tab w:leader="none" w:pos="45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30" w:hanging="391"/>
        <w:spacing w:after="0" w:line="253" w:lineRule="auto"/>
        <w:tabs>
          <w:tab w:leader="none" w:pos="53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Data Collection and Usage.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PRSUs or any other entitlement to shares or equivalent benefits awarded, canceled, exercised, vested, unvested or outstanding in the Employee’s favor (“Data”), for the purposes of implementing, administering and managing the Plan. The Company shall comply with Data Protection Laws in connection with the processing of any Data. The Company shall ensure that personnel with access to Data are under an appropriate obligation of confidentiality and that such personnel have received appropriate data protection and security training pertaining to the responsibilities of their role. The Company agrees that in order to provide the Plan and services, Company may engage subcontractors to process the Data. The Company will enter into a written agreement with the subcontractor imposing data protection terms that places the equivalent data protection obligations as those set out in this Agreement to the extent applicable to the nature of the services provided by such subcontractor, in particular providing appropriate administrative, technical, and physical safeguards that the processing will protect the Data.</w:t>
      </w:r>
    </w:p>
    <w:p>
      <w:pPr>
        <w:spacing w:after="0" w:line="135" w:lineRule="exact"/>
        <w:rPr>
          <w:rFonts w:ascii="Arial" w:cs="Arial" w:eastAsia="Arial" w:hAnsi="Arial"/>
          <w:sz w:val="18"/>
          <w:szCs w:val="18"/>
          <w:color w:val="auto"/>
        </w:rPr>
      </w:pPr>
    </w:p>
    <w:p>
      <w:pPr>
        <w:jc w:val="both"/>
        <w:ind w:left="630" w:hanging="391"/>
        <w:spacing w:after="0" w:line="257" w:lineRule="auto"/>
        <w:tabs>
          <w:tab w:leader="none" w:pos="74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Protection Laws that are different from the U.S. As a result, in the absence of appropriate safeguards, the transfer of Data to the U.S. or, as the case may be, other countries might not be subject to substantive data processing principles or supervision by data protection authorities. The Employee acknowledges that Company may transfer Data outside of the Employee’s home country and agrees to consent to the Data transfer as set forth in Section 25(e).</w:t>
      </w:r>
    </w:p>
    <w:p>
      <w:pPr>
        <w:spacing w:after="0" w:line="128" w:lineRule="exact"/>
        <w:rPr>
          <w:rFonts w:ascii="Arial" w:cs="Arial" w:eastAsia="Arial" w:hAnsi="Arial"/>
          <w:sz w:val="18"/>
          <w:szCs w:val="18"/>
          <w:color w:val="auto"/>
        </w:rPr>
      </w:pPr>
    </w:p>
    <w:p>
      <w:pPr>
        <w:jc w:val="both"/>
        <w:ind w:left="630" w:hanging="391"/>
        <w:spacing w:after="0" w:line="268" w:lineRule="auto"/>
        <w:tabs>
          <w:tab w:leader="none" w:pos="73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16"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 Employer will not be affected; the only consequence of refusing or withdrawing consent is that the Company would not be able to grant the PRSUs or other equity awards to the Employee or administer or maintain such awards.</w:t>
      </w:r>
    </w:p>
    <w:p>
      <w:pPr>
        <w:spacing w:after="0" w:line="125" w:lineRule="exact"/>
        <w:rPr>
          <w:rFonts w:ascii="Arial" w:cs="Arial" w:eastAsia="Arial" w:hAnsi="Arial"/>
          <w:sz w:val="18"/>
          <w:szCs w:val="18"/>
          <w:color w:val="auto"/>
        </w:rPr>
      </w:pPr>
    </w:p>
    <w:p>
      <w:pPr>
        <w:jc w:val="both"/>
        <w:ind w:left="630" w:hanging="391"/>
        <w:spacing w:after="0" w:line="268" w:lineRule="auto"/>
        <w:tabs>
          <w:tab w:leader="none" w:pos="688"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Protection Laws in the Employee’s jurisdiction. The Company will use reasonable efforts to fulfill any privacy rights requests under Data Protection Laws. To receive clarification regarding these rights or to exercise these rights, the Employee can contact the local human resources representative.</w:t>
      </w:r>
    </w:p>
    <w:p>
      <w:pPr>
        <w:spacing w:after="0" w:line="117" w:lineRule="exact"/>
        <w:rPr>
          <w:sz w:val="20"/>
          <w:szCs w:val="20"/>
          <w:color w:val="auto"/>
        </w:rPr>
      </w:pPr>
    </w:p>
    <w:p>
      <w:pPr>
        <w:jc w:val="both"/>
        <w:ind w:left="630" w:firstLine="74"/>
        <w:spacing w:after="0" w:line="262" w:lineRule="auto"/>
        <w:rPr>
          <w:sz w:val="20"/>
          <w:szCs w:val="20"/>
          <w:color w:val="auto"/>
        </w:rPr>
      </w:pPr>
      <w:r>
        <w:rPr>
          <w:rFonts w:ascii="Arial" w:cs="Arial" w:eastAsia="Arial" w:hAnsi="Arial"/>
          <w:sz w:val="18"/>
          <w:szCs w:val="18"/>
          <w:color w:val="auto"/>
        </w:rPr>
        <w:t>By accepting the PRSUs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may not have an adequate level of protection from a Data Protection Law perspective, for the purposes described above.</w:t>
      </w:r>
    </w:p>
    <w:p>
      <w:pPr>
        <w:spacing w:after="0" w:line="122" w:lineRule="exact"/>
        <w:rPr>
          <w:sz w:val="20"/>
          <w:szCs w:val="20"/>
          <w:color w:val="auto"/>
        </w:rPr>
      </w:pPr>
    </w:p>
    <w:p>
      <w:pPr>
        <w:jc w:val="both"/>
        <w:ind w:left="630" w:firstLine="134"/>
        <w:spacing w:after="0" w:line="268" w:lineRule="auto"/>
        <w:rPr>
          <w:sz w:val="20"/>
          <w:szCs w:val="20"/>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070"/>
          </w:cols>
          <w:pgMar w:left="490" w:top="1093" w:right="339" w:bottom="1440" w:gutter="0" w:footer="0" w:header="0"/>
        </w:sectPr>
      </w:pPr>
    </w:p>
    <w:bookmarkStart w:id="44" w:name="page45"/>
    <w:bookmarkEnd w:id="44"/>
    <w:p>
      <w:pPr>
        <w:jc w:val="both"/>
        <w:ind w:left="630"/>
        <w:spacing w:after="0" w:line="259" w:lineRule="auto"/>
        <w:rPr>
          <w:sz w:val="20"/>
          <w:szCs w:val="20"/>
          <w:color w:val="auto"/>
        </w:rPr>
      </w:pPr>
      <w:r>
        <w:rPr>
          <w:rFonts w:ascii="Arial" w:cs="Arial" w:eastAsia="Arial" w:hAnsi="Arial"/>
          <w:sz w:val="18"/>
          <w:szCs w:val="18"/>
          <w:color w:val="auto"/>
        </w:rPr>
        <w:t>provide an executed acknowledgement or data privacy consent form (or any other agreements or consents) that the Company and/or the Employer may deem necessary to obtain from the Employee for the purpose of administering the Employee’s participation in the Plan in compliance with the Data Protection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125" w:lineRule="exact"/>
        <w:rPr>
          <w:sz w:val="20"/>
          <w:szCs w:val="20"/>
          <w:color w:val="auto"/>
        </w:rPr>
      </w:pPr>
    </w:p>
    <w:p>
      <w:pPr>
        <w:jc w:val="both"/>
        <w:ind w:left="630" w:hanging="391"/>
        <w:spacing w:after="0" w:line="259" w:lineRule="auto"/>
        <w:tabs>
          <w:tab w:leader="none" w:pos="881"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Company shall use commercially reasonable efforts to implement and maintain reasonable and appropriate administrative, technical, and physical safeguards that are designed to ensure the security and confidentiality of Data in Company's possession or control; and protect Data in Company's possession or control from or unauthorized access, or disclosure. If Company experiences an actual data breach or compromise of security, confidentiality or integrity of Data, then Company shall promptly notify the Employee of such data breach in accordance with applicable Data Protection Laws.</w:t>
      </w:r>
    </w:p>
    <w:p>
      <w:pPr>
        <w:spacing w:after="0" w:line="125" w:lineRule="exact"/>
        <w:rPr>
          <w:rFonts w:ascii="Arial" w:cs="Arial" w:eastAsia="Arial" w:hAnsi="Arial"/>
          <w:sz w:val="18"/>
          <w:szCs w:val="18"/>
          <w:color w:val="auto"/>
        </w:rPr>
      </w:pPr>
    </w:p>
    <w:p>
      <w:pPr>
        <w:jc w:val="both"/>
        <w:ind w:left="10" w:hanging="10"/>
        <w:spacing w:after="0" w:line="268" w:lineRule="auto"/>
        <w:tabs>
          <w:tab w:leader="none" w:pos="57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10" w:hanging="10"/>
        <w:spacing w:after="0" w:line="287" w:lineRule="auto"/>
        <w:tabs>
          <w:tab w:leader="none" w:pos="52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10" w:hanging="10"/>
        <w:spacing w:after="0" w:line="25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PRSUs shall be subject to any special terms and conditions set forth in any appendix to this Agreement for the Employee’s country of employment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or becomes subject to the local laws, rules or regulations of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28" w:lineRule="exact"/>
        <w:rPr>
          <w:rFonts w:ascii="Arial" w:cs="Arial" w:eastAsia="Arial" w:hAnsi="Arial"/>
          <w:sz w:val="18"/>
          <w:szCs w:val="18"/>
          <w:color w:val="auto"/>
        </w:rPr>
      </w:pPr>
    </w:p>
    <w:p>
      <w:pPr>
        <w:jc w:val="both"/>
        <w:ind w:left="10" w:hanging="10"/>
        <w:spacing w:after="0" w:line="259" w:lineRule="auto"/>
        <w:tabs>
          <w:tab w:leader="none" w:pos="56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25" w:lineRule="exact"/>
        <w:rPr>
          <w:rFonts w:ascii="Arial" w:cs="Arial" w:eastAsia="Arial" w:hAnsi="Arial"/>
          <w:sz w:val="18"/>
          <w:szCs w:val="18"/>
          <w:color w:val="auto"/>
        </w:rPr>
      </w:pPr>
    </w:p>
    <w:p>
      <w:pPr>
        <w:jc w:val="both"/>
        <w:ind w:left="10" w:hanging="4"/>
        <w:spacing w:after="0" w:line="255" w:lineRule="auto"/>
        <w:tabs>
          <w:tab w:leader="none" w:pos="35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Legal, Regulatory and Tax Compliance; Cooperation</w:t>
      </w:r>
      <w:r>
        <w:rPr>
          <w:rFonts w:ascii="Arial" w:cs="Arial" w:eastAsia="Arial" w:hAnsi="Arial"/>
          <w:sz w:val="18"/>
          <w:szCs w:val="18"/>
          <w:color w:val="auto"/>
        </w:rPr>
        <w:t>. If the Employee resides or is employed outside of the United States, the Employee agrees, as a condition of the grant of the PRSUs, to take any and all actions as may be required to comply with the Employee's personal legal, regulatory and tax obligations under local laws, rules and regulations in the Employee's country of employment (and country of residence, if different), including (but not limited to) any obligations to repatriate all payments attributable to the shares of Common Stock and/or cash acquired under the Plan (e.g., dividends and any proceeds derived from the sale of shares of Common Stock acquired pursuant to the PRSUs). In addition, the Employee also agrees to take any and all actions, and consents to any and all actions taken by the Company and any of its subsidiaries or affiliates as may be required to allow the Company and any of its subsidiaries or affiliates to comply with local laws, rules and regulations in the Employee's country of employment (and country of residence, if different).</w:t>
      </w:r>
    </w:p>
    <w:p>
      <w:pPr>
        <w:spacing w:after="0" w:line="374"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171" w:lineRule="exact"/>
        <w:rPr>
          <w:sz w:val="20"/>
          <w:szCs w:val="20"/>
          <w:color w:val="auto"/>
        </w:rPr>
      </w:pPr>
    </w:p>
    <w:p>
      <w:pPr>
        <w:ind w:left="850"/>
        <w:spacing w:after="0"/>
        <w:rPr>
          <w:sz w:val="20"/>
          <w:szCs w:val="20"/>
          <w:color w:val="auto"/>
        </w:rPr>
      </w:pPr>
      <w:r>
        <w:rPr>
          <w:rFonts w:ascii="Arial" w:cs="Arial" w:eastAsia="Arial" w:hAnsi="Arial"/>
          <w:sz w:val="18"/>
          <w:szCs w:val="18"/>
          <w:color w:val="auto"/>
        </w:rPr>
        <w:t>CONDUENT INCORPORATED</w:t>
      </w:r>
    </w:p>
    <w:p>
      <w:pPr>
        <w:spacing w:after="0" w:line="387" w:lineRule="exact"/>
        <w:rPr>
          <w:sz w:val="20"/>
          <w:szCs w:val="20"/>
          <w:color w:val="auto"/>
        </w:rPr>
      </w:pPr>
    </w:p>
    <w:p>
      <w:pPr>
        <w:ind w:left="61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HARSH V. AGADI</w:t>
      </w:r>
    </w:p>
    <w:p>
      <w:pPr>
        <w:spacing w:after="0" w:line="50" w:lineRule="exact"/>
        <w:rPr>
          <w:sz w:val="20"/>
          <w:szCs w:val="20"/>
          <w:color w:val="auto"/>
        </w:rPr>
      </w:pPr>
    </w:p>
    <w:p>
      <w:pPr>
        <w:ind w:left="490"/>
        <w:spacing w:after="0"/>
        <w:rPr>
          <w:sz w:val="20"/>
          <w:szCs w:val="20"/>
          <w:color w:val="auto"/>
        </w:rPr>
      </w:pPr>
      <w:r>
        <w:rPr>
          <w:rFonts w:ascii="Arial" w:cs="Arial" w:eastAsia="Arial" w:hAnsi="Arial"/>
          <w:sz w:val="18"/>
          <w:szCs w:val="18"/>
          <w:color w:val="auto"/>
        </w:rPr>
        <w:t>Harsha V. Agadi, Chief Executive Officer</w:t>
      </w:r>
    </w:p>
    <w:p>
      <w:pPr>
        <w:spacing w:after="0" w:line="36" w:lineRule="exact"/>
        <w:rPr>
          <w:sz w:val="20"/>
          <w:szCs w:val="20"/>
          <w:color w:val="auto"/>
        </w:rPr>
      </w:pPr>
    </w:p>
    <w:p>
      <w:pPr>
        <w:ind w:left="690"/>
        <w:spacing w:after="0"/>
        <w:rPr>
          <w:sz w:val="20"/>
          <w:szCs w:val="20"/>
          <w:color w:val="auto"/>
        </w:rPr>
      </w:pPr>
      <w:r>
        <w:rPr>
          <w:rFonts w:ascii="Arial" w:cs="Arial" w:eastAsia="Arial" w:hAnsi="Arial"/>
          <w:sz w:val="18"/>
          <w:szCs w:val="18"/>
          <w:color w:val="auto"/>
        </w:rPr>
        <w:t>Date: April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070"/>
          </w:cols>
          <w:pgMar w:left="490" w:top="1093" w:right="339" w:bottom="1440" w:gutter="0" w:footer="0" w:header="0"/>
        </w:sectPr>
      </w:pPr>
    </w:p>
    <w:bookmarkStart w:id="45" w:name="page46"/>
    <w:bookmarkEnd w:id="45"/>
    <w:p>
      <w:pPr>
        <w:jc w:val="center"/>
        <w:ind w:right="-199"/>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Performance Conditions—Cumulative Adjusted EBITDA Margin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number of PRSUs that vest shall be based on the satisfaction of the pre-established 3-year cumulative Adjusted EBITDA Margin goals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Performance is measured at the end of year 3, and the result is then used to determine the payout, as follows:</w:t>
      </w:r>
    </w:p>
    <w:p>
      <w:pPr>
        <w:spacing w:after="0" w:line="200" w:lineRule="exact"/>
        <w:rPr>
          <w:sz w:val="20"/>
          <w:szCs w:val="20"/>
          <w:color w:val="auto"/>
        </w:rPr>
      </w:pP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20" w:type="dxa"/>
            <w:vAlign w:val="bottom"/>
            <w:tcBorders>
              <w:top w:val="single" w:sz="8" w:color="999999"/>
              <w:left w:val="single" w:sz="8" w:color="999999"/>
              <w:right w:val="single" w:sz="8" w:color="999999"/>
            </w:tcBorders>
          </w:tcPr>
          <w:p>
            <w:pPr>
              <w:ind w:left="80"/>
              <w:spacing w:after="0"/>
              <w:rPr>
                <w:sz w:val="20"/>
                <w:szCs w:val="20"/>
                <w:color w:val="auto"/>
              </w:rPr>
            </w:pPr>
            <w:r>
              <w:rPr>
                <w:rFonts w:ascii="Arial" w:cs="Arial" w:eastAsia="Arial" w:hAnsi="Arial"/>
                <w:sz w:val="18"/>
                <w:szCs w:val="18"/>
                <w:b w:val="1"/>
                <w:bCs w:val="1"/>
                <w:color w:val="auto"/>
              </w:rPr>
              <w:t>Performance Level</w:t>
            </w:r>
          </w:p>
        </w:tc>
        <w:tc>
          <w:tcPr>
            <w:tcW w:w="3240" w:type="dxa"/>
            <w:vAlign w:val="bottom"/>
            <w:tcBorders>
              <w:top w:val="single" w:sz="8" w:color="999999"/>
              <w:right w:val="single" w:sz="8" w:color="999999"/>
            </w:tcBorders>
          </w:tcPr>
          <w:p>
            <w:pPr>
              <w:jc w:val="center"/>
              <w:spacing w:after="0"/>
              <w:rPr>
                <w:sz w:val="20"/>
                <w:szCs w:val="20"/>
                <w:color w:val="auto"/>
              </w:rPr>
            </w:pPr>
            <w:r>
              <w:rPr>
                <w:rFonts w:ascii="Arial" w:cs="Arial" w:eastAsia="Arial" w:hAnsi="Arial"/>
                <w:sz w:val="18"/>
                <w:szCs w:val="18"/>
                <w:b w:val="1"/>
                <w:bCs w:val="1"/>
                <w:color w:val="auto"/>
              </w:rPr>
              <w:t>Cumulative Adjusted EBITDA</w:t>
            </w:r>
          </w:p>
        </w:tc>
        <w:tc>
          <w:tcPr>
            <w:tcW w:w="3220" w:type="dxa"/>
            <w:vAlign w:val="bottom"/>
            <w:tcBorders>
              <w:top w:val="single" w:sz="8" w:color="999999"/>
              <w:right w:val="single" w:sz="8" w:color="999999"/>
            </w:tcBorders>
          </w:tcPr>
          <w:p>
            <w:pPr>
              <w:ind w:left="1180"/>
              <w:spacing w:after="0"/>
              <w:rPr>
                <w:sz w:val="20"/>
                <w:szCs w:val="20"/>
                <w:color w:val="auto"/>
              </w:rPr>
            </w:pPr>
            <w:r>
              <w:rPr>
                <w:rFonts w:ascii="Arial" w:cs="Arial" w:eastAsia="Arial" w:hAnsi="Arial"/>
                <w:sz w:val="18"/>
                <w:szCs w:val="18"/>
                <w:b w:val="1"/>
                <w:bCs w:val="1"/>
                <w:color w:val="auto"/>
              </w:rPr>
              <w:t>Payout %</w:t>
            </w:r>
          </w:p>
        </w:tc>
      </w:tr>
      <w:tr>
        <w:trPr>
          <w:trHeight w:val="255"/>
        </w:trPr>
        <w:tc>
          <w:tcPr>
            <w:tcW w:w="2420" w:type="dxa"/>
            <w:vAlign w:val="bottom"/>
            <w:tcBorders>
              <w:left w:val="single" w:sz="8" w:color="999999"/>
              <w:bottom w:val="single" w:sz="8" w:color="999999"/>
              <w:right w:val="single" w:sz="8" w:color="999999"/>
            </w:tcBorders>
          </w:tcPr>
          <w:p>
            <w:pPr>
              <w:spacing w:after="0"/>
              <w:rPr>
                <w:sz w:val="22"/>
                <w:szCs w:val="22"/>
                <w:color w:val="auto"/>
              </w:rPr>
            </w:pPr>
          </w:p>
        </w:tc>
        <w:tc>
          <w:tcPr>
            <w:tcW w:w="3240" w:type="dxa"/>
            <w:vAlign w:val="bottom"/>
            <w:tcBorders>
              <w:bottom w:val="single" w:sz="8" w:color="999999"/>
              <w:right w:val="single" w:sz="8" w:color="999999"/>
            </w:tcBorders>
          </w:tcPr>
          <w:p>
            <w:pPr>
              <w:jc w:val="center"/>
              <w:spacing w:after="0"/>
              <w:rPr>
                <w:sz w:val="20"/>
                <w:szCs w:val="20"/>
                <w:color w:val="auto"/>
              </w:rPr>
            </w:pPr>
            <w:r>
              <w:rPr>
                <w:rFonts w:ascii="Arial" w:cs="Arial" w:eastAsia="Arial" w:hAnsi="Arial"/>
                <w:sz w:val="18"/>
                <w:szCs w:val="18"/>
                <w:b w:val="1"/>
                <w:bCs w:val="1"/>
                <w:color w:val="auto"/>
                <w:w w:val="99"/>
              </w:rPr>
              <w:t>Margin Achievement</w:t>
            </w:r>
          </w:p>
        </w:tc>
        <w:tc>
          <w:tcPr>
            <w:tcW w:w="3220" w:type="dxa"/>
            <w:vAlign w:val="bottom"/>
            <w:tcBorders>
              <w:bottom w:val="single" w:sz="8" w:color="999999"/>
              <w:right w:val="single" w:sz="8" w:color="999999"/>
            </w:tcBorders>
          </w:tcPr>
          <w:p>
            <w:pPr>
              <w:spacing w:after="0"/>
              <w:rPr>
                <w:sz w:val="22"/>
                <w:szCs w:val="22"/>
                <w:color w:val="auto"/>
              </w:rPr>
            </w:pPr>
          </w:p>
        </w:tc>
      </w:tr>
      <w:tr>
        <w:trPr>
          <w:trHeight w:val="247"/>
        </w:trPr>
        <w:tc>
          <w:tcPr>
            <w:tcW w:w="2420" w:type="dxa"/>
            <w:vAlign w:val="bottom"/>
            <w:tcBorders>
              <w:left w:val="single" w:sz="8" w:color="999999"/>
              <w:right w:val="single" w:sz="8" w:color="999999"/>
            </w:tcBorders>
          </w:tcPr>
          <w:p>
            <w:pPr>
              <w:jc w:val="center"/>
              <w:spacing w:after="0"/>
              <w:rPr>
                <w:sz w:val="20"/>
                <w:szCs w:val="20"/>
                <w:color w:val="auto"/>
              </w:rPr>
            </w:pPr>
            <w:r>
              <w:rPr>
                <w:rFonts w:ascii="Arial" w:cs="Arial" w:eastAsia="Arial" w:hAnsi="Arial"/>
                <w:sz w:val="18"/>
                <w:szCs w:val="18"/>
                <w:color w:val="auto"/>
                <w:w w:val="99"/>
              </w:rPr>
              <w:t>Threshold</w:t>
            </w:r>
          </w:p>
        </w:tc>
        <w:tc>
          <w:tcPr>
            <w:tcW w:w="3240" w:type="dxa"/>
            <w:vAlign w:val="bottom"/>
            <w:tcBorders>
              <w:right w:val="single" w:sz="8" w:color="999999"/>
            </w:tcBorders>
          </w:tcPr>
          <w:p>
            <w:pPr>
              <w:jc w:val="center"/>
              <w:spacing w:after="0"/>
              <w:rPr>
                <w:sz w:val="20"/>
                <w:szCs w:val="20"/>
                <w:color w:val="auto"/>
              </w:rPr>
            </w:pPr>
            <w:r>
              <w:rPr>
                <w:rFonts w:ascii="Arial" w:cs="Arial" w:eastAsia="Arial" w:hAnsi="Arial"/>
                <w:sz w:val="18"/>
                <w:szCs w:val="18"/>
                <w:color w:val="auto"/>
                <w:w w:val="97"/>
              </w:rPr>
              <w:t>6.0%</w:t>
            </w:r>
          </w:p>
        </w:tc>
        <w:tc>
          <w:tcPr>
            <w:tcW w:w="3220" w:type="dxa"/>
            <w:vAlign w:val="bottom"/>
            <w:tcBorders>
              <w:right w:val="single" w:sz="8" w:color="999999"/>
            </w:tcBorders>
          </w:tcPr>
          <w:p>
            <w:pPr>
              <w:jc w:val="center"/>
              <w:spacing w:after="0"/>
              <w:rPr>
                <w:sz w:val="20"/>
                <w:szCs w:val="20"/>
                <w:color w:val="auto"/>
              </w:rPr>
            </w:pPr>
            <w:r>
              <w:rPr>
                <w:rFonts w:ascii="Arial" w:cs="Arial" w:eastAsia="Arial" w:hAnsi="Arial"/>
                <w:sz w:val="18"/>
                <w:szCs w:val="18"/>
                <w:color w:val="auto"/>
                <w:w w:val="99"/>
              </w:rPr>
              <w:t>50%</w:t>
            </w:r>
          </w:p>
        </w:tc>
      </w:tr>
      <w:tr>
        <w:trPr>
          <w:trHeight w:val="23"/>
        </w:trPr>
        <w:tc>
          <w:tcPr>
            <w:tcW w:w="2420" w:type="dxa"/>
            <w:vAlign w:val="bottom"/>
            <w:tcBorders>
              <w:left w:val="single" w:sz="8" w:color="999999"/>
              <w:bottom w:val="single" w:sz="8" w:color="999999"/>
              <w:right w:val="single" w:sz="8" w:color="999999"/>
            </w:tcBorders>
          </w:tcPr>
          <w:p>
            <w:pPr>
              <w:spacing w:after="0"/>
              <w:rPr>
                <w:sz w:val="2"/>
                <w:szCs w:val="2"/>
                <w:color w:val="auto"/>
              </w:rPr>
            </w:pPr>
          </w:p>
        </w:tc>
        <w:tc>
          <w:tcPr>
            <w:tcW w:w="3240" w:type="dxa"/>
            <w:vAlign w:val="bottom"/>
            <w:tcBorders>
              <w:bottom w:val="single" w:sz="8" w:color="999999"/>
              <w:right w:val="single" w:sz="8" w:color="999999"/>
            </w:tcBorders>
          </w:tcPr>
          <w:p>
            <w:pPr>
              <w:spacing w:after="0"/>
              <w:rPr>
                <w:sz w:val="2"/>
                <w:szCs w:val="2"/>
                <w:color w:val="auto"/>
              </w:rPr>
            </w:pPr>
          </w:p>
        </w:tc>
        <w:tc>
          <w:tcPr>
            <w:tcW w:w="3220" w:type="dxa"/>
            <w:vAlign w:val="bottom"/>
            <w:tcBorders>
              <w:bottom w:val="single" w:sz="8" w:color="999999"/>
              <w:right w:val="single" w:sz="8" w:color="999999"/>
            </w:tcBorders>
          </w:tcPr>
          <w:p>
            <w:pPr>
              <w:spacing w:after="0"/>
              <w:rPr>
                <w:sz w:val="2"/>
                <w:szCs w:val="2"/>
                <w:color w:val="auto"/>
              </w:rPr>
            </w:pPr>
          </w:p>
        </w:tc>
      </w:tr>
      <w:tr>
        <w:trPr>
          <w:trHeight w:val="241"/>
        </w:trPr>
        <w:tc>
          <w:tcPr>
            <w:tcW w:w="2420" w:type="dxa"/>
            <w:vAlign w:val="bottom"/>
            <w:tcBorders>
              <w:left w:val="single" w:sz="8" w:color="999999"/>
              <w:right w:val="single" w:sz="8" w:color="999999"/>
            </w:tcBorders>
          </w:tcPr>
          <w:p>
            <w:pPr>
              <w:jc w:val="center"/>
              <w:spacing w:after="0"/>
              <w:rPr>
                <w:sz w:val="20"/>
                <w:szCs w:val="20"/>
                <w:color w:val="auto"/>
              </w:rPr>
            </w:pPr>
            <w:r>
              <w:rPr>
                <w:rFonts w:ascii="Arial" w:cs="Arial" w:eastAsia="Arial" w:hAnsi="Arial"/>
                <w:sz w:val="18"/>
                <w:szCs w:val="18"/>
                <w:color w:val="auto"/>
                <w:w w:val="96"/>
              </w:rPr>
              <w:t>Target</w:t>
            </w:r>
          </w:p>
        </w:tc>
        <w:tc>
          <w:tcPr>
            <w:tcW w:w="3240" w:type="dxa"/>
            <w:vAlign w:val="bottom"/>
            <w:tcBorders>
              <w:right w:val="single" w:sz="8" w:color="999999"/>
            </w:tcBorders>
          </w:tcPr>
          <w:p>
            <w:pPr>
              <w:jc w:val="center"/>
              <w:spacing w:after="0"/>
              <w:rPr>
                <w:sz w:val="20"/>
                <w:szCs w:val="20"/>
                <w:color w:val="auto"/>
              </w:rPr>
            </w:pPr>
            <w:r>
              <w:rPr>
                <w:rFonts w:ascii="Arial" w:cs="Arial" w:eastAsia="Arial" w:hAnsi="Arial"/>
                <w:sz w:val="18"/>
                <w:szCs w:val="18"/>
                <w:color w:val="auto"/>
                <w:w w:val="97"/>
              </w:rPr>
              <w:t>6.6%</w:t>
            </w:r>
          </w:p>
        </w:tc>
        <w:tc>
          <w:tcPr>
            <w:tcW w:w="3220" w:type="dxa"/>
            <w:vAlign w:val="bottom"/>
            <w:tcBorders>
              <w:right w:val="single" w:sz="8" w:color="999999"/>
            </w:tcBorders>
          </w:tcPr>
          <w:p>
            <w:pPr>
              <w:jc w:val="center"/>
              <w:spacing w:after="0"/>
              <w:rPr>
                <w:sz w:val="20"/>
                <w:szCs w:val="20"/>
                <w:color w:val="auto"/>
              </w:rPr>
            </w:pPr>
            <w:r>
              <w:rPr>
                <w:rFonts w:ascii="Arial" w:cs="Arial" w:eastAsia="Arial" w:hAnsi="Arial"/>
                <w:sz w:val="18"/>
                <w:szCs w:val="18"/>
                <w:color w:val="auto"/>
                <w:w w:val="99"/>
              </w:rPr>
              <w:t>100%</w:t>
            </w:r>
          </w:p>
        </w:tc>
      </w:tr>
      <w:tr>
        <w:trPr>
          <w:trHeight w:val="23"/>
        </w:trPr>
        <w:tc>
          <w:tcPr>
            <w:tcW w:w="2420" w:type="dxa"/>
            <w:vAlign w:val="bottom"/>
            <w:tcBorders>
              <w:left w:val="single" w:sz="8" w:color="999999"/>
              <w:bottom w:val="single" w:sz="8" w:color="999999"/>
              <w:right w:val="single" w:sz="8" w:color="999999"/>
            </w:tcBorders>
          </w:tcPr>
          <w:p>
            <w:pPr>
              <w:spacing w:after="0"/>
              <w:rPr>
                <w:sz w:val="2"/>
                <w:szCs w:val="2"/>
                <w:color w:val="auto"/>
              </w:rPr>
            </w:pPr>
          </w:p>
        </w:tc>
        <w:tc>
          <w:tcPr>
            <w:tcW w:w="3240" w:type="dxa"/>
            <w:vAlign w:val="bottom"/>
            <w:tcBorders>
              <w:bottom w:val="single" w:sz="8" w:color="999999"/>
              <w:right w:val="single" w:sz="8" w:color="999999"/>
            </w:tcBorders>
          </w:tcPr>
          <w:p>
            <w:pPr>
              <w:spacing w:after="0"/>
              <w:rPr>
                <w:sz w:val="2"/>
                <w:szCs w:val="2"/>
                <w:color w:val="auto"/>
              </w:rPr>
            </w:pPr>
          </w:p>
        </w:tc>
        <w:tc>
          <w:tcPr>
            <w:tcW w:w="3220" w:type="dxa"/>
            <w:vAlign w:val="bottom"/>
            <w:tcBorders>
              <w:bottom w:val="single" w:sz="8" w:color="999999"/>
              <w:right w:val="single" w:sz="8" w:color="999999"/>
            </w:tcBorders>
          </w:tcPr>
          <w:p>
            <w:pPr>
              <w:spacing w:after="0"/>
              <w:rPr>
                <w:sz w:val="2"/>
                <w:szCs w:val="2"/>
                <w:color w:val="auto"/>
              </w:rPr>
            </w:pPr>
          </w:p>
        </w:tc>
      </w:tr>
      <w:tr>
        <w:trPr>
          <w:trHeight w:val="241"/>
        </w:trPr>
        <w:tc>
          <w:tcPr>
            <w:tcW w:w="2420" w:type="dxa"/>
            <w:vAlign w:val="bottom"/>
            <w:tcBorders>
              <w:left w:val="single" w:sz="8" w:color="999999"/>
              <w:right w:val="single" w:sz="8" w:color="999999"/>
            </w:tcBorders>
          </w:tcPr>
          <w:p>
            <w:pPr>
              <w:jc w:val="center"/>
              <w:spacing w:after="0"/>
              <w:rPr>
                <w:sz w:val="20"/>
                <w:szCs w:val="20"/>
                <w:color w:val="auto"/>
              </w:rPr>
            </w:pPr>
            <w:r>
              <w:rPr>
                <w:rFonts w:ascii="Arial" w:cs="Arial" w:eastAsia="Arial" w:hAnsi="Arial"/>
                <w:sz w:val="18"/>
                <w:szCs w:val="18"/>
                <w:color w:val="auto"/>
                <w:w w:val="99"/>
              </w:rPr>
              <w:t>Maximum</w:t>
            </w:r>
          </w:p>
        </w:tc>
        <w:tc>
          <w:tcPr>
            <w:tcW w:w="3240" w:type="dxa"/>
            <w:vAlign w:val="bottom"/>
            <w:tcBorders>
              <w:right w:val="single" w:sz="8" w:color="999999"/>
            </w:tcBorders>
          </w:tcPr>
          <w:p>
            <w:pPr>
              <w:jc w:val="center"/>
              <w:spacing w:after="0"/>
              <w:rPr>
                <w:sz w:val="20"/>
                <w:szCs w:val="20"/>
                <w:color w:val="auto"/>
              </w:rPr>
            </w:pPr>
            <w:r>
              <w:rPr>
                <w:rFonts w:ascii="Arial" w:cs="Arial" w:eastAsia="Arial" w:hAnsi="Arial"/>
                <w:sz w:val="18"/>
                <w:szCs w:val="18"/>
                <w:color w:val="auto"/>
                <w:w w:val="97"/>
              </w:rPr>
              <w:t>7.2%</w:t>
            </w:r>
          </w:p>
        </w:tc>
        <w:tc>
          <w:tcPr>
            <w:tcW w:w="3220" w:type="dxa"/>
            <w:vAlign w:val="bottom"/>
            <w:tcBorders>
              <w:right w:val="single" w:sz="8" w:color="999999"/>
            </w:tcBorders>
          </w:tcPr>
          <w:p>
            <w:pPr>
              <w:jc w:val="center"/>
              <w:spacing w:after="0"/>
              <w:rPr>
                <w:sz w:val="20"/>
                <w:szCs w:val="20"/>
                <w:color w:val="auto"/>
              </w:rPr>
            </w:pPr>
            <w:r>
              <w:rPr>
                <w:rFonts w:ascii="Arial" w:cs="Arial" w:eastAsia="Arial" w:hAnsi="Arial"/>
                <w:sz w:val="18"/>
                <w:szCs w:val="18"/>
                <w:color w:val="auto"/>
                <w:w w:val="99"/>
              </w:rPr>
              <w:t>150%</w:t>
            </w:r>
          </w:p>
        </w:tc>
      </w:tr>
      <w:tr>
        <w:trPr>
          <w:trHeight w:val="23"/>
        </w:trPr>
        <w:tc>
          <w:tcPr>
            <w:tcW w:w="2420" w:type="dxa"/>
            <w:vAlign w:val="bottom"/>
            <w:tcBorders>
              <w:left w:val="single" w:sz="8" w:color="999999"/>
              <w:bottom w:val="single" w:sz="8" w:color="999999"/>
              <w:right w:val="single" w:sz="8" w:color="999999"/>
            </w:tcBorders>
          </w:tcPr>
          <w:p>
            <w:pPr>
              <w:spacing w:after="0"/>
              <w:rPr>
                <w:sz w:val="2"/>
                <w:szCs w:val="2"/>
                <w:color w:val="auto"/>
              </w:rPr>
            </w:pPr>
          </w:p>
        </w:tc>
        <w:tc>
          <w:tcPr>
            <w:tcW w:w="3240" w:type="dxa"/>
            <w:vAlign w:val="bottom"/>
            <w:tcBorders>
              <w:bottom w:val="single" w:sz="8" w:color="999999"/>
              <w:right w:val="single" w:sz="8" w:color="999999"/>
            </w:tcBorders>
          </w:tcPr>
          <w:p>
            <w:pPr>
              <w:spacing w:after="0"/>
              <w:rPr>
                <w:sz w:val="2"/>
                <w:szCs w:val="2"/>
                <w:color w:val="auto"/>
              </w:rPr>
            </w:pPr>
          </w:p>
        </w:tc>
        <w:tc>
          <w:tcPr>
            <w:tcW w:w="3220" w:type="dxa"/>
            <w:vAlign w:val="bottom"/>
            <w:tcBorders>
              <w:bottom w:val="single" w:sz="8" w:color="999999"/>
              <w:right w:val="single" w:sz="8" w:color="999999"/>
            </w:tcBorders>
          </w:tcPr>
          <w:p>
            <w:pPr>
              <w:spacing w:after="0"/>
              <w:rPr>
                <w:sz w:val="2"/>
                <w:szCs w:val="2"/>
                <w:color w:val="auto"/>
              </w:rPr>
            </w:pPr>
          </w:p>
        </w:tc>
      </w:tr>
    </w:tbl>
    <w:p>
      <w:pPr>
        <w:spacing w:after="0" w:line="31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Linear interpolation will be used for results between points. For purposes of the Cumulative Adjusted EBITDA Margin, the performance period runs from January 1, 2026 through December 31, 2028.</w:t>
      </w:r>
    </w:p>
    <w:p>
      <w:pPr>
        <w:spacing w:after="0" w:line="22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goal and payouts will be adjusted for any dispositions of businesses and asset sales, and the goal and payouts may be adjusted for other unanticipated or unbudgeted changes or otherwise by the Committee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A-1</w:t>
      </w:r>
    </w:p>
    <w:p>
      <w:pPr>
        <w:sectPr>
          <w:pgSz w:w="11900" w:h="16838" w:orient="portrait"/>
          <w:cols w:equalWidth="0" w:num="1">
            <w:col w:w="11040"/>
          </w:cols>
          <w:pgMar w:left="320" w:top="1093" w:right="5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Non-Competition and Non-Solicitation Agreement (“Agreement”) is made effective as of April 1, 2026 (“Effective Date”) between Conduent Business Services, LLC, its parent, subsidiaries, divisions and affiliates (collectively, “Conduent”) and the individual whose name appears in the Award Summary (“Employee”).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52" w:lineRule="exact"/>
        <w:rPr>
          <w:sz w:val="20"/>
          <w:szCs w:val="20"/>
          <w:color w:val="auto"/>
        </w:rPr>
      </w:pPr>
    </w:p>
    <w:p>
      <w:pPr>
        <w:jc w:val="both"/>
        <w:ind w:left="340" w:right="60" w:hanging="332"/>
        <w:spacing w:after="0" w:line="276" w:lineRule="auto"/>
        <w:tabs>
          <w:tab w:leader="none" w:pos="328"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203" w:lineRule="exact"/>
        <w:rPr>
          <w:rFonts w:ascii="Arial" w:cs="Arial" w:eastAsia="Arial" w:hAnsi="Arial"/>
          <w:sz w:val="18"/>
          <w:szCs w:val="18"/>
          <w:color w:val="auto"/>
        </w:rPr>
      </w:pPr>
    </w:p>
    <w:p>
      <w:pPr>
        <w:ind w:left="800" w:hanging="468"/>
        <w:spacing w:after="0"/>
        <w:tabs>
          <w:tab w:leader="none" w:pos="8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65" w:lineRule="exact"/>
        <w:rPr>
          <w:rFonts w:ascii="Arial" w:cs="Arial" w:eastAsia="Arial" w:hAnsi="Arial"/>
          <w:sz w:val="18"/>
          <w:szCs w:val="18"/>
          <w:color w:val="auto"/>
        </w:rPr>
      </w:pPr>
    </w:p>
    <w:p>
      <w:pPr>
        <w:jc w:val="both"/>
        <w:ind w:left="1300" w:hanging="46"/>
        <w:spacing w:after="0" w:line="267" w:lineRule="auto"/>
        <w:tabs>
          <w:tab w:leader="none" w:pos="1751" w:val="left"/>
        </w:tabs>
        <w:numPr>
          <w:ilvl w:val="2"/>
          <w:numId w:val="49"/>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1" w:lineRule="exact"/>
        <w:rPr>
          <w:sz w:val="20"/>
          <w:szCs w:val="20"/>
          <w:color w:val="auto"/>
        </w:rPr>
      </w:pPr>
    </w:p>
    <w:p>
      <w:pPr>
        <w:ind w:left="1300" w:firstLine="6"/>
        <w:spacing w:after="0" w:line="287" w:lineRule="auto"/>
        <w:tabs>
          <w:tab w:leader="none" w:pos="1909" w:val="left"/>
        </w:tabs>
        <w:numPr>
          <w:ilvl w:val="2"/>
          <w:numId w:val="50"/>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193" w:lineRule="exact"/>
        <w:rPr>
          <w:rFonts w:ascii="Arial" w:cs="Arial" w:eastAsia="Arial" w:hAnsi="Arial"/>
          <w:sz w:val="18"/>
          <w:szCs w:val="18"/>
          <w:color w:val="auto"/>
        </w:rPr>
      </w:pPr>
    </w:p>
    <w:p>
      <w:pPr>
        <w:ind w:left="1300" w:hanging="81"/>
        <w:spacing w:after="0" w:line="303" w:lineRule="auto"/>
        <w:tabs>
          <w:tab w:leader="none" w:pos="1754" w:val="left"/>
        </w:tabs>
        <w:numPr>
          <w:ilvl w:val="1"/>
          <w:numId w:val="51"/>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165" w:lineRule="exact"/>
        <w:rPr>
          <w:rFonts w:ascii="Arial" w:cs="Arial" w:eastAsia="Arial" w:hAnsi="Arial"/>
          <w:sz w:val="18"/>
          <w:szCs w:val="18"/>
          <w:color w:val="auto"/>
        </w:rPr>
      </w:pPr>
    </w:p>
    <w:p>
      <w:pPr>
        <w:jc w:val="both"/>
        <w:ind w:left="1300" w:hanging="107"/>
        <w:spacing w:after="0" w:line="284" w:lineRule="auto"/>
        <w:tabs>
          <w:tab w:leader="none" w:pos="1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- 1</w:t>
      </w:r>
    </w:p>
    <w:p>
      <w:pPr>
        <w:sectPr>
          <w:pgSz w:w="11900" w:h="16838" w:orient="portrait"/>
          <w:cols w:equalWidth="0" w:num="1">
            <w:col w:w="11240"/>
          </w:cols>
          <w:pgMar w:left="320" w:top="1336" w:right="339" w:bottom="1440" w:gutter="0" w:footer="0" w:header="0"/>
        </w:sectPr>
      </w:pPr>
    </w:p>
    <w:bookmarkStart w:id="47" w:name="page48"/>
    <w:bookmarkEnd w:id="47"/>
    <w:p>
      <w:pPr>
        <w:ind w:left="1300" w:hanging="833"/>
        <w:spacing w:after="0" w:line="303" w:lineRule="auto"/>
        <w:tabs>
          <w:tab w:leader="none" w:pos="9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3" w:lineRule="exact"/>
        <w:rPr>
          <w:sz w:val="20"/>
          <w:szCs w:val="20"/>
          <w:color w:val="auto"/>
        </w:rPr>
      </w:pPr>
    </w:p>
    <w:p>
      <w:pPr>
        <w:jc w:val="both"/>
        <w:ind w:left="340" w:hanging="332"/>
        <w:spacing w:after="0" w:line="265"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68" w:lineRule="exact"/>
        <w:rPr>
          <w:rFonts w:ascii="Arial" w:cs="Arial" w:eastAsia="Arial" w:hAnsi="Arial"/>
          <w:sz w:val="18"/>
          <w:szCs w:val="18"/>
          <w:color w:val="auto"/>
        </w:rPr>
      </w:pPr>
    </w:p>
    <w:p>
      <w:pPr>
        <w:ind w:left="340" w:hanging="332"/>
        <w:spacing w:after="0" w:line="303"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such employee’s employment with Conduent.</w:t>
      </w:r>
    </w:p>
    <w:p>
      <w:pPr>
        <w:spacing w:after="0" w:line="152" w:lineRule="exact"/>
        <w:rPr>
          <w:rFonts w:ascii="Arial" w:cs="Arial" w:eastAsia="Arial" w:hAnsi="Arial"/>
          <w:sz w:val="18"/>
          <w:szCs w:val="18"/>
          <w:color w:val="auto"/>
        </w:rPr>
      </w:pPr>
    </w:p>
    <w:p>
      <w:pPr>
        <w:jc w:val="both"/>
        <w:ind w:left="340" w:hanging="332"/>
        <w:spacing w:after="0" w:line="255"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 not obligate Conduent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- 2</w:t>
      </w:r>
    </w:p>
    <w:p>
      <w:pPr>
        <w:sectPr>
          <w:pgSz w:w="11900" w:h="16838" w:orient="portrait"/>
          <w:cols w:equalWidth="0" w:num="1">
            <w:col w:w="11240"/>
          </w:cols>
          <w:pgMar w:left="320" w:top="1093" w:right="339" w:bottom="1440" w:gutter="0" w:footer="0" w:header="0"/>
        </w:sectPr>
      </w:pPr>
    </w:p>
    <w:bookmarkStart w:id="48" w:name="page49"/>
    <w:bookmarkEnd w:id="48"/>
    <w:p>
      <w:pPr>
        <w:jc w:val="both"/>
        <w:ind w:left="340" w:hanging="332"/>
        <w:spacing w:after="0" w:line="267" w:lineRule="auto"/>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highlight w:val="white"/>
        </w:rPr>
        <w:t>. 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reasonable attorneys’ fees and costs from the other party.</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highlight w:val="white"/>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highlight w:val="white"/>
        </w:rPr>
        <w:t>. 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59" w:lineRule="exact"/>
        <w:rPr>
          <w:rFonts w:ascii="Arial" w:cs="Arial" w:eastAsia="Arial" w:hAnsi="Arial"/>
          <w:sz w:val="18"/>
          <w:szCs w:val="18"/>
          <w:color w:val="auto"/>
        </w:rPr>
      </w:pPr>
    </w:p>
    <w:p>
      <w:pPr>
        <w:ind w:left="340" w:hanging="332"/>
        <w:spacing w:after="0" w:line="303" w:lineRule="auto"/>
        <w:tabs>
          <w:tab w:leader="none" w:pos="333"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33" w:lineRule="exact"/>
        <w:rPr>
          <w:rFonts w:ascii="Arial" w:cs="Arial" w:eastAsia="Arial" w:hAnsi="Arial"/>
          <w:sz w:val="18"/>
          <w:szCs w:val="18"/>
          <w:color w:val="auto"/>
        </w:rPr>
      </w:pPr>
    </w:p>
    <w:p>
      <w:pPr>
        <w:jc w:val="both"/>
        <w:ind w:left="340" w:hanging="332"/>
        <w:spacing w:after="0" w:line="276"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highlight w:val="white"/>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18"/>
          <w:szCs w:val="18"/>
          <w:color w:val="auto"/>
        </w:rPr>
      </w:pPr>
    </w:p>
    <w:p>
      <w:pPr>
        <w:jc w:val="both"/>
        <w:ind w:left="340" w:hanging="332"/>
        <w:spacing w:after="0" w:line="267" w:lineRule="auto"/>
        <w:tabs>
          <w:tab w:leader="none" w:pos="333"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- 3</w:t>
      </w:r>
    </w:p>
    <w:p>
      <w:pPr>
        <w:sectPr>
          <w:pgSz w:w="11900" w:h="16838" w:orient="portrait"/>
          <w:cols w:equalWidth="0" w:num="1">
            <w:col w:w="11240"/>
          </w:cols>
          <w:pgMar w:left="320" w:top="1403" w:right="339" w:bottom="1440" w:gutter="0" w:footer="0" w:header="0"/>
        </w:sectPr>
      </w:pPr>
    </w:p>
    <w:bookmarkStart w:id="49" w:name="page50"/>
    <w:bookmarkEnd w:id="49"/>
    <w:p>
      <w:pPr>
        <w:ind w:left="9710"/>
        <w:spacing w:after="0"/>
        <w:rPr>
          <w:sz w:val="20"/>
          <w:szCs w:val="20"/>
          <w:color w:val="auto"/>
        </w:rPr>
      </w:pPr>
      <w:r>
        <w:rPr>
          <w:rFonts w:ascii="Arial" w:cs="Arial" w:eastAsia="Arial" w:hAnsi="Arial"/>
          <w:sz w:val="17"/>
          <w:szCs w:val="17"/>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PERFORMANCE RESTRICTED STOCK UNIT AWARD AGREEMENT PURSUANT TO</w:t>
      </w:r>
    </w:p>
    <w:p>
      <w:pPr>
        <w:spacing w:after="0" w:line="2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34" w:lineRule="exact"/>
        <w:rPr>
          <w:sz w:val="20"/>
          <w:szCs w:val="20"/>
          <w:color w:val="auto"/>
        </w:rPr>
      </w:pPr>
    </w:p>
    <w:p>
      <w:pPr>
        <w:jc w:val="both"/>
        <w:ind w:left="10"/>
        <w:spacing w:after="0" w:line="265"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of the Company has authorized the execution and delivery of this Agreement.</w:t>
      </w:r>
    </w:p>
    <w:p>
      <w:pPr>
        <w:spacing w:after="0" w:line="11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target number of Performance Restricted Stock Units granted pursuant hereto. The Award Summary is incorporated herein in its entirety.</w:t>
      </w:r>
    </w:p>
    <w:p>
      <w:pPr>
        <w:spacing w:after="0" w:line="117"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8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10" w:right="20" w:hanging="10"/>
        <w:spacing w:after="0" w:line="268" w:lineRule="auto"/>
        <w:tabs>
          <w:tab w:leader="none" w:pos="38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target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1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PERFORMANCE RESTRICTED STOCK UNITS</w:t>
      </w:r>
    </w:p>
    <w:p>
      <w:pPr>
        <w:spacing w:after="0" w:line="171" w:lineRule="exact"/>
        <w:rPr>
          <w:sz w:val="20"/>
          <w:szCs w:val="20"/>
          <w:color w:val="auto"/>
        </w:rPr>
      </w:pPr>
    </w:p>
    <w:p>
      <w:pPr>
        <w:jc w:val="both"/>
        <w:ind w:left="10" w:hanging="10"/>
        <w:spacing w:after="0" w:line="257" w:lineRule="auto"/>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the Vesting Date (as defined below) (or such earlier date provided in Section 8) in connection with the PRSUs,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PRSUs as determined pursuant to Section 3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22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performance-based vesting conditions (the “</w:t>
      </w:r>
      <w:r>
        <w:rPr>
          <w:rFonts w:ascii="Arial" w:cs="Arial" w:eastAsia="Arial" w:hAnsi="Arial"/>
          <w:sz w:val="18"/>
          <w:szCs w:val="18"/>
          <w:b w:val="1"/>
          <w:bCs w:val="1"/>
          <w:i w:val="1"/>
          <w:iCs w:val="1"/>
          <w:color w:val="auto"/>
        </w:rPr>
        <w:t>Performance Conditions</w:t>
      </w:r>
      <w:r>
        <w:rPr>
          <w:rFonts w:ascii="Arial" w:cs="Arial" w:eastAsia="Arial" w:hAnsi="Arial"/>
          <w:sz w:val="18"/>
          <w:szCs w:val="18"/>
          <w:color w:val="auto"/>
        </w:rPr>
        <w:t>”) which are set forth on Exhibit A. The PRSUs shall vest on December 31, 2028 or such earlier date as may be provided in Section 8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and the number of PRSUs eligible to vest shall be based on the satisfaction of the Performance Conditions as set forth on Exhibit A and subject to the Employee’s continued employment with or provision of services to the Company or a subsidiary or affiliate through the Vesting Date or as otherwise provided in Section 8.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w:t>
      </w:r>
    </w:p>
    <w:p>
      <w:pPr>
        <w:spacing w:after="0" w:line="129" w:lineRule="exact"/>
        <w:rPr>
          <w:sz w:val="20"/>
          <w:szCs w:val="20"/>
          <w:color w:val="auto"/>
        </w:rPr>
      </w:pPr>
    </w:p>
    <w:p>
      <w:pPr>
        <w:jc w:val="both"/>
        <w:ind w:left="10"/>
        <w:spacing w:after="0" w:line="262" w:lineRule="auto"/>
        <w:rPr>
          <w:sz w:val="20"/>
          <w:szCs w:val="20"/>
          <w:color w:val="auto"/>
        </w:rPr>
      </w:pPr>
      <w:r>
        <w:rPr>
          <w:rFonts w:ascii="Arial" w:cs="Arial" w:eastAsia="Arial" w:hAnsi="Arial"/>
          <w:sz w:val="18"/>
          <w:szCs w:val="18"/>
          <w:color w:val="auto"/>
        </w:rPr>
        <w:t>Notwithstanding, to the extent all or a portion of the PRSUs have not vested as of the Vesting Date, the unvested PRSUs will be forfeited; provided, however, the Committee may, in its sole discretion, cause all or any portion of the PRSUs to be forfeited prior to the Vesting Date if the Committee determines prior to the Vesting Date that actual performance will result in achievement below the maximum performance level.</w:t>
      </w:r>
    </w:p>
    <w:p>
      <w:pPr>
        <w:spacing w:after="0" w:line="122" w:lineRule="exact"/>
        <w:rPr>
          <w:sz w:val="20"/>
          <w:szCs w:val="20"/>
          <w:color w:val="auto"/>
        </w:rPr>
      </w:pPr>
    </w:p>
    <w:p>
      <w:pPr>
        <w:jc w:val="both"/>
        <w:ind w:left="10"/>
        <w:spacing w:after="0" w:line="262"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Section 8 of the Plan, the PRSUs outstanding on the date of such Change in Control, and any dividend equivalents with respect thereto, shall be assumed by the successor company (or its parent company) and remain outstanding, and thereafter the vesting of such PRSUs, and any dividend equivalents with respect</w:t>
      </w:r>
    </w:p>
    <w:p>
      <w:pPr>
        <w:sectPr>
          <w:pgSz w:w="11900" w:h="16838" w:orient="portrait"/>
          <w:cols w:equalWidth="0" w:num="1">
            <w:col w:w="11070"/>
          </w:cols>
          <w:pgMar w:left="490" w:top="580" w:right="339" w:bottom="1440" w:gutter="0" w:footer="0" w:header="0"/>
        </w:sectPr>
      </w:pPr>
    </w:p>
    <w:bookmarkStart w:id="50" w:name="page51"/>
    <w:bookmarkEnd w:id="50"/>
    <w:p>
      <w:pPr>
        <w:jc w:val="both"/>
        <w:ind w:left="10"/>
        <w:spacing w:after="0" w:line="256" w:lineRule="auto"/>
        <w:rPr>
          <w:sz w:val="20"/>
          <w:szCs w:val="20"/>
          <w:color w:val="auto"/>
        </w:rPr>
      </w:pPr>
      <w:r>
        <w:rPr>
          <w:rFonts w:ascii="Arial" w:cs="Arial" w:eastAsia="Arial" w:hAnsi="Arial"/>
          <w:sz w:val="18"/>
          <w:szCs w:val="18"/>
          <w:color w:val="auto"/>
        </w:rPr>
        <w:t xml:space="preserve">thereto, shall be eligible to vest on the Vesting Date, subject to the Employee’s continued employment with or provision of services to the Company or a subsidiary or an affiliate through the Vesting Date (and the Performance Conditions shall each be deemed to have been achieved at the 100% payout levels as set forth on Exhibit A),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or services following such Change in Control and prior to the Vesting Date. Upon payment pursuant to the terms of the Plan, such awards shall be cancelled.</w:t>
      </w:r>
    </w:p>
    <w:p>
      <w:pPr>
        <w:spacing w:after="0" w:line="129" w:lineRule="exact"/>
        <w:rPr>
          <w:sz w:val="20"/>
          <w:szCs w:val="20"/>
          <w:color w:val="auto"/>
        </w:rPr>
      </w:pPr>
    </w:p>
    <w:p>
      <w:pPr>
        <w:jc w:val="both"/>
        <w:ind w:left="10" w:hanging="10"/>
        <w:spacing w:after="0" w:line="259" w:lineRule="auto"/>
        <w:tabs>
          <w:tab w:leader="none" w:pos="42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the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the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10" w:hanging="10"/>
        <w:spacing w:after="0" w:line="268" w:lineRule="auto"/>
        <w:tabs>
          <w:tab w:leader="none" w:pos="21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10" w:hanging="4"/>
        <w:spacing w:after="0" w:line="268" w:lineRule="auto"/>
        <w:tabs>
          <w:tab w:leader="none" w:pos="37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16" w:lineRule="exact"/>
        <w:rPr>
          <w:rFonts w:ascii="Arial" w:cs="Arial" w:eastAsia="Arial" w:hAnsi="Arial"/>
          <w:sz w:val="18"/>
          <w:szCs w:val="18"/>
          <w:color w:val="auto"/>
        </w:rPr>
      </w:pPr>
    </w:p>
    <w:p>
      <w:pPr>
        <w:jc w:val="both"/>
        <w:ind w:left="10" w:hanging="10"/>
        <w:spacing w:after="0" w:line="262" w:lineRule="auto"/>
        <w:tabs>
          <w:tab w:leader="none" w:pos="49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50" w:hanging="344"/>
        <w:spacing w:after="0"/>
        <w:tabs>
          <w:tab w:leader="none" w:pos="35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490"/>
        <w:spacing w:after="0" w:line="287" w:lineRule="auto"/>
        <w:tabs>
          <w:tab w:leader="none" w:pos="695"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or services prior to December 31, 2028, the PRSUs will be treated as set forth below.</w:t>
      </w:r>
    </w:p>
    <w:p>
      <w:pPr>
        <w:spacing w:after="0" w:line="98" w:lineRule="exact"/>
        <w:rPr>
          <w:rFonts w:ascii="Arial" w:cs="Arial" w:eastAsia="Arial" w:hAnsi="Arial"/>
          <w:sz w:val="18"/>
          <w:szCs w:val="18"/>
          <w:color w:val="auto"/>
        </w:rPr>
      </w:pPr>
    </w:p>
    <w:p>
      <w:pPr>
        <w:jc w:val="both"/>
        <w:ind w:left="1130" w:firstLine="4"/>
        <w:spacing w:after="0" w:line="262" w:lineRule="auto"/>
        <w:tabs>
          <w:tab w:leader="none" w:pos="1865" w:val="left"/>
        </w:tabs>
        <w:numPr>
          <w:ilvl w:val="2"/>
          <w:numId w:val="59"/>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a Termination For Good Reason following a Change in Control or a Qualifying Retirement, the PRSUs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jc w:val="both"/>
        <w:ind w:left="1130" w:firstLine="4"/>
        <w:spacing w:after="0" w:line="254" w:lineRule="auto"/>
        <w:tabs>
          <w:tab w:leader="none" w:pos="1570" w:val="left"/>
        </w:tabs>
        <w:numPr>
          <w:ilvl w:val="2"/>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Qualifying Retirement. </w:t>
      </w:r>
      <w:r>
        <w:rPr>
          <w:rFonts w:ascii="Arial" w:cs="Arial" w:eastAsia="Arial" w:hAnsi="Arial"/>
          <w:sz w:val="18"/>
          <w:szCs w:val="18"/>
          <w:color w:val="auto"/>
        </w:rPr>
        <w:t>In the event of a Qualifying Retirement, the Employee will remain eligible to vest in a Pro-Rata</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PRSUs that would otherwise vest on the Vesting Date based on the achievement of the Performance Conditions, and any dividend equivalents with respect thereto; provided that the Employee (A) completes a successful transition of responsibilities (as determined by the Board of Directors of the Company) and cooperates during the remaining vesting period, (B)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70"/>
          </w:cols>
          <w:pgMar w:left="490" w:top="1093" w:right="339" w:bottom="1440" w:gutter="0" w:footer="0" w:header="0"/>
        </w:sectPr>
      </w:pPr>
    </w:p>
    <w:bookmarkStart w:id="51" w:name="page52"/>
    <w:bookmarkEnd w:id="51"/>
    <w:p>
      <w:pPr>
        <w:jc w:val="both"/>
        <w:ind w:left="806" w:firstLine="4"/>
        <w:spacing w:after="0" w:line="256" w:lineRule="auto"/>
        <w:tabs>
          <w:tab w:leader="none" w:pos="1273"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due to death, Disability, or a termination for Cause, the Employee will remain eligible to vest in a Pro-Rata Amount of PRSUs that otherwise vest on December31, 2028 based on the achievement of the Performance Conditions, and any dividend equivalents with respect thereto, provided that the number of full months in the numerator of the Pro-Rata Amount will be increased by a number equal to the number of months of cash severance the Employee would be entitled to under the Company’s applicable severance plan or policy, but shall in no event be greater than 36.</w:t>
      </w:r>
    </w:p>
    <w:p>
      <w:pPr>
        <w:spacing w:after="0" w:line="128" w:lineRule="exact"/>
        <w:rPr>
          <w:rFonts w:ascii="Arial" w:cs="Arial" w:eastAsia="Arial" w:hAnsi="Arial"/>
          <w:sz w:val="18"/>
          <w:szCs w:val="18"/>
          <w:color w:val="auto"/>
        </w:rPr>
      </w:pPr>
    </w:p>
    <w:p>
      <w:pPr>
        <w:jc w:val="both"/>
        <w:ind w:left="806" w:firstLine="4"/>
        <w:spacing w:after="0" w:line="254" w:lineRule="auto"/>
        <w:tabs>
          <w:tab w:leader="none" w:pos="1256"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of or otherwise provide services to 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at the 100% payout levels as set forth on Exhibit A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1" w:lineRule="exact"/>
        <w:rPr>
          <w:rFonts w:ascii="Arial" w:cs="Arial" w:eastAsia="Arial" w:hAnsi="Arial"/>
          <w:sz w:val="18"/>
          <w:szCs w:val="18"/>
          <w:color w:val="auto"/>
        </w:rPr>
      </w:pPr>
    </w:p>
    <w:p>
      <w:pPr>
        <w:jc w:val="both"/>
        <w:ind w:left="806" w:firstLine="4"/>
        <w:spacing w:after="0" w:line="259" w:lineRule="auto"/>
        <w:tabs>
          <w:tab w:leader="none" w:pos="1229"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Employer by reason of death or Disability prior to a Change in Control, the PRSUs covered by this Agreement, and any dividend equivalents with respect thereto, shall remain eligible to vest pursuant to Section 3 based on the satisfaction of the Performance Conditions and as if such Employee remained employed through the Vesting Date and shall be settled within 60 days following the Vesting Date in accordance with Section 2, without proration.</w:t>
      </w:r>
    </w:p>
    <w:p>
      <w:pPr>
        <w:spacing w:after="0" w:line="125" w:lineRule="exact"/>
        <w:rPr>
          <w:rFonts w:ascii="Arial" w:cs="Arial" w:eastAsia="Arial" w:hAnsi="Arial"/>
          <w:sz w:val="18"/>
          <w:szCs w:val="18"/>
          <w:color w:val="auto"/>
        </w:rPr>
      </w:pPr>
    </w:p>
    <w:p>
      <w:pPr>
        <w:jc w:val="both"/>
        <w:ind w:left="806" w:firstLine="4"/>
        <w:spacing w:after="0" w:line="262" w:lineRule="auto"/>
        <w:tabs>
          <w:tab w:leader="none" w:pos="135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due to termination for Cause, the PRSUs shall be cancelled and forfeited on the date of such termination of employment or services, in addition to any other rights reserved under the Conduent Incorporated Compensation Recoupment Policy, as may be amended from time to time, or any successor policy.</w:t>
      </w:r>
    </w:p>
    <w:p>
      <w:pPr>
        <w:spacing w:after="0" w:line="122" w:lineRule="exact"/>
        <w:rPr>
          <w:rFonts w:ascii="Arial" w:cs="Arial" w:eastAsia="Arial" w:hAnsi="Arial"/>
          <w:sz w:val="18"/>
          <w:szCs w:val="18"/>
          <w:color w:val="auto"/>
        </w:rPr>
      </w:pPr>
    </w:p>
    <w:p>
      <w:pPr>
        <w:jc w:val="both"/>
        <w:ind w:left="806" w:firstLine="4"/>
        <w:spacing w:after="0" w:line="254" w:lineRule="auto"/>
        <w:tabs>
          <w:tab w:leader="none" w:pos="139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PRSUs, the Employee’s employment and /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will be considered terminated as of the date the Employee is no longer is actively providing services to the Company, the Employer or any affiliate (regardless of the reason for such termination and whether or not later found to be invalid or in breach of labor laws in the jurisdiction where the Employee provides services or the terms of the Employee's employment or other service agreement, if any), and unless otherwise determined by the Company, the Employee’s right to vest in the PRSUs, if any, will terminate as of such date and, in either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PRSUs (including whether the Employee still may be considered to be providing services while on a leave of absence).</w:t>
      </w:r>
    </w:p>
    <w:p>
      <w:pPr>
        <w:spacing w:after="0" w:line="128" w:lineRule="exact"/>
        <w:rPr>
          <w:rFonts w:ascii="Arial" w:cs="Arial" w:eastAsia="Arial" w:hAnsi="Arial"/>
          <w:sz w:val="18"/>
          <w:szCs w:val="18"/>
          <w:color w:val="auto"/>
        </w:rPr>
      </w:pPr>
    </w:p>
    <w:p>
      <w:pPr>
        <w:ind w:left="426" w:hanging="426"/>
        <w:spacing w:after="0"/>
        <w:tabs>
          <w:tab w:leader="none" w:pos="42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26" w:right="2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6"/>
          </w:cols>
          <w:pgMar w:left="814" w:top="1093" w:right="339" w:bottom="1440" w:gutter="0" w:footer="0" w:header="0"/>
        </w:sectPr>
      </w:pPr>
    </w:p>
    <w:bookmarkStart w:id="52" w:name="page53"/>
    <w:bookmarkEnd w:id="52"/>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Data Protection Laws</w:t>
      </w:r>
      <w:r>
        <w:rPr>
          <w:rFonts w:ascii="Arial" w:cs="Arial" w:eastAsia="Arial" w:hAnsi="Arial"/>
          <w:sz w:val="18"/>
          <w:szCs w:val="18"/>
          <w:color w:val="auto"/>
        </w:rPr>
        <w:t>” means all applicable laws and regulations relating to the processing of Personal Data and privacy that may exist in the relevant jurisdictions.</w:t>
      </w:r>
    </w:p>
    <w:p>
      <w:pPr>
        <w:spacing w:after="0" w:line="99"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5"/>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xml:space="preserve">” will be equal to the number of PRSUs that would otherwise vest on the Vesting Date based on the achievement of the Performance Conditions, multiplied by a fraction, the numerator of which is the number of full months elapsed between January 1, 2026 and the Termination Date and the denominator of which is 36;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as set forth above shall be forfeited.</w:t>
      </w:r>
    </w:p>
    <w:p>
      <w:pPr>
        <w:spacing w:after="0" w:line="129" w:lineRule="exact"/>
        <w:rPr>
          <w:sz w:val="20"/>
          <w:szCs w:val="20"/>
          <w:color w:val="auto"/>
        </w:rPr>
      </w:pPr>
    </w:p>
    <w:p>
      <w:pPr>
        <w:jc w:val="both"/>
        <w:ind w:left="5"/>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w:t>
      </w:r>
    </w:p>
    <w:p>
      <w:pPr>
        <w:spacing w:after="0" w:line="2" w:lineRule="exact"/>
        <w:rPr>
          <w:sz w:val="20"/>
          <w:szCs w:val="20"/>
          <w:color w:val="auto"/>
        </w:rPr>
      </w:pPr>
    </w:p>
    <w:p>
      <w:pPr>
        <w:jc w:val="both"/>
        <w:ind w:left="5" w:hanging="5"/>
        <w:spacing w:after="0" w:line="258" w:lineRule="auto"/>
        <w:tabs>
          <w:tab w:leader="none" w:pos="2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Employee’s retirement has been agreed to and approved by the Chief Executive Officer of the Company (and, if Employee is a Section 16 officer of the Company, by the Board of Directors of the Company), who shall have the sole discretion to determine the date of retirement of such Employee.</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or services to the Employer.</w:t>
      </w:r>
    </w:p>
    <w:p>
      <w:pPr>
        <w:spacing w:after="0" w:line="171"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128" w:lineRule="exact"/>
        <w:rPr>
          <w:sz w:val="20"/>
          <w:szCs w:val="20"/>
          <w:color w:val="auto"/>
        </w:rPr>
      </w:pPr>
    </w:p>
    <w:p>
      <w:pPr>
        <w:ind w:left="385" w:firstLine="4"/>
        <w:spacing w:after="0" w:line="287" w:lineRule="auto"/>
        <w:tabs>
          <w:tab w:leader="none" w:pos="80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385" w:firstLine="4"/>
        <w:spacing w:after="0" w:line="255" w:lineRule="auto"/>
        <w:tabs>
          <w:tab w:leader="none" w:pos="8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30" w:lineRule="exact"/>
        <w:rPr>
          <w:rFonts w:ascii="Arial" w:cs="Arial" w:eastAsia="Arial" w:hAnsi="Arial"/>
          <w:sz w:val="18"/>
          <w:szCs w:val="18"/>
          <w:color w:val="auto"/>
        </w:rPr>
      </w:pPr>
    </w:p>
    <w:p>
      <w:pPr>
        <w:jc w:val="both"/>
        <w:ind w:left="385" w:firstLine="4"/>
        <w:spacing w:after="0" w:line="262" w:lineRule="auto"/>
        <w:tabs>
          <w:tab w:leader="none" w:pos="9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25"/>
          </w:cols>
          <w:pgMar w:left="1235" w:top="1093" w:right="339" w:bottom="1440" w:gutter="0" w:footer="0" w:header="0"/>
        </w:sectPr>
      </w:pPr>
    </w:p>
    <w:bookmarkStart w:id="53" w:name="page54"/>
    <w:bookmarkEnd w:id="53"/>
    <w:p>
      <w:pPr>
        <w:ind w:left="1130"/>
        <w:spacing w:after="0"/>
        <w:rPr>
          <w:sz w:val="20"/>
          <w:szCs w:val="20"/>
          <w:color w:val="auto"/>
        </w:rPr>
      </w:pPr>
      <w:r>
        <w:rPr>
          <w:rFonts w:ascii="Arial" w:cs="Arial" w:eastAsia="Arial" w:hAnsi="Arial"/>
          <w:sz w:val="18"/>
          <w:szCs w:val="18"/>
          <w:color w:val="auto"/>
        </w:rPr>
        <w:t>constitutes a material change in the geographic location at which the Employee is required to perform the services;</w:t>
      </w:r>
    </w:p>
    <w:p>
      <w:pPr>
        <w:spacing w:after="0" w:line="171" w:lineRule="exact"/>
        <w:rPr>
          <w:sz w:val="20"/>
          <w:szCs w:val="20"/>
          <w:color w:val="auto"/>
        </w:rPr>
      </w:pPr>
    </w:p>
    <w:p>
      <w:pPr>
        <w:jc w:val="both"/>
        <w:ind w:left="1130" w:firstLine="4"/>
        <w:spacing w:after="0" w:line="256" w:lineRule="auto"/>
        <w:tabs>
          <w:tab w:leader="none" w:pos="163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1130" w:firstLine="4"/>
        <w:spacing w:after="0" w:line="287" w:lineRule="auto"/>
        <w:tabs>
          <w:tab w:leader="none" w:pos="15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750"/>
        <w:spacing w:after="0" w:line="259" w:lineRule="auto"/>
        <w:rPr>
          <w:sz w:val="20"/>
          <w:szCs w:val="20"/>
          <w:color w:val="auto"/>
        </w:rPr>
      </w:pPr>
      <w:r>
        <w:rPr>
          <w:rFonts w:ascii="Arial" w:cs="Arial" w:eastAsia="Arial" w:hAnsi="Arial"/>
          <w:sz w:val="18"/>
          <w:szCs w:val="18"/>
          <w:color w:val="auto"/>
        </w:rPr>
        <w:t>A termination by the Employee of his or her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650" w:hanging="423"/>
        <w:spacing w:after="0" w:line="256" w:lineRule="auto"/>
        <w:tabs>
          <w:tab w:leader="none" w:pos="851"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a Pro-Rata Amount of the PRSUs shall vest and be paid as provided in Section 8(a)(iii) above; provided, that, in the event the Employee is offered a comparable position with the acquirer of such line of business and does not accept such offer, the PRSUs shall be cancelled and forfeited on the date of termination of employment or services.</w:t>
      </w:r>
    </w:p>
    <w:p>
      <w:pPr>
        <w:spacing w:after="0" w:line="128" w:lineRule="exact"/>
        <w:rPr>
          <w:rFonts w:ascii="Arial" w:cs="Arial" w:eastAsia="Arial" w:hAnsi="Arial"/>
          <w:sz w:val="18"/>
          <w:szCs w:val="18"/>
          <w:color w:val="auto"/>
        </w:rPr>
      </w:pPr>
    </w:p>
    <w:p>
      <w:pPr>
        <w:jc w:val="both"/>
        <w:ind w:left="10" w:hanging="10"/>
        <w:spacing w:after="0" w:line="256" w:lineRule="auto"/>
        <w:tabs>
          <w:tab w:leader="none" w:pos="38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pacing w:after="0" w:line="128" w:lineRule="exact"/>
        <w:rPr>
          <w:rFonts w:ascii="Arial" w:cs="Arial" w:eastAsia="Arial" w:hAnsi="Arial"/>
          <w:sz w:val="18"/>
          <w:szCs w:val="18"/>
          <w:color w:val="auto"/>
        </w:rPr>
      </w:pPr>
    </w:p>
    <w:p>
      <w:pPr>
        <w:ind w:left="450" w:hanging="450"/>
        <w:spacing w:after="0"/>
        <w:tabs>
          <w:tab w:leader="none" w:pos="45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50" w:hanging="407"/>
        <w:spacing w:after="0" w:line="254" w:lineRule="auto"/>
        <w:tabs>
          <w:tab w:leader="none" w:pos="716"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Items</w:t>
      </w:r>
      <w:r>
        <w:rPr>
          <w:rFonts w:ascii="Arial" w:cs="Arial" w:eastAsia="Arial" w:hAnsi="Arial"/>
          <w:sz w:val="18"/>
          <w:szCs w:val="18"/>
          <w:color w:val="auto"/>
        </w:rPr>
        <w:t>”) is and remains the Employee’s responsibility and may exceed the amount, if any, actually withheld by the Company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The Employee further acknowledges that the Company and/or the Employer (i) make no representations or undertakings regarding the treatment of any Tax-Related Items in connection with any aspect of the PRSUs or the underlying shares of Common Stock, including, but not limited to, the grant, vesting or settlement of the PRSUs, the subsequent sale of shares of Common Stock acquired upon the settlement of the PRSUs and the receipt of any dividends; and (ii) do not commit to and are under no obligation to structure the terms of the grant or any aspect of the PRSUs to reduce or eliminate the Employee’s liability for Tax-Related Items or to achieve any particular tax result. Further, if the Employee is subject to Tax-Related Items in more than one jurisdiction,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070"/>
          </w:cols>
          <w:pgMar w:left="490" w:top="1093" w:right="339" w:bottom="1440" w:gutter="0" w:footer="0" w:header="0"/>
        </w:sectPr>
      </w:pPr>
    </w:p>
    <w:bookmarkStart w:id="54" w:name="page55"/>
    <w:bookmarkEnd w:id="54"/>
    <w:p>
      <w:pPr>
        <w:ind w:left="650" w:right="20"/>
        <w:spacing w:after="0" w:line="287" w:lineRule="auto"/>
        <w:rPr>
          <w:sz w:val="20"/>
          <w:szCs w:val="20"/>
          <w:color w:val="auto"/>
        </w:rPr>
      </w:pPr>
      <w:r>
        <w:rPr>
          <w:rFonts w:ascii="Arial" w:cs="Arial" w:eastAsia="Arial" w:hAnsi="Arial"/>
          <w:sz w:val="18"/>
          <w:szCs w:val="18"/>
          <w:color w:val="auto"/>
        </w:rPr>
        <w:t>acknowledges that the Company and/or the Employer (or former employer, as applicable) may be required to withhold or account for Tax-Related Items in more than one jurisdiction.</w:t>
      </w:r>
    </w:p>
    <w:p>
      <w:pPr>
        <w:spacing w:after="0" w:line="153" w:lineRule="exact"/>
        <w:rPr>
          <w:sz w:val="20"/>
          <w:szCs w:val="20"/>
          <w:color w:val="auto"/>
        </w:rPr>
      </w:pPr>
    </w:p>
    <w:p>
      <w:pPr>
        <w:jc w:val="both"/>
        <w:ind w:left="650" w:hanging="407"/>
        <w:spacing w:after="0" w:line="253" w:lineRule="auto"/>
        <w:tabs>
          <w:tab w:leader="none" w:pos="791" w:val="left"/>
        </w:tabs>
        <w:numPr>
          <w:ilvl w:val="1"/>
          <w:numId w:val="67"/>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PRSUs either through a voluntary sale or through a mandatory sale arranged by the Company (on the Employee’s behalf pursuant to this authorization without further consent), (iv) withholding from the shares of Common Stock otherwise issuable at vesting of the PRSUs,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189" w:lineRule="exact"/>
        <w:rPr>
          <w:rFonts w:ascii="Arial" w:cs="Arial" w:eastAsia="Arial" w:hAnsi="Arial"/>
          <w:sz w:val="18"/>
          <w:szCs w:val="18"/>
          <w:color w:val="auto"/>
        </w:rPr>
      </w:pPr>
    </w:p>
    <w:p>
      <w:pPr>
        <w:jc w:val="both"/>
        <w:ind w:left="650" w:hanging="407"/>
        <w:spacing w:after="0" w:line="255" w:lineRule="auto"/>
        <w:tabs>
          <w:tab w:leader="none" w:pos="708"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 Employee may receive a refund of any over-withheld amount in cash (with no entitlement to the equivalent in shares of Common Stock) or, if not refunded, the Employee may 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subject to the vested PRSUs, notwithstanding that a number of the shares of Common Stock is held back solely for the purpose of paying the Tax-Related Items.</w:t>
      </w:r>
    </w:p>
    <w:p>
      <w:pPr>
        <w:spacing w:after="0" w:line="184" w:lineRule="exact"/>
        <w:rPr>
          <w:rFonts w:ascii="Arial" w:cs="Arial" w:eastAsia="Arial" w:hAnsi="Arial"/>
          <w:sz w:val="18"/>
          <w:szCs w:val="18"/>
          <w:color w:val="auto"/>
        </w:rPr>
      </w:pPr>
    </w:p>
    <w:p>
      <w:pPr>
        <w:jc w:val="both"/>
        <w:ind w:left="650" w:hanging="407"/>
        <w:spacing w:after="0" w:line="259" w:lineRule="auto"/>
        <w:tabs>
          <w:tab w:leader="none" w:pos="794"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PRSUs, if the Employee fails to comply with the Employee's obligations in connection with the Tax-Related Items.</w:t>
      </w:r>
    </w:p>
    <w:p>
      <w:pPr>
        <w:spacing w:after="0" w:line="125" w:lineRule="exact"/>
        <w:rPr>
          <w:rFonts w:ascii="Arial" w:cs="Arial" w:eastAsia="Arial" w:hAnsi="Arial"/>
          <w:sz w:val="18"/>
          <w:szCs w:val="18"/>
          <w:color w:val="auto"/>
        </w:rPr>
      </w:pPr>
    </w:p>
    <w:p>
      <w:pPr>
        <w:ind w:left="430" w:hanging="430"/>
        <w:spacing w:after="0"/>
        <w:tabs>
          <w:tab w:leader="none" w:pos="43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570" w:hanging="331"/>
        <w:spacing w:after="0" w:line="268" w:lineRule="auto"/>
        <w:tabs>
          <w:tab w:leader="none" w:pos="5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PRSUs are subject to modification and adjustment under Section 9(c) of the Plan;</w:t>
      </w:r>
    </w:p>
    <w:p>
      <w:pPr>
        <w:spacing w:after="0" w:line="116" w:lineRule="exact"/>
        <w:rPr>
          <w:rFonts w:ascii="Arial" w:cs="Arial" w:eastAsia="Arial" w:hAnsi="Arial"/>
          <w:sz w:val="18"/>
          <w:szCs w:val="18"/>
          <w:color w:val="auto"/>
        </w:rPr>
      </w:pPr>
    </w:p>
    <w:p>
      <w:pPr>
        <w:ind w:left="650" w:hanging="326"/>
        <w:spacing w:after="0" w:line="287" w:lineRule="auto"/>
        <w:tabs>
          <w:tab w:leader="none" w:pos="6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98" w:lineRule="exact"/>
        <w:rPr>
          <w:rFonts w:ascii="Arial" w:cs="Arial" w:eastAsia="Arial" w:hAnsi="Arial"/>
          <w:sz w:val="18"/>
          <w:szCs w:val="18"/>
          <w:color w:val="auto"/>
        </w:rPr>
      </w:pPr>
    </w:p>
    <w:p>
      <w:pPr>
        <w:ind w:left="650" w:hanging="326"/>
        <w:spacing w:after="0" w:line="287" w:lineRule="auto"/>
        <w:tabs>
          <w:tab w:leader="none" w:pos="644" w:val="left"/>
        </w:tabs>
        <w:numPr>
          <w:ilvl w:val="2"/>
          <w:numId w:val="68"/>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650" w:hanging="326"/>
        <w:spacing w:after="0" w:line="268" w:lineRule="auto"/>
        <w:tabs>
          <w:tab w:leader="none" w:pos="6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PRSU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630" w:hanging="306"/>
        <w:spacing w:after="0"/>
        <w:tabs>
          <w:tab w:leader="none" w:pos="63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70"/>
          </w:cols>
          <w:pgMar w:left="490" w:top="1093" w:right="339" w:bottom="1440" w:gutter="0" w:footer="0" w:header="0"/>
        </w:sectPr>
      </w:pPr>
    </w:p>
    <w:bookmarkStart w:id="55" w:name="page56"/>
    <w:bookmarkEnd w:id="55"/>
    <w:p>
      <w:pPr>
        <w:jc w:val="both"/>
        <w:ind w:left="650" w:hanging="326"/>
        <w:spacing w:after="0" w:line="268" w:lineRule="auto"/>
        <w:tabs>
          <w:tab w:leader="none" w:pos="64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650" w:hanging="326"/>
        <w:spacing w:after="0" w:line="287" w:lineRule="auto"/>
        <w:tabs>
          <w:tab w:leader="none" w:pos="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98" w:lineRule="exact"/>
        <w:rPr>
          <w:rFonts w:ascii="Arial" w:cs="Arial" w:eastAsia="Arial" w:hAnsi="Arial"/>
          <w:sz w:val="18"/>
          <w:szCs w:val="18"/>
          <w:color w:val="auto"/>
        </w:rPr>
      </w:pPr>
    </w:p>
    <w:p>
      <w:pPr>
        <w:jc w:val="both"/>
        <w:ind w:left="650" w:hanging="326"/>
        <w:spacing w:after="0" w:line="262" w:lineRule="auto"/>
        <w:tabs>
          <w:tab w:leader="none" w:pos="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22" w:lineRule="exact"/>
        <w:rPr>
          <w:rFonts w:ascii="Arial" w:cs="Arial" w:eastAsia="Arial" w:hAnsi="Arial"/>
          <w:sz w:val="18"/>
          <w:szCs w:val="18"/>
          <w:color w:val="auto"/>
        </w:rPr>
      </w:pPr>
    </w:p>
    <w:p>
      <w:pPr>
        <w:ind w:left="650" w:hanging="326"/>
        <w:spacing w:after="0"/>
        <w:tabs>
          <w:tab w:leader="none" w:pos="65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650" w:hanging="326"/>
        <w:spacing w:after="0" w:line="255" w:lineRule="auto"/>
        <w:tabs>
          <w:tab w:leader="none" w:pos="6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consideration of the award of the PRSUs, no claim or entitlement to compensation or damages shall arise from forfeiture of the PRSUs, including, but not limited to, (i) forfeiture resulting from termination of the Employee’s employment with or services to the Employer (for any reason whatsoever and whether or not in breach of local labor laws) or (ii) forfeiture of the PRSUs or the recoupment of any shares of Common Stock or other benefits or payments acquired under the Plan resulting from the application of any recoupment or clawback policy or provision required by the Company or any recovery or clawback otherwise required by law, as further described in Section 16.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30" w:lineRule="exact"/>
        <w:rPr>
          <w:rFonts w:ascii="Arial" w:cs="Arial" w:eastAsia="Arial" w:hAnsi="Arial"/>
          <w:sz w:val="18"/>
          <w:szCs w:val="18"/>
          <w:color w:val="auto"/>
        </w:rPr>
      </w:pPr>
    </w:p>
    <w:p>
      <w:pPr>
        <w:ind w:left="650" w:hanging="326"/>
        <w:spacing w:after="0" w:line="287" w:lineRule="auto"/>
        <w:tabs>
          <w:tab w:leader="none" w:pos="644" w:val="left"/>
        </w:tabs>
        <w:numPr>
          <w:ilvl w:val="1"/>
          <w:numId w:val="69"/>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PRSUs and the benefits under the Plan, if any, will not automatically transfer to another company in the case of a merger, take-over or transfer of liability.</w:t>
      </w:r>
    </w:p>
    <w:p>
      <w:pPr>
        <w:spacing w:after="0" w:line="98" w:lineRule="exact"/>
        <w:rPr>
          <w:rFonts w:ascii="Arial" w:cs="Arial" w:eastAsia="Arial" w:hAnsi="Arial"/>
          <w:sz w:val="18"/>
          <w:szCs w:val="18"/>
          <w:color w:val="auto"/>
        </w:rPr>
      </w:pPr>
    </w:p>
    <w:p>
      <w:pPr>
        <w:jc w:val="both"/>
        <w:ind w:left="10" w:hanging="10"/>
        <w:spacing w:after="0" w:line="262" w:lineRule="auto"/>
        <w:tabs>
          <w:tab w:leader="none" w:pos="58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122" w:lineRule="exact"/>
        <w:rPr>
          <w:rFonts w:ascii="Arial" w:cs="Arial" w:eastAsia="Arial" w:hAnsi="Arial"/>
          <w:sz w:val="18"/>
          <w:szCs w:val="18"/>
          <w:color w:val="auto"/>
        </w:rPr>
      </w:pPr>
    </w:p>
    <w:p>
      <w:pPr>
        <w:jc w:val="both"/>
        <w:ind w:left="10" w:hanging="10"/>
        <w:spacing w:after="0" w:line="253"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PRSUs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 understands that the Company is under no obligation to register or qualify the shares of Common Stock subject to the PRSUs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135" w:lineRule="exact"/>
        <w:rPr>
          <w:rFonts w:ascii="Arial" w:cs="Arial" w:eastAsia="Arial" w:hAnsi="Arial"/>
          <w:sz w:val="18"/>
          <w:szCs w:val="18"/>
          <w:color w:val="auto"/>
        </w:rPr>
      </w:pPr>
    </w:p>
    <w:p>
      <w:pPr>
        <w:jc w:val="both"/>
        <w:ind w:left="10" w:hanging="10"/>
        <w:spacing w:after="0" w:line="268"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The Committee or its authorized delegate, as applicable, may amend this Agreement in a manner not inconsistent with the Plan; provided, however, no such amendment will materially impair the rights of the Employee without his or her consent.</w:t>
      </w:r>
    </w:p>
    <w:p>
      <w:pPr>
        <w:spacing w:after="0" w:line="116" w:lineRule="exact"/>
        <w:rPr>
          <w:rFonts w:ascii="Arial" w:cs="Arial" w:eastAsia="Arial" w:hAnsi="Arial"/>
          <w:sz w:val="18"/>
          <w:szCs w:val="18"/>
          <w:color w:val="auto"/>
        </w:rPr>
      </w:pPr>
    </w:p>
    <w:p>
      <w:pPr>
        <w:jc w:val="both"/>
        <w:ind w:left="10" w:hanging="10"/>
        <w:spacing w:after="0" w:line="268" w:lineRule="auto"/>
        <w:tabs>
          <w:tab w:leader="none" w:pos="48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(including but not limited to California), by executing this Agreement and accepting the PRSUs and the delivery of any shares of Common Stock hereunder, the Employee expressly acknowledges and agrees to be bound by and to comply with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70"/>
          </w:cols>
          <w:pgMar w:left="490" w:top="1093" w:right="339" w:bottom="1440" w:gutter="0" w:footer="0" w:header="0"/>
        </w:sectPr>
      </w:pPr>
    </w:p>
    <w:bookmarkStart w:id="56" w:name="page57"/>
    <w:bookmarkEnd w:id="56"/>
    <w:p>
      <w:pPr>
        <w:ind w:left="10"/>
        <w:spacing w:after="0" w:line="296" w:lineRule="auto"/>
        <w:rPr>
          <w:sz w:val="20"/>
          <w:szCs w:val="20"/>
          <w:color w:val="auto"/>
        </w:rPr>
      </w:pPr>
      <w:r>
        <w:rPr>
          <w:rFonts w:ascii="Arial" w:cs="Arial" w:eastAsia="Arial" w:hAnsi="Arial"/>
          <w:sz w:val="18"/>
          <w:szCs w:val="18"/>
          <w:color w:val="auto"/>
        </w:rPr>
        <w:t>the terms and conditions contained in the Non-Competition and Non-Solicitation Agreement set forth as Exhibit B to this Agreement and incorporated herein by reference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83" w:lineRule="exact"/>
        <w:rPr>
          <w:sz w:val="20"/>
          <w:szCs w:val="20"/>
          <w:color w:val="auto"/>
        </w:rPr>
      </w:pPr>
    </w:p>
    <w:p>
      <w:pPr>
        <w:jc w:val="both"/>
        <w:ind w:left="10" w:hanging="10"/>
        <w:spacing w:after="0" w:line="282" w:lineRule="auto"/>
        <w:tabs>
          <w:tab w:leader="none" w:pos="487"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Recoupment</w:t>
      </w:r>
      <w:r>
        <w:rPr>
          <w:rFonts w:ascii="Arial" w:cs="Arial" w:eastAsia="Arial" w:hAnsi="Arial"/>
          <w:sz w:val="17"/>
          <w:szCs w:val="17"/>
          <w:color w:val="auto"/>
        </w:rPr>
        <w:t>. This Award shall be subject to (i) the Conduent Incorporated Compensation Recoupment Policy, as may be amended from time to time, or any successor policy and (ii) any other compensation recovery policy adopted after the PRSUs are granted to facilitate compliance with applicable law, including in response to the requirements of Section 10D of the Exchange Act, the U.S. Securities and Exchange Commission’s final rules thereunder, and any applicable listing rules or other rules and regulations implementing the foregoing.</w:t>
      </w:r>
    </w:p>
    <w:p>
      <w:pPr>
        <w:spacing w:after="0" w:line="10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PRSUs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125" w:lineRule="exact"/>
        <w:rPr>
          <w:sz w:val="20"/>
          <w:szCs w:val="20"/>
          <w:color w:val="auto"/>
        </w:rPr>
      </w:pPr>
    </w:p>
    <w:p>
      <w:pPr>
        <w:ind w:left="10" w:hanging="10"/>
        <w:spacing w:after="0" w:line="287" w:lineRule="auto"/>
        <w:tabs>
          <w:tab w:leader="none" w:pos="55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jc w:val="both"/>
        <w:ind w:left="650" w:hanging="407"/>
        <w:spacing w:after="0" w:line="268" w:lineRule="auto"/>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16" w:lineRule="exact"/>
        <w:rPr>
          <w:rFonts w:ascii="Arial" w:cs="Arial" w:eastAsia="Arial" w:hAnsi="Arial"/>
          <w:sz w:val="18"/>
          <w:szCs w:val="18"/>
          <w:color w:val="auto"/>
        </w:rPr>
      </w:pPr>
    </w:p>
    <w:p>
      <w:pPr>
        <w:jc w:val="both"/>
        <w:ind w:left="650" w:hanging="407"/>
        <w:spacing w:after="0" w:line="262" w:lineRule="auto"/>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22" w:lineRule="exact"/>
        <w:rPr>
          <w:rFonts w:ascii="Arial" w:cs="Arial" w:eastAsia="Arial" w:hAnsi="Arial"/>
          <w:sz w:val="18"/>
          <w:szCs w:val="18"/>
          <w:color w:val="auto"/>
        </w:rPr>
      </w:pPr>
    </w:p>
    <w:p>
      <w:pPr>
        <w:jc w:val="both"/>
        <w:ind w:left="65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128" w:lineRule="exact"/>
        <w:rPr>
          <w:rFonts w:ascii="Arial" w:cs="Arial" w:eastAsia="Arial" w:hAnsi="Arial"/>
          <w:sz w:val="18"/>
          <w:szCs w:val="18"/>
          <w:color w:val="auto"/>
        </w:rPr>
      </w:pPr>
    </w:p>
    <w:p>
      <w:pPr>
        <w:jc w:val="both"/>
        <w:ind w:left="650" w:hanging="407"/>
        <w:spacing w:after="0" w:line="259" w:lineRule="auto"/>
        <w:tabs>
          <w:tab w:leader="none" w:pos="64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25" w:lineRule="exact"/>
        <w:rPr>
          <w:rFonts w:ascii="Arial" w:cs="Arial" w:eastAsia="Arial" w:hAnsi="Arial"/>
          <w:sz w:val="18"/>
          <w:szCs w:val="18"/>
          <w:color w:val="auto"/>
        </w:rPr>
      </w:pPr>
    </w:p>
    <w:p>
      <w:pPr>
        <w:jc w:val="both"/>
        <w:ind w:left="650" w:hanging="407"/>
        <w:spacing w:after="0" w:line="256" w:lineRule="auto"/>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jc w:val="both"/>
        <w:ind w:left="10" w:hanging="10"/>
        <w:spacing w:after="0" w:line="268" w:lineRule="auto"/>
        <w:tabs>
          <w:tab w:leader="none" w:pos="51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70"/>
          </w:cols>
          <w:pgMar w:left="490" w:top="1093" w:right="339" w:bottom="1440" w:gutter="0" w:footer="0" w:header="0"/>
        </w:sectPr>
      </w:pPr>
    </w:p>
    <w:bookmarkStart w:id="57" w:name="page58"/>
    <w:bookmarkEnd w:id="57"/>
    <w:p>
      <w:pPr>
        <w:ind w:left="10" w:hanging="10"/>
        <w:spacing w:after="0" w:line="287" w:lineRule="auto"/>
        <w:tabs>
          <w:tab w:leader="none" w:pos="48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98" w:lineRule="exact"/>
        <w:rPr>
          <w:rFonts w:ascii="Arial" w:cs="Arial" w:eastAsia="Arial" w:hAnsi="Arial"/>
          <w:sz w:val="18"/>
          <w:szCs w:val="18"/>
          <w:color w:val="auto"/>
        </w:rPr>
      </w:pPr>
    </w:p>
    <w:p>
      <w:pPr>
        <w:jc w:val="both"/>
        <w:ind w:left="10" w:hanging="10"/>
        <w:spacing w:after="0" w:line="259" w:lineRule="auto"/>
        <w:tabs>
          <w:tab w:leader="none" w:pos="47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5" w:lineRule="exact"/>
        <w:rPr>
          <w:rFonts w:ascii="Arial" w:cs="Arial" w:eastAsia="Arial" w:hAnsi="Arial"/>
          <w:sz w:val="18"/>
          <w:szCs w:val="18"/>
          <w:color w:val="auto"/>
        </w:rPr>
      </w:pPr>
    </w:p>
    <w:p>
      <w:pPr>
        <w:jc w:val="both"/>
        <w:ind w:left="10" w:hanging="10"/>
        <w:spacing w:after="0" w:line="257" w:lineRule="auto"/>
        <w:tabs>
          <w:tab w:leader="none" w:pos="51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10" w:hanging="10"/>
        <w:spacing w:after="0" w:line="28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10" w:hanging="10"/>
        <w:spacing w:after="0" w:line="255" w:lineRule="auto"/>
        <w:tabs>
          <w:tab w:leader="none" w:pos="581"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PRSUs, the Employee irrevocably consents to the jurisdiction of, and venue in, such courts and waives any objection that such courts are an inconvenient forum.</w:t>
      </w:r>
    </w:p>
    <w:p>
      <w:pPr>
        <w:spacing w:after="0" w:line="126" w:lineRule="exact"/>
        <w:rPr>
          <w:rFonts w:ascii="Arial" w:cs="Arial" w:eastAsia="Arial" w:hAnsi="Arial"/>
          <w:sz w:val="18"/>
          <w:szCs w:val="18"/>
          <w:color w:val="auto"/>
        </w:rPr>
      </w:pPr>
    </w:p>
    <w:p>
      <w:pPr>
        <w:jc w:val="both"/>
        <w:ind w:left="10" w:hanging="10"/>
        <w:spacing w:after="0" w:line="268" w:lineRule="auto"/>
        <w:tabs>
          <w:tab w:leader="none" w:pos="31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25" w:lineRule="exact"/>
        <w:rPr>
          <w:sz w:val="20"/>
          <w:szCs w:val="20"/>
          <w:color w:val="auto"/>
        </w:rPr>
      </w:pPr>
    </w:p>
    <w:p>
      <w:pPr>
        <w:jc w:val="both"/>
        <w:ind w:left="10"/>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jc w:val="both"/>
        <w:ind w:left="10" w:hanging="10"/>
        <w:spacing w:after="0" w:line="255" w:lineRule="auto"/>
        <w:tabs>
          <w:tab w:leader="none" w:pos="2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28" w:lineRule="exact"/>
        <w:rPr>
          <w:sz w:val="20"/>
          <w:szCs w:val="20"/>
          <w:color w:val="auto"/>
        </w:rPr>
      </w:pPr>
    </w:p>
    <w:p>
      <w:pPr>
        <w:ind w:left="10"/>
        <w:spacing w:after="0" w:line="28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1093" w:right="339" w:bottom="1440" w:gutter="0" w:footer="0" w:header="0"/>
        </w:sectPr>
      </w:pPr>
    </w:p>
    <w:bookmarkStart w:id="58" w:name="page59"/>
    <w:bookmarkEnd w:id="58"/>
    <w:p>
      <w:pPr>
        <w:jc w:val="both"/>
        <w:ind w:left="10"/>
        <w:spacing w:after="0" w:line="259" w:lineRule="auto"/>
        <w:rPr>
          <w:sz w:val="20"/>
          <w:szCs w:val="20"/>
          <w:color w:val="auto"/>
        </w:rPr>
      </w:pPr>
      <w:r>
        <w:rPr>
          <w:rFonts w:ascii="Arial" w:cs="Arial" w:eastAsia="Arial" w:hAnsi="Arial"/>
          <w:sz w:val="18"/>
          <w:szCs w:val="18"/>
          <w:color w:val="auto"/>
        </w:rPr>
        <w:t>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25" w:lineRule="exact"/>
        <w:rPr>
          <w:sz w:val="20"/>
          <w:szCs w:val="20"/>
          <w:color w:val="auto"/>
        </w:rPr>
      </w:pPr>
    </w:p>
    <w:p>
      <w:pPr>
        <w:ind w:left="450" w:hanging="450"/>
        <w:spacing w:after="0"/>
        <w:tabs>
          <w:tab w:leader="none" w:pos="45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30" w:hanging="391"/>
        <w:spacing w:after="0" w:line="253" w:lineRule="auto"/>
        <w:tabs>
          <w:tab w:leader="none" w:pos="53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Data Collection and Usage.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PRSUs or any other entitlement to shares or equivalent benefits awarded, canceled, exercised, vested, unvested or outstanding in the Employee’s favor (“Data”), for the purposes of implementing, administering and managing the Plan. The Company shall comply with Data Protection Laws in connection with the processing of any Data. The Company shall ensure that personnel with access to Data are under an appropriate obligation of confidentiality and that such personnel have received appropriate data protection and security training pertaining to the responsibilities of their role. The Company agrees that in order to provide the Plan and services, Company may engage subcontractors to process the Data. The Company will enter into a written agreement with the subcontractor imposing data protection terms that places the equivalent data protection obligations as those set out in this Agreement to the extent applicable to the nature of the services provided by such subcontractor, in particular providing appropriate administrative, technical, and physical safeguards that the processing will protect the Data.</w:t>
      </w:r>
    </w:p>
    <w:p>
      <w:pPr>
        <w:spacing w:after="0" w:line="135" w:lineRule="exact"/>
        <w:rPr>
          <w:rFonts w:ascii="Arial" w:cs="Arial" w:eastAsia="Arial" w:hAnsi="Arial"/>
          <w:sz w:val="18"/>
          <w:szCs w:val="18"/>
          <w:color w:val="auto"/>
        </w:rPr>
      </w:pPr>
    </w:p>
    <w:p>
      <w:pPr>
        <w:jc w:val="both"/>
        <w:ind w:left="630" w:hanging="391"/>
        <w:spacing w:after="0" w:line="257" w:lineRule="auto"/>
        <w:tabs>
          <w:tab w:leader="none" w:pos="74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Protection Laws that are different from the U.S. As a result, in the absence of appropriate safeguards, the transfer of Data to the U.S. or, as the case may be, other countries might not be subject to substantive data processing principles or supervision by data protection authorities. The Employee acknowledges that Company may transfer Data outside of the Employee’s home country and agrees to consent to the Data transfer as set forth in Section 25(e).</w:t>
      </w:r>
    </w:p>
    <w:p>
      <w:pPr>
        <w:spacing w:after="0" w:line="128" w:lineRule="exact"/>
        <w:rPr>
          <w:rFonts w:ascii="Arial" w:cs="Arial" w:eastAsia="Arial" w:hAnsi="Arial"/>
          <w:sz w:val="18"/>
          <w:szCs w:val="18"/>
          <w:color w:val="auto"/>
        </w:rPr>
      </w:pPr>
    </w:p>
    <w:p>
      <w:pPr>
        <w:jc w:val="both"/>
        <w:ind w:left="630" w:hanging="391"/>
        <w:spacing w:after="0" w:line="268" w:lineRule="auto"/>
        <w:tabs>
          <w:tab w:leader="none" w:pos="73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16" w:lineRule="exact"/>
        <w:rPr>
          <w:rFonts w:ascii="Arial" w:cs="Arial" w:eastAsia="Arial" w:hAnsi="Arial"/>
          <w:sz w:val="18"/>
          <w:szCs w:val="18"/>
          <w:color w:val="auto"/>
        </w:rPr>
      </w:pPr>
    </w:p>
    <w:p>
      <w:pPr>
        <w:jc w:val="both"/>
        <w:ind w:left="630" w:hanging="391"/>
        <w:spacing w:after="0" w:line="259" w:lineRule="auto"/>
        <w:tabs>
          <w:tab w:leader="none" w:pos="74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 Employer will not be affected; the only consequence of refusing or withdrawing consent is that the Company would not be able to grant the PRSUs or other equity awards to the Employee or administer or maintain such awards.</w:t>
      </w:r>
    </w:p>
    <w:p>
      <w:pPr>
        <w:spacing w:after="0" w:line="125" w:lineRule="exact"/>
        <w:rPr>
          <w:rFonts w:ascii="Arial" w:cs="Arial" w:eastAsia="Arial" w:hAnsi="Arial"/>
          <w:sz w:val="18"/>
          <w:szCs w:val="18"/>
          <w:color w:val="auto"/>
        </w:rPr>
      </w:pPr>
    </w:p>
    <w:p>
      <w:pPr>
        <w:jc w:val="both"/>
        <w:ind w:left="630" w:hanging="391"/>
        <w:spacing w:after="0" w:line="268" w:lineRule="auto"/>
        <w:tabs>
          <w:tab w:leader="none" w:pos="688"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Protection Laws in the Employee’s jurisdiction. The Company will use reasonable efforts to fulfill any privacy rights requests under Data Protection Laws. To receive clarification regarding these rights or to exercise these rights, the Employee can contact the local human resources representative.</w:t>
      </w:r>
    </w:p>
    <w:p>
      <w:pPr>
        <w:spacing w:after="0" w:line="117" w:lineRule="exact"/>
        <w:rPr>
          <w:sz w:val="20"/>
          <w:szCs w:val="20"/>
          <w:color w:val="auto"/>
        </w:rPr>
      </w:pPr>
    </w:p>
    <w:p>
      <w:pPr>
        <w:jc w:val="both"/>
        <w:ind w:left="630" w:firstLine="74"/>
        <w:spacing w:after="0" w:line="262" w:lineRule="auto"/>
        <w:rPr>
          <w:sz w:val="20"/>
          <w:szCs w:val="20"/>
          <w:color w:val="auto"/>
        </w:rPr>
      </w:pPr>
      <w:r>
        <w:rPr>
          <w:rFonts w:ascii="Arial" w:cs="Arial" w:eastAsia="Arial" w:hAnsi="Arial"/>
          <w:sz w:val="18"/>
          <w:szCs w:val="18"/>
          <w:color w:val="auto"/>
        </w:rPr>
        <w:t>By accepting the PRSUs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may not have an adequate level of protection from a Data Protection Law perspective, for the purposes described above.</w:t>
      </w:r>
    </w:p>
    <w:p>
      <w:pPr>
        <w:spacing w:after="0" w:line="122" w:lineRule="exact"/>
        <w:rPr>
          <w:sz w:val="20"/>
          <w:szCs w:val="20"/>
          <w:color w:val="auto"/>
        </w:rPr>
      </w:pPr>
    </w:p>
    <w:p>
      <w:pPr>
        <w:jc w:val="both"/>
        <w:ind w:left="630" w:firstLine="134"/>
        <w:spacing w:after="0" w:line="268" w:lineRule="auto"/>
        <w:rPr>
          <w:sz w:val="20"/>
          <w:szCs w:val="20"/>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070"/>
          </w:cols>
          <w:pgMar w:left="490" w:top="1093" w:right="339" w:bottom="1440" w:gutter="0" w:footer="0" w:header="0"/>
        </w:sectPr>
      </w:pPr>
    </w:p>
    <w:bookmarkStart w:id="59" w:name="page60"/>
    <w:bookmarkEnd w:id="59"/>
    <w:p>
      <w:pPr>
        <w:jc w:val="both"/>
        <w:ind w:left="630"/>
        <w:spacing w:after="0" w:line="259" w:lineRule="auto"/>
        <w:rPr>
          <w:sz w:val="20"/>
          <w:szCs w:val="20"/>
          <w:color w:val="auto"/>
        </w:rPr>
      </w:pPr>
      <w:r>
        <w:rPr>
          <w:rFonts w:ascii="Arial" w:cs="Arial" w:eastAsia="Arial" w:hAnsi="Arial"/>
          <w:sz w:val="18"/>
          <w:szCs w:val="18"/>
          <w:color w:val="auto"/>
        </w:rPr>
        <w:t>provide an executed acknowledgement or data privacy consent form (or any other agreements or consents) that the Company and/or the Employer may deem necessary to obtain from the Employee for the purpose of administering the Employee’s participation in the Plan in compliance with the Data Protection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125" w:lineRule="exact"/>
        <w:rPr>
          <w:sz w:val="20"/>
          <w:szCs w:val="20"/>
          <w:color w:val="auto"/>
        </w:rPr>
      </w:pPr>
    </w:p>
    <w:p>
      <w:pPr>
        <w:jc w:val="both"/>
        <w:ind w:left="630" w:hanging="391"/>
        <w:spacing w:after="0" w:line="259" w:lineRule="auto"/>
        <w:tabs>
          <w:tab w:leader="none" w:pos="881"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Company shall use commercially reasonable efforts to implement and maintain reasonable and appropriate administrative, technical, and physical safeguards that are designed to ensure the security and confidentiality of Data in Company's possession or control; and protect Data in Company's possession or control from or unauthorized access, or disclosure. If Company experiences an actual data breach or compromise of security, confidentiality or integrity of Data, then Company shall promptly notify the Employee of such data breach in accordance with applicable Data Protection Laws.</w:t>
      </w:r>
    </w:p>
    <w:p>
      <w:pPr>
        <w:spacing w:after="0" w:line="125" w:lineRule="exact"/>
        <w:rPr>
          <w:rFonts w:ascii="Arial" w:cs="Arial" w:eastAsia="Arial" w:hAnsi="Arial"/>
          <w:sz w:val="18"/>
          <w:szCs w:val="18"/>
          <w:color w:val="auto"/>
        </w:rPr>
      </w:pPr>
    </w:p>
    <w:p>
      <w:pPr>
        <w:jc w:val="both"/>
        <w:ind w:left="10" w:hanging="10"/>
        <w:spacing w:after="0" w:line="268" w:lineRule="auto"/>
        <w:tabs>
          <w:tab w:leader="none" w:pos="57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10" w:hanging="10"/>
        <w:spacing w:after="0" w:line="287" w:lineRule="auto"/>
        <w:tabs>
          <w:tab w:leader="none" w:pos="52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10" w:hanging="10"/>
        <w:spacing w:after="0" w:line="257"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PRSUs shall be subject to any special terms and conditions set forth in any appendix to this Agreement for the Employee’s country of employment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or becomes subject to the local laws, rules or regulations of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28" w:lineRule="exact"/>
        <w:rPr>
          <w:rFonts w:ascii="Arial" w:cs="Arial" w:eastAsia="Arial" w:hAnsi="Arial"/>
          <w:sz w:val="18"/>
          <w:szCs w:val="18"/>
          <w:color w:val="auto"/>
        </w:rPr>
      </w:pPr>
    </w:p>
    <w:p>
      <w:pPr>
        <w:jc w:val="both"/>
        <w:ind w:left="10" w:hanging="10"/>
        <w:spacing w:after="0" w:line="259" w:lineRule="auto"/>
        <w:tabs>
          <w:tab w:leader="none" w:pos="56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25" w:lineRule="exact"/>
        <w:rPr>
          <w:rFonts w:ascii="Arial" w:cs="Arial" w:eastAsia="Arial" w:hAnsi="Arial"/>
          <w:sz w:val="18"/>
          <w:szCs w:val="18"/>
          <w:color w:val="auto"/>
        </w:rPr>
      </w:pPr>
    </w:p>
    <w:p>
      <w:pPr>
        <w:jc w:val="both"/>
        <w:ind w:left="10" w:hanging="4"/>
        <w:spacing w:after="0" w:line="255" w:lineRule="auto"/>
        <w:tabs>
          <w:tab w:leader="none" w:pos="35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Legal, Regulatory and Tax Compliance; Cooperation</w:t>
      </w:r>
      <w:r>
        <w:rPr>
          <w:rFonts w:ascii="Arial" w:cs="Arial" w:eastAsia="Arial" w:hAnsi="Arial"/>
          <w:sz w:val="18"/>
          <w:szCs w:val="18"/>
          <w:color w:val="auto"/>
        </w:rPr>
        <w:t>. If the Employee resides or is employed outside of the United States, the Employee agrees, as a condition of the grant of the PRSUs, to take any and all actions as may be required to comply with the Employee's personal legal, regulatory and tax obligations under local laws, rules and regulations in the Employee's country of employment (and country of residence, if different), including (but not limited to) any obligations to repatriate all payments attributable to the shares of Common Stock and/or cash acquired under the Plan (e.g., dividends and any proceeds derived from the sale of shares of Common Stock acquired pursuant to the PRSUs). In addition, the Employee also agrees to take any and all actions, and consents to any and all actions taken by the Company and any of its subsidiaries or affiliates as may be required to allow the Company and any of its subsidiaries or affiliates to comply with local laws, rules and regulations in the Employee's country of employment (and country of residence, if different).</w:t>
      </w:r>
    </w:p>
    <w:p>
      <w:pPr>
        <w:spacing w:after="0" w:line="374" w:lineRule="exact"/>
        <w:rPr>
          <w:sz w:val="20"/>
          <w:szCs w:val="20"/>
          <w:color w:val="auto"/>
        </w:rPr>
      </w:pPr>
    </w:p>
    <w:p>
      <w:pPr>
        <w:ind w:left="1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376" w:lineRule="exact"/>
        <w:rPr>
          <w:sz w:val="20"/>
          <w:szCs w:val="20"/>
          <w:color w:val="auto"/>
        </w:rPr>
      </w:pPr>
    </w:p>
    <w:p>
      <w:pPr>
        <w:ind w:left="490"/>
        <w:spacing w:after="0"/>
        <w:rPr>
          <w:sz w:val="20"/>
          <w:szCs w:val="20"/>
          <w:color w:val="auto"/>
        </w:rPr>
      </w:pPr>
      <w:r>
        <w:rPr>
          <w:rFonts w:ascii="Arial" w:cs="Arial" w:eastAsia="Arial" w:hAnsi="Arial"/>
          <w:sz w:val="18"/>
          <w:szCs w:val="18"/>
          <w:color w:val="auto"/>
        </w:rPr>
        <w:t>CONDUENT INCORPORATED</w:t>
      </w:r>
    </w:p>
    <w:p>
      <w:pPr>
        <w:spacing w:after="0" w:line="225" w:lineRule="exact"/>
        <w:rPr>
          <w:sz w:val="20"/>
          <w:szCs w:val="20"/>
          <w:color w:val="auto"/>
        </w:rPr>
      </w:pPr>
    </w:p>
    <w:p>
      <w:pPr>
        <w:ind w:left="61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HARSHA V. AGADI</w:t>
      </w:r>
    </w:p>
    <w:p>
      <w:pPr>
        <w:spacing w:after="0" w:line="50" w:lineRule="exact"/>
        <w:rPr>
          <w:sz w:val="20"/>
          <w:szCs w:val="20"/>
          <w:color w:val="auto"/>
        </w:rPr>
      </w:pPr>
    </w:p>
    <w:p>
      <w:pPr>
        <w:ind w:left="490"/>
        <w:spacing w:after="0"/>
        <w:rPr>
          <w:sz w:val="20"/>
          <w:szCs w:val="20"/>
          <w:color w:val="auto"/>
        </w:rPr>
      </w:pPr>
      <w:r>
        <w:rPr>
          <w:rFonts w:ascii="Arial" w:cs="Arial" w:eastAsia="Arial" w:hAnsi="Arial"/>
          <w:sz w:val="18"/>
          <w:szCs w:val="18"/>
          <w:color w:val="auto"/>
        </w:rPr>
        <w:t>Harsha V. Agadi, Chief Executive Officer</w:t>
      </w:r>
    </w:p>
    <w:p>
      <w:pPr>
        <w:spacing w:after="0" w:line="36" w:lineRule="exact"/>
        <w:rPr>
          <w:sz w:val="20"/>
          <w:szCs w:val="20"/>
          <w:color w:val="auto"/>
        </w:rPr>
      </w:pPr>
    </w:p>
    <w:p>
      <w:pPr>
        <w:ind w:left="690"/>
        <w:spacing w:after="0"/>
        <w:rPr>
          <w:sz w:val="20"/>
          <w:szCs w:val="20"/>
          <w:color w:val="auto"/>
        </w:rPr>
      </w:pPr>
      <w:r>
        <w:rPr>
          <w:rFonts w:ascii="Arial" w:cs="Arial" w:eastAsia="Arial" w:hAnsi="Arial"/>
          <w:sz w:val="18"/>
          <w:szCs w:val="18"/>
          <w:color w:val="auto"/>
        </w:rPr>
        <w:t>Date: April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070"/>
          </w:cols>
          <w:pgMar w:left="490" w:top="1093" w:right="33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247"/>
        </w:trPr>
        <w:tc>
          <w:tcPr>
            <w:tcW w:w="5140" w:type="dxa"/>
            <w:vAlign w:val="bottom"/>
          </w:tcPr>
          <w:p>
            <w:pPr>
              <w:spacing w:after="0"/>
              <w:rPr>
                <w:sz w:val="21"/>
                <w:szCs w:val="21"/>
                <w:color w:val="auto"/>
              </w:rPr>
            </w:pPr>
          </w:p>
        </w:tc>
        <w:tc>
          <w:tcPr>
            <w:tcW w:w="5260" w:type="dxa"/>
            <w:vAlign w:val="bottom"/>
            <w:gridSpan w:val="2"/>
          </w:tcPr>
          <w:p>
            <w:pPr>
              <w:jc w:val="center"/>
              <w:ind w:right="4210"/>
              <w:spacing w:after="0"/>
              <w:rPr>
                <w:sz w:val="20"/>
                <w:szCs w:val="20"/>
                <w:color w:val="auto"/>
              </w:rPr>
            </w:pPr>
            <w:r>
              <w:rPr>
                <w:rFonts w:ascii="Arial" w:cs="Arial" w:eastAsia="Arial" w:hAnsi="Arial"/>
                <w:sz w:val="18"/>
                <w:szCs w:val="18"/>
                <w:b w:val="1"/>
                <w:bCs w:val="1"/>
                <w:color w:val="auto"/>
                <w:w w:val="98"/>
              </w:rPr>
              <w:t>EXHIBIT A</w:t>
            </w:r>
          </w:p>
        </w:tc>
      </w:tr>
      <w:tr>
        <w:trPr>
          <w:trHeight w:val="702"/>
        </w:trPr>
        <w:tc>
          <w:tcPr>
            <w:tcW w:w="104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9"/>
              </w:rPr>
              <w:t>Performance Conditions—Share Price Hurdle</w:t>
            </w:r>
          </w:p>
        </w:tc>
      </w:tr>
      <w:tr>
        <w:trPr>
          <w:trHeight w:val="258"/>
        </w:trPr>
        <w:tc>
          <w:tcPr>
            <w:tcW w:w="5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180" w:type="dxa"/>
            <w:vAlign w:val="bottom"/>
            <w:tcBorders>
              <w:bottom w:val="single" w:sz="8" w:color="auto"/>
            </w:tcBorders>
          </w:tcPr>
          <w:p>
            <w:pPr>
              <w:spacing w:after="0"/>
              <w:rPr>
                <w:sz w:val="22"/>
                <w:szCs w:val="22"/>
                <w:color w:val="auto"/>
              </w:rPr>
            </w:pPr>
          </w:p>
        </w:tc>
      </w:tr>
      <w:tr>
        <w:trPr>
          <w:trHeight w:val="218"/>
        </w:trPr>
        <w:tc>
          <w:tcPr>
            <w:tcW w:w="514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120 Consecutive Calendar Day Average Stock Price at Any</w:t>
            </w:r>
          </w:p>
        </w:tc>
        <w:tc>
          <w:tcPr>
            <w:tcW w:w="8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Payout % of PRSUs That Vest</w:t>
            </w:r>
          </w:p>
        </w:tc>
      </w:tr>
      <w:tr>
        <w:trPr>
          <w:trHeight w:val="255"/>
        </w:trPr>
        <w:tc>
          <w:tcPr>
            <w:tcW w:w="5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time during the Performance Period</w:t>
            </w:r>
          </w:p>
        </w:tc>
        <w:tc>
          <w:tcPr>
            <w:tcW w:w="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spacing w:after="0"/>
              <w:rPr>
                <w:sz w:val="22"/>
                <w:szCs w:val="22"/>
                <w:color w:val="auto"/>
              </w:rPr>
            </w:pPr>
          </w:p>
        </w:tc>
      </w:tr>
      <w:tr>
        <w:trPr>
          <w:trHeight w:val="247"/>
        </w:trPr>
        <w:tc>
          <w:tcPr>
            <w:tcW w:w="5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 $5.00</w:t>
            </w:r>
          </w:p>
        </w:tc>
        <w:tc>
          <w:tcPr>
            <w:tcW w:w="8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w:t>
            </w:r>
          </w:p>
        </w:tc>
      </w:tr>
      <w:tr>
        <w:trPr>
          <w:trHeight w:val="23"/>
        </w:trPr>
        <w:tc>
          <w:tcPr>
            <w:tcW w:w="514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41"/>
        </w:trPr>
        <w:tc>
          <w:tcPr>
            <w:tcW w:w="5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$4.00</w:t>
            </w:r>
          </w:p>
        </w:tc>
        <w:tc>
          <w:tcPr>
            <w:tcW w:w="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75%</w:t>
            </w:r>
          </w:p>
        </w:tc>
      </w:tr>
      <w:tr>
        <w:trPr>
          <w:trHeight w:val="23"/>
        </w:trPr>
        <w:tc>
          <w:tcPr>
            <w:tcW w:w="514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41"/>
        </w:trPr>
        <w:tc>
          <w:tcPr>
            <w:tcW w:w="5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$3.00</w:t>
            </w:r>
          </w:p>
        </w:tc>
        <w:tc>
          <w:tcPr>
            <w:tcW w:w="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50%</w:t>
            </w:r>
          </w:p>
        </w:tc>
      </w:tr>
      <w:tr>
        <w:trPr>
          <w:trHeight w:val="23"/>
        </w:trPr>
        <w:tc>
          <w:tcPr>
            <w:tcW w:w="514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41"/>
        </w:trPr>
        <w:tc>
          <w:tcPr>
            <w:tcW w:w="5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$2.50</w:t>
            </w:r>
          </w:p>
        </w:tc>
        <w:tc>
          <w:tcPr>
            <w:tcW w:w="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25%</w:t>
            </w:r>
          </w:p>
        </w:tc>
      </w:tr>
      <w:tr>
        <w:trPr>
          <w:trHeight w:val="23"/>
        </w:trPr>
        <w:tc>
          <w:tcPr>
            <w:tcW w:w="514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41"/>
        </w:trPr>
        <w:tc>
          <w:tcPr>
            <w:tcW w:w="5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&lt; $2.50</w:t>
            </w:r>
          </w:p>
        </w:tc>
        <w:tc>
          <w:tcPr>
            <w:tcW w:w="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r>
      <w:tr>
        <w:trPr>
          <w:trHeight w:val="23"/>
        </w:trPr>
        <w:tc>
          <w:tcPr>
            <w:tcW w:w="514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Linear interpolation will be used for results between points. For purposes of the Stock Price Hurdle, the performance period runs from the Date of Grant through December 31, 2028.</w:t>
      </w:r>
    </w:p>
    <w:p>
      <w:pPr>
        <w:spacing w:after="0" w:line="22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goal and payouts will be adjusted for any dispositions of businesses and asset sales, and the goal and payouts may be adjusted for other unanticipated or unbudgeted changes or otherwise by the Committee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A-1</w:t>
      </w:r>
    </w:p>
    <w:p>
      <w:pPr>
        <w:sectPr>
          <w:pgSz w:w="11900" w:h="16838" w:orient="portrait"/>
          <w:cols w:equalWidth="0" w:num="1">
            <w:col w:w="10900"/>
          </w:cols>
          <w:pgMar w:left="320" w:top="1093" w:right="6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Non-Competition and Non-Solicitation Agreement (“Agreement”) is made effective as of April 1, 2026 (“Effective Date”) between Conduent Business Services, LLC, its parent, subsidiaries, divisions and affiliates (collectively, “Conduent”) and the individual whose name appears in the Award Summary (“Employee”).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52" w:lineRule="exact"/>
        <w:rPr>
          <w:sz w:val="20"/>
          <w:szCs w:val="20"/>
          <w:color w:val="auto"/>
        </w:rPr>
      </w:pPr>
    </w:p>
    <w:p>
      <w:pPr>
        <w:jc w:val="both"/>
        <w:ind w:left="340" w:right="60" w:hanging="332"/>
        <w:spacing w:after="0" w:line="276" w:lineRule="auto"/>
        <w:tabs>
          <w:tab w:leader="none" w:pos="328"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203" w:lineRule="exact"/>
        <w:rPr>
          <w:rFonts w:ascii="Arial" w:cs="Arial" w:eastAsia="Arial" w:hAnsi="Arial"/>
          <w:sz w:val="18"/>
          <w:szCs w:val="18"/>
          <w:color w:val="auto"/>
        </w:rPr>
      </w:pPr>
    </w:p>
    <w:p>
      <w:pPr>
        <w:ind w:left="800" w:hanging="468"/>
        <w:spacing w:after="0"/>
        <w:tabs>
          <w:tab w:leader="none" w:pos="8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65" w:lineRule="exact"/>
        <w:rPr>
          <w:rFonts w:ascii="Arial" w:cs="Arial" w:eastAsia="Arial" w:hAnsi="Arial"/>
          <w:sz w:val="18"/>
          <w:szCs w:val="18"/>
          <w:color w:val="auto"/>
        </w:rPr>
      </w:pPr>
    </w:p>
    <w:p>
      <w:pPr>
        <w:jc w:val="both"/>
        <w:ind w:left="1300" w:hanging="46"/>
        <w:spacing w:after="0" w:line="267" w:lineRule="auto"/>
        <w:tabs>
          <w:tab w:leader="none" w:pos="1751" w:val="left"/>
        </w:tabs>
        <w:numPr>
          <w:ilvl w:val="2"/>
          <w:numId w:val="78"/>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211" w:lineRule="exact"/>
        <w:rPr>
          <w:sz w:val="20"/>
          <w:szCs w:val="20"/>
          <w:color w:val="auto"/>
        </w:rPr>
      </w:pPr>
    </w:p>
    <w:p>
      <w:pPr>
        <w:ind w:left="1300" w:firstLine="6"/>
        <w:spacing w:after="0" w:line="287" w:lineRule="auto"/>
        <w:tabs>
          <w:tab w:leader="none" w:pos="1909" w:val="left"/>
        </w:tabs>
        <w:numPr>
          <w:ilvl w:val="2"/>
          <w:numId w:val="79"/>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193" w:lineRule="exact"/>
        <w:rPr>
          <w:rFonts w:ascii="Arial" w:cs="Arial" w:eastAsia="Arial" w:hAnsi="Arial"/>
          <w:sz w:val="18"/>
          <w:szCs w:val="18"/>
          <w:color w:val="auto"/>
        </w:rPr>
      </w:pPr>
    </w:p>
    <w:p>
      <w:pPr>
        <w:ind w:left="1300" w:hanging="81"/>
        <w:spacing w:after="0" w:line="303" w:lineRule="auto"/>
        <w:tabs>
          <w:tab w:leader="none" w:pos="1754" w:val="left"/>
        </w:tabs>
        <w:numPr>
          <w:ilvl w:val="1"/>
          <w:numId w:val="80"/>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165" w:lineRule="exact"/>
        <w:rPr>
          <w:rFonts w:ascii="Arial" w:cs="Arial" w:eastAsia="Arial" w:hAnsi="Arial"/>
          <w:sz w:val="18"/>
          <w:szCs w:val="18"/>
          <w:color w:val="auto"/>
        </w:rPr>
      </w:pPr>
    </w:p>
    <w:p>
      <w:pPr>
        <w:jc w:val="both"/>
        <w:ind w:left="1300" w:hanging="107"/>
        <w:spacing w:after="0" w:line="284" w:lineRule="auto"/>
        <w:tabs>
          <w:tab w:leader="none" w:pos="1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- 1</w:t>
      </w:r>
    </w:p>
    <w:p>
      <w:pPr>
        <w:sectPr>
          <w:pgSz w:w="11900" w:h="16838" w:orient="portrait"/>
          <w:cols w:equalWidth="0" w:num="1">
            <w:col w:w="11240"/>
          </w:cols>
          <w:pgMar w:left="320" w:top="1336" w:right="339" w:bottom="1440" w:gutter="0" w:footer="0" w:header="0"/>
        </w:sectPr>
      </w:pPr>
    </w:p>
    <w:bookmarkStart w:id="62" w:name="page63"/>
    <w:bookmarkEnd w:id="62"/>
    <w:p>
      <w:pPr>
        <w:ind w:left="1300" w:hanging="833"/>
        <w:spacing w:after="0" w:line="303" w:lineRule="auto"/>
        <w:tabs>
          <w:tab w:leader="none" w:pos="9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3" w:lineRule="exact"/>
        <w:rPr>
          <w:sz w:val="20"/>
          <w:szCs w:val="20"/>
          <w:color w:val="auto"/>
        </w:rPr>
      </w:pPr>
    </w:p>
    <w:p>
      <w:pPr>
        <w:jc w:val="both"/>
        <w:ind w:left="340" w:hanging="332"/>
        <w:spacing w:after="0" w:line="265"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68" w:lineRule="exact"/>
        <w:rPr>
          <w:rFonts w:ascii="Arial" w:cs="Arial" w:eastAsia="Arial" w:hAnsi="Arial"/>
          <w:sz w:val="18"/>
          <w:szCs w:val="18"/>
          <w:color w:val="auto"/>
        </w:rPr>
      </w:pPr>
    </w:p>
    <w:p>
      <w:pPr>
        <w:ind w:left="340" w:hanging="332"/>
        <w:spacing w:after="0" w:line="303"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such employee’s employment with Conduent.</w:t>
      </w:r>
    </w:p>
    <w:p>
      <w:pPr>
        <w:spacing w:after="0" w:line="152" w:lineRule="exact"/>
        <w:rPr>
          <w:rFonts w:ascii="Arial" w:cs="Arial" w:eastAsia="Arial" w:hAnsi="Arial"/>
          <w:sz w:val="18"/>
          <w:szCs w:val="18"/>
          <w:color w:val="auto"/>
        </w:rPr>
      </w:pPr>
    </w:p>
    <w:p>
      <w:pPr>
        <w:jc w:val="both"/>
        <w:ind w:left="340" w:hanging="332"/>
        <w:spacing w:after="0" w:line="255"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 not obligate Conduent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- 2</w:t>
      </w:r>
    </w:p>
    <w:p>
      <w:pPr>
        <w:sectPr>
          <w:pgSz w:w="11900" w:h="16838" w:orient="portrait"/>
          <w:cols w:equalWidth="0" w:num="1">
            <w:col w:w="11240"/>
          </w:cols>
          <w:pgMar w:left="320" w:top="1093" w:right="339" w:bottom="1440" w:gutter="0" w:footer="0" w:header="0"/>
        </w:sectPr>
      </w:pPr>
    </w:p>
    <w:bookmarkStart w:id="63" w:name="page64"/>
    <w:bookmarkEnd w:id="63"/>
    <w:p>
      <w:pPr>
        <w:jc w:val="both"/>
        <w:ind w:left="340" w:hanging="332"/>
        <w:spacing w:after="0" w:line="267" w:lineRule="auto"/>
        <w:tabs>
          <w:tab w:leader="none" w:pos="328"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highlight w:val="white"/>
        </w:rPr>
        <w:t>. 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reasonable attorneys’ fees and costs from the other party.</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highlight w:val="white"/>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highlight w:val="white"/>
        </w:rPr>
        <w:t>. 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59" w:lineRule="exact"/>
        <w:rPr>
          <w:rFonts w:ascii="Arial" w:cs="Arial" w:eastAsia="Arial" w:hAnsi="Arial"/>
          <w:sz w:val="18"/>
          <w:szCs w:val="18"/>
          <w:color w:val="auto"/>
        </w:rPr>
      </w:pPr>
    </w:p>
    <w:p>
      <w:pPr>
        <w:ind w:left="340" w:hanging="332"/>
        <w:spacing w:after="0" w:line="303" w:lineRule="auto"/>
        <w:tabs>
          <w:tab w:leader="none" w:pos="333"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33" w:lineRule="exact"/>
        <w:rPr>
          <w:rFonts w:ascii="Arial" w:cs="Arial" w:eastAsia="Arial" w:hAnsi="Arial"/>
          <w:sz w:val="18"/>
          <w:szCs w:val="18"/>
          <w:color w:val="auto"/>
        </w:rPr>
      </w:pPr>
    </w:p>
    <w:p>
      <w:pPr>
        <w:jc w:val="both"/>
        <w:ind w:left="340" w:hanging="332"/>
        <w:spacing w:after="0" w:line="276" w:lineRule="auto"/>
        <w:tabs>
          <w:tab w:leader="none" w:pos="32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highlight w:val="white"/>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18"/>
          <w:szCs w:val="18"/>
          <w:color w:val="auto"/>
        </w:rPr>
      </w:pPr>
    </w:p>
    <w:p>
      <w:pPr>
        <w:jc w:val="both"/>
        <w:ind w:left="340" w:hanging="332"/>
        <w:spacing w:after="0" w:line="267" w:lineRule="auto"/>
        <w:tabs>
          <w:tab w:leader="none" w:pos="333"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 - 3</w:t>
      </w:r>
    </w:p>
    <w:p>
      <w:pPr>
        <w:sectPr>
          <w:pgSz w:w="11900" w:h="16838" w:orient="portrait"/>
          <w:cols w:equalWidth="0" w:num="1">
            <w:col w:w="11240"/>
          </w:cols>
          <w:pgMar w:left="320" w:top="140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color w:val="auto"/>
        </w:rPr>
        <w:t>Exhibit 10.6(a)(iii)</w:t>
      </w:r>
    </w:p>
    <w:p>
      <w:pPr>
        <w:spacing w:after="0" w:line="200" w:lineRule="exact"/>
        <w:rPr>
          <w:sz w:val="20"/>
          <w:szCs w:val="20"/>
          <w:color w:val="auto"/>
        </w:rPr>
      </w:pPr>
    </w:p>
    <w:p>
      <w:pPr>
        <w:spacing w:after="0" w:line="298"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RESTRICTED STOCK UNIT AWARD AGREEMENT PURSUANT TO</w:t>
      </w:r>
    </w:p>
    <w:p>
      <w:pPr>
        <w:spacing w:after="0" w:line="2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CONDUENT INCORPORATED 2021 PERFORMANCE INCENTIVE PLAN</w:t>
      </w:r>
    </w:p>
    <w:p>
      <w:pPr>
        <w:spacing w:after="0" w:line="234" w:lineRule="exact"/>
        <w:rPr>
          <w:sz w:val="20"/>
          <w:szCs w:val="20"/>
          <w:color w:val="auto"/>
        </w:rPr>
      </w:pPr>
    </w:p>
    <w:p>
      <w:pPr>
        <w:jc w:val="both"/>
        <w:ind w:left="10"/>
        <w:spacing w:after="0" w:line="265" w:lineRule="auto"/>
        <w:rPr>
          <w:sz w:val="20"/>
          <w:szCs w:val="20"/>
          <w:color w:val="auto"/>
        </w:rPr>
      </w:pPr>
      <w:r>
        <w:rPr>
          <w:rFonts w:ascii="Arial" w:cs="Arial" w:eastAsia="Arial" w:hAnsi="Arial"/>
          <w:sz w:val="18"/>
          <w:szCs w:val="18"/>
          <w:color w:val="auto"/>
        </w:rPr>
        <w:t>This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has authorized the execution and delivery of this Agreement.</w:t>
      </w:r>
    </w:p>
    <w:p>
      <w:pPr>
        <w:spacing w:after="0" w:line="11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provided via email or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applicable number of Restricted Stock Units granted pursuant hereto. The Award Summary is incorporated herein in its entirety.</w:t>
      </w:r>
    </w:p>
    <w:p>
      <w:pPr>
        <w:spacing w:after="0" w:line="117" w:lineRule="exact"/>
        <w:rPr>
          <w:sz w:val="20"/>
          <w:szCs w:val="20"/>
          <w:color w:val="auto"/>
        </w:rPr>
      </w:pPr>
    </w:p>
    <w:p>
      <w:pPr>
        <w:jc w:val="center"/>
        <w:ind w:right="450"/>
        <w:spacing w:after="0"/>
        <w:rPr>
          <w:sz w:val="20"/>
          <w:szCs w:val="20"/>
          <w:color w:val="auto"/>
        </w:rPr>
      </w:pPr>
      <w:r>
        <w:rPr>
          <w:rFonts w:ascii="Arial" w:cs="Arial" w:eastAsia="Arial" w:hAnsi="Arial"/>
          <w:sz w:val="17"/>
          <w:szCs w:val="17"/>
          <w:color w:val="auto"/>
        </w:rPr>
        <w:t>NOW, THEREFORE, in consideration of the premises and for other good and valuable consideration the Company agrees as follows:</w:t>
      </w:r>
    </w:p>
    <w:p>
      <w:pPr>
        <w:spacing w:after="0" w:line="183"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10" w:hanging="10"/>
        <w:spacing w:after="0" w:line="268" w:lineRule="auto"/>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 Subject to all terms and conditions of the Plan and this Agreement, the Company has awarded to the Employee on the date indicated on the Award Summary the number of Restricted Stock Units (individually, a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as shown on the Award Summary.</w:t>
      </w:r>
    </w:p>
    <w:p>
      <w:pPr>
        <w:spacing w:after="0" w:line="117"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color w:val="auto"/>
        </w:rPr>
        <w:t>TERMS OF THE RESTRICTED STOCK UNITS</w:t>
      </w:r>
    </w:p>
    <w:p>
      <w:pPr>
        <w:spacing w:after="0" w:line="171" w:lineRule="exact"/>
        <w:rPr>
          <w:sz w:val="20"/>
          <w:szCs w:val="20"/>
          <w:color w:val="auto"/>
        </w:rPr>
      </w:pPr>
    </w:p>
    <w:p>
      <w:pPr>
        <w:jc w:val="both"/>
        <w:ind w:left="10" w:hanging="10"/>
        <w:spacing w:after="0" w:line="257" w:lineRule="auto"/>
        <w:tabs>
          <w:tab w:leader="none" w:pos="46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on or after each applicable Vesting Date (as defined below) (or such earlier date provided in Section 8),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RSUs (subject to reduction for withholding of the Employee’s taxes in relation to the award as described in Section 10) within 60 days following each applicable Vesting Date (or, if earlier, a distribution event set forth in Section 8 that satisfies the requirements of Section 409A(a)(2) of the Code);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10" w:hanging="10"/>
        <w:spacing w:after="0" w:line="258" w:lineRule="auto"/>
        <w:tabs>
          <w:tab w:leader="none" w:pos="23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determined by the Committee in its sole discretion (subject to Section 6 of the Plan) or as otherwise provided in this Section 3 or Section 8, the vesting of RSUs covered hereby shall be subject to the Employee’s continued employment with or other provision of services to the Company or a subsidiary or affiliate through the applicable Vesting Date.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 The Employee shall be eligible to vest in one-third of the shares of Common Stock covered by this Agreement as set forth in the Award Summary on each of December 31, 2026, December 31, 2027 and December 31, 2028 (each, a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w:t>
      </w:r>
    </w:p>
    <w:p>
      <w:pPr>
        <w:spacing w:after="0" w:line="116"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Upon the occurrence of an event constituting a Change in Control, notwithstanding anything to the contrary in Section 8 of the Plan, the RSUs outstanding on the date of such Change in Control, and any dividend equivalents with respect thereto, shall be assumed by the successor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70"/>
          </w:cols>
          <w:pgMar w:left="490" w:top="585" w:right="339" w:bottom="1440" w:gutter="0" w:footer="0" w:header="0"/>
        </w:sectPr>
      </w:pPr>
    </w:p>
    <w:bookmarkStart w:id="65" w:name="page66"/>
    <w:bookmarkEnd w:id="65"/>
    <w:p>
      <w:pPr>
        <w:ind w:left="9430"/>
        <w:spacing w:after="0"/>
        <w:rPr>
          <w:sz w:val="20"/>
          <w:szCs w:val="20"/>
          <w:color w:val="auto"/>
        </w:rPr>
      </w:pPr>
      <w:r>
        <w:rPr>
          <w:rFonts w:ascii="Times New Roman" w:cs="Times New Roman" w:eastAsia="Times New Roman" w:hAnsi="Times New Roman"/>
          <w:sz w:val="21"/>
          <w:szCs w:val="21"/>
          <w:color w:val="auto"/>
        </w:rPr>
        <w:t>Exhibit 10.6(a)(iii)</w:t>
      </w:r>
    </w:p>
    <w:p>
      <w:pPr>
        <w:spacing w:after="0" w:line="267" w:lineRule="exact"/>
        <w:rPr>
          <w:sz w:val="20"/>
          <w:szCs w:val="20"/>
          <w:color w:val="auto"/>
        </w:rPr>
      </w:pPr>
    </w:p>
    <w:p>
      <w:pPr>
        <w:jc w:val="both"/>
        <w:ind w:left="10"/>
        <w:spacing w:after="0" w:line="256" w:lineRule="auto"/>
        <w:rPr>
          <w:sz w:val="20"/>
          <w:szCs w:val="20"/>
          <w:color w:val="auto"/>
        </w:rPr>
      </w:pPr>
      <w:r>
        <w:rPr>
          <w:rFonts w:ascii="Arial" w:cs="Arial" w:eastAsia="Arial" w:hAnsi="Arial"/>
          <w:sz w:val="18"/>
          <w:szCs w:val="18"/>
          <w:color w:val="auto"/>
        </w:rPr>
        <w:t xml:space="preserve">(or its parent company) and remain outstanding and thereafter the vesting of such RSUs, and any dividend equivalents with respect thereto, shall be subject to the Employee’s continued employment with or provision of services to the Company or a subsidiary or an affiliate through each applicable Vesting Date as provided in this Section 3, at which time such RSUs shall vest and shall be paid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RSUs, and any dividend equivalents with respect thereto, shall vest and shall be paid to the extent provided in Section 8 in the event of the Employee’s termination of employment or services following such Change in Control and prior to a Vesting Date. Upon payment pursuant to the terms of the Plan, such awards shall be cancelled.</w:t>
      </w:r>
    </w:p>
    <w:p>
      <w:pPr>
        <w:spacing w:after="0" w:line="129" w:lineRule="exact"/>
        <w:rPr>
          <w:sz w:val="20"/>
          <w:szCs w:val="20"/>
          <w:color w:val="auto"/>
        </w:rPr>
      </w:pPr>
    </w:p>
    <w:p>
      <w:pPr>
        <w:jc w:val="both"/>
        <w:ind w:left="10" w:hanging="10"/>
        <w:spacing w:after="0" w:line="259" w:lineRule="auto"/>
        <w:tabs>
          <w:tab w:leader="none" w:pos="414"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The Employee shall become entitled to receive from the Company on each applicable Vesting Date (or such earlier date provided in Section 8) a cash payment equaling the same amount(s) that the holder of record of a number of shares of Common Stock equal to the number of vested RSUs (if any) would have been entitled to receive as dividends on such Common Stock during the period commencing on the effective date hereof and ending on each applicable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ind w:right="15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10" w:hanging="10"/>
        <w:spacing w:after="0" w:line="268" w:lineRule="auto"/>
        <w:tabs>
          <w:tab w:leader="none" w:pos="21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10" w:hanging="4"/>
        <w:spacing w:after="0" w:line="268" w:lineRule="auto"/>
        <w:tabs>
          <w:tab w:leader="none" w:pos="37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RSUs until the date of issuance of a stock certificate to him for such RSUs and no adjustment shall be made for dividends or other rights for which the record date is prior to the date the RSUs become vested.</w:t>
      </w:r>
    </w:p>
    <w:p>
      <w:pPr>
        <w:spacing w:after="0" w:line="116" w:lineRule="exact"/>
        <w:rPr>
          <w:rFonts w:ascii="Arial" w:cs="Arial" w:eastAsia="Arial" w:hAnsi="Arial"/>
          <w:sz w:val="18"/>
          <w:szCs w:val="18"/>
          <w:color w:val="auto"/>
        </w:rPr>
      </w:pPr>
    </w:p>
    <w:p>
      <w:pPr>
        <w:jc w:val="both"/>
        <w:ind w:left="10" w:hanging="10"/>
        <w:spacing w:after="0" w:line="262" w:lineRule="auto"/>
        <w:tabs>
          <w:tab w:leader="none" w:pos="52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RSUs may not be sold, assigned, alienated, transferred, pledged, attached or otherwise encumbered except as provided in Section 7(d)(ii) of the Plan. Any purported sale, assignment, alienation, transfer, pledge, attachment or other encumbrance of a 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50" w:hanging="350"/>
        <w:spacing w:after="0"/>
        <w:tabs>
          <w:tab w:leader="none" w:pos="35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730" w:hanging="503"/>
        <w:spacing w:after="0" w:line="287" w:lineRule="auto"/>
        <w:tabs>
          <w:tab w:leader="none" w:pos="675"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Effect on RSUs</w:t>
      </w:r>
      <w:r>
        <w:rPr>
          <w:rFonts w:ascii="Arial" w:cs="Arial" w:eastAsia="Arial" w:hAnsi="Arial"/>
          <w:sz w:val="18"/>
          <w:szCs w:val="18"/>
          <w:color w:val="auto"/>
        </w:rPr>
        <w:t>. In the event of the Employee’s termination of employment or services prior to December 31, 2028, the RSUs will be treated as set forth below.</w:t>
      </w:r>
    </w:p>
    <w:p>
      <w:pPr>
        <w:spacing w:after="0" w:line="98" w:lineRule="exact"/>
        <w:rPr>
          <w:rFonts w:ascii="Arial" w:cs="Arial" w:eastAsia="Arial" w:hAnsi="Arial"/>
          <w:sz w:val="18"/>
          <w:szCs w:val="18"/>
          <w:color w:val="auto"/>
        </w:rPr>
      </w:pPr>
    </w:p>
    <w:p>
      <w:pPr>
        <w:jc w:val="both"/>
        <w:ind w:left="730" w:hanging="1"/>
        <w:spacing w:after="0" w:line="262" w:lineRule="auto"/>
        <w:tabs>
          <w:tab w:leader="none" w:pos="940" w:val="left"/>
        </w:tabs>
        <w:numPr>
          <w:ilvl w:val="2"/>
          <w:numId w:val="88"/>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for any reason other than a Termination For Good Reason following a Change in Control or a Qualifying Retirement, the RSUs that have not vested in accordance with Section 3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jc w:val="both"/>
        <w:ind w:left="730" w:hanging="1"/>
        <w:spacing w:after="0" w:line="256" w:lineRule="auto"/>
        <w:tabs>
          <w:tab w:leader="none" w:pos="980" w:val="left"/>
        </w:tabs>
        <w:numPr>
          <w:ilvl w:val="2"/>
          <w:numId w:val="88"/>
        </w:numPr>
        <w:rPr>
          <w:rFonts w:ascii="Arial" w:cs="Arial" w:eastAsia="Arial" w:hAnsi="Arial"/>
          <w:sz w:val="18"/>
          <w:szCs w:val="18"/>
          <w:color w:val="auto"/>
        </w:rPr>
      </w:pPr>
      <w:r>
        <w:rPr>
          <w:rFonts w:ascii="Arial" w:cs="Arial" w:eastAsia="Arial" w:hAnsi="Arial"/>
          <w:sz w:val="18"/>
          <w:szCs w:val="18"/>
          <w:i w:val="1"/>
          <w:iCs w:val="1"/>
          <w:color w:val="auto"/>
        </w:rPr>
        <w:t>Termination without Cause</w:t>
      </w:r>
      <w:r>
        <w:rPr>
          <w:rFonts w:ascii="Arial" w:cs="Arial" w:eastAsia="Arial" w:hAnsi="Arial"/>
          <w:sz w:val="18"/>
          <w:szCs w:val="18"/>
          <w:color w:val="auto"/>
        </w:rPr>
        <w:t>. Except as otherwise set forth in a Company plan or policy, in the event the Employee involuntarily</w:t>
      </w:r>
      <w:r>
        <w:rPr>
          <w:rFonts w:ascii="Arial" w:cs="Arial" w:eastAsia="Arial" w:hAnsi="Arial"/>
          <w:sz w:val="18"/>
          <w:szCs w:val="18"/>
          <w:i w:val="1"/>
          <w:iCs w:val="1"/>
          <w:color w:val="auto"/>
        </w:rPr>
        <w:t xml:space="preserve"> </w:t>
      </w:r>
      <w:r>
        <w:rPr>
          <w:rFonts w:ascii="Arial" w:cs="Arial" w:eastAsia="Arial" w:hAnsi="Arial"/>
          <w:sz w:val="18"/>
          <w:szCs w:val="18"/>
          <w:color w:val="auto"/>
        </w:rPr>
        <w:t>ceases to be an employee of or otherwise provide services to the Employer prior to December 31, 2028 and prior to a Change in Control for any reason other than due to death, Disability, or a termination for Cause, the Employee will remain eligible to vest in a Pro-Rata Amount of the unvested RSUs (and any dividend equivalents with respect thereto); provided that the number of full months in the numerator of the Pro-Rata Amount will be increased by a number equal to the number of months of cash severance the Employee would be entitled to under the Company’s applicable severance plan or policy, but shall in no event be greater than the denominator.. Such Pro-Rata Amount of RSUs, and any dividend equivalents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70"/>
          </w:cols>
          <w:pgMar w:left="490" w:top="585" w:right="339" w:bottom="1440" w:gutter="0" w:footer="0" w:header="0"/>
        </w:sectPr>
      </w:pPr>
    </w:p>
    <w:bookmarkStart w:id="66" w:name="page67"/>
    <w:bookmarkEnd w:id="66"/>
    <w:p>
      <w:pPr>
        <w:ind w:left="8701"/>
        <w:spacing w:after="0"/>
        <w:rPr>
          <w:sz w:val="20"/>
          <w:szCs w:val="20"/>
          <w:color w:val="auto"/>
        </w:rPr>
      </w:pPr>
      <w:r>
        <w:rPr>
          <w:rFonts w:ascii="Times New Roman" w:cs="Times New Roman" w:eastAsia="Times New Roman" w:hAnsi="Times New Roman"/>
          <w:sz w:val="21"/>
          <w:szCs w:val="21"/>
          <w:color w:val="auto"/>
        </w:rPr>
        <w:t>Exhibit 10.6(a)(iii)</w:t>
      </w:r>
    </w:p>
    <w:p>
      <w:pPr>
        <w:spacing w:after="0" w:line="267" w:lineRule="exact"/>
        <w:rPr>
          <w:sz w:val="20"/>
          <w:szCs w:val="20"/>
          <w:color w:val="auto"/>
        </w:rPr>
      </w:pPr>
    </w:p>
    <w:p>
      <w:pPr>
        <w:jc w:val="both"/>
        <w:ind w:left="1"/>
        <w:spacing w:after="0" w:line="257" w:lineRule="auto"/>
        <w:rPr>
          <w:sz w:val="20"/>
          <w:szCs w:val="20"/>
          <w:color w:val="auto"/>
        </w:rPr>
      </w:pPr>
      <w:r>
        <w:rPr>
          <w:rFonts w:ascii="Arial" w:cs="Arial" w:eastAsia="Arial" w:hAnsi="Arial"/>
          <w:sz w:val="18"/>
          <w:szCs w:val="18"/>
          <w:color w:val="auto"/>
        </w:rPr>
        <w:t>respect thereto, shall continue to vest and shall be settled in accordance with Section 2. Notwithstanding the foregoing, the vesting provided here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For the avoidance of doubt, the Employee shall not be eligible to vest in an aggregate number of RSUs that is greater than the number of unvested RSUs shown in the Award Summary.</w:t>
      </w:r>
    </w:p>
    <w:p>
      <w:pPr>
        <w:spacing w:after="0" w:line="128" w:lineRule="exact"/>
        <w:rPr>
          <w:sz w:val="20"/>
          <w:szCs w:val="20"/>
          <w:color w:val="auto"/>
        </w:rPr>
      </w:pPr>
    </w:p>
    <w:p>
      <w:pPr>
        <w:jc w:val="both"/>
        <w:ind w:left="1" w:hanging="1"/>
        <w:spacing w:after="0" w:line="254" w:lineRule="auto"/>
        <w:tabs>
          <w:tab w:leader="none" w:pos="291"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 of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 services to the Employer following a Change in Control for any reason other than a termination for Cause, or voluntarily ceases to be an employee due to a Termination for Good Reason following a Change in Control, then the RSUs covered by this Agreement, and any dividend equivalents with respect thereto, shall immediately vest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w:t>
      </w:r>
    </w:p>
    <w:p>
      <w:pPr>
        <w:spacing w:after="0" w:line="131" w:lineRule="exact"/>
        <w:rPr>
          <w:rFonts w:ascii="Arial" w:cs="Arial" w:eastAsia="Arial" w:hAnsi="Arial"/>
          <w:sz w:val="18"/>
          <w:szCs w:val="18"/>
          <w:color w:val="auto"/>
        </w:rPr>
      </w:pPr>
    </w:p>
    <w:p>
      <w:pPr>
        <w:jc w:val="both"/>
        <w:ind w:left="1" w:hanging="1"/>
        <w:spacing w:after="0" w:line="259" w:lineRule="auto"/>
        <w:tabs>
          <w:tab w:leader="none" w:pos="301"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by reason of death or Disability, the RSUs covered by this Agreement, and any dividend equivalents with respect thereto, shall immediately vest if such termination of employment or services occurs prior to a Change in Control and shall be settled within 60 days following the Vesting Date immediately following such termination in accordance with Section 2, without proration.</w:t>
      </w:r>
    </w:p>
    <w:p>
      <w:pPr>
        <w:spacing w:after="0" w:line="125" w:lineRule="exact"/>
        <w:rPr>
          <w:rFonts w:ascii="Arial" w:cs="Arial" w:eastAsia="Arial" w:hAnsi="Arial"/>
          <w:sz w:val="18"/>
          <w:szCs w:val="18"/>
          <w:color w:val="auto"/>
        </w:rPr>
      </w:pPr>
    </w:p>
    <w:p>
      <w:pPr>
        <w:jc w:val="both"/>
        <w:ind w:left="1" w:hanging="1"/>
        <w:spacing w:after="0" w:line="257" w:lineRule="auto"/>
        <w:tabs>
          <w:tab w:leader="none" w:pos="274"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Qualifying Retirement</w:t>
      </w:r>
      <w:r>
        <w:rPr>
          <w:rFonts w:ascii="Arial" w:cs="Arial" w:eastAsia="Arial" w:hAnsi="Arial"/>
          <w:sz w:val="18"/>
          <w:szCs w:val="18"/>
          <w:color w:val="auto"/>
        </w:rPr>
        <w:t>. In the event of the Employee’s Qualifying Retirement, the RSUs shall continue to vest and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on the schedule set forth in Section 2 of this Agreement; provided that the Employee (A) completes a successful transition of responsibilities (as determined by the Board of Directors of the Company) and cooperates during the remaining vesting period,</w:t>
      </w:r>
    </w:p>
    <w:p>
      <w:pPr>
        <w:spacing w:after="0" w:line="1" w:lineRule="exact"/>
        <w:rPr>
          <w:rFonts w:ascii="Arial" w:cs="Arial" w:eastAsia="Arial" w:hAnsi="Arial"/>
          <w:sz w:val="18"/>
          <w:szCs w:val="18"/>
          <w:color w:val="auto"/>
        </w:rPr>
      </w:pPr>
    </w:p>
    <w:p>
      <w:pPr>
        <w:jc w:val="both"/>
        <w:ind w:left="1"/>
        <w:spacing w:after="0" w:line="253" w:lineRule="auto"/>
        <w:rPr>
          <w:rFonts w:ascii="Arial" w:cs="Arial" w:eastAsia="Arial" w:hAnsi="Arial"/>
          <w:sz w:val="18"/>
          <w:szCs w:val="18"/>
          <w:color w:val="auto"/>
        </w:rPr>
      </w:pPr>
      <w:r>
        <w:rPr>
          <w:rFonts w:ascii="Arial" w:cs="Arial" w:eastAsia="Arial" w:hAnsi="Arial"/>
          <w:sz w:val="18"/>
          <w:szCs w:val="18"/>
          <w:color w:val="auto"/>
        </w:rPr>
        <w:t>(B)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w:t>
      </w:r>
    </w:p>
    <w:p>
      <w:pPr>
        <w:spacing w:after="0" w:line="130" w:lineRule="exact"/>
        <w:rPr>
          <w:rFonts w:ascii="Arial" w:cs="Arial" w:eastAsia="Arial" w:hAnsi="Arial"/>
          <w:sz w:val="18"/>
          <w:szCs w:val="18"/>
          <w:color w:val="auto"/>
        </w:rPr>
      </w:pPr>
    </w:p>
    <w:p>
      <w:pPr>
        <w:jc w:val="both"/>
        <w:ind w:left="1" w:hanging="1"/>
        <w:spacing w:after="0" w:line="262" w:lineRule="auto"/>
        <w:tabs>
          <w:tab w:leader="none" w:pos="301"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due to termination for Cause, the RSUs shall be cancelled and forfeited on the date of such termination of employment or services, in addition to any other rights reserved under the Conduent Incorporated Compensation Recoupment Policy, as may be amended from time to time, or any successor policy.</w:t>
      </w:r>
    </w:p>
    <w:p>
      <w:pPr>
        <w:spacing w:after="0" w:line="122" w:lineRule="exact"/>
        <w:rPr>
          <w:rFonts w:ascii="Arial" w:cs="Arial" w:eastAsia="Arial" w:hAnsi="Arial"/>
          <w:sz w:val="18"/>
          <w:szCs w:val="18"/>
          <w:color w:val="auto"/>
        </w:rPr>
      </w:pPr>
    </w:p>
    <w:p>
      <w:pPr>
        <w:jc w:val="both"/>
        <w:ind w:left="1" w:hanging="1"/>
        <w:spacing w:after="0" w:line="268" w:lineRule="auto"/>
        <w:tabs>
          <w:tab w:leader="none" w:pos="341"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Termination Date</w:t>
      </w:r>
      <w:r>
        <w:rPr>
          <w:rFonts w:ascii="Arial" w:cs="Arial" w:eastAsia="Arial" w:hAnsi="Arial"/>
          <w:sz w:val="18"/>
          <w:szCs w:val="18"/>
          <w:color w:val="auto"/>
        </w:rPr>
        <w:t>. For purposes of this Agreement and the RSUs, the Employee’s employment and / or service relationship</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considered terminated as of the date the Employee is no longer is actively providing services to the Company, the Employer or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81"/>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41"/>
          </w:cols>
          <w:pgMar w:left="1219" w:top="585" w:right="339" w:bottom="1440" w:gutter="0" w:footer="0" w:header="0"/>
        </w:sectPr>
      </w:pPr>
    </w:p>
    <w:bookmarkStart w:id="67" w:name="page68"/>
    <w:bookmarkEnd w:id="67"/>
    <w:p>
      <w:pPr>
        <w:ind w:left="9230"/>
        <w:spacing w:after="0"/>
        <w:rPr>
          <w:sz w:val="20"/>
          <w:szCs w:val="20"/>
          <w:color w:val="auto"/>
        </w:rPr>
      </w:pPr>
      <w:r>
        <w:rPr>
          <w:rFonts w:ascii="Times New Roman" w:cs="Times New Roman" w:eastAsia="Times New Roman" w:hAnsi="Times New Roman"/>
          <w:sz w:val="21"/>
          <w:szCs w:val="21"/>
          <w:color w:val="auto"/>
        </w:rPr>
        <w:t>Exhibit 10.6(a)(iii)</w:t>
      </w:r>
    </w:p>
    <w:p>
      <w:pPr>
        <w:spacing w:after="0" w:line="267" w:lineRule="exact"/>
        <w:rPr>
          <w:sz w:val="20"/>
          <w:szCs w:val="20"/>
          <w:color w:val="auto"/>
        </w:rPr>
      </w:pPr>
    </w:p>
    <w:p>
      <w:pPr>
        <w:jc w:val="both"/>
        <w:ind w:left="530"/>
        <w:spacing w:after="0" w:line="254" w:lineRule="auto"/>
        <w:rPr>
          <w:sz w:val="20"/>
          <w:szCs w:val="20"/>
          <w:color w:val="auto"/>
        </w:rPr>
      </w:pPr>
      <w:r>
        <w:rPr>
          <w:rFonts w:ascii="Arial" w:cs="Arial" w:eastAsia="Arial" w:hAnsi="Arial"/>
          <w:sz w:val="18"/>
          <w:szCs w:val="18"/>
          <w:color w:val="auto"/>
        </w:rPr>
        <w:t>any affiliate (regardless of the reason for such termination and whether or not later found to be invalid or in breach of labor laws in the jurisdiction where the Employee provides services or the terms of the Employee's employment or other service agreement, if any), and unless otherwise determined by the Company, the Employee’s right to vest in the RSUs, if any, will terminate as of such date and, in either case,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the Employee’s period of service would not include any contractual notice period or any period of “garden leave” or similar period mandated under labor laws in the jurisdiction where the Employee provides services or the terms of the Employee's employment or other service agreement, if any). The Committee shall have the exclusive discretion to determine when the Employee no longer is actively providing services for purposes of this Agreement and the RSUs (including whether the Employee still may be considered to be providing services while on a leave of absence) and will make such determination in accordance with the definition of a “separation from service” as such term is defined in Section 409A of the Code.</w:t>
      </w:r>
    </w:p>
    <w:p>
      <w:pPr>
        <w:spacing w:after="0" w:line="131" w:lineRule="exact"/>
        <w:rPr>
          <w:sz w:val="20"/>
          <w:szCs w:val="20"/>
          <w:color w:val="auto"/>
        </w:rPr>
      </w:pPr>
    </w:p>
    <w:p>
      <w:pPr>
        <w:ind w:left="410" w:hanging="410"/>
        <w:spacing w:after="0"/>
        <w:tabs>
          <w:tab w:leader="none" w:pos="41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jc w:val="both"/>
        <w:ind w:left="53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53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53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Data Protection Laws</w:t>
      </w:r>
      <w:r>
        <w:rPr>
          <w:rFonts w:ascii="Arial" w:cs="Arial" w:eastAsia="Arial" w:hAnsi="Arial"/>
          <w:sz w:val="18"/>
          <w:szCs w:val="18"/>
          <w:color w:val="auto"/>
        </w:rPr>
        <w:t>” means all applicable laws and regulations relating to the processing of Personal Data and privacy that may exist in the relevant jurisdictions.</w:t>
      </w:r>
    </w:p>
    <w:p>
      <w:pPr>
        <w:spacing w:after="0" w:line="99" w:lineRule="exact"/>
        <w:rPr>
          <w:sz w:val="20"/>
          <w:szCs w:val="20"/>
          <w:color w:val="auto"/>
        </w:rPr>
      </w:pPr>
    </w:p>
    <w:p>
      <w:pPr>
        <w:jc w:val="both"/>
        <w:ind w:left="5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53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139" w:lineRule="exact"/>
        <w:rPr>
          <w:sz w:val="20"/>
          <w:szCs w:val="20"/>
          <w:color w:val="auto"/>
        </w:rPr>
      </w:pPr>
    </w:p>
    <w:p>
      <w:pPr>
        <w:jc w:val="both"/>
        <w:ind w:left="5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will equal the number of unvested RSUs multiplied by a fraction, the numerator of which is the number of full months elapsed between the previous Vesting Date (or if there is no previous Vesting Date, January 1, 2026) and the date of the Employee’s termination of employment, and the denominator of which is equal to the number of full months elapsed between the previous Vesting Date (or if there is no previous Vesting Date, January 1, 2026) and December 31, 2028.</w:t>
      </w:r>
    </w:p>
    <w:p>
      <w:pPr>
        <w:spacing w:after="0" w:line="122" w:lineRule="exact"/>
        <w:rPr>
          <w:sz w:val="20"/>
          <w:szCs w:val="20"/>
          <w:color w:val="auto"/>
        </w:rPr>
      </w:pPr>
    </w:p>
    <w:p>
      <w:pPr>
        <w:ind w:left="5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the Employee’s employment with or services to the Employer where</w:t>
      </w:r>
    </w:p>
    <w:p>
      <w:pPr>
        <w:spacing w:after="0" w:line="27" w:lineRule="exact"/>
        <w:rPr>
          <w:sz w:val="20"/>
          <w:szCs w:val="20"/>
          <w:color w:val="auto"/>
        </w:rPr>
      </w:pPr>
    </w:p>
    <w:p>
      <w:pPr>
        <w:jc w:val="both"/>
        <w:ind w:left="530" w:hanging="1"/>
        <w:spacing w:after="0" w:line="255" w:lineRule="auto"/>
        <w:tabs>
          <w:tab w:leader="none" w:pos="74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Employee is at least age sixty (60) and has at least five (5) years of service with the Employer or its parents or subsidiaries and (ii) such Employee’s retirement has been agreed to and approved by the Chief Executive Officer of the Company (and, if the Employee is a Section 16 officer of the Company, by the Board of Directors of the Company), who shall have the sole discretion to determine the date of retirement of such Employee.</w:t>
      </w:r>
    </w:p>
    <w:p>
      <w:pPr>
        <w:spacing w:after="0" w:line="128" w:lineRule="exact"/>
        <w:rPr>
          <w:sz w:val="20"/>
          <w:szCs w:val="20"/>
          <w:color w:val="auto"/>
        </w:rPr>
      </w:pPr>
    </w:p>
    <w:p>
      <w:pPr>
        <w:jc w:val="both"/>
        <w:ind w:left="53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70"/>
          </w:cols>
          <w:pgMar w:left="690" w:top="585" w:right="339" w:bottom="1440" w:gutter="0" w:footer="0" w:header="0"/>
        </w:sectPr>
      </w:pPr>
    </w:p>
    <w:bookmarkStart w:id="68" w:name="page69"/>
    <w:bookmarkEnd w:id="68"/>
    <w:p>
      <w:pPr>
        <w:ind w:left="9100"/>
        <w:spacing w:after="0"/>
        <w:rPr>
          <w:sz w:val="20"/>
          <w:szCs w:val="20"/>
          <w:color w:val="auto"/>
        </w:rPr>
      </w:pPr>
      <w:r>
        <w:rPr>
          <w:rFonts w:ascii="Times New Roman" w:cs="Times New Roman" w:eastAsia="Times New Roman" w:hAnsi="Times New Roman"/>
          <w:sz w:val="21"/>
          <w:szCs w:val="21"/>
          <w:color w:val="auto"/>
        </w:rPr>
        <w:t>Exhibit 10.6(a)(iii)</w:t>
      </w:r>
    </w:p>
    <w:p>
      <w:pPr>
        <w:spacing w:after="0" w:line="267" w:lineRule="exact"/>
        <w:rPr>
          <w:sz w:val="20"/>
          <w:szCs w:val="20"/>
          <w:color w:val="auto"/>
        </w:rPr>
      </w:pPr>
    </w:p>
    <w:p>
      <w:pPr>
        <w:jc w:val="both"/>
        <w:ind w:left="400"/>
        <w:spacing w:after="0" w:line="287" w:lineRule="auto"/>
        <w:rPr>
          <w:sz w:val="20"/>
          <w:szCs w:val="20"/>
          <w:color w:val="auto"/>
        </w:rPr>
      </w:pPr>
      <w:r>
        <w:rPr>
          <w:rFonts w:ascii="Arial" w:cs="Arial" w:eastAsia="Arial" w:hAnsi="Arial"/>
          <w:sz w:val="18"/>
          <w:szCs w:val="18"/>
          <w:color w:val="auto"/>
        </w:rPr>
        <w:t>and the Company fails to cure the circumstance(s) within 30 days of receipt of this notice (or the Company notifies the Employee in writing prior to the expiration of such 30-day period that the circumstance(s) will not be cured):</w:t>
      </w:r>
    </w:p>
    <w:p>
      <w:pPr>
        <w:spacing w:after="0" w:line="99" w:lineRule="exact"/>
        <w:rPr>
          <w:sz w:val="20"/>
          <w:szCs w:val="20"/>
          <w:color w:val="auto"/>
        </w:rPr>
      </w:pPr>
    </w:p>
    <w:p>
      <w:pPr>
        <w:ind w:left="800" w:firstLine="4"/>
        <w:spacing w:after="0" w:line="28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800" w:firstLine="4"/>
        <w:spacing w:after="0" w:line="255" w:lineRule="auto"/>
        <w:tabs>
          <w:tab w:leader="none" w:pos="1092"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30" w:lineRule="exact"/>
        <w:rPr>
          <w:rFonts w:ascii="Arial" w:cs="Arial" w:eastAsia="Arial" w:hAnsi="Arial"/>
          <w:sz w:val="18"/>
          <w:szCs w:val="18"/>
          <w:color w:val="auto"/>
        </w:rPr>
      </w:pPr>
    </w:p>
    <w:p>
      <w:pPr>
        <w:jc w:val="both"/>
        <w:ind w:left="800" w:firstLine="4"/>
        <w:spacing w:after="0" w:line="262" w:lineRule="auto"/>
        <w:tabs>
          <w:tab w:leader="none" w:pos="10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w:t>
      </w:r>
    </w:p>
    <w:p>
      <w:pPr>
        <w:spacing w:after="0" w:line="122" w:lineRule="exact"/>
        <w:rPr>
          <w:rFonts w:ascii="Arial" w:cs="Arial" w:eastAsia="Arial" w:hAnsi="Arial"/>
          <w:sz w:val="18"/>
          <w:szCs w:val="18"/>
          <w:color w:val="auto"/>
        </w:rPr>
      </w:pPr>
    </w:p>
    <w:p>
      <w:pPr>
        <w:jc w:val="both"/>
        <w:ind w:left="800" w:firstLine="4"/>
        <w:spacing w:after="0" w:line="256" w:lineRule="auto"/>
        <w:tabs>
          <w:tab w:leader="none" w:pos="110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800" w:firstLine="4"/>
        <w:spacing w:after="0" w:line="287" w:lineRule="auto"/>
        <w:tabs>
          <w:tab w:leader="none" w:pos="108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A termination by the Employee of the Employee’s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380" w:hanging="380"/>
        <w:spacing w:after="0" w:line="257" w:lineRule="auto"/>
        <w:tabs>
          <w:tab w:leader="none" w:pos="58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the RSUs shall vest and be paid as provided in Section 8(a)(ii) above, provided, however, that, in the event the Employee is offered a comparable position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740"/>
          </w:cols>
          <w:pgMar w:left="820" w:top="585" w:right="339" w:bottom="1440" w:gutter="0" w:footer="0" w:header="0"/>
        </w:sectPr>
      </w:pPr>
    </w:p>
    <w:bookmarkStart w:id="69" w:name="page70"/>
    <w:bookmarkEnd w:id="69"/>
    <w:p>
      <w:pPr>
        <w:ind w:left="9430"/>
        <w:spacing w:after="0"/>
        <w:rPr>
          <w:sz w:val="20"/>
          <w:szCs w:val="20"/>
          <w:color w:val="auto"/>
        </w:rPr>
      </w:pPr>
      <w:r>
        <w:rPr>
          <w:rFonts w:ascii="Times New Roman" w:cs="Times New Roman" w:eastAsia="Times New Roman" w:hAnsi="Times New Roman"/>
          <w:sz w:val="21"/>
          <w:szCs w:val="21"/>
          <w:color w:val="auto"/>
        </w:rPr>
        <w:t>Exhibit 10.6(a)(iii)</w:t>
      </w:r>
    </w:p>
    <w:p>
      <w:pPr>
        <w:spacing w:after="0" w:line="267" w:lineRule="exact"/>
        <w:rPr>
          <w:sz w:val="20"/>
          <w:szCs w:val="20"/>
          <w:color w:val="auto"/>
        </w:rPr>
      </w:pPr>
    </w:p>
    <w:p>
      <w:pPr>
        <w:jc w:val="both"/>
        <w:ind w:left="710" w:right="20"/>
        <w:spacing w:after="0" w:line="287" w:lineRule="auto"/>
        <w:rPr>
          <w:sz w:val="20"/>
          <w:szCs w:val="20"/>
          <w:color w:val="auto"/>
        </w:rPr>
      </w:pPr>
      <w:r>
        <w:rPr>
          <w:rFonts w:ascii="Arial" w:cs="Arial" w:eastAsia="Arial" w:hAnsi="Arial"/>
          <w:sz w:val="18"/>
          <w:szCs w:val="18"/>
          <w:color w:val="auto"/>
        </w:rPr>
        <w:t>the acquirer of such line of business and does not accept such offer, the RSUs shall be cancelled and forfeited on the date of termination of employment or services.</w:t>
      </w:r>
    </w:p>
    <w:p>
      <w:pPr>
        <w:spacing w:after="0" w:line="99" w:lineRule="exact"/>
        <w:rPr>
          <w:sz w:val="20"/>
          <w:szCs w:val="20"/>
          <w:color w:val="auto"/>
        </w:rPr>
      </w:pPr>
    </w:p>
    <w:p>
      <w:pPr>
        <w:jc w:val="both"/>
        <w:ind w:left="10" w:hanging="10"/>
        <w:spacing w:after="0" w:line="256" w:lineRule="auto"/>
        <w:tabs>
          <w:tab w:leader="none" w:pos="38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RSUs or the issue or purchase of shares of Common Stock hereunder, the certificates for shares of Common Stock may not be issued in respect of 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RSUs.</w:t>
      </w:r>
    </w:p>
    <w:p>
      <w:pPr>
        <w:spacing w:after="0" w:line="128" w:lineRule="exact"/>
        <w:rPr>
          <w:rFonts w:ascii="Arial" w:cs="Arial" w:eastAsia="Arial" w:hAnsi="Arial"/>
          <w:sz w:val="18"/>
          <w:szCs w:val="18"/>
          <w:color w:val="auto"/>
        </w:rPr>
      </w:pPr>
    </w:p>
    <w:p>
      <w:pPr>
        <w:ind w:left="450" w:hanging="450"/>
        <w:spacing w:after="0"/>
        <w:tabs>
          <w:tab w:leader="none" w:pos="45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710" w:hanging="380"/>
        <w:spacing w:after="0" w:line="253" w:lineRule="auto"/>
        <w:tabs>
          <w:tab w:leader="none" w:pos="776"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Employee acknowledges and agrees that, regardless of any action taken by the Company or, if different, the Employer, the ultimate liability for all income tax, social insurance, payroll tax, fringe benefits tax, payment on account or other tax-related items related to the Employee’s participation in the Plan and legally applicable or deemed applicable to the Employee (“</w:t>
      </w:r>
      <w:r>
        <w:rPr>
          <w:rFonts w:ascii="Arial" w:cs="Arial" w:eastAsia="Arial" w:hAnsi="Arial"/>
          <w:sz w:val="18"/>
          <w:szCs w:val="18"/>
          <w:b w:val="1"/>
          <w:bCs w:val="1"/>
          <w:i w:val="1"/>
          <w:iCs w:val="1"/>
          <w:color w:val="auto"/>
        </w:rPr>
        <w:t>Tax-Related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Items</w:t>
      </w:r>
      <w:r>
        <w:rPr>
          <w:rFonts w:ascii="Arial" w:cs="Arial" w:eastAsia="Arial" w:hAnsi="Arial"/>
          <w:sz w:val="18"/>
          <w:szCs w:val="18"/>
          <w:color w:val="auto"/>
        </w:rPr>
        <w:t>”) is and remains the Employee’s responsibility and may exceed the amount, if any, actually withheld by the Company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The Employee further acknowledges that the Company and/or the Employer (i) make no representations or undertakings regarding the treatment of any Tax-Related Items in connection with any aspect of the RSUs or the underlying shares of Common Stock, including, but not limited to, the grant, vesting or settlement of the RSUs, the subsequent sale of shares of Common Stock acquired upon the settlement of the RSUs and the receipt of any dividends; and (ii) do not commit to and are under no obligation to structure the terms of the grant or any aspect of the RSUs to reduce or eliminate the Employee’s liability for Tax-Related Items or to achieve any particular tax result. Further, if the Employee is subject to Tax-Related Items in more than one jurisdiction, the Employee acknowledges that the Company and/or the Employer (or former employer, as applicable) may be required to withhold or account for Tax-Related Items in more than one jurisdiction.</w:t>
      </w:r>
    </w:p>
    <w:p>
      <w:pPr>
        <w:spacing w:after="0" w:line="135" w:lineRule="exact"/>
        <w:rPr>
          <w:rFonts w:ascii="Arial" w:cs="Arial" w:eastAsia="Arial" w:hAnsi="Arial"/>
          <w:sz w:val="18"/>
          <w:szCs w:val="18"/>
          <w:color w:val="auto"/>
        </w:rPr>
      </w:pPr>
    </w:p>
    <w:p>
      <w:pPr>
        <w:jc w:val="both"/>
        <w:ind w:left="710" w:hanging="380"/>
        <w:spacing w:after="0" w:line="253" w:lineRule="auto"/>
        <w:tabs>
          <w:tab w:leader="none" w:pos="849" w:val="left"/>
        </w:tabs>
        <w:numPr>
          <w:ilvl w:val="1"/>
          <w:numId w:val="94"/>
        </w:numPr>
        <w:rPr>
          <w:rFonts w:ascii="Arial" w:cs="Arial" w:eastAsia="Arial" w:hAnsi="Arial"/>
          <w:sz w:val="18"/>
          <w:szCs w:val="18"/>
          <w:color w:val="auto"/>
        </w:rPr>
      </w:pPr>
      <w:r>
        <w:rPr>
          <w:rFonts w:ascii="Arial" w:cs="Arial" w:eastAsia="Arial" w:hAnsi="Arial"/>
          <w:sz w:val="18"/>
          <w:szCs w:val="18"/>
          <w:color w:val="auto"/>
        </w:rPr>
        <w:t>Prior to the relevant taxable or tax withholding event, as applicable, the Employee agrees to make adequate arrangements satisfactory to the Company and/or the Employer to satisfy all Tax-Related Items. In this regard, the Employee authorizes the Company and/or the Employer, or their respective agents, at their discretion, to satisfy any applicable withholding obligations with regard to all Tax-Related Items by one or a combination of the following: (i) requiring the Employee to make a payment in a form acceptable to the Company, (ii) withholding from the Employee’s wages or other compensation payable to the Employee, (iii) withholding from proceeds of the sale of the shares of Common Stock acquired upon the settlement of the RSUs either through a voluntary sale or through a mandatory sale arranged by the Company (on the Employee’s behalf pursuant to this authorization without further consent), (iv) withholding from the shares of Common Stock otherwise issuable at vesting of the RSUs, provided, however, that if the Employee is subject to the reporting and other provisions of Section 16 of the Exchange Act, the Company shall affirmatively approve, by Board action, any such withholding of shares of Common Stock as contemplated in the immediately preceding proviso, or (v) any other method of withholding determined by the Company and, to the extent required by applicable law or the Plan, approved by the Committee.</w:t>
      </w:r>
    </w:p>
    <w:p>
      <w:pPr>
        <w:spacing w:after="0" w:line="135" w:lineRule="exact"/>
        <w:rPr>
          <w:rFonts w:ascii="Arial" w:cs="Arial" w:eastAsia="Arial" w:hAnsi="Arial"/>
          <w:sz w:val="18"/>
          <w:szCs w:val="18"/>
          <w:color w:val="auto"/>
        </w:rPr>
      </w:pPr>
    </w:p>
    <w:p>
      <w:pPr>
        <w:jc w:val="both"/>
        <w:ind w:left="710" w:hanging="380"/>
        <w:spacing w:after="0" w:line="287" w:lineRule="auto"/>
        <w:tabs>
          <w:tab w:leader="none" w:pos="769"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Company and/or the Employer may withhold or account for Tax-Related Items by considering statutory withholding rates or other withholding rates, including maximum rates applicable in the Employee’s jurisdiction(s). In the event of over-withholding,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70"/>
          </w:cols>
          <w:pgMar w:left="490" w:top="585" w:right="339" w:bottom="1440" w:gutter="0" w:footer="0" w:header="0"/>
        </w:sectPr>
      </w:pPr>
    </w:p>
    <w:bookmarkStart w:id="70" w:name="page71"/>
    <w:bookmarkEnd w:id="70"/>
    <w:p>
      <w:pPr>
        <w:ind w:left="9430"/>
        <w:spacing w:after="0"/>
        <w:rPr>
          <w:sz w:val="20"/>
          <w:szCs w:val="20"/>
          <w:color w:val="auto"/>
        </w:rPr>
      </w:pPr>
      <w:r>
        <w:rPr>
          <w:rFonts w:ascii="Times New Roman" w:cs="Times New Roman" w:eastAsia="Times New Roman" w:hAnsi="Times New Roman"/>
          <w:sz w:val="21"/>
          <w:szCs w:val="21"/>
          <w:color w:val="auto"/>
        </w:rPr>
        <w:t>Exhibit 10.6(a)(iii)</w:t>
      </w:r>
    </w:p>
    <w:p>
      <w:pPr>
        <w:spacing w:after="0" w:line="267" w:lineRule="exact"/>
        <w:rPr>
          <w:sz w:val="20"/>
          <w:szCs w:val="20"/>
          <w:color w:val="auto"/>
        </w:rPr>
      </w:pPr>
    </w:p>
    <w:p>
      <w:pPr>
        <w:jc w:val="both"/>
        <w:ind w:left="710"/>
        <w:spacing w:after="0" w:line="256" w:lineRule="auto"/>
        <w:rPr>
          <w:sz w:val="20"/>
          <w:szCs w:val="20"/>
          <w:color w:val="auto"/>
        </w:rPr>
      </w:pPr>
      <w:r>
        <w:rPr>
          <w:rFonts w:ascii="Arial" w:cs="Arial" w:eastAsia="Arial" w:hAnsi="Arial"/>
          <w:sz w:val="18"/>
          <w:szCs w:val="18"/>
          <w:color w:val="auto"/>
        </w:rPr>
        <w:t>Employee may receive a refund of any over-withheld amount in cash (with no entitlement to the equivalent in shares of Common Stock) or, if not refunded, the Employee may seek a refund from the local tax authorities. In the event of under-withholding, the Employee may be required to pay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subject to the vested RSUs, notwithstanding that a number of the shares of Common Stock is held back solely for the purpose of paying the Tax-Related Items.</w:t>
      </w:r>
    </w:p>
    <w:p>
      <w:pPr>
        <w:spacing w:after="0" w:line="129" w:lineRule="exact"/>
        <w:rPr>
          <w:sz w:val="20"/>
          <w:szCs w:val="20"/>
          <w:color w:val="auto"/>
        </w:rPr>
      </w:pPr>
    </w:p>
    <w:p>
      <w:pPr>
        <w:jc w:val="both"/>
        <w:ind w:left="710" w:hanging="380"/>
        <w:spacing w:after="0" w:line="259" w:lineRule="auto"/>
        <w:tabs>
          <w:tab w:leader="none" w:pos="855"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Employee agrees to pay to the Company or the Employer any amount of Tax-Related Items that the Company or the Employer may be required to withhold or account for as a result of the Employe’s participation in the Plan that cannot be satisfied by the means previously described. The Company may refuse to issue or deliver the shares of Common Stock or the proceeds of the sale of the shares of Common Stock acquired upon the vesting of the RSUs, if the Employee fails to comply with the Employee's obligations in connection with the Tax-Related Items.</w:t>
      </w:r>
    </w:p>
    <w:p>
      <w:pPr>
        <w:spacing w:after="0" w:line="200" w:lineRule="exact"/>
        <w:rPr>
          <w:rFonts w:ascii="Arial" w:cs="Arial" w:eastAsia="Arial" w:hAnsi="Arial"/>
          <w:sz w:val="18"/>
          <w:szCs w:val="18"/>
          <w:color w:val="auto"/>
        </w:rPr>
      </w:pPr>
    </w:p>
    <w:p>
      <w:pPr>
        <w:spacing w:after="0" w:line="330" w:lineRule="exact"/>
        <w:rPr>
          <w:rFonts w:ascii="Arial" w:cs="Arial" w:eastAsia="Arial" w:hAnsi="Arial"/>
          <w:sz w:val="18"/>
          <w:szCs w:val="18"/>
          <w:color w:val="auto"/>
        </w:rPr>
      </w:pPr>
    </w:p>
    <w:p>
      <w:pPr>
        <w:ind w:left="430" w:hanging="430"/>
        <w:spacing w:after="0"/>
        <w:tabs>
          <w:tab w:leader="none" w:pos="43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630" w:hanging="391"/>
        <w:spacing w:after="0" w:line="268" w:lineRule="auto"/>
        <w:tabs>
          <w:tab w:leader="none" w:pos="71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RSUs are subject to modification and adjustment under Section 9(c) of the Plan.</w:t>
      </w:r>
    </w:p>
    <w:p>
      <w:pPr>
        <w:spacing w:after="0" w:line="116" w:lineRule="exact"/>
        <w:rPr>
          <w:rFonts w:ascii="Arial" w:cs="Arial" w:eastAsia="Arial" w:hAnsi="Arial"/>
          <w:sz w:val="18"/>
          <w:szCs w:val="18"/>
          <w:color w:val="auto"/>
        </w:rPr>
      </w:pPr>
    </w:p>
    <w:p>
      <w:pPr>
        <w:ind w:left="250" w:firstLine="74"/>
        <w:spacing w:after="0" w:line="287" w:lineRule="auto"/>
        <w:tabs>
          <w:tab w:leader="none" w:pos="1131"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award of the RSUs is voluntary and occasional and does not create any contractual or other right to receive future grants of RSUs, or benefits in lieu of RSUs, even if RSUs have been granted repeatedly in the past;</w:t>
      </w:r>
    </w:p>
    <w:p>
      <w:pPr>
        <w:spacing w:after="0" w:line="98" w:lineRule="exact"/>
        <w:rPr>
          <w:rFonts w:ascii="Arial" w:cs="Arial" w:eastAsia="Arial" w:hAnsi="Arial"/>
          <w:sz w:val="18"/>
          <w:szCs w:val="18"/>
          <w:color w:val="auto"/>
        </w:rPr>
      </w:pPr>
    </w:p>
    <w:p>
      <w:pPr>
        <w:ind w:left="250" w:right="20" w:firstLine="74"/>
        <w:spacing w:after="0" w:line="287" w:lineRule="auto"/>
        <w:tabs>
          <w:tab w:leader="none" w:pos="1131" w:val="left"/>
        </w:tabs>
        <w:numPr>
          <w:ilvl w:val="2"/>
          <w:numId w:val="96"/>
        </w:numPr>
        <w:rPr>
          <w:rFonts w:ascii="Arial" w:cs="Arial" w:eastAsia="Arial" w:hAnsi="Arial"/>
          <w:sz w:val="18"/>
          <w:szCs w:val="18"/>
          <w:color w:val="auto"/>
        </w:rPr>
      </w:pPr>
      <w:r>
        <w:rPr>
          <w:rFonts w:ascii="Arial" w:cs="Arial" w:eastAsia="Arial" w:hAnsi="Arial"/>
          <w:sz w:val="18"/>
          <w:szCs w:val="18"/>
          <w:color w:val="auto"/>
        </w:rPr>
        <w:t>all decisions with respect to future 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250" w:firstLine="74"/>
        <w:spacing w:after="0" w:line="268" w:lineRule="auto"/>
        <w:tabs>
          <w:tab w:leader="none" w:pos="1135"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1130" w:hanging="806"/>
        <w:spacing w:after="0"/>
        <w:tabs>
          <w:tab w:leader="none" w:pos="113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250" w:firstLine="74"/>
        <w:spacing w:after="0" w:line="268" w:lineRule="auto"/>
        <w:tabs>
          <w:tab w:leader="none" w:pos="1131"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250" w:firstLine="74"/>
        <w:spacing w:after="0" w:line="287" w:lineRule="auto"/>
        <w:tabs>
          <w:tab w:leader="none" w:pos="1135"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intended to replace any pension rights or compensation;</w:t>
      </w:r>
    </w:p>
    <w:p>
      <w:pPr>
        <w:spacing w:after="0" w:line="98" w:lineRule="exact"/>
        <w:rPr>
          <w:rFonts w:ascii="Arial" w:cs="Arial" w:eastAsia="Arial" w:hAnsi="Arial"/>
          <w:sz w:val="18"/>
          <w:szCs w:val="18"/>
          <w:color w:val="auto"/>
        </w:rPr>
      </w:pPr>
    </w:p>
    <w:p>
      <w:pPr>
        <w:jc w:val="both"/>
        <w:ind w:left="250" w:firstLine="74"/>
        <w:spacing w:after="0" w:line="262" w:lineRule="auto"/>
        <w:tabs>
          <w:tab w:leader="none" w:pos="1131"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70"/>
          </w:cols>
          <w:pgMar w:left="490" w:top="585"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color w:val="auto"/>
        </w:rPr>
        <w:t>Exhibit 10.6(a)(iii)</w:t>
      </w:r>
    </w:p>
    <w:p>
      <w:pPr>
        <w:spacing w:after="0" w:line="255" w:lineRule="exact"/>
        <w:rPr>
          <w:sz w:val="20"/>
          <w:szCs w:val="20"/>
          <w:color w:val="auto"/>
        </w:rPr>
      </w:pPr>
    </w:p>
    <w:p>
      <w:pPr>
        <w:ind w:left="1130" w:hanging="806"/>
        <w:spacing w:after="0"/>
        <w:tabs>
          <w:tab w:leader="none" w:pos="113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sz w:val="20"/>
          <w:szCs w:val="20"/>
          <w:color w:val="auto"/>
        </w:rPr>
      </w:pPr>
    </w:p>
    <w:p>
      <w:pPr>
        <w:jc w:val="both"/>
        <w:ind w:left="250" w:firstLine="81"/>
        <w:spacing w:after="0" w:line="255" w:lineRule="auto"/>
        <w:rPr>
          <w:sz w:val="20"/>
          <w:szCs w:val="20"/>
          <w:color w:val="auto"/>
        </w:rPr>
      </w:pPr>
      <w:r>
        <w:rPr>
          <w:rFonts w:ascii="Arial" w:cs="Arial" w:eastAsia="Arial" w:hAnsi="Arial"/>
          <w:sz w:val="18"/>
          <w:szCs w:val="18"/>
          <w:color w:val="auto"/>
        </w:rPr>
        <w:t>(i)in consideration of the award of the RSUs, no claim or entitlement to compensation or damages shall arise from forfeiture of the RSUs, including, but not limited to,(i) forfeiture resulting from termination of the Employee’s employment with or services to the Employer (for any reason whatsoever and whether or not in breach of local labor laws) or (ii) forfeiture of the RSUs or the recoupment of any shares of Common Stock or other benefits or payments acquired under the Plan resulting from the application of any recoupment or clawback policy or provision required by the Company or any recovery or clawback otherwise required by law, as further described in Section 16. The Employee irrevocably releases the Company and the Employer from any such claim that may arise; if, notwithstanding the foregoing, any such claim is found by a court of competent jurisdiction to have arisen, the Employee shall be deemed irrevocably to have waived the Employee’s entitlement to pursue such claim; and</w:t>
      </w:r>
    </w:p>
    <w:p>
      <w:pPr>
        <w:spacing w:after="0" w:line="131" w:lineRule="exact"/>
        <w:rPr>
          <w:sz w:val="20"/>
          <w:szCs w:val="20"/>
          <w:color w:val="auto"/>
        </w:rPr>
      </w:pPr>
    </w:p>
    <w:p>
      <w:pPr>
        <w:jc w:val="both"/>
        <w:ind w:left="250" w:firstLine="81"/>
        <w:spacing w:after="0" w:line="287" w:lineRule="auto"/>
        <w:rPr>
          <w:sz w:val="20"/>
          <w:szCs w:val="20"/>
          <w:color w:val="auto"/>
        </w:rPr>
      </w:pPr>
      <w:r>
        <w:rPr>
          <w:rFonts w:ascii="Arial" w:cs="Arial" w:eastAsia="Arial" w:hAnsi="Arial"/>
          <w:sz w:val="18"/>
          <w:szCs w:val="18"/>
          <w:color w:val="auto"/>
        </w:rPr>
        <w:t>(j)subject to the provisions in the Plan regarding Change in Control, RSUs and the benefits under the Plan, if any, will not automatically transfer to another company in the case of a merger, take-over or transfer of liability.</w:t>
      </w:r>
    </w:p>
    <w:p>
      <w:pPr>
        <w:spacing w:after="0" w:line="99" w:lineRule="exact"/>
        <w:rPr>
          <w:sz w:val="20"/>
          <w:szCs w:val="20"/>
          <w:color w:val="auto"/>
        </w:rPr>
      </w:pPr>
    </w:p>
    <w:p>
      <w:pPr>
        <w:jc w:val="both"/>
        <w:ind w:left="10" w:hanging="10"/>
        <w:spacing w:after="0" w:line="262" w:lineRule="auto"/>
        <w:tabs>
          <w:tab w:leader="none" w:pos="58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the Employee’s acquisition or sale of the underlying shares of Common Stock. The Employee is hereby advised to consult with the Employee’s own personal tax, legal and financial advisors regarding the Employee’s participation in the Plan before taking any action related to the Plan.</w:t>
      </w:r>
    </w:p>
    <w:p>
      <w:pPr>
        <w:spacing w:after="0" w:line="122" w:lineRule="exact"/>
        <w:rPr>
          <w:rFonts w:ascii="Arial" w:cs="Arial" w:eastAsia="Arial" w:hAnsi="Arial"/>
          <w:sz w:val="18"/>
          <w:szCs w:val="18"/>
          <w:color w:val="auto"/>
        </w:rPr>
      </w:pPr>
    </w:p>
    <w:p>
      <w:pPr>
        <w:jc w:val="both"/>
        <w:ind w:left="10" w:hanging="10"/>
        <w:spacing w:after="0" w:line="253"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shares of Common Stock issuable upon settlement of the RSUs prior to the completion of any registration or qualification of the Common Stock under any U.S. or non-U.S. local, state or federal securities or other applicable law or under rulings or regulations of the U.S.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of any other U.S. or non-U.S. governmental regulatory body, or prior to obtaining any approval or other clearance from any U.S. or non-U.S. local, state or federal governmental agency, which registration, qualification or approval the Company shall, in its absolute discretion, deem necessary or advisable. The Employee understands that the Company is under no obligation to register or qualify the shares of Common Stock subject to the RSUs with the SEC or any U.S. state or non-U.S. securities commission or to seek approval or clearance from any governmental authority for the issuance or sale of the Common Stock. Further, the Employee agrees that the Company shall have unilateral authority to amend the Plan and this Agreement without the Employee’s consent to the extent necessary to comply with securities or other laws applicable to the issuance of the shares of Common Stock.</w:t>
      </w:r>
    </w:p>
    <w:p>
      <w:pPr>
        <w:spacing w:after="0" w:line="135" w:lineRule="exact"/>
        <w:rPr>
          <w:rFonts w:ascii="Arial" w:cs="Arial" w:eastAsia="Arial" w:hAnsi="Arial"/>
          <w:sz w:val="18"/>
          <w:szCs w:val="18"/>
          <w:color w:val="auto"/>
        </w:rPr>
      </w:pPr>
    </w:p>
    <w:p>
      <w:pPr>
        <w:jc w:val="both"/>
        <w:ind w:left="10" w:hanging="10"/>
        <w:spacing w:after="0" w:line="268"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The Committee or its authorized delegate, as applicable, may amend this Agreement in a manner not inconsistent with the Plan; provided, however, no such amendment will materially impair the rights of the Employee without his or her consent.</w:t>
      </w:r>
    </w:p>
    <w:p>
      <w:pPr>
        <w:spacing w:after="0" w:line="116" w:lineRule="exact"/>
        <w:rPr>
          <w:rFonts w:ascii="Arial" w:cs="Arial" w:eastAsia="Arial" w:hAnsi="Arial"/>
          <w:sz w:val="18"/>
          <w:szCs w:val="18"/>
          <w:color w:val="auto"/>
        </w:rPr>
      </w:pPr>
    </w:p>
    <w:p>
      <w:pPr>
        <w:jc w:val="both"/>
        <w:ind w:left="10" w:hanging="4"/>
        <w:spacing w:after="0" w:line="265" w:lineRule="auto"/>
        <w:tabs>
          <w:tab w:leader="none" w:pos="48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Except where otherwise prohibited under applicable law (including but not limited to California), by executing this Agreement and accepting the RSUs and the delivery of any shares of Common Stock hereunder, the Employee expressly acknowledges and agrees to be bound by and to comply with all of the terms and conditions contained in the Non-Competition and Non-Solicitation Agreement set forth as Exhibit A to this Agreement and incorporated herein by reference (“</w:t>
      </w:r>
      <w:r>
        <w:rPr>
          <w:rFonts w:ascii="Arial" w:cs="Arial" w:eastAsia="Arial" w:hAnsi="Arial"/>
          <w:sz w:val="18"/>
          <w:szCs w:val="18"/>
          <w:b w:val="1"/>
          <w:bCs w:val="1"/>
          <w:i w:val="1"/>
          <w:iCs w:val="1"/>
          <w:color w:val="auto"/>
        </w:rPr>
        <w:t>Restrictive Covenants</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jc w:val="both"/>
        <w:ind w:left="10" w:hanging="10"/>
        <w:spacing w:after="0" w:line="268" w:lineRule="auto"/>
        <w:tabs>
          <w:tab w:leader="none" w:pos="48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This Award shall be subject to (i) the Conduent Incorporated Compensation Recoupment Policy, as may be amended from time to time, or any successor policy, and (ii) any other compensation recovery policy adopted after the RSUs are granted to facilitate compliance with applicable law, including in response to the requirements of Section 10D of the Exchange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70"/>
          </w:cols>
          <w:pgMar w:left="490" w:top="585" w:right="339" w:bottom="1440" w:gutter="0" w:footer="0" w:header="0"/>
        </w:sectPr>
      </w:pPr>
    </w:p>
    <w:bookmarkStart w:id="72" w:name="page73"/>
    <w:bookmarkEnd w:id="72"/>
    <w:p>
      <w:pPr>
        <w:ind w:left="9430"/>
        <w:spacing w:after="0"/>
        <w:rPr>
          <w:sz w:val="20"/>
          <w:szCs w:val="20"/>
          <w:color w:val="auto"/>
        </w:rPr>
      </w:pPr>
      <w:r>
        <w:rPr>
          <w:rFonts w:ascii="Times New Roman" w:cs="Times New Roman" w:eastAsia="Times New Roman" w:hAnsi="Times New Roman"/>
          <w:sz w:val="21"/>
          <w:szCs w:val="21"/>
          <w:color w:val="auto"/>
        </w:rPr>
        <w:t>Exhibit 10.6(a)(iii)</w:t>
      </w:r>
    </w:p>
    <w:p>
      <w:pPr>
        <w:spacing w:after="0" w:line="26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Act, the U.S. Securities and Exchange Commission’s final rules thereunder, and any applicable listing rules or other rules and regulations implementing the foregoing.</w:t>
      </w:r>
    </w:p>
    <w:p>
      <w:pPr>
        <w:spacing w:after="0" w:line="99"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For purposes of this Section 16, the Employee expressly and explicitly authorizes the Company to issue instructions, on the Employee's behalf, to any brokerage firm and/or third party administrator engaged by the Company to hold any shares of Common Stock and other amounts acquired pursuant to the RSUs to re-convey, transfer or otherwise return such shares of Common Stock and/or other amounts to the Company upon the Company’s enforcement of the Company’s recoupment policy, the Company’s clawback policy, if any, and any other compensation recovery policy adopted by the Board or the Committee.</w:t>
      </w:r>
    </w:p>
    <w:p>
      <w:pPr>
        <w:spacing w:after="0" w:line="125" w:lineRule="exact"/>
        <w:rPr>
          <w:sz w:val="20"/>
          <w:szCs w:val="20"/>
          <w:color w:val="auto"/>
        </w:rPr>
      </w:pPr>
    </w:p>
    <w:p>
      <w:pPr>
        <w:ind w:left="10" w:hanging="10"/>
        <w:spacing w:after="0" w:line="287" w:lineRule="auto"/>
        <w:tabs>
          <w:tab w:leader="none" w:pos="55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16,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jc w:val="both"/>
        <w:ind w:left="630" w:hanging="173"/>
        <w:spacing w:after="0" w:line="268" w:lineRule="auto"/>
        <w:tabs>
          <w:tab w:leader="none" w:pos="89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116" w:lineRule="exact"/>
        <w:rPr>
          <w:rFonts w:ascii="Arial" w:cs="Arial" w:eastAsia="Arial" w:hAnsi="Arial"/>
          <w:sz w:val="18"/>
          <w:szCs w:val="18"/>
          <w:color w:val="auto"/>
        </w:rPr>
      </w:pPr>
    </w:p>
    <w:p>
      <w:pPr>
        <w:jc w:val="both"/>
        <w:ind w:left="630" w:hanging="166"/>
        <w:spacing w:after="0" w:line="262" w:lineRule="auto"/>
        <w:tabs>
          <w:tab w:leader="none" w:pos="908"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22" w:lineRule="exact"/>
        <w:rPr>
          <w:sz w:val="20"/>
          <w:szCs w:val="20"/>
          <w:color w:val="auto"/>
        </w:rPr>
      </w:pPr>
    </w:p>
    <w:p>
      <w:pPr>
        <w:jc w:val="both"/>
        <w:ind w:left="630" w:firstLine="154"/>
        <w:spacing w:after="0" w:line="257" w:lineRule="auto"/>
        <w:rPr>
          <w:sz w:val="20"/>
          <w:szCs w:val="20"/>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the Employee has made such report or disclosure, or of the Employee’s participation in an agency investigation or proceeding.</w:t>
      </w:r>
    </w:p>
    <w:p>
      <w:pPr>
        <w:spacing w:after="0" w:line="128" w:lineRule="exact"/>
        <w:rPr>
          <w:sz w:val="20"/>
          <w:szCs w:val="20"/>
          <w:color w:val="auto"/>
        </w:rPr>
      </w:pPr>
    </w:p>
    <w:p>
      <w:pPr>
        <w:jc w:val="both"/>
        <w:ind w:left="630" w:hanging="43"/>
        <w:spacing w:after="0" w:line="259" w:lineRule="auto"/>
        <w:tabs>
          <w:tab w:leader="none" w:pos="1142"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 necessary to enable the Employer to secure a patent where appropriate in the United States and in foreign countries.</w:t>
      </w:r>
    </w:p>
    <w:p>
      <w:pPr>
        <w:spacing w:after="0" w:line="125" w:lineRule="exact"/>
        <w:rPr>
          <w:rFonts w:ascii="Arial" w:cs="Arial" w:eastAsia="Arial" w:hAnsi="Arial"/>
          <w:sz w:val="18"/>
          <w:szCs w:val="18"/>
          <w:color w:val="auto"/>
        </w:rPr>
      </w:pPr>
    </w:p>
    <w:p>
      <w:pPr>
        <w:jc w:val="both"/>
        <w:ind w:left="630" w:hanging="187"/>
        <w:spacing w:after="0" w:line="256" w:lineRule="auto"/>
        <w:tabs>
          <w:tab w:leader="none" w:pos="86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17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ind w:left="10" w:right="20" w:hanging="10"/>
        <w:spacing w:after="0" w:line="287"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585" w:right="339" w:bottom="1440" w:gutter="0" w:footer="0" w:header="0"/>
        </w:sectPr>
      </w:pPr>
    </w:p>
    <w:bookmarkStart w:id="73" w:name="page74"/>
    <w:bookmarkEnd w:id="73"/>
    <w:p>
      <w:pPr>
        <w:ind w:left="9430"/>
        <w:spacing w:after="0"/>
        <w:rPr>
          <w:sz w:val="20"/>
          <w:szCs w:val="20"/>
          <w:color w:val="auto"/>
        </w:rPr>
      </w:pPr>
      <w:r>
        <w:rPr>
          <w:rFonts w:ascii="Times New Roman" w:cs="Times New Roman" w:eastAsia="Times New Roman" w:hAnsi="Times New Roman"/>
          <w:sz w:val="21"/>
          <w:szCs w:val="21"/>
          <w:color w:val="auto"/>
        </w:rPr>
        <w:t>Exhibit 10.6(a)(iii)</w:t>
      </w:r>
    </w:p>
    <w:p>
      <w:pPr>
        <w:spacing w:after="0" w:line="267" w:lineRule="exact"/>
        <w:rPr>
          <w:sz w:val="20"/>
          <w:szCs w:val="20"/>
          <w:color w:val="auto"/>
        </w:rPr>
      </w:pPr>
    </w:p>
    <w:p>
      <w:pPr>
        <w:jc w:val="both"/>
        <w:ind w:left="10"/>
        <w:spacing w:after="0" w:line="287" w:lineRule="auto"/>
        <w:rPr>
          <w:sz w:val="20"/>
          <w:szCs w:val="20"/>
          <w:color w:val="auto"/>
        </w:rPr>
      </w:pPr>
      <w:r>
        <w:rPr>
          <w:rFonts w:ascii="Arial" w:cs="Arial" w:eastAsia="Arial" w:hAnsi="Arial"/>
          <w:sz w:val="18"/>
          <w:szCs w:val="18"/>
          <w:color w:val="auto"/>
        </w:rPr>
        <w:t>attention of Stock Plan Administrator, and if to the Employee shall be delivered personally or mailed to the Employee at his address as the same appears on the records of the Company.</w:t>
      </w:r>
    </w:p>
    <w:p>
      <w:pPr>
        <w:spacing w:after="0" w:line="99" w:lineRule="exact"/>
        <w:rPr>
          <w:sz w:val="20"/>
          <w:szCs w:val="20"/>
          <w:color w:val="auto"/>
        </w:rPr>
      </w:pPr>
    </w:p>
    <w:p>
      <w:pPr>
        <w:ind w:left="10" w:hanging="10"/>
        <w:spacing w:after="0" w:line="287" w:lineRule="auto"/>
        <w:tabs>
          <w:tab w:leader="none" w:pos="48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98" w:lineRule="exact"/>
        <w:rPr>
          <w:rFonts w:ascii="Arial" w:cs="Arial" w:eastAsia="Arial" w:hAnsi="Arial"/>
          <w:sz w:val="18"/>
          <w:szCs w:val="18"/>
          <w:color w:val="auto"/>
        </w:rPr>
      </w:pPr>
    </w:p>
    <w:p>
      <w:pPr>
        <w:jc w:val="both"/>
        <w:ind w:left="10" w:hanging="10"/>
        <w:spacing w:after="0" w:line="259" w:lineRule="auto"/>
        <w:tabs>
          <w:tab w:leader="none" w:pos="47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5" w:lineRule="exact"/>
        <w:rPr>
          <w:rFonts w:ascii="Arial" w:cs="Arial" w:eastAsia="Arial" w:hAnsi="Arial"/>
          <w:sz w:val="18"/>
          <w:szCs w:val="18"/>
          <w:color w:val="auto"/>
        </w:rPr>
      </w:pPr>
    </w:p>
    <w:p>
      <w:pPr>
        <w:jc w:val="both"/>
        <w:ind w:left="10" w:hanging="10"/>
        <w:spacing w:after="0" w:line="257" w:lineRule="auto"/>
        <w:tabs>
          <w:tab w:leader="none" w:pos="51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10" w:hanging="10"/>
        <w:spacing w:after="0" w:line="287"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10" w:hanging="10"/>
        <w:spacing w:after="0" w:line="255" w:lineRule="auto"/>
        <w:tabs>
          <w:tab w:leader="none" w:pos="58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any actions taken under or relating to this Agreement, and any disputes arising out of or related to this Agreement, shall be governed by and construed in accordance with the laws of the United States and the laws of the State of Delaware without giving effect to any choice or conflict of law provision or rule (whether of the State of Delaware or any other jurisdiction) that would cause the application of the laws of any jurisdiction other than the United States and the State or Delaware. This grant is made and/or administered in the United States. For purposes of litigating any dispute that arises under this grant or the Agreement the parties hereby submit to and consent to the jurisdiction of the State of Delaware, and agree that such litigation shall only be conducted in the state or federal courts located in Delaware to the exclusion of all other courts and fora. By accepting the RSUs, the Employee irrevocably consents to the jurisdiction of, and venue in, such courts and waives any objection that such courts are an inconvenient forum.</w:t>
      </w:r>
    </w:p>
    <w:p>
      <w:pPr>
        <w:spacing w:after="0" w:line="126" w:lineRule="exact"/>
        <w:rPr>
          <w:rFonts w:ascii="Arial" w:cs="Arial" w:eastAsia="Arial" w:hAnsi="Arial"/>
          <w:sz w:val="18"/>
          <w:szCs w:val="18"/>
          <w:color w:val="auto"/>
        </w:rPr>
      </w:pPr>
    </w:p>
    <w:p>
      <w:pPr>
        <w:jc w:val="both"/>
        <w:ind w:left="10" w:hanging="10"/>
        <w:spacing w:after="0" w:line="268" w:lineRule="auto"/>
        <w:tabs>
          <w:tab w:leader="none" w:pos="31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1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 reduced by, or offset against, any amount owing by the Employee to the Company or any of its affiliates. In the event that any 60-day period described in Section 8 of this Agreement straddles two calendar years, then any RSUs, and any dividends with respect thereto, that are settled within such 60-day period in accordance with this Agreement shall be settled in the second calendar year.</w:t>
      </w:r>
    </w:p>
    <w:p>
      <w:pPr>
        <w:spacing w:after="0" w:line="125" w:lineRule="exact"/>
        <w:rPr>
          <w:sz w:val="20"/>
          <w:szCs w:val="20"/>
          <w:color w:val="auto"/>
        </w:rPr>
      </w:pPr>
    </w:p>
    <w:p>
      <w:pPr>
        <w:jc w:val="both"/>
        <w:ind w:left="10"/>
        <w:spacing w:after="0" w:line="268"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 (b) the Company shall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070"/>
          </w:cols>
          <w:pgMar w:left="490" w:top="585" w:right="339" w:bottom="1440" w:gutter="0" w:footer="0" w:header="0"/>
        </w:sectPr>
      </w:pPr>
    </w:p>
    <w:bookmarkStart w:id="74" w:name="page75"/>
    <w:bookmarkEnd w:id="74"/>
    <w:p>
      <w:pPr>
        <w:ind w:left="9430"/>
        <w:spacing w:after="0"/>
        <w:rPr>
          <w:sz w:val="20"/>
          <w:szCs w:val="20"/>
          <w:color w:val="auto"/>
        </w:rPr>
      </w:pPr>
      <w:r>
        <w:rPr>
          <w:rFonts w:ascii="Times New Roman" w:cs="Times New Roman" w:eastAsia="Times New Roman" w:hAnsi="Times New Roman"/>
          <w:sz w:val="21"/>
          <w:szCs w:val="21"/>
          <w:color w:val="auto"/>
        </w:rPr>
        <w:t>Exhibit 10.6(a)(iii)</w:t>
      </w:r>
    </w:p>
    <w:p>
      <w:pPr>
        <w:spacing w:after="0" w:line="267" w:lineRule="exact"/>
        <w:rPr>
          <w:sz w:val="20"/>
          <w:szCs w:val="20"/>
          <w:color w:val="auto"/>
        </w:rPr>
      </w:pPr>
    </w:p>
    <w:p>
      <w:pPr>
        <w:jc w:val="both"/>
        <w:ind w:left="10"/>
        <w:spacing w:after="0" w:line="259" w:lineRule="auto"/>
        <w:rPr>
          <w:sz w:val="20"/>
          <w:szCs w:val="20"/>
          <w:color w:val="auto"/>
        </w:rPr>
      </w:pPr>
      <w:r>
        <w:rPr>
          <w:rFonts w:ascii="Arial" w:cs="Arial" w:eastAsia="Arial" w:hAnsi="Arial"/>
          <w:sz w:val="18"/>
          <w:szCs w:val="18"/>
          <w:color w:val="auto"/>
        </w:rPr>
        <w:t>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 For purposes of Section 409A, each payment under this Agreement shall be treated as a separate payment.</w:t>
      </w:r>
    </w:p>
    <w:p>
      <w:pPr>
        <w:spacing w:after="0" w:line="125" w:lineRule="exact"/>
        <w:rPr>
          <w:sz w:val="20"/>
          <w:szCs w:val="20"/>
          <w:color w:val="auto"/>
        </w:rPr>
      </w:pPr>
    </w:p>
    <w:p>
      <w:pPr>
        <w:jc w:val="both"/>
        <w:ind w:left="10"/>
        <w:spacing w:after="0" w:line="25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28" w:lineRule="exact"/>
        <w:rPr>
          <w:sz w:val="20"/>
          <w:szCs w:val="20"/>
          <w:color w:val="auto"/>
        </w:rPr>
      </w:pPr>
    </w:p>
    <w:p>
      <w:pPr>
        <w:ind w:left="450" w:hanging="450"/>
        <w:spacing w:after="0"/>
        <w:tabs>
          <w:tab w:leader="none" w:pos="45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630" w:hanging="391"/>
        <w:spacing w:after="0" w:line="259" w:lineRule="auto"/>
        <w:tabs>
          <w:tab w:leader="none" w:pos="755"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Data Collection and Usage</w:t>
      </w:r>
      <w:r>
        <w:rPr>
          <w:rFonts w:ascii="Arial" w:cs="Arial" w:eastAsia="Arial" w:hAnsi="Arial"/>
          <w:sz w:val="18"/>
          <w:szCs w:val="18"/>
          <w:color w:val="auto"/>
        </w:rPr>
        <w:t>. The Company and the Employer collect, process and use certain personal information about the Employee, including, but not limited to, the Employee’s name, home address and telephone number, email address, date of birth, social insurance, passport or other identification number, salary, nationality, job title, any shares of Common Stock or directorships held in the Company, details of all RSUs or any other entitlement to shares or equivalent benefits awarded, canceled, exercised, vested, unvested or outstanding in the Employee’s favor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for the purposes of implementing, administering and managing</w:t>
      </w:r>
    </w:p>
    <w:p>
      <w:pPr>
        <w:spacing w:after="0" w:line="4" w:lineRule="exact"/>
        <w:rPr>
          <w:sz w:val="20"/>
          <w:szCs w:val="20"/>
          <w:color w:val="auto"/>
        </w:rPr>
      </w:pPr>
    </w:p>
    <w:p>
      <w:pPr>
        <w:jc w:val="both"/>
        <w:ind w:left="630"/>
        <w:spacing w:after="0" w:line="256" w:lineRule="auto"/>
        <w:rPr>
          <w:sz w:val="20"/>
          <w:szCs w:val="20"/>
          <w:color w:val="auto"/>
        </w:rPr>
      </w:pPr>
      <w:r>
        <w:rPr>
          <w:rFonts w:ascii="Arial" w:cs="Arial" w:eastAsia="Arial" w:hAnsi="Arial"/>
          <w:sz w:val="18"/>
          <w:szCs w:val="18"/>
          <w:color w:val="auto"/>
        </w:rPr>
        <w:t>the Plan. The Company shall comply with Data Protection Laws in connection with the processing of any Data. The Company shall ensure that personnel with access to Data are under an appropriate obligation of confidentiality and that such personnel have received appropriate data protection and security training pertaining to the responsibilities of their role. The Company agrees that in order to provide the Plan and services, Company may engage subcontractors to process the Data. The Company will enter into a written agreement with the subcontractor imposing data protection terms that places the equivalent data protection obligations as those set out in this Agreement to the extent applicable to the nature of the services provided by such subcontractor, in particular providing appropriate administrative, technical, and physical safeguards that the processing will protect the Data.</w:t>
      </w:r>
    </w:p>
    <w:p>
      <w:pPr>
        <w:spacing w:after="0" w:line="129" w:lineRule="exact"/>
        <w:rPr>
          <w:sz w:val="20"/>
          <w:szCs w:val="20"/>
          <w:color w:val="auto"/>
        </w:rPr>
      </w:pPr>
    </w:p>
    <w:p>
      <w:pPr>
        <w:jc w:val="both"/>
        <w:ind w:left="630" w:hanging="391"/>
        <w:spacing w:after="0" w:line="257" w:lineRule="auto"/>
        <w:tabs>
          <w:tab w:leader="none" w:pos="74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It may be necessary for Data to be transferred to, and processed in, the U.S. If the Employee is outside of the U.S., the Employee should note that the Employee's country has enacted Data Protection Laws that are different from the U.S. As a result, in the absence of appropriate safeguards, the transfer of Data to the U.S. or, as the case may be, other countries might not be subject to substantive data processing principles or supervision by data protection authorities. The Employee acknowledges that Company may transfer Data outside of the Employee’s home country and agrees to consent to the Data transfer as set forth in Section 25(e).</w:t>
      </w:r>
    </w:p>
    <w:p>
      <w:pPr>
        <w:spacing w:after="0" w:line="128" w:lineRule="exact"/>
        <w:rPr>
          <w:rFonts w:ascii="Arial" w:cs="Arial" w:eastAsia="Arial" w:hAnsi="Arial"/>
          <w:sz w:val="18"/>
          <w:szCs w:val="18"/>
          <w:color w:val="auto"/>
        </w:rPr>
      </w:pPr>
    </w:p>
    <w:p>
      <w:pPr>
        <w:jc w:val="both"/>
        <w:ind w:left="630" w:hanging="391"/>
        <w:spacing w:after="0" w:line="268" w:lineRule="auto"/>
        <w:tabs>
          <w:tab w:leader="none" w:pos="73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the Employee’s participation in the Plan, or as required to comply with legal or regulatory obligations, including under tax, exchange control, labor and securities laws.</w:t>
      </w:r>
    </w:p>
    <w:p>
      <w:pPr>
        <w:spacing w:after="0" w:line="116" w:lineRule="exact"/>
        <w:rPr>
          <w:rFonts w:ascii="Arial" w:cs="Arial" w:eastAsia="Arial" w:hAnsi="Arial"/>
          <w:sz w:val="18"/>
          <w:szCs w:val="18"/>
          <w:color w:val="auto"/>
        </w:rPr>
      </w:pPr>
    </w:p>
    <w:p>
      <w:pPr>
        <w:jc w:val="both"/>
        <w:ind w:left="630" w:hanging="391"/>
        <w:spacing w:after="0" w:line="268" w:lineRule="auto"/>
        <w:tabs>
          <w:tab w:leader="none" w:pos="74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Voluntariness and Consequences of Consent Denial or Withdrawal</w:t>
      </w:r>
      <w:r>
        <w:rPr>
          <w:rFonts w:ascii="Arial" w:cs="Arial" w:eastAsia="Arial" w:hAnsi="Arial"/>
          <w:sz w:val="18"/>
          <w:szCs w:val="18"/>
          <w:color w:val="auto"/>
        </w:rPr>
        <w:t>. Participation in the Plan is voluntary, and the Employee is providing the consents herein on a purely voluntary basis. If the Employee does not consent, or if the Employee later seeks to revoke the Employee's consent, the Employee’s salary from or employment and career with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070"/>
          </w:cols>
          <w:pgMar w:left="490" w:top="585" w:right="339" w:bottom="1440" w:gutter="0" w:footer="0" w:header="0"/>
        </w:sectPr>
      </w:pPr>
    </w:p>
    <w:bookmarkStart w:id="75" w:name="page76"/>
    <w:bookmarkEnd w:id="75"/>
    <w:p>
      <w:pPr>
        <w:ind w:left="9430"/>
        <w:spacing w:after="0"/>
        <w:rPr>
          <w:sz w:val="20"/>
          <w:szCs w:val="20"/>
          <w:color w:val="auto"/>
        </w:rPr>
      </w:pPr>
      <w:r>
        <w:rPr>
          <w:rFonts w:ascii="Times New Roman" w:cs="Times New Roman" w:eastAsia="Times New Roman" w:hAnsi="Times New Roman"/>
          <w:sz w:val="21"/>
          <w:szCs w:val="21"/>
          <w:color w:val="auto"/>
        </w:rPr>
        <w:t>Exhibit 10.6(a)(iii)</w:t>
      </w:r>
    </w:p>
    <w:p>
      <w:pPr>
        <w:spacing w:after="0" w:line="267" w:lineRule="exact"/>
        <w:rPr>
          <w:sz w:val="20"/>
          <w:szCs w:val="20"/>
          <w:color w:val="auto"/>
        </w:rPr>
      </w:pPr>
    </w:p>
    <w:p>
      <w:pPr>
        <w:jc w:val="both"/>
        <w:ind w:left="630"/>
        <w:spacing w:after="0" w:line="287" w:lineRule="auto"/>
        <w:rPr>
          <w:sz w:val="20"/>
          <w:szCs w:val="20"/>
          <w:color w:val="auto"/>
        </w:rPr>
      </w:pPr>
      <w:r>
        <w:rPr>
          <w:rFonts w:ascii="Arial" w:cs="Arial" w:eastAsia="Arial" w:hAnsi="Arial"/>
          <w:sz w:val="18"/>
          <w:szCs w:val="18"/>
          <w:color w:val="auto"/>
        </w:rPr>
        <w:t>Employer will not be affected; the only consequence of refusing or withdrawing consent is that the Company would not be able to grant the RSUs or other equity awards to the Employee or administer or maintain such awards.</w:t>
      </w:r>
    </w:p>
    <w:p>
      <w:pPr>
        <w:spacing w:after="0" w:line="99" w:lineRule="exact"/>
        <w:rPr>
          <w:sz w:val="20"/>
          <w:szCs w:val="20"/>
          <w:color w:val="auto"/>
        </w:rPr>
      </w:pPr>
    </w:p>
    <w:p>
      <w:pPr>
        <w:jc w:val="both"/>
        <w:ind w:left="630" w:hanging="391"/>
        <w:spacing w:after="0" w:line="268" w:lineRule="auto"/>
        <w:tabs>
          <w:tab w:leader="none" w:pos="688"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The Employee may have a number of rights under Data Protection Laws in the Employee’s jurisdiction. The Company will use reasonable efforts to fulfill any privacy rights requests under Data Protection Laws. To receive clarification regarding these rights or to exercise these rights, the Employee can contact the local human resources representative.</w:t>
      </w:r>
    </w:p>
    <w:p>
      <w:pPr>
        <w:spacing w:after="0" w:line="117" w:lineRule="exact"/>
        <w:rPr>
          <w:sz w:val="20"/>
          <w:szCs w:val="20"/>
          <w:color w:val="auto"/>
        </w:rPr>
      </w:pPr>
    </w:p>
    <w:p>
      <w:pPr>
        <w:jc w:val="both"/>
        <w:ind w:left="630" w:firstLine="115"/>
        <w:spacing w:after="0" w:line="262" w:lineRule="auto"/>
        <w:rPr>
          <w:sz w:val="20"/>
          <w:szCs w:val="20"/>
          <w:color w:val="auto"/>
        </w:rPr>
      </w:pPr>
      <w:r>
        <w:rPr>
          <w:rFonts w:ascii="Arial" w:cs="Arial" w:eastAsia="Arial" w:hAnsi="Arial"/>
          <w:sz w:val="18"/>
          <w:szCs w:val="18"/>
          <w:color w:val="auto"/>
        </w:rPr>
        <w:t>By accepting the RSUs and indicating consent via the Company’s acceptance procedure, the Employee is declaring agreement with the data processing practices described herein and consents to the collection, processing and use of Data by the Company and the transfer of Data to the recipients mentioned above, including recipients located in countries which may not have an adequate level of protection from a Data Protection Law perspective, for the purposes described above.</w:t>
      </w:r>
    </w:p>
    <w:p>
      <w:pPr>
        <w:spacing w:after="0" w:line="122" w:lineRule="exact"/>
        <w:rPr>
          <w:sz w:val="20"/>
          <w:szCs w:val="20"/>
          <w:color w:val="auto"/>
        </w:rPr>
      </w:pPr>
    </w:p>
    <w:p>
      <w:pPr>
        <w:jc w:val="both"/>
        <w:ind w:left="630" w:firstLine="134"/>
        <w:spacing w:after="0" w:line="255" w:lineRule="auto"/>
        <w:rPr>
          <w:sz w:val="20"/>
          <w:szCs w:val="20"/>
          <w:color w:val="auto"/>
        </w:rPr>
      </w:pPr>
      <w:r>
        <w:rPr>
          <w:rFonts w:ascii="Arial" w:cs="Arial" w:eastAsia="Arial" w:hAnsi="Arial"/>
          <w:sz w:val="18"/>
          <w:szCs w:val="18"/>
          <w:color w:val="auto"/>
        </w:rPr>
        <w:t>Finally, the Employee understands that the Company may rely on a different basis for the processing or transfer of Data in the future and/or request that the Employee provide another data privacy consent. If applicable, the Employee agrees that upon request of the Company or the Employer, the Employee will provide an executed acknowledgement or data privacy consent form (or any other agreements or consents) that the Company and/or the Employer may deem necessary to obtain from the Employee for the purpose of administering the Employee’s participation in the Plan in compliance with the Data Protection Laws in the Employee’s country, either now or in the future. The Employee understands and agrees that the Employee will not be able to participate in the Plan if the Employee fails to provide any such consent or agreement requested by the Company and/or the Employer.</w:t>
      </w:r>
    </w:p>
    <w:p>
      <w:pPr>
        <w:spacing w:after="0" w:line="131" w:lineRule="exact"/>
        <w:rPr>
          <w:sz w:val="20"/>
          <w:szCs w:val="20"/>
          <w:color w:val="auto"/>
        </w:rPr>
      </w:pPr>
    </w:p>
    <w:p>
      <w:pPr>
        <w:jc w:val="both"/>
        <w:ind w:left="630" w:hanging="391"/>
        <w:spacing w:after="0" w:line="259" w:lineRule="auto"/>
        <w:tabs>
          <w:tab w:leader="none" w:pos="881"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Company shall use commercially reasonable efforts to implement and maintain reasonable and appropriate administrative, technical, and physical safeguards that are designed to ensure the security and confidentiality of Data in Company's possession or control; and protect Data in Company's possession or control from or unauthorized access, or disclosure. If Company experiences an actual data breach or compromise of security, confidentiality or integrity of Data, then Company shall promptly notify the Employee of such data breach in accordance with applicable Data Protection Laws.</w:t>
      </w:r>
    </w:p>
    <w:p>
      <w:pPr>
        <w:spacing w:after="0" w:line="125" w:lineRule="exact"/>
        <w:rPr>
          <w:rFonts w:ascii="Arial" w:cs="Arial" w:eastAsia="Arial" w:hAnsi="Arial"/>
          <w:sz w:val="18"/>
          <w:szCs w:val="18"/>
          <w:color w:val="auto"/>
        </w:rPr>
      </w:pPr>
    </w:p>
    <w:p>
      <w:pPr>
        <w:jc w:val="both"/>
        <w:ind w:left="10" w:hanging="10"/>
        <w:spacing w:after="0" w:line="268" w:lineRule="auto"/>
        <w:tabs>
          <w:tab w:leader="none" w:pos="577"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10" w:hanging="10"/>
        <w:spacing w:after="0" w:line="287" w:lineRule="auto"/>
        <w:tabs>
          <w:tab w:leader="none" w:pos="527"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10" w:hanging="10"/>
        <w:spacing w:after="0" w:line="259" w:lineRule="auto"/>
        <w:tabs>
          <w:tab w:leader="none" w:pos="487"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RSUs shall be subject to any special terms and conditions set forth in any appendix to this Agreement for the Employee’s country of employment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25" w:lineRule="exact"/>
        <w:rPr>
          <w:rFonts w:ascii="Arial" w:cs="Arial" w:eastAsia="Arial" w:hAnsi="Arial"/>
          <w:sz w:val="18"/>
          <w:szCs w:val="18"/>
          <w:color w:val="auto"/>
        </w:rPr>
      </w:pPr>
    </w:p>
    <w:p>
      <w:pPr>
        <w:jc w:val="both"/>
        <w:ind w:left="10" w:hanging="10"/>
        <w:spacing w:after="0" w:line="268" w:lineRule="auto"/>
        <w:tabs>
          <w:tab w:leader="none" w:pos="568"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RSUs and on any shares of Common Stock acquired under the Plan, to the extent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070"/>
          </w:cols>
          <w:pgMar w:left="490" w:top="585" w:right="339" w:bottom="1440" w:gutter="0" w:footer="0" w:header="0"/>
        </w:sectPr>
      </w:pPr>
    </w:p>
    <w:bookmarkStart w:id="76" w:name="page77"/>
    <w:bookmarkEnd w:id="76"/>
    <w:p>
      <w:pPr>
        <w:ind w:left="9600"/>
        <w:spacing w:after="0"/>
        <w:rPr>
          <w:sz w:val="20"/>
          <w:szCs w:val="20"/>
          <w:color w:val="auto"/>
        </w:rPr>
      </w:pPr>
      <w:r>
        <w:rPr>
          <w:rFonts w:ascii="Times New Roman" w:cs="Times New Roman" w:eastAsia="Times New Roman" w:hAnsi="Times New Roman"/>
          <w:sz w:val="21"/>
          <w:szCs w:val="21"/>
          <w:color w:val="auto"/>
        </w:rPr>
        <w:t>Exhibit 10.6(a)(iii)</w:t>
      </w:r>
    </w:p>
    <w:p>
      <w:pPr>
        <w:spacing w:after="0" w:line="267"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color w:val="auto"/>
        </w:rPr>
        <w:t>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pacing w:after="0" w:line="117" w:lineRule="exact"/>
        <w:rPr>
          <w:sz w:val="20"/>
          <w:szCs w:val="20"/>
          <w:color w:val="auto"/>
        </w:rPr>
      </w:pPr>
    </w:p>
    <w:p>
      <w:pPr>
        <w:jc w:val="both"/>
        <w:ind w:left="180" w:hanging="4"/>
        <w:spacing w:after="0" w:line="255" w:lineRule="auto"/>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Legal, Regulatory and Tax Compliance; Cooperation</w:t>
      </w:r>
      <w:r>
        <w:rPr>
          <w:rFonts w:ascii="Arial" w:cs="Arial" w:eastAsia="Arial" w:hAnsi="Arial"/>
          <w:sz w:val="18"/>
          <w:szCs w:val="18"/>
          <w:color w:val="auto"/>
        </w:rPr>
        <w:t>. If the Employee resides or is employed outside of the United States, the Employee agrees, as a condition of the grant of the RSUs, to take any and all actions as may be required to comply with the Employee's personal legal, regulatory and tax obligations under local laws, rules and regulations in the Employee's country of employment (and country of residence, if different), including (but not limited to) any obligations to repatriate all payments attributable to the shares of Common Stock and/or cash acquired under the Plan (e.g., dividends and any proceeds derived from the sale of shares of Common Stock acquired pursuant to the RSUs). In addition, the Employee also agrees to take any and all actions, and consents to any and all actions taken by the Company and any of its subsidiaries or affiliates as may be required to allow the Company and any of its subsidiaries or affiliates to comply with local laws, rules and regulations in the Employee's country of employment (and country of residence, if different).</w:t>
      </w:r>
    </w:p>
    <w:p>
      <w:pPr>
        <w:spacing w:after="0" w:line="37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CONDUENT INCORPORATED</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HARSHA V. AGADI</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Harsha V. Agadi, Chief Executive Officer</w:t>
      </w:r>
    </w:p>
    <w:p>
      <w:pPr>
        <w:spacing w:after="0" w:line="3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Date: April 1, 2026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585"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color w:val="auto"/>
        </w:rPr>
        <w:t>Exhibit 10.6(a)(iii)</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172085</wp:posOffset>
            </wp:positionV>
            <wp:extent cx="1508760" cy="394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5087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Non-Competition and Non-Solicitation Agreement (“Agreement”) is made effective as of April 1, 2026 (“Effective Date”) between Conduent Business Services, LLC, its parent, subsidiaries, divisions and affiliates (collectively, “Conduent”) and the individual whose name appears in the Award Summary (“Employee”).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252" w:lineRule="exact"/>
        <w:rPr>
          <w:sz w:val="20"/>
          <w:szCs w:val="20"/>
          <w:color w:val="auto"/>
        </w:rPr>
      </w:pPr>
    </w:p>
    <w:p>
      <w:pPr>
        <w:jc w:val="both"/>
        <w:ind w:left="340" w:hanging="332"/>
        <w:spacing w:after="0" w:line="276" w:lineRule="auto"/>
        <w:tabs>
          <w:tab w:leader="none" w:pos="328"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203" w:lineRule="exact"/>
        <w:rPr>
          <w:rFonts w:ascii="Arial" w:cs="Arial" w:eastAsia="Arial" w:hAnsi="Arial"/>
          <w:sz w:val="18"/>
          <w:szCs w:val="18"/>
          <w:color w:val="auto"/>
        </w:rPr>
      </w:pPr>
    </w:p>
    <w:p>
      <w:pPr>
        <w:ind w:left="800" w:hanging="468"/>
        <w:spacing w:after="0"/>
        <w:tabs>
          <w:tab w:leader="none" w:pos="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252" w:lineRule="exact"/>
        <w:rPr>
          <w:rFonts w:ascii="Arial" w:cs="Arial" w:eastAsia="Arial" w:hAnsi="Arial"/>
          <w:sz w:val="18"/>
          <w:szCs w:val="18"/>
          <w:color w:val="auto"/>
        </w:rPr>
      </w:pPr>
    </w:p>
    <w:p>
      <w:pPr>
        <w:jc w:val="both"/>
        <w:ind w:left="1300" w:hanging="46"/>
        <w:spacing w:after="0" w:line="270" w:lineRule="auto"/>
        <w:tabs>
          <w:tab w:leader="none" w:pos="1751" w:val="left"/>
        </w:tabs>
        <w:numPr>
          <w:ilvl w:val="2"/>
          <w:numId w:val="110"/>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195" w:lineRule="exact"/>
        <w:rPr>
          <w:rFonts w:ascii="Arial" w:cs="Arial" w:eastAsia="Arial" w:hAnsi="Arial"/>
          <w:sz w:val="18"/>
          <w:szCs w:val="18"/>
          <w:color w:val="auto"/>
        </w:rPr>
      </w:pPr>
    </w:p>
    <w:p>
      <w:pPr>
        <w:ind w:left="1300" w:firstLine="6"/>
        <w:spacing w:after="0" w:line="303" w:lineRule="auto"/>
        <w:tabs>
          <w:tab w:leader="none" w:pos="1909" w:val="left"/>
        </w:tabs>
        <w:numPr>
          <w:ilvl w:val="3"/>
          <w:numId w:val="110"/>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179" w:lineRule="exact"/>
        <w:rPr>
          <w:sz w:val="20"/>
          <w:szCs w:val="20"/>
          <w:color w:val="auto"/>
        </w:rPr>
      </w:pPr>
    </w:p>
    <w:p>
      <w:pPr>
        <w:ind w:left="1300" w:hanging="81"/>
        <w:spacing w:after="0" w:line="287" w:lineRule="auto"/>
        <w:tabs>
          <w:tab w:leader="none" w:pos="175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193" w:lineRule="exact"/>
        <w:rPr>
          <w:rFonts w:ascii="Arial" w:cs="Arial" w:eastAsia="Arial" w:hAnsi="Arial"/>
          <w:sz w:val="18"/>
          <w:szCs w:val="18"/>
          <w:color w:val="auto"/>
        </w:rPr>
      </w:pPr>
    </w:p>
    <w:p>
      <w:pPr>
        <w:ind w:left="1300" w:hanging="107"/>
        <w:spacing w:after="0" w:line="303" w:lineRule="auto"/>
        <w:tabs>
          <w:tab w:leader="none" w:pos="16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- 1</w:t>
      </w:r>
    </w:p>
    <w:p>
      <w:pPr>
        <w:sectPr>
          <w:pgSz w:w="11900" w:h="16838" w:orient="portrait"/>
          <w:cols w:equalWidth="0" w:num="1">
            <w:col w:w="11240"/>
          </w:cols>
          <w:pgMar w:left="320" w:top="585"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color w:val="auto"/>
        </w:rPr>
        <w:t>Exhibit 10.6(a)(iii)</w:t>
      </w:r>
    </w:p>
    <w:p>
      <w:pPr>
        <w:spacing w:after="0" w:line="2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time during the twenty-four (24) months before the Employee’s Employment Cessation Date.</w:t>
      </w:r>
    </w:p>
    <w:p>
      <w:pPr>
        <w:spacing w:after="0" w:line="266" w:lineRule="exact"/>
        <w:rPr>
          <w:sz w:val="20"/>
          <w:szCs w:val="20"/>
          <w:color w:val="auto"/>
        </w:rPr>
      </w:pPr>
    </w:p>
    <w:p>
      <w:pPr>
        <w:ind w:left="1300" w:hanging="833"/>
        <w:spacing w:after="0" w:line="287" w:lineRule="auto"/>
        <w:tabs>
          <w:tab w:leader="none" w:pos="90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1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3" w:lineRule="exact"/>
        <w:rPr>
          <w:sz w:val="20"/>
          <w:szCs w:val="20"/>
          <w:color w:val="auto"/>
        </w:rPr>
      </w:pPr>
    </w:p>
    <w:p>
      <w:pPr>
        <w:jc w:val="both"/>
        <w:ind w:left="340" w:hanging="332"/>
        <w:spacing w:after="0" w:line="263" w:lineRule="auto"/>
        <w:tabs>
          <w:tab w:leader="none" w:pos="409"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Customers. </w:t>
      </w:r>
      <w:r>
        <w:rPr>
          <w:rFonts w:ascii="Arial" w:cs="Arial" w:eastAsia="Arial" w:hAnsi="Arial"/>
          <w:sz w:val="18"/>
          <w:szCs w:val="18"/>
          <w:color w:val="auto"/>
        </w:rPr>
        <w:t>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282" w:lineRule="exact"/>
        <w:rPr>
          <w:rFonts w:ascii="Arial" w:cs="Arial" w:eastAsia="Arial" w:hAnsi="Arial"/>
          <w:sz w:val="18"/>
          <w:szCs w:val="18"/>
          <w:color w:val="auto"/>
        </w:rPr>
      </w:pPr>
    </w:p>
    <w:p>
      <w:pPr>
        <w:ind w:left="340" w:hanging="332"/>
        <w:spacing w:after="0" w:line="287" w:lineRule="auto"/>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Employee’s employment with Conduent.</w:t>
      </w:r>
    </w:p>
    <w:p>
      <w:pPr>
        <w:spacing w:after="0" w:line="179" w:lineRule="exact"/>
        <w:rPr>
          <w:rFonts w:ascii="Arial" w:cs="Arial" w:eastAsia="Arial" w:hAnsi="Arial"/>
          <w:sz w:val="18"/>
          <w:szCs w:val="18"/>
          <w:color w:val="auto"/>
        </w:rPr>
      </w:pPr>
    </w:p>
    <w:p>
      <w:pPr>
        <w:jc w:val="both"/>
        <w:ind w:left="340" w:hanging="332"/>
        <w:spacing w:after="0" w:line="255" w:lineRule="auto"/>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doesn’t obligate Employer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259" w:lineRule="exact"/>
        <w:rPr>
          <w:rFonts w:ascii="Arial" w:cs="Arial" w:eastAsia="Arial" w:hAnsi="Arial"/>
          <w:sz w:val="18"/>
          <w:szCs w:val="18"/>
          <w:color w:val="auto"/>
        </w:rPr>
      </w:pPr>
    </w:p>
    <w:p>
      <w:pPr>
        <w:jc w:val="both"/>
        <w:ind w:left="340" w:right="20" w:hanging="332"/>
        <w:spacing w:after="0" w:line="276" w:lineRule="auto"/>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-4152900</wp:posOffset>
            </wp:positionV>
            <wp:extent cx="17354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735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- 2</w:t>
      </w:r>
    </w:p>
    <w:p>
      <w:pPr>
        <w:sectPr>
          <w:pgSz w:w="11900" w:h="16838" w:orient="portrait"/>
          <w:cols w:equalWidth="0" w:num="1">
            <w:col w:w="11240"/>
          </w:cols>
          <w:pgMar w:left="320" w:top="585"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color w:val="auto"/>
        </w:rPr>
        <w:t>Exhibit 10.6(a)(iii)</w:t>
      </w:r>
    </w:p>
    <w:p>
      <w:pPr>
        <w:spacing w:after="0" w:line="200" w:lineRule="exact"/>
        <w:rPr>
          <w:sz w:val="20"/>
          <w:szCs w:val="20"/>
          <w:color w:val="auto"/>
        </w:rPr>
      </w:pPr>
    </w:p>
    <w:p>
      <w:pPr>
        <w:spacing w:after="0" w:line="366"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color w:val="auto"/>
        </w:rPr>
        <w:t>Except as provided by the preceding sentence, all other terms of all agreements between Employee and Conduent shall remain in full effect.</w:t>
      </w:r>
    </w:p>
    <w:p>
      <w:pPr>
        <w:spacing w:after="0" w:line="261" w:lineRule="exact"/>
        <w:rPr>
          <w:sz w:val="20"/>
          <w:szCs w:val="20"/>
          <w:color w:val="auto"/>
        </w:rPr>
      </w:pPr>
    </w:p>
    <w:p>
      <w:pPr>
        <w:jc w:val="both"/>
        <w:ind w:left="340" w:hanging="332"/>
        <w:spacing w:after="0" w:line="267" w:lineRule="auto"/>
        <w:tabs>
          <w:tab w:leader="none" w:pos="328"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Employee’s reasonable attorneys’ fees and costs from the other party.</w:t>
      </w:r>
    </w:p>
    <w:p>
      <w:pPr>
        <w:spacing w:after="0" w:line="27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highlight w:val="white"/>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259" w:lineRule="exact"/>
        <w:rPr>
          <w:rFonts w:ascii="Arial" w:cs="Arial" w:eastAsia="Arial" w:hAnsi="Arial"/>
          <w:sz w:val="18"/>
          <w:szCs w:val="18"/>
          <w:color w:val="auto"/>
        </w:rPr>
      </w:pPr>
    </w:p>
    <w:p>
      <w:pPr>
        <w:jc w:val="both"/>
        <w:ind w:left="340" w:hanging="332"/>
        <w:spacing w:after="0" w:line="273" w:lineRule="auto"/>
        <w:tabs>
          <w:tab w:leader="none" w:pos="328"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b w:val="1"/>
          <w:bCs w:val="1"/>
          <w:color w:val="auto"/>
          <w:highlight w:val="white"/>
        </w:rPr>
        <w:t>.</w:t>
      </w:r>
      <w:r>
        <w:rPr>
          <w:rFonts w:ascii="Arial" w:cs="Arial" w:eastAsia="Arial" w:hAnsi="Arial"/>
          <w:sz w:val="18"/>
          <w:szCs w:val="18"/>
          <w:b w:val="1"/>
          <w:bCs w:val="1"/>
          <w:color w:val="auto"/>
        </w:rPr>
        <w:t xml:space="preserve"> </w:t>
      </w:r>
      <w:r>
        <w:rPr>
          <w:rFonts w:ascii="Arial" w:cs="Arial" w:eastAsia="Arial" w:hAnsi="Arial"/>
          <w:sz w:val="18"/>
          <w:szCs w:val="18"/>
          <w:color w:val="auto"/>
          <w:highlight w:val="white"/>
        </w:rPr>
        <w:t>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259" w:lineRule="exact"/>
        <w:rPr>
          <w:rFonts w:ascii="Arial" w:cs="Arial" w:eastAsia="Arial" w:hAnsi="Arial"/>
          <w:sz w:val="18"/>
          <w:szCs w:val="18"/>
          <w:color w:val="auto"/>
        </w:rPr>
      </w:pPr>
    </w:p>
    <w:p>
      <w:pPr>
        <w:ind w:left="340" w:hanging="332"/>
        <w:spacing w:after="0" w:line="303" w:lineRule="auto"/>
        <w:tabs>
          <w:tab w:leader="none" w:pos="333"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233" w:lineRule="exact"/>
        <w:rPr>
          <w:rFonts w:ascii="Arial" w:cs="Arial" w:eastAsia="Arial" w:hAnsi="Arial"/>
          <w:sz w:val="18"/>
          <w:szCs w:val="18"/>
          <w:color w:val="auto"/>
        </w:rPr>
      </w:pPr>
    </w:p>
    <w:p>
      <w:pPr>
        <w:jc w:val="both"/>
        <w:ind w:left="340" w:hanging="332"/>
        <w:spacing w:after="0" w:line="276" w:lineRule="auto"/>
        <w:tabs>
          <w:tab w:leader="none" w:pos="32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highlight w:val="white"/>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271" w:lineRule="exact"/>
        <w:rPr>
          <w:rFonts w:ascii="Arial" w:cs="Arial" w:eastAsia="Arial" w:hAnsi="Arial"/>
          <w:sz w:val="18"/>
          <w:szCs w:val="18"/>
          <w:color w:val="auto"/>
        </w:rPr>
      </w:pPr>
    </w:p>
    <w:p>
      <w:pPr>
        <w:jc w:val="both"/>
        <w:ind w:left="340" w:hanging="332"/>
        <w:spacing w:after="0" w:line="267" w:lineRule="auto"/>
        <w:tabs>
          <w:tab w:leader="none" w:pos="333"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 - 3</w:t>
      </w:r>
    </w:p>
    <w:p>
      <w:pPr>
        <w:sectPr>
          <w:pgSz w:w="11900" w:h="16838" w:orient="portrait"/>
          <w:cols w:equalWidth="0" w:num="1">
            <w:col w:w="11240"/>
          </w:cols>
          <w:pgMar w:left="320" w:top="58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Harsha V. Agadi, certify that:</w:t>
      </w:r>
    </w:p>
    <w:p>
      <w:pPr>
        <w:spacing w:after="0" w:line="117"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11, 2026</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HARSHA V. AGADI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18859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Harsha V. Agadi</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Giles Goodburn, certify that:</w:t>
      </w:r>
    </w:p>
    <w:p>
      <w:pPr>
        <w:spacing w:after="0" w:line="198" w:lineRule="exact"/>
        <w:rPr>
          <w:sz w:val="20"/>
          <w:szCs w:val="20"/>
          <w:color w:val="auto"/>
        </w:rPr>
      </w:pPr>
    </w:p>
    <w:p>
      <w:pPr>
        <w:ind w:left="640" w:hanging="632"/>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11,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GILES GOODBURN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63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Giles Goodburn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the Quarterly Report on Form 10-Q of Conduent Incorporated, a New York corporation (the “Company”), for the quarter ended March 31, 2026, as filed with the Securities and Exchange Commission on the date hereof (the “Report”), Harsha V. Agadi, Chief Executive Officer of the Company, and Giles Goodburn, Chief Financial Officer of the Company, each hereby certifies, pursuant to 18 U.S.C. § 1350, as adopted pursuant to § 906 of the Sarbanes-Oxley Act of 2002, to the best of his/her knowledge, that:</w:t>
      </w:r>
    </w:p>
    <w:p>
      <w:pPr>
        <w:spacing w:after="0" w:line="149" w:lineRule="exact"/>
        <w:rPr>
          <w:sz w:val="20"/>
          <w:szCs w:val="20"/>
          <w:color w:val="auto"/>
        </w:rPr>
      </w:pPr>
    </w:p>
    <w:p>
      <w:pPr>
        <w:ind w:left="320" w:hanging="312"/>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340" w:right="340" w:hanging="332"/>
        <w:spacing w:after="0" w:line="266" w:lineRule="auto"/>
        <w:tabs>
          <w:tab w:leader="none" w:pos="33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HARSHA V. AGADI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Harsha V. Agadi</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11, 2026</w:t>
      </w: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GILES GOODBURN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Giles Goodburn</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11, 2026</w:t>
      </w:r>
    </w:p>
    <w:p>
      <w:pPr>
        <w:spacing w:after="0" w:line="34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decimal"/>
      <w:start w:val="1"/>
    </w:lvl>
  </w:abstractNum>
  <w:abstractNum w:abstractNumId="3">
    <w:nsid w:val="10233C99"/>
    <w:multiLevelType w:val="hybridMultilevel"/>
    <w:lvl w:ilvl="0">
      <w:lvlJc w:val="left"/>
      <w:lvlText w:val="(%1)"/>
      <w:numFmt w:val="decimal"/>
      <w:start w:val="1"/>
    </w:lvl>
  </w:abstractNum>
  <w:abstractNum w:abstractNumId="4">
    <w:nsid w:val="3F6AB60F"/>
    <w:multiLevelType w:val="hybridMultilevel"/>
    <w:lvl w:ilvl="0">
      <w:lvlJc w:val="left"/>
      <w:lvlText w:val="(%1)"/>
      <w:numFmt w:val="decimal"/>
      <w:start w:val="1"/>
    </w:lvl>
  </w:abstractNum>
  <w:abstractNum w:abstractNumId="5">
    <w:nsid w:val="61574095"/>
    <w:multiLevelType w:val="hybridMultilevel"/>
    <w:lvl w:ilvl="0">
      <w:lvlJc w:val="left"/>
      <w:lvlText w:val="(%1)"/>
      <w:numFmt w:val="decimal"/>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1)"/>
      <w:numFmt w:val="decimal"/>
      <w:start w:val="1"/>
    </w:lvl>
  </w:abstractNum>
  <w:abstractNum w:abstractNumId="8">
    <w:nsid w:val="579BE4F1"/>
    <w:multiLevelType w:val="hybridMultilevel"/>
    <w:lvl w:ilvl="0">
      <w:lvlJc w:val="left"/>
      <w:lvlText w:val="(%1)"/>
      <w:numFmt w:val="decimal"/>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1)"/>
      <w:numFmt w:val="decimal"/>
      <w:start w:val="1"/>
    </w:lvl>
  </w:abstractNum>
  <w:abstractNum w:abstractNumId="15">
    <w:nsid w:val="1F48EAA1"/>
    <w:multiLevelType w:val="hybridMultilevel"/>
    <w:lvl w:ilvl="0">
      <w:lvlJc w:val="left"/>
      <w:lvlText w:val="(%1)"/>
      <w:numFmt w:val="decimal"/>
      <w:start w:val="1"/>
    </w:lvl>
  </w:abstractNum>
  <w:abstractNum w:abstractNumId="16">
    <w:nsid w:val="1381823A"/>
    <w:multiLevelType w:val="hybridMultilevel"/>
    <w:lvl w:ilvl="0">
      <w:lvlJc w:val="left"/>
      <w:lvlText w:val="(%1)"/>
      <w:numFmt w:val="decimal"/>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1)"/>
      <w:numFmt w:val="lowerLetter"/>
      <w:start w:val="1"/>
    </w:lvl>
  </w:abstractNum>
  <w:abstractNum w:abstractNumId="19">
    <w:nsid w:val="6590700B"/>
    <w:multiLevelType w:val="hybridMultilevel"/>
    <w:lvl w:ilvl="0">
      <w:lvlJc w:val="left"/>
      <w:lvlText w:val="(%1)"/>
      <w:numFmt w:val="lowerLetter"/>
      <w:start w:val="2"/>
    </w:lvl>
  </w:abstractNum>
  <w:abstractNum w:abstractNumId="20">
    <w:nsid w:val="15014ACB"/>
    <w:multiLevelType w:val="hybridMultilevel"/>
    <w:lvl w:ilvl="0">
      <w:lvlJc w:val="left"/>
      <w:lvlText w:val="(%1)"/>
      <w:numFmt w:val="lowerLetter"/>
      <w:start w:val="1"/>
    </w:lvl>
  </w:abstractNum>
  <w:abstractNum w:abstractNumId="21">
    <w:nsid w:val="5F5E7FD0"/>
    <w:multiLevelType w:val="hybridMultilevel"/>
    <w:lvl w:ilvl="0">
      <w:lvlJc w:val="left"/>
      <w:lvlText w:val="(%1)"/>
      <w:numFmt w:val="lowerLetter"/>
      <w:start w:val="2"/>
    </w:lvl>
  </w:abstractNum>
  <w:abstractNum w:abstractNumId="22">
    <w:nsid w:val="98A3148"/>
    <w:multiLevelType w:val="hybridMultilevel"/>
    <w:lvl w:ilvl="0">
      <w:lvlJc w:val="left"/>
      <w:lvlText w:val="%1"/>
      <w:numFmt w:val="decimal"/>
      <w:start w:val="101"/>
    </w:lvl>
  </w:abstractNum>
  <w:abstractNum w:abstractNumId="23">
    <w:nsid w:val="799D0247"/>
    <w:multiLevelType w:val="hybridMultilevel"/>
    <w:lvl w:ilvl="0">
      <w:lvlJc w:val="left"/>
      <w:lvlText w:val="%1"/>
      <w:numFmt w:val="decimal"/>
      <w:start w:val="104"/>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1."/>
      <w:numFmt w:val="decimal"/>
      <w:start w:val="1"/>
    </w:lvl>
  </w:abstractNum>
  <w:abstractNum w:abstractNumId="27">
    <w:nsid w:val="1EBA5D23"/>
    <w:multiLevelType w:val="hybridMultilevel"/>
    <w:lvl w:ilvl="0">
      <w:lvlJc w:val="left"/>
      <w:lvlText w:val="%1."/>
      <w:numFmt w:val="decimal"/>
      <w:start w:val="2"/>
    </w:lvl>
  </w:abstractNum>
  <w:abstractNum w:abstractNumId="28">
    <w:nsid w:val="661E3F1E"/>
    <w:multiLevelType w:val="hybridMultilevel"/>
    <w:lvl w:ilvl="0">
      <w:lvlJc w:val="left"/>
      <w:lvlText w:val="%1."/>
      <w:numFmt w:val="decimal"/>
      <w:start w:val="4"/>
    </w:lvl>
  </w:abstractNum>
  <w:abstractNum w:abstractNumId="29">
    <w:nsid w:val="5DC79EA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0">
    <w:nsid w:val="540A471C"/>
    <w:multiLevelType w:val="hybridMultilevel"/>
    <w:lvl w:ilvl="0">
      <w:lvlJc w:val="left"/>
      <w:lvlText w:val="%1"/>
      <w:numFmt w:val="lowerLetter"/>
      <w:start w:val="1"/>
    </w:lvl>
    <w:lvl w:ilvl="1">
      <w:lvlJc w:val="left"/>
      <w:lvlText w:val="(%2)"/>
      <w:numFmt w:val="lowerRoman"/>
      <w:start w:val="3"/>
    </w:lvl>
  </w:abstractNum>
  <w:abstractNum w:abstractNumId="31">
    <w:nsid w:val="7BD3EE7B"/>
    <w:multiLevelType w:val="hybridMultilevel"/>
    <w:lvl w:ilvl="0">
      <w:lvlJc w:val="left"/>
      <w:lvlText w:val="(%1)"/>
      <w:numFmt w:val="lowerLetter"/>
      <w:start w:val="2"/>
    </w:lvl>
    <w:lvl w:ilvl="1">
      <w:lvlJc w:val="left"/>
      <w:lvlText w:val="%2"/>
      <w:numFmt w:val="lowerRoman"/>
      <w:start w:val="1"/>
    </w:lvl>
  </w:abstractNum>
  <w:abstractNum w:abstractNumId="32">
    <w:nsid w:val="51D9C564"/>
    <w:multiLevelType w:val="hybridMultilevel"/>
    <w:lvl w:ilvl="0">
      <w:lvlJc w:val="left"/>
      <w:lvlText w:val="(%1)"/>
      <w:numFmt w:val="lowerRoman"/>
      <w:start w:val="2"/>
    </w:lvl>
  </w:abstractNum>
  <w:abstractNum w:abstractNumId="33">
    <w:nsid w:val="613EFDC5"/>
    <w:multiLevelType w:val="hybridMultilevel"/>
    <w:lvl w:ilvl="0">
      <w:lvlJc w:val="left"/>
      <w:lvlText w:val="(%1)"/>
      <w:numFmt w:val="lowerLetter"/>
      <w:start w:val="1"/>
    </w:lvl>
  </w:abstractNum>
  <w:abstractNum w:abstractNumId="34">
    <w:nsid w:val="BF72B14"/>
    <w:multiLevelType w:val="hybridMultilevel"/>
    <w:lvl w:ilvl="0">
      <w:lvlJc w:val="left"/>
      <w:lvlText w:val="(%1)"/>
      <w:numFmt w:val="lowerLetter"/>
      <w:start w:val="4"/>
    </w:lvl>
  </w:abstractNum>
  <w:abstractNum w:abstractNumId="35">
    <w:nsid w:val="11447B7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6">
    <w:nsid w:val="42963E5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37">
    <w:nsid w:val="A0382C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8">
    <w:nsid w:val="8F2B15E"/>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2"/>
    </w:lvl>
  </w:abstractNum>
  <w:abstractNum w:abstractNumId="39">
    <w:nsid w:val="1A32234B"/>
    <w:multiLevelType w:val="hybridMultilevel"/>
    <w:lvl w:ilvl="0">
      <w:lvlJc w:val="left"/>
      <w:lvlText w:val="%1"/>
      <w:numFmt w:val="decimal"/>
      <w:start w:val="1"/>
    </w:lvl>
    <w:lvl w:ilvl="1">
      <w:lvlJc w:val="left"/>
      <w:lvlText w:val="(%2)"/>
      <w:numFmt w:val="lowerLetter"/>
      <w:start w:val="6"/>
    </w:lvl>
  </w:abstractNum>
  <w:abstractNum w:abstractNumId="40">
    <w:nsid w:val="3B0FD379"/>
    <w:multiLevelType w:val="hybridMultilevel"/>
    <w:lvl w:ilvl="0">
      <w:lvlJc w:val="left"/>
      <w:lvlText w:val="%1."/>
      <w:numFmt w:val="decimal"/>
      <w:start w:val="12"/>
    </w:lvl>
    <w:lvl w:ilvl="1">
      <w:lvlJc w:val="left"/>
      <w:lvlText w:val="%2"/>
      <w:numFmt w:val="lowerLetter"/>
      <w:start w:val="1"/>
    </w:lvl>
  </w:abstractNum>
  <w:abstractNum w:abstractNumId="41">
    <w:nsid w:val="68EB2F63"/>
    <w:multiLevelType w:val="hybridMultilevel"/>
    <w:lvl w:ilvl="0">
      <w:lvlJc w:val="left"/>
      <w:lvlText w:val="%1."/>
      <w:numFmt w:val="decimal"/>
      <w:start w:val="16"/>
    </w:lvl>
  </w:abstractNum>
  <w:abstractNum w:abstractNumId="42">
    <w:nsid w:val="4962813B"/>
    <w:multiLevelType w:val="hybridMultilevel"/>
    <w:lvl w:ilvl="0">
      <w:lvlJc w:val="left"/>
      <w:lvlText w:val="%1."/>
      <w:numFmt w:val="decimal"/>
      <w:start w:val="17"/>
    </w:lvl>
    <w:lvl w:ilvl="1">
      <w:lvlJc w:val="left"/>
      <w:lvlText w:val="(%2)"/>
      <w:numFmt w:val="lowerLetter"/>
      <w:start w:val="1"/>
    </w:lvl>
  </w:abstractNum>
  <w:abstractNum w:abstractNumId="43">
    <w:nsid w:val="60B6DF70"/>
    <w:multiLevelType w:val="hybridMultilevel"/>
    <w:lvl w:ilvl="0">
      <w:lvlJc w:val="left"/>
      <w:lvlText w:val="%1."/>
      <w:numFmt w:val="decimal"/>
      <w:start w:val="19"/>
    </w:lvl>
  </w:abstractNum>
  <w:abstractNum w:abstractNumId="44">
    <w:nsid w:val="6A5EE64"/>
    <w:multiLevelType w:val="hybridMultilevel"/>
    <w:lvl w:ilvl="0">
      <w:lvlJc w:val="left"/>
      <w:lvlText w:val="(%1)"/>
      <w:numFmt w:val="lowerLetter"/>
      <w:start w:val="2"/>
    </w:lvl>
  </w:abstractNum>
  <w:abstractNum w:abstractNumId="45">
    <w:nsid w:val="14330624"/>
    <w:multiLevelType w:val="hybridMultilevel"/>
    <w:lvl w:ilvl="0">
      <w:lvlJc w:val="left"/>
      <w:lvlText w:val="%1."/>
      <w:numFmt w:val="decimal"/>
      <w:start w:val="25"/>
    </w:lvl>
    <w:lvl w:ilvl="1">
      <w:lvlJc w:val="left"/>
      <w:lvlText w:val="(%2)"/>
      <w:numFmt w:val="lowerLetter"/>
      <w:start w:val="1"/>
    </w:lvl>
  </w:abstractNum>
  <w:abstractNum w:abstractNumId="46">
    <w:nsid w:val="7FFFCA11"/>
    <w:multiLevelType w:val="hybridMultilevel"/>
    <w:lvl w:ilvl="0">
      <w:lvlJc w:val="left"/>
      <w:lvlText w:val="%1"/>
      <w:numFmt w:val="decimal"/>
      <w:start w:val="1"/>
    </w:lvl>
    <w:lvl w:ilvl="1">
      <w:lvlJc w:val="left"/>
      <w:lvlText w:val="(%2)"/>
      <w:numFmt w:val="lowerLetter"/>
      <w:start w:val="6"/>
    </w:lvl>
  </w:abstractNum>
  <w:abstractNum w:abstractNumId="47">
    <w:nsid w:val="1A27709E"/>
    <w:multiLevelType w:val="hybridMultilevel"/>
    <w:lvl w:ilvl="0">
      <w:lvlJc w:val="left"/>
      <w:lvlText w:val="%1."/>
      <w:numFmt w:val="decimal"/>
      <w:start w:val="26"/>
    </w:lvl>
    <w:lvl w:ilvl="1">
      <w:lvlJc w:val="left"/>
      <w:lvlText w:val="%2"/>
      <w:numFmt w:val="lowerLetter"/>
      <w:start w:val="1"/>
    </w:lvl>
  </w:abstractNum>
  <w:abstractNum w:abstractNumId="48">
    <w:nsid w:val="71EA110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49">
    <w:nsid w:val="100F59D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50">
    <w:nsid w:val="7FB7E0AA"/>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51">
    <w:nsid w:val="6EB5BD4"/>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abstractNum>
  <w:abstractNum w:abstractNumId="52">
    <w:nsid w:val="6F6DD9AC"/>
    <w:multiLevelType w:val="hybridMultilevel"/>
    <w:lvl w:ilvl="0">
      <w:lvlJc w:val="left"/>
      <w:lvlText w:val="(%1)"/>
      <w:numFmt w:val="lowerRoman"/>
      <w:start w:val="5"/>
    </w:lvl>
  </w:abstractNum>
  <w:abstractNum w:abstractNumId="53">
    <w:nsid w:val="94211F2"/>
    <w:multiLevelType w:val="hybridMultilevel"/>
    <w:lvl w:ilvl="0">
      <w:lvlJc w:val="left"/>
      <w:lvlText w:val="%1."/>
      <w:numFmt w:val="decimal"/>
      <w:start w:val="2"/>
    </w:lvl>
  </w:abstractNum>
  <w:abstractNum w:abstractNumId="54">
    <w:nsid w:val="885E1B"/>
    <w:multiLevelType w:val="hybridMultilevel"/>
    <w:lvl w:ilvl="0">
      <w:lvlJc w:val="left"/>
      <w:lvlText w:val="%1."/>
      <w:numFmt w:val="decimal"/>
      <w:start w:val="7"/>
    </w:lvl>
  </w:abstractNum>
  <w:abstractNum w:abstractNumId="55">
    <w:nsid w:val="76272110"/>
    <w:multiLevelType w:val="hybridMultilevel"/>
    <w:lvl w:ilvl="0">
      <w:lvlJc w:val="left"/>
      <w:lvlText w:val="%1."/>
      <w:numFmt w:val="decimal"/>
      <w:start w:val="1"/>
    </w:lvl>
  </w:abstractNum>
  <w:abstractNum w:abstractNumId="56">
    <w:nsid w:val="4C04A8AF"/>
    <w:multiLevelType w:val="hybridMultilevel"/>
    <w:lvl w:ilvl="0">
      <w:lvlJc w:val="left"/>
      <w:lvlText w:val="%1."/>
      <w:numFmt w:val="decimal"/>
      <w:start w:val="2"/>
    </w:lvl>
  </w:abstractNum>
  <w:abstractNum w:abstractNumId="57">
    <w:nsid w:val="1716703B"/>
    <w:multiLevelType w:val="hybridMultilevel"/>
    <w:lvl w:ilvl="0">
      <w:lvlJc w:val="left"/>
      <w:lvlText w:val="%1."/>
      <w:numFmt w:val="decimal"/>
      <w:start w:val="4"/>
    </w:lvl>
  </w:abstractNum>
  <w:abstractNum w:abstractNumId="58">
    <w:nsid w:val="14E17E3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9">
    <w:nsid w:val="3222E7CD"/>
    <w:multiLevelType w:val="hybridMultilevel"/>
    <w:lvl w:ilvl="0">
      <w:lvlJc w:val="left"/>
      <w:lvlText w:val="%1"/>
      <w:numFmt w:val="lowerLetter"/>
      <w:start w:val="1"/>
    </w:lvl>
    <w:lvl w:ilvl="1">
      <w:lvlJc w:val="left"/>
      <w:lvlText w:val="(%2)"/>
      <w:numFmt w:val="lowerRoman"/>
      <w:start w:val="3"/>
    </w:lvl>
  </w:abstractNum>
  <w:abstractNum w:abstractNumId="60">
    <w:nsid w:val="74DE0EE3"/>
    <w:multiLevelType w:val="hybridMultilevel"/>
    <w:lvl w:ilvl="0">
      <w:lvlJc w:val="left"/>
      <w:lvlText w:val="(%1)"/>
      <w:numFmt w:val="lowerLetter"/>
      <w:start w:val="2"/>
    </w:lvl>
    <w:lvl w:ilvl="1">
      <w:lvlJc w:val="left"/>
      <w:lvlText w:val="%2"/>
      <w:numFmt w:val="lowerRoman"/>
      <w:start w:val="1"/>
    </w:lvl>
  </w:abstractNum>
  <w:abstractNum w:abstractNumId="61">
    <w:nsid w:val="68EBC550"/>
    <w:multiLevelType w:val="hybridMultilevel"/>
    <w:lvl w:ilvl="0">
      <w:lvlJc w:val="left"/>
      <w:lvlText w:val="(%1)"/>
      <w:numFmt w:val="lowerRoman"/>
      <w:start w:val="2"/>
    </w:lvl>
  </w:abstractNum>
  <w:abstractNum w:abstractNumId="62">
    <w:nsid w:val="2DF6D648"/>
    <w:multiLevelType w:val="hybridMultilevel"/>
    <w:lvl w:ilvl="0">
      <w:lvlJc w:val="left"/>
      <w:lvlText w:val="(%1)"/>
      <w:numFmt w:val="lowerLetter"/>
      <w:start w:val="1"/>
    </w:lvl>
  </w:abstractNum>
  <w:abstractNum w:abstractNumId="63">
    <w:nsid w:val="46B7D447"/>
    <w:multiLevelType w:val="hybridMultilevel"/>
    <w:lvl w:ilvl="0">
      <w:lvlJc w:val="left"/>
      <w:lvlText w:val="(%1)"/>
      <w:numFmt w:val="lowerLetter"/>
      <w:start w:val="4"/>
    </w:lvl>
  </w:abstractNum>
  <w:abstractNum w:abstractNumId="64">
    <w:nsid w:val="4A2AC31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5">
    <w:nsid w:val="39EE015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66">
    <w:nsid w:val="57FC4FB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7">
    <w:nsid w:val="CC1016F"/>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2"/>
    </w:lvl>
  </w:abstractNum>
  <w:abstractNum w:abstractNumId="68">
    <w:nsid w:val="43F18422"/>
    <w:multiLevelType w:val="hybridMultilevel"/>
    <w:lvl w:ilvl="0">
      <w:lvlJc w:val="left"/>
      <w:lvlText w:val="%1"/>
      <w:numFmt w:val="decimal"/>
      <w:start w:val="1"/>
    </w:lvl>
    <w:lvl w:ilvl="1">
      <w:lvlJc w:val="left"/>
      <w:lvlText w:val="(%2)"/>
      <w:numFmt w:val="lowerLetter"/>
      <w:start w:val="6"/>
    </w:lvl>
  </w:abstractNum>
  <w:abstractNum w:abstractNumId="69">
    <w:nsid w:val="60EF0119"/>
    <w:multiLevelType w:val="hybridMultilevel"/>
    <w:lvl w:ilvl="0">
      <w:lvlJc w:val="left"/>
      <w:lvlText w:val="%1."/>
      <w:numFmt w:val="decimal"/>
      <w:start w:val="12"/>
    </w:lvl>
    <w:lvl w:ilvl="1">
      <w:lvlJc w:val="left"/>
      <w:lvlText w:val="%2"/>
      <w:numFmt w:val="lowerLetter"/>
      <w:start w:val="1"/>
    </w:lvl>
  </w:abstractNum>
  <w:abstractNum w:abstractNumId="70">
    <w:nsid w:val="26F324BA"/>
    <w:multiLevelType w:val="hybridMultilevel"/>
    <w:lvl w:ilvl="0">
      <w:lvlJc w:val="left"/>
      <w:lvlText w:val="%1."/>
      <w:numFmt w:val="decimal"/>
      <w:start w:val="16"/>
    </w:lvl>
  </w:abstractNum>
  <w:abstractNum w:abstractNumId="71">
    <w:nsid w:val="7F01579B"/>
    <w:multiLevelType w:val="hybridMultilevel"/>
    <w:lvl w:ilvl="0">
      <w:lvlJc w:val="left"/>
      <w:lvlText w:val="%1."/>
      <w:numFmt w:val="decimal"/>
      <w:start w:val="17"/>
    </w:lvl>
    <w:lvl w:ilvl="1">
      <w:lvlJc w:val="left"/>
      <w:lvlText w:val="(%2)"/>
      <w:numFmt w:val="lowerLetter"/>
      <w:start w:val="1"/>
    </w:lvl>
  </w:abstractNum>
  <w:abstractNum w:abstractNumId="72">
    <w:nsid w:val="49DA307D"/>
    <w:multiLevelType w:val="hybridMultilevel"/>
    <w:lvl w:ilvl="0">
      <w:lvlJc w:val="left"/>
      <w:lvlText w:val="%1."/>
      <w:numFmt w:val="decimal"/>
      <w:start w:val="19"/>
    </w:lvl>
  </w:abstractNum>
  <w:abstractNum w:abstractNumId="73">
    <w:nsid w:val="7055A5F5"/>
    <w:multiLevelType w:val="hybridMultilevel"/>
    <w:lvl w:ilvl="0">
      <w:lvlJc w:val="left"/>
      <w:lvlText w:val="(%1)"/>
      <w:numFmt w:val="lowerLetter"/>
      <w:start w:val="2"/>
    </w:lvl>
  </w:abstractNum>
  <w:abstractNum w:abstractNumId="74">
    <w:nsid w:val="5FB8370B"/>
    <w:multiLevelType w:val="hybridMultilevel"/>
    <w:lvl w:ilvl="0">
      <w:lvlJc w:val="left"/>
      <w:lvlText w:val="%1."/>
      <w:numFmt w:val="decimal"/>
      <w:start w:val="25"/>
    </w:lvl>
    <w:lvl w:ilvl="1">
      <w:lvlJc w:val="left"/>
      <w:lvlText w:val="(%2)"/>
      <w:numFmt w:val="lowerLetter"/>
      <w:start w:val="1"/>
    </w:lvl>
  </w:abstractNum>
  <w:abstractNum w:abstractNumId="75">
    <w:nsid w:val="50801EE1"/>
    <w:multiLevelType w:val="hybridMultilevel"/>
    <w:lvl w:ilvl="0">
      <w:lvlJc w:val="left"/>
      <w:lvlText w:val="%1"/>
      <w:numFmt w:val="decimal"/>
      <w:start w:val="1"/>
    </w:lvl>
    <w:lvl w:ilvl="1">
      <w:lvlJc w:val="left"/>
      <w:lvlText w:val="(%2)"/>
      <w:numFmt w:val="lowerLetter"/>
      <w:start w:val="6"/>
    </w:lvl>
  </w:abstractNum>
  <w:abstractNum w:abstractNumId="76">
    <w:nsid w:val="488AC1A"/>
    <w:multiLevelType w:val="hybridMultilevel"/>
    <w:lvl w:ilvl="0">
      <w:lvlJc w:val="left"/>
      <w:lvlText w:val="%1."/>
      <w:numFmt w:val="decimal"/>
      <w:start w:val="26"/>
    </w:lvl>
    <w:lvl w:ilvl="1">
      <w:lvlJc w:val="left"/>
      <w:lvlText w:val="%2"/>
      <w:numFmt w:val="lowerLetter"/>
      <w:start w:val="1"/>
    </w:lvl>
  </w:abstractNum>
  <w:abstractNum w:abstractNumId="77">
    <w:nsid w:val="5FB8011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78">
    <w:nsid w:val="6AA78F7F"/>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79">
    <w:nsid w:val="7672BD23"/>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80">
    <w:nsid w:val="6FC75AF8"/>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abstractNum>
  <w:abstractNum w:abstractNumId="81">
    <w:nsid w:val="6A5F7029"/>
    <w:multiLevelType w:val="hybridMultilevel"/>
    <w:lvl w:ilvl="0">
      <w:lvlJc w:val="left"/>
      <w:lvlText w:val="(%1)"/>
      <w:numFmt w:val="lowerRoman"/>
      <w:start w:val="5"/>
    </w:lvl>
  </w:abstractNum>
  <w:abstractNum w:abstractNumId="82">
    <w:nsid w:val="7D5E18F8"/>
    <w:multiLevelType w:val="hybridMultilevel"/>
    <w:lvl w:ilvl="0">
      <w:lvlJc w:val="left"/>
      <w:lvlText w:val="%1."/>
      <w:numFmt w:val="decimal"/>
      <w:start w:val="2"/>
    </w:lvl>
  </w:abstractNum>
  <w:abstractNum w:abstractNumId="83">
    <w:nsid w:val="5F3534A4"/>
    <w:multiLevelType w:val="hybridMultilevel"/>
    <w:lvl w:ilvl="0">
      <w:lvlJc w:val="left"/>
      <w:lvlText w:val="%1."/>
      <w:numFmt w:val="decimal"/>
      <w:start w:val="7"/>
    </w:lvl>
  </w:abstractNum>
  <w:abstractNum w:abstractNumId="84">
    <w:nsid w:val="73A1821B"/>
    <w:multiLevelType w:val="hybridMultilevel"/>
    <w:lvl w:ilvl="0">
      <w:lvlJc w:val="left"/>
      <w:lvlText w:val="%1."/>
      <w:numFmt w:val="decimal"/>
      <w:start w:val="1"/>
    </w:lvl>
  </w:abstractNum>
  <w:abstractNum w:abstractNumId="85">
    <w:nsid w:val="7DE67713"/>
    <w:multiLevelType w:val="hybridMultilevel"/>
    <w:lvl w:ilvl="0">
      <w:lvlJc w:val="left"/>
      <w:lvlText w:val="%1."/>
      <w:numFmt w:val="decimal"/>
      <w:start w:val="2"/>
    </w:lvl>
  </w:abstractNum>
  <w:abstractNum w:abstractNumId="86">
    <w:nsid w:val="555C55B5"/>
    <w:multiLevelType w:val="hybridMultilevel"/>
    <w:lvl w:ilvl="0">
      <w:lvlJc w:val="left"/>
      <w:lvlText w:val="%1."/>
      <w:numFmt w:val="decimal"/>
      <w:start w:val="4"/>
    </w:lvl>
  </w:abstractNum>
  <w:abstractNum w:abstractNumId="87">
    <w:nsid w:val="3FA62A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8">
    <w:nsid w:val="14FCE74E"/>
    <w:multiLevelType w:val="hybridMultilevel"/>
    <w:lvl w:ilvl="0">
      <w:lvlJc w:val="left"/>
      <w:lvlText w:val="(%1)"/>
      <w:numFmt w:val="lowerRoman"/>
      <w:start w:val="3"/>
    </w:lvl>
  </w:abstractNum>
  <w:abstractNum w:abstractNumId="89">
    <w:nsid w:val="6A3DD3E8"/>
    <w:multiLevelType w:val="hybridMultilevel"/>
    <w:lvl w:ilvl="0">
      <w:lvlJc w:val="left"/>
      <w:lvlText w:val="(%1)"/>
      <w:numFmt w:val="lowerLetter"/>
      <w:start w:val="2"/>
    </w:lvl>
  </w:abstractNum>
  <w:abstractNum w:abstractNumId="90">
    <w:nsid w:val="71C91298"/>
    <w:multiLevelType w:val="hybridMultilevel"/>
    <w:lvl w:ilvl="0">
      <w:lvlJc w:val="left"/>
      <w:lvlText w:val="(%1)"/>
      <w:numFmt w:val="lowerRoman"/>
      <w:start w:val="1"/>
    </w:lvl>
  </w:abstractNum>
  <w:abstractNum w:abstractNumId="91">
    <w:nsid w:val="9DAF632"/>
    <w:multiLevelType w:val="hybridMultilevel"/>
    <w:lvl w:ilvl="0">
      <w:lvlJc w:val="left"/>
      <w:lvlText w:val="(%1)"/>
      <w:numFmt w:val="lowerLetter"/>
      <w:start w:val="1"/>
    </w:lvl>
  </w:abstractNum>
  <w:abstractNum w:abstractNumId="92">
    <w:nsid w:val="53299938"/>
    <w:multiLevelType w:val="hybridMultilevel"/>
    <w:lvl w:ilvl="0">
      <w:lvlJc w:val="left"/>
      <w:lvlText w:val="(%1)"/>
      <w:numFmt w:val="lowerLetter"/>
      <w:start w:val="3"/>
    </w:lvl>
  </w:abstractNum>
  <w:abstractNum w:abstractNumId="93">
    <w:nsid w:val="1FBFE8E0"/>
    <w:multiLevelType w:val="hybridMultilevel"/>
    <w:lvl w:ilvl="0">
      <w:lvlJc w:val="left"/>
      <w:lvlText w:val="%1."/>
      <w:numFmt w:val="decimal"/>
      <w:start w:val="9"/>
    </w:lvl>
    <w:lvl w:ilvl="1">
      <w:lvlJc w:val="left"/>
      <w:lvlText w:val="(%2)"/>
      <w:numFmt w:val="lowerLetter"/>
      <w:start w:val="1"/>
    </w:lvl>
  </w:abstractNum>
  <w:abstractNum w:abstractNumId="94">
    <w:nsid w:val="5092CA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95">
    <w:nsid w:val="1D545C4D"/>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96">
    <w:nsid w:val="59ADEA3D"/>
    <w:multiLevelType w:val="hybridMultilevel"/>
    <w:lvl w:ilvl="0">
      <w:lvlJc w:val="left"/>
      <w:lvlText w:val="(%1)"/>
      <w:numFmt w:val="lowerLetter"/>
      <w:start w:val="8"/>
    </w:lvl>
  </w:abstractNum>
  <w:abstractNum w:abstractNumId="97">
    <w:nsid w:val="288F1A34"/>
    <w:multiLevelType w:val="hybridMultilevel"/>
    <w:lvl w:ilvl="0">
      <w:lvlJc w:val="left"/>
      <w:lvlText w:val="%1."/>
      <w:numFmt w:val="decimal"/>
      <w:start w:val="12"/>
    </w:lvl>
  </w:abstractNum>
  <w:abstractNum w:abstractNumId="98">
    <w:nsid w:val="2A155DBC"/>
    <w:multiLevelType w:val="hybridMultilevel"/>
    <w:lvl w:ilvl="0">
      <w:lvlJc w:val="left"/>
      <w:lvlText w:val="%1."/>
      <w:numFmt w:val="decimal"/>
      <w:start w:val="17"/>
    </w:lvl>
    <w:lvl w:ilvl="1">
      <w:lvlJc w:val="left"/>
      <w:lvlText w:val="(%2)"/>
      <w:numFmt w:val="lowerLetter"/>
      <w:start w:val="1"/>
    </w:lvl>
  </w:abstractNum>
  <w:abstractNum w:abstractNumId="99">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00">
    <w:nsid w:val="97E1B4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01">
    <w:nsid w:val="51088277"/>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102">
    <w:nsid w:val="1CA0C5FA"/>
    <w:multiLevelType w:val="hybridMultilevel"/>
    <w:lvl w:ilvl="0">
      <w:lvlJc w:val="left"/>
      <w:lvlText w:val="%1."/>
      <w:numFmt w:val="decimal"/>
      <w:start w:val="19"/>
    </w:lvl>
  </w:abstractNum>
  <w:abstractNum w:abstractNumId="103">
    <w:nsid w:val="53584BCB"/>
    <w:multiLevelType w:val="hybridMultilevel"/>
    <w:lvl w:ilvl="0">
      <w:lvlJc w:val="left"/>
      <w:lvlText w:val="%1."/>
      <w:numFmt w:val="decimal"/>
      <w:start w:val="25"/>
    </w:lvl>
    <w:lvl w:ilvl="1">
      <w:lvlJc w:val="left"/>
      <w:lvlText w:val="(%2)"/>
      <w:numFmt w:val="lowerLetter"/>
      <w:start w:val="1"/>
    </w:lvl>
  </w:abstractNum>
  <w:abstractNum w:abstractNumId="104">
    <w:nsid w:val="415E286C"/>
    <w:multiLevelType w:val="hybridMultilevel"/>
    <w:lvl w:ilvl="0">
      <w:lvlJc w:val="left"/>
      <w:lvlText w:val="(%1)"/>
      <w:numFmt w:val="lowerLetter"/>
      <w:start w:val="2"/>
    </w:lvl>
  </w:abstractNum>
  <w:abstractNum w:abstractNumId="105">
    <w:nsid w:val="7C58FD05"/>
    <w:multiLevelType w:val="hybridMultilevel"/>
    <w:lvl w:ilvl="0">
      <w:lvlJc w:val="left"/>
      <w:lvlText w:val="(%1)"/>
      <w:numFmt w:val="lowerLetter"/>
      <w:start w:val="5"/>
    </w:lvl>
  </w:abstractNum>
  <w:abstractNum w:abstractNumId="106">
    <w:nsid w:val="23D86AAC"/>
    <w:multiLevelType w:val="hybridMultilevel"/>
    <w:lvl w:ilvl="0">
      <w:lvlJc w:val="left"/>
      <w:lvlText w:val="%1"/>
      <w:numFmt w:val="decimal"/>
      <w:start w:val="1"/>
    </w:lvl>
    <w:lvl w:ilvl="1">
      <w:lvlJc w:val="left"/>
      <w:lvlText w:val="(%2)"/>
      <w:numFmt w:val="lowerLetter"/>
      <w:start w:val="6"/>
    </w:lvl>
  </w:abstractNum>
  <w:abstractNum w:abstractNumId="107">
    <w:nsid w:val="45E6D486"/>
    <w:multiLevelType w:val="hybridMultilevel"/>
    <w:lvl w:ilvl="0">
      <w:lvlJc w:val="left"/>
      <w:lvlText w:val="%1."/>
      <w:numFmt w:val="decimal"/>
      <w:start w:val="26"/>
    </w:lvl>
    <w:lvl w:ilvl="1">
      <w:lvlJc w:val="left"/>
      <w:lvlText w:val="%2"/>
      <w:numFmt w:val="lowerLetter"/>
      <w:start w:val="1"/>
    </w:lvl>
  </w:abstractNum>
  <w:abstractNum w:abstractNumId="108">
    <w:nsid w:val="5C10FE21"/>
    <w:multiLevelType w:val="hybridMultilevel"/>
    <w:lvl w:ilvl="0">
      <w:lvlJc w:val="left"/>
      <w:lvlText w:val="%1."/>
      <w:numFmt w:val="decimal"/>
      <w:start w:val="30"/>
    </w:lvl>
  </w:abstractNum>
  <w:abstractNum w:abstractNumId="109">
    <w:nsid w:val="E7FFA2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35"/>
    </w:lvl>
  </w:abstractNum>
  <w:abstractNum w:abstractNumId="110">
    <w:nsid w:val="3C5991AA"/>
    <w:multiLevelType w:val="hybridMultilevel"/>
    <w:lvl w:ilvl="0">
      <w:lvlJc w:val="left"/>
      <w:lvlText w:val="%1"/>
      <w:numFmt w:val="lowerRoman"/>
      <w:start w:val="1"/>
    </w:lvl>
    <w:lvl w:ilvl="1">
      <w:lvlJc w:val="left"/>
      <w:lvlText w:val="(%2)"/>
      <w:numFmt w:val="lowerRoman"/>
      <w:start w:val="3"/>
    </w:lvl>
  </w:abstractNum>
  <w:abstractNum w:abstractNumId="111">
    <w:nsid w:val="4BD8591A"/>
    <w:multiLevelType w:val="hybridMultilevel"/>
    <w:lvl w:ilvl="0">
      <w:lvlJc w:val="left"/>
      <w:lvlText w:val="(%1)"/>
      <w:numFmt w:val="lowerRoman"/>
      <w:start w:val="4"/>
    </w:lvl>
    <w:lvl w:ilvl="1">
      <w:lvlJc w:val="left"/>
      <w:lvlText w:val="%2"/>
      <w:numFmt w:val="lowerRoman"/>
      <w:start w:val="1"/>
    </w:lvl>
  </w:abstractNum>
  <w:abstractNum w:abstractNumId="112">
    <w:nsid w:val="78DF6A55"/>
    <w:multiLevelType w:val="hybridMultilevel"/>
    <w:lvl w:ilvl="0">
      <w:lvlJc w:val="left"/>
      <w:lvlText w:val="(%1)"/>
      <w:numFmt w:val="lowerRoman"/>
      <w:start w:val="5"/>
    </w:lvl>
  </w:abstractNum>
  <w:abstractNum w:abstractNumId="113">
    <w:nsid w:val="39B7AAA2"/>
    <w:multiLevelType w:val="hybridMultilevel"/>
    <w:lvl w:ilvl="0">
      <w:lvlJc w:val="left"/>
      <w:lvlText w:val="%1."/>
      <w:numFmt w:val="decimal"/>
      <w:start w:val="2"/>
    </w:lvl>
  </w:abstractNum>
  <w:abstractNum w:abstractNumId="114">
    <w:nsid w:val="2B0D8DBE"/>
    <w:multiLevelType w:val="hybridMultilevel"/>
    <w:lvl w:ilvl="0">
      <w:lvlJc w:val="left"/>
      <w:lvlText w:val="%1."/>
      <w:numFmt w:val="decimal"/>
      <w:start w:val="7"/>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jpe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43" Type="http://schemas.openxmlformats.org/officeDocument/2006/relationships/hyperlink" Target="https://www.sec.gov/Archives/edgar/data/1677703/000167770323000054/ex21-assetpurchaseagreement.htm" TargetMode="External"/><Relationship Id="rId44" Type="http://schemas.openxmlformats.org/officeDocument/2006/relationships/hyperlink" Target="https://www.sec.gov/Archives/edgar/data/1677703/000167770324000116/exhibit22-projectbeijingxf.htm" TargetMode="External"/><Relationship Id="rId45" Type="http://schemas.openxmlformats.org/officeDocument/2006/relationships/hyperlink" Target="https://www.sec.gov/Archives/edgar/data/1677703/000119312516803247/d275811dex31.htm" TargetMode="External"/><Relationship Id="rId46" Type="http://schemas.openxmlformats.org/officeDocument/2006/relationships/hyperlink" Target="https://www.sec.gov/Archives/edgar/data/1677703/000167770323000065/cndt-ex32amendedbyxlaws.htm" TargetMode="External"/><Relationship Id="rId47" Type="http://schemas.openxmlformats.org/officeDocument/2006/relationships/hyperlink" Target="https://www.sec.gov/Archives/edgar/data/1677703/000114036126002237/ef20063381_ex10-1.htm" TargetMode="External"/><Relationship Id="rId48" Type="http://schemas.openxmlformats.org/officeDocument/2006/relationships/hyperlink" Target="https://www.sec.gov/Archives/edgar/data/1677703/000114036126002237/ef20063381_ex10-2.htm" TargetMode="External"/><Relationship Id="rId49" Type="http://schemas.openxmlformats.org/officeDocument/2006/relationships/hyperlink" Target="https://www.sec.gov/Archives/edgar/data/1677703/000114036126002237/ef2006338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2026-05-11T14:06:49Z</dcterms:created>
  <dcterms:modified xsi:type="dcterms:W3CDTF">2026-05-11T14:06:49Z</dcterms:modified>
</cp:coreProperties>
</file>