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August 10,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r>
        <w:rPr>
          <w:color w:val="000000"/>
        </w:rPr>
        <w:t xml:space="preserve">☐ </w:t>
      </w:r>
      <w:r>
        <w:rPr>
          <w:rFonts w:ascii="Arial;sans-serif" w:hAnsi="Arial;sans-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August 10, 2026, Conduent Incorporated (the "Company") released its second quarter 2026 financial results and is furnishing to the Securities and Exchange Commission (the "Commission") a copy of the financial results press release as Exhibit 99.1 to this Current Report on Form 8-K (this "Report") under Item 2.02 of Form 8-K.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contained in Item 2.02 of this Report and in Exhibit 99.1 shall not be deemed “filed” with the Commission for purposes of Section 18 of the Exchange Act of 1934, as amended, or otherwise subject to the liability of that section.</w:t>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On August 10, 2026, the Company conducted a financial results call regarding its 2026 second quarter results and is furnishing to the Commission a copy of the presentation used during the financial results call as Exhibit 99.2 to this Report under Item 7.01 of Form 8-K.</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 information contained in Item 7.01 of this Report and in Exhibit 99.2 to this Report shall not be deemed “filed” with the Commission for purposes of Section 18 of the Exchange Act of 1934, as amended, or otherwise subject to the liability of that section.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Exhibits.</w:t>
      </w:r>
    </w:p>
    <w:tbl>
      <w:tblPr>
        <w:tblW w:w="9177"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253"/>
        <w:gridCol w:w="2253"/>
        <w:gridCol w:w="31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cndtq22026ex991-pressrelea.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second quarter 2026 financial results press release dated August 10,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2-slidesxfinalforfil.htm">
              <w:r>
                <w:rPr>
                  <w:rStyle w:val="InternetLink"/>
                  <w:rFonts w:ascii="Arial;sans-serif" w:hAnsi="Arial;sans-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investor presentation dated August 10,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This Report and any exhibits to this Report may contain "forward-looking statements" as defined in the Private Securities Litigation Reform Act of 1995, as amended (the "Litigation Reform Act"). The words “anticipate,” “believe,” “estimate,” “expect,” "plan," “intend,” “will,” “aim,” “should,” “could,” “forecast,” “target,” “may,” "continue to,"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Should one or more of these risks or uncertainties materialize, or should underlying assumptions prove incorrect, actual results may vary materially from those expressed or implied in this Report, any exhibits to this Report and other public statements we make.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Important factors and uncertainties that could cause our actual results to differ materially from those in our forward-looking statements include, but are not limited to: risks related to recently announced divestitures including the sale of the Company’s (i) Public Transit business and (ii) Tolling business, including but not limited to our ability to realize the benefits anticipated from such transactions, as well as unexpected costs, liabilities or delays associated with such transactions; competitive restrictions applicable to the Company and its affiliates under the definitive transaction agreements; risks related to the equity interest in Quarterhill Inc. to be received as partial consideration in the Tolling transaction, including fluctuations in the value of such interest; government appropriations and termination rights contained in our government contracts; the impact of changes in government spending levels, budget priorities or efficiency initiatives, including federal cost-reduction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Condition and Results of Operations” section and other sections in our Annual Reports on Form 10-K, as well as in our Quarterly Reports on Form 10-Q and Current Reports on Form 8-K filed with or furnished to the Commission. Any forward-looking statements made by us in this Report speak only as of the date on which they are made. We are under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obligation to, and expressly disclaim any obligation to, update or alter our forward-looking statements, whether because of new information, subsequent events or otherwise, except as required by law.</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hereunto duly authorized.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Date: August 10, 2026 </w:t>
      </w:r>
    </w:p>
    <w:p>
      <w:pPr>
        <w:pStyle w:val="TextBody"/>
        <w:bidi w:val="0"/>
        <w:spacing w:lineRule="auto" w:line="288" w:before="240" w:after="283"/>
        <w:jc w:val="left"/>
        <w:rPr>
          <w:color w:val="000000"/>
        </w:rPr>
      </w:pPr>
      <w:r>
        <w:rPr>
          <w:color w:val="000000"/>
        </w:rPr>
        <w:t> </w:t>
      </w:r>
    </w:p>
    <w:tbl>
      <w:tblPr>
        <w:tblW w:w="5358" w:type="dxa"/>
        <w:jc w:val="left"/>
        <w:tblInd w:w="0" w:type="dxa"/>
        <w:tblLayout w:type="fixed"/>
        <w:tblCellMar>
          <w:top w:w="28" w:type="dxa"/>
          <w:left w:w="28" w:type="dxa"/>
          <w:bottom w:w="28" w:type="dxa"/>
          <w:right w:w="28" w:type="dxa"/>
        </w:tblCellMar>
      </w:tblPr>
      <w:tblGrid>
        <w:gridCol w:w="496"/>
        <w:gridCol w:w="436"/>
        <w:gridCol w:w="436"/>
        <w:gridCol w:w="1164"/>
        <w:gridCol w:w="1164"/>
        <w:gridCol w:w="1662"/>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5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GEORGE ABATE</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Accounting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drawing>
          <wp:inline distT="0" distB="0" distL="0" distR="0">
            <wp:extent cx="1257300" cy="3143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257300" cy="31432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News from Conduent</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7"/>
        </w:rPr>
      </w:pPr>
      <w:r>
        <w:rPr>
          <w:rFonts w:ascii="Arial;sans-serif" w:hAnsi="Arial;sans-serif"/>
          <w:b/>
          <w:color w:val="000000"/>
          <w:sz w:val="27"/>
        </w:rPr>
        <w:t>Conduent Reports Second Quarter 2026 Results and Advances Transformation Priorities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u w:val="single"/>
        </w:rPr>
      </w:pPr>
      <w:r>
        <w:rPr>
          <w:rFonts w:ascii="Arial;sans-serif" w:hAnsi="Arial;sans-serif"/>
          <w:b/>
          <w:color w:val="000000"/>
          <w:sz w:val="22"/>
          <w:u w:val="single"/>
        </w:rPr>
        <w:t>Key Q2 2026 Highlights</w:t>
      </w:r>
    </w:p>
    <w:p>
      <w:pPr>
        <w:pStyle w:val="TextBody"/>
        <w:bidi w:val="0"/>
        <w:spacing w:lineRule="auto" w:line="417" w:before="0" w:after="0"/>
        <w:ind w:left="0" w:right="0" w:hanging="360"/>
        <w:jc w:val="left"/>
        <w:rPr/>
      </w:pPr>
      <w:r>
        <w:rPr>
          <w:color w:val="242424"/>
          <w:shd w:fill="FFFFFF" w:val="clear"/>
        </w:rPr>
        <w:t>•</w:t>
      </w:r>
      <w:r>
        <w:rPr>
          <w:rFonts w:ascii="Arial;sans-serif" w:hAnsi="Arial;sans-serif"/>
          <w:b w:val="false"/>
          <w:color w:val="000000"/>
          <w:sz w:val="22"/>
        </w:rPr>
        <w:t>Signed divestitures expected to generate $234M in gross proceeds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Revenue: $531M from Continuing Operations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Pre-tax Income (Loss) from Continuing Operations: $(57)M</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 EBITDA from Continuing Operations</w:t>
      </w:r>
      <w:r>
        <w:rPr>
          <w:rFonts w:ascii="Arial;sans-serif" w:hAnsi="Arial;sans-serif"/>
          <w:b w:val="false"/>
          <w:color w:val="000000"/>
          <w:sz w:val="14"/>
        </w:rPr>
        <w:t xml:space="preserve">(1) </w:t>
      </w:r>
      <w:r>
        <w:rPr>
          <w:rFonts w:ascii="Arial;sans-serif" w:hAnsi="Arial;sans-serif"/>
          <w:b w:val="false"/>
          <w:color w:val="000000"/>
          <w:sz w:val="22"/>
        </w:rPr>
        <w:t>: $16M</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 EBITDA Margin from Continuing Operations</w:t>
      </w:r>
      <w:r>
        <w:rPr>
          <w:rFonts w:ascii="Arial;sans-serif" w:hAnsi="Arial;sans-serif"/>
          <w:b w:val="false"/>
          <w:color w:val="000000"/>
          <w:sz w:val="14"/>
        </w:rPr>
        <w:t>(1)</w:t>
      </w:r>
      <w:r>
        <w:rPr>
          <w:rFonts w:ascii="Arial;sans-serif" w:hAnsi="Arial;sans-serif"/>
          <w:b w:val="false"/>
          <w:color w:val="000000"/>
          <w:sz w:val="22"/>
        </w:rPr>
        <w:t>: 3.0%</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New Business Signings ACV from Continuing Operations</w:t>
      </w:r>
      <w:r>
        <w:rPr>
          <w:rFonts w:ascii="Arial;sans-serif" w:hAnsi="Arial;sans-serif"/>
          <w:b w:val="false"/>
          <w:color w:val="000000"/>
          <w:sz w:val="14"/>
        </w:rPr>
        <w:t>(2)</w:t>
      </w:r>
      <w:r>
        <w:rPr>
          <w:rFonts w:ascii="Arial;sans-serif" w:hAnsi="Arial;sans-serif"/>
          <w:b w:val="false"/>
          <w:color w:val="000000"/>
          <w:sz w:val="22"/>
        </w:rPr>
        <w:t>: $99M</w:t>
      </w:r>
    </w:p>
    <w:p>
      <w:pPr>
        <w:pStyle w:val="TextBody"/>
        <w:bidi w:val="0"/>
        <w:spacing w:before="0" w:after="0"/>
        <w:jc w:val="left"/>
        <w:rPr/>
      </w:pPr>
      <w:r>
        <w:rPr/>
      </w:r>
    </w:p>
    <w:p>
      <w:pPr>
        <w:pStyle w:val="TextBody"/>
        <w:bidi w:val="0"/>
        <w:spacing w:lineRule="auto" w:line="417" w:before="0" w:after="120"/>
        <w:jc w:val="left"/>
        <w:rPr>
          <w:rFonts w:ascii="Arial;sans-serif" w:hAnsi="Arial;sans-serif"/>
          <w:b w:val="false"/>
          <w:color w:val="000000"/>
          <w:sz w:val="22"/>
        </w:rPr>
      </w:pPr>
      <w:r>
        <w:rPr>
          <w:rFonts w:ascii="Arial;sans-serif" w:hAnsi="Arial;sans-serif"/>
          <w:b w:val="false"/>
          <w:color w:val="000000"/>
          <w:sz w:val="22"/>
        </w:rPr>
        <w:t>FLORHAM PARK, NJ, August 10, 2026 - Conduent Incorporated (Nasdaq: CNDT), a global technology-driven business process solutions and services company, today announced its second quarter 2026 financial results.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Harsha V. Agadi, Chief Executive Officer, stated: “Six months into our transformation, we are making significant progress against the priorities we established at the beginning of the year. We are simplifying the organization, strengthening financial discipline and taking structural costs out of the business, while making good progress against our approximately $100 million annualized cost-savings program. </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We also took significant steps this quarter to reshape our portfolio and sharpen our focus on the markets where we believe Conduent is best positioned to compete and grow. The announced sales of our Transit and Tolling businesses are expected to generate approximately $234 million in gross proceeds, plus a 7% equity interest in the Tolling buyer, exceeding the commitment we made in the first quarter to generate at least $200 million through portfolio actions. We intend to use the majority of these proceeds to reduce debt and further strengthen our balance sheet."</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At the same time, we are seeing encouraging momentum in our go-to-market execution. Our qualified new business pipeline continues to grow, supported by new wins and expansions across both Commercial and Government. We are also investing in our go-forward portfolio and differentiated technology capabilities, including AI, to help clients modernize complex, mission-critical operations and position Conduent to capture opportunities in the large and growing markets we serve."</w:t>
      </w:r>
    </w:p>
    <w:p>
      <w:pPr>
        <w:pStyle w:val="TextBody"/>
        <w:bidi w:val="0"/>
        <w:spacing w:before="0" w:after="0"/>
        <w:jc w:val="left"/>
        <w:rPr/>
      </w:pPr>
      <w:r>
        <w:rPr/>
      </w:r>
    </w:p>
    <w:p>
      <w:pPr>
        <w:pStyle w:val="TextBody"/>
        <w:bidi w:val="0"/>
        <w:spacing w:lineRule="auto" w:line="417"/>
        <w:jc w:val="left"/>
        <w:rPr>
          <w:color w:val="000000"/>
        </w:rPr>
      </w:pPr>
      <w:r>
        <w:rPr>
          <w:color w:val="000000"/>
        </w:rPr>
        <w:t>“</w:t>
      </w:r>
      <w:r>
        <w:rPr>
          <w:rFonts w:ascii="Arial;sans-serif" w:hAnsi="Arial;sans-serif"/>
          <w:b w:val="false"/>
          <w:color w:val="000000"/>
          <w:sz w:val="22"/>
        </w:rPr>
        <w:t xml:space="preserve">While our second-quarter financial results do not yet reflect the full impact of the actions underway, we are building a simpler, more focused and higher-performing Conduent. We remain focused on disciplined </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execution, converting our pipeline into profitable growth, and building a stronger cost structure. I am confident that the actions we are taking today position us to improve financial performance and create sustainable, long-term value for our clients and shareholders.”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u w:val="single"/>
        </w:rPr>
      </w:pPr>
      <w:r>
        <w:rPr>
          <w:rFonts w:ascii="Arial;sans-serif" w:hAnsi="Arial;sans-serif"/>
          <w:b/>
          <w:color w:val="000000"/>
          <w:sz w:val="22"/>
          <w:u w:val="single"/>
        </w:rPr>
        <w:t>Key Financial Q2 2026 Results</w:t>
      </w:r>
    </w:p>
    <w:tbl>
      <w:tblPr>
        <w:tblW w:w="10205" w:type="dxa"/>
        <w:jc w:val="left"/>
        <w:tblInd w:w="0" w:type="dxa"/>
        <w:tblLayout w:type="fixed"/>
        <w:tblCellMar>
          <w:top w:w="28" w:type="dxa"/>
          <w:left w:w="28" w:type="dxa"/>
          <w:bottom w:w="28" w:type="dxa"/>
          <w:right w:w="28" w:type="dxa"/>
        </w:tblCellMar>
      </w:tblPr>
      <w:tblGrid>
        <w:gridCol w:w="2026"/>
        <w:gridCol w:w="1767"/>
        <w:gridCol w:w="1777"/>
        <w:gridCol w:w="279"/>
        <w:gridCol w:w="269"/>
        <w:gridCol w:w="269"/>
        <w:gridCol w:w="279"/>
        <w:gridCol w:w="269"/>
        <w:gridCol w:w="269"/>
        <w:gridCol w:w="765"/>
        <w:gridCol w:w="765"/>
        <w:gridCol w:w="768"/>
        <w:gridCol w:w="109"/>
        <w:gridCol w:w="109"/>
        <w:gridCol w:w="109"/>
        <w:gridCol w:w="109"/>
        <w:gridCol w:w="109"/>
        <w:gridCol w:w="158"/>
      </w:tblGrid>
      <w:tr>
        <w:trPr/>
        <w:tc>
          <w:tcPr>
            <w:tcW w:w="202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12" w:space="0" w:color="000000"/>
              <w:left w:val="single" w:sz="12" w:space="0" w:color="000000"/>
            </w:tcBorders>
            <w:shd w:fill="002855" w:val="clear"/>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 in millions, except margin and per share data)</w:t>
            </w:r>
          </w:p>
        </w:tc>
        <w:tc>
          <w:tcPr>
            <w:tcW w:w="817" w:type="dxa"/>
            <w:gridSpan w:val="3"/>
            <w:tcBorders>
              <w:top w:val="single" w:sz="12" w:space="0" w:color="000000"/>
              <w:left w:val="single" w:sz="8" w:space="0" w:color="B2B2B2"/>
            </w:tcBorders>
            <w:shd w:fill="002855" w:val="clear"/>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Q2 2026</w:t>
            </w:r>
          </w:p>
        </w:tc>
        <w:tc>
          <w:tcPr>
            <w:tcW w:w="817" w:type="dxa"/>
            <w:gridSpan w:val="3"/>
            <w:tcBorders>
              <w:top w:val="single" w:sz="12" w:space="0" w:color="000000"/>
              <w:left w:val="single" w:sz="8" w:space="0" w:color="B2B2B2"/>
            </w:tcBorders>
            <w:shd w:fill="002855" w:val="clear"/>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Q2 2025</w:t>
            </w:r>
          </w:p>
        </w:tc>
        <w:tc>
          <w:tcPr>
            <w:tcW w:w="2298" w:type="dxa"/>
            <w:gridSpan w:val="3"/>
            <w:tcBorders>
              <w:top w:val="single" w:sz="12" w:space="0" w:color="000000"/>
              <w:left w:val="single" w:sz="8" w:space="0" w:color="B2B2B2"/>
              <w:right w:val="single" w:sz="12" w:space="0" w:color="000000"/>
            </w:tcBorders>
            <w:shd w:fill="002855" w:val="clear"/>
            <w:tcMar>
              <w:top w:w="52"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Current Quarter Y/Y B/(W)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$531</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$603</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22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$(116)</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 from Continuing Operations</w:t>
            </w:r>
            <w:r>
              <w:rPr>
                <w:rFonts w:ascii="Arial;sans-serif" w:hAnsi="Arial;sans-serif"/>
                <w:b w:val="false"/>
                <w:color w:val="000000"/>
                <w:sz w:val="13"/>
              </w:rPr>
              <w:t>(1)</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$16</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 Margin from Continuing Operations</w:t>
            </w:r>
            <w:r>
              <w:rPr>
                <w:rFonts w:ascii="Arial;sans-serif" w:hAnsi="Arial;sans-serif"/>
                <w:b w:val="false"/>
                <w:color w:val="000000"/>
                <w:sz w:val="13"/>
              </w:rPr>
              <w:t>(1)</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Income (Loss) Before Income Tax from Continuing Operations</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EPS from Continuing Operations</w:t>
            </w:r>
          </w:p>
        </w:tc>
        <w:tc>
          <w:tcPr>
            <w:tcW w:w="817"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$(0.46)</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$(0.27)</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Diluted EPS from Continuing Operations</w:t>
            </w:r>
            <w:r>
              <w:rPr>
                <w:rFonts w:ascii="Arial;sans-serif" w:hAnsi="Arial;sans-serif"/>
                <w:b w:val="false"/>
                <w:color w:val="000000"/>
                <w:sz w:val="13"/>
              </w:rPr>
              <w:t>(1)</w:t>
            </w:r>
          </w:p>
        </w:tc>
        <w:tc>
          <w:tcPr>
            <w:tcW w:w="817"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$(0.18)</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$(0.16)</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Operating Activities</w:t>
            </w:r>
          </w:p>
        </w:tc>
        <w:tc>
          <w:tcPr>
            <w:tcW w:w="817" w:type="dxa"/>
            <w:gridSpan w:val="3"/>
            <w:tcBorders>
              <w:top w:val="single" w:sz="8" w:space="0" w:color="B6B6B6"/>
            </w:tcBorders>
            <w:shd w:fill="FFFFFF" w:val="clear"/>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817"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2298" w:type="dxa"/>
            <w:gridSpan w:val="3"/>
            <w:tcBorders>
              <w:top w:val="single" w:sz="8" w:space="0" w:color="B6B6B6"/>
              <w:right w:val="single" w:sz="12" w:space="0" w:color="000000"/>
            </w:tcBorders>
            <w:shd w:fill="DBDBDB"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0" w:type="dxa"/>
            <w:gridSpan w:val="3"/>
            <w:tcBorders>
              <w:top w:val="single" w:sz="8" w:space="0" w:color="B6B6B6"/>
              <w:left w:val="single" w:sz="12" w:space="0" w:color="000000"/>
              <w:bottom w:val="single" w:sz="12" w:space="0" w:color="000000"/>
            </w:tcBorders>
            <w:shd w:fill="FFFFFF" w:val="clear"/>
            <w:tcMar>
              <w:top w:w="52"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Free Cash Flow</w:t>
            </w:r>
            <w:r>
              <w:rPr>
                <w:rFonts w:ascii="Arial;sans-serif" w:hAnsi="Arial;sans-serif"/>
                <w:b w:val="false"/>
                <w:color w:val="000000"/>
                <w:sz w:val="13"/>
              </w:rPr>
              <w:t>(1)</w:t>
            </w:r>
          </w:p>
        </w:tc>
        <w:tc>
          <w:tcPr>
            <w:tcW w:w="817" w:type="dxa"/>
            <w:gridSpan w:val="3"/>
            <w:tcBorders>
              <w:top w:val="single" w:sz="8" w:space="0" w:color="B6B6B6"/>
              <w:bottom w:val="single" w:sz="12" w:space="0" w:color="000000"/>
            </w:tcBorders>
            <w:tcMar>
              <w:top w:w="52" w:type="dxa"/>
              <w:left w:w="0" w:type="dxa"/>
              <w:bottom w:w="3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817" w:type="dxa"/>
            <w:gridSpan w:val="3"/>
            <w:tcBorders>
              <w:top w:val="single" w:sz="8" w:space="0" w:color="B6B6B6"/>
              <w:bottom w:val="single" w:sz="12" w:space="0" w:color="000000"/>
            </w:tcBorders>
            <w:tcMar>
              <w:top w:w="52" w:type="dxa"/>
              <w:left w:w="0" w:type="dxa"/>
              <w:bottom w:w="30" w:type="dxa"/>
              <w:right w:w="0" w:type="dxa"/>
            </w:tcMar>
            <w:vAlign w:val="center"/>
          </w:tcPr>
          <w:p>
            <w:pPr>
              <w:pStyle w:val="TableContents"/>
              <w:bidi w:val="0"/>
              <w:spacing w:lineRule="auto" w:line="417"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2298" w:type="dxa"/>
            <w:gridSpan w:val="3"/>
            <w:tcBorders>
              <w:top w:val="single" w:sz="8" w:space="0" w:color="B6B6B6"/>
              <w:bottom w:val="single" w:sz="12" w:space="0" w:color="000000"/>
              <w:right w:val="single" w:sz="12" w:space="0" w:color="000000"/>
            </w:tcBorders>
            <w:shd w:fill="DBDBDB" w:val="clear"/>
            <w:tcMar>
              <w:top w:w="52"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0" w:after="0"/>
        <w:jc w:val="left"/>
        <w:rPr>
          <w:rFonts w:ascii="Arial;sans-serif" w:hAnsi="Arial;sans-serif"/>
          <w:b/>
          <w:color w:val="000000"/>
          <w:sz w:val="22"/>
          <w:u w:val="single"/>
        </w:rPr>
      </w:pPr>
      <w:r>
        <w:rPr>
          <w:rFonts w:ascii="Arial;sans-serif" w:hAnsi="Arial;sans-serif"/>
          <w:b/>
          <w:color w:val="000000"/>
          <w:sz w:val="22"/>
          <w:u w:val="single"/>
        </w:rPr>
        <w:t>Performance Commentary</w:t>
      </w:r>
    </w:p>
    <w:p>
      <w:pPr>
        <w:pStyle w:val="TextBody"/>
        <w:bidi w:val="0"/>
        <w:spacing w:lineRule="auto" w:line="417" w:before="0" w:after="120"/>
        <w:jc w:val="left"/>
        <w:rPr>
          <w:rFonts w:ascii="Arial;sans-serif" w:hAnsi="Arial;sans-serif"/>
          <w:b w:val="false"/>
          <w:color w:val="000000"/>
          <w:sz w:val="22"/>
        </w:rPr>
      </w:pPr>
      <w:r>
        <w:rPr>
          <w:rFonts w:ascii="Arial;sans-serif" w:hAnsi="Arial;sans-serif"/>
          <w:b w:val="false"/>
          <w:color w:val="000000"/>
          <w:sz w:val="22"/>
        </w:rPr>
        <w:t>Cash flow from operating activities improved by $22 million year</w:t>
        <w:noBreakHyphen/>
        <w:t>over</w:t>
        <w:noBreakHyphen/>
        <w:t>year, primarily due to favorable working capital results, which included, among other things, the effects of the realization of some of our long-term projects in the Government and former Transportation segments.</w:t>
      </w:r>
    </w:p>
    <w:p>
      <w:pPr>
        <w:pStyle w:val="TextBody"/>
        <w:bidi w:val="0"/>
        <w:spacing w:lineRule="auto" w:line="417" w:before="0" w:after="120"/>
        <w:jc w:val="left"/>
        <w:rPr>
          <w:rFonts w:ascii="Arial;sans-serif" w:hAnsi="Arial;sans-serif"/>
          <w:b w:val="false"/>
          <w:color w:val="000000"/>
          <w:sz w:val="22"/>
        </w:rPr>
      </w:pPr>
      <w:r>
        <w:rPr>
          <w:rFonts w:ascii="Arial;sans-serif" w:hAnsi="Arial;sans-serif"/>
          <w:b w:val="false"/>
          <w:color w:val="000000"/>
          <w:sz w:val="22"/>
        </w:rPr>
        <w:t>Q2 2026 pre-tax income (loss) from continuing operations was $(57) million versus $(43) million in the prior year period. This unfavorable variance was primarily caused by higher restructuring-related costs in the current year related to our transformation plan.</w:t>
      </w:r>
    </w:p>
    <w:p>
      <w:pPr>
        <w:pStyle w:val="TextBody"/>
        <w:bidi w:val="0"/>
        <w:spacing w:lineRule="auto" w:line="417" w:before="0" w:after="120"/>
        <w:jc w:val="left"/>
        <w:rPr>
          <w:rFonts w:ascii="Arial;sans-serif" w:hAnsi="Arial;sans-serif"/>
          <w:b w:val="false"/>
          <w:color w:val="000000"/>
          <w:sz w:val="22"/>
        </w:rPr>
      </w:pPr>
      <w:r>
        <w:rPr>
          <w:rFonts w:ascii="Arial;sans-serif" w:hAnsi="Arial;sans-serif"/>
          <w:b w:val="false"/>
          <w:color w:val="000000"/>
          <w:sz w:val="22"/>
        </w:rPr>
        <w:t>Q2 2026 Adjusted EBITDA of $16 million and Adjusted EBITDA margin of 3.0% decreased, respectively, versus the prior year, due to lower profitability in our Government segment.</w:t>
      </w:r>
    </w:p>
    <w:p>
      <w:pPr>
        <w:pStyle w:val="TextBody"/>
        <w:bidi w:val="0"/>
        <w:spacing w:lineRule="auto" w:line="556" w:before="120" w:after="283"/>
        <w:ind w:left="0" w:right="0" w:hanging="180"/>
        <w:jc w:val="left"/>
        <w:rPr>
          <w:rFonts w:ascii="Arial;sans-serif" w:hAnsi="Arial;sans-serif"/>
          <w:b/>
          <w:color w:val="000000"/>
          <w:sz w:val="22"/>
          <w:u w:val="single"/>
        </w:rPr>
      </w:pPr>
      <w:r>
        <w:rPr>
          <w:rFonts w:ascii="Arial;sans-serif" w:hAnsi="Arial;sans-serif"/>
          <w:b/>
          <w:color w:val="000000"/>
          <w:sz w:val="22"/>
          <w:u w:val="single"/>
        </w:rPr>
        <w:t>Key Achievements and Industry Accolades</w:t>
      </w:r>
    </w:p>
    <w:p>
      <w:pPr>
        <w:pStyle w:val="TextBody"/>
        <w:bidi w:val="0"/>
        <w:spacing w:lineRule="auto" w:line="417" w:before="120" w:after="283"/>
        <w:jc w:val="left"/>
        <w:rPr>
          <w:rFonts w:ascii="Arial;sans-serif" w:hAnsi="Arial;sans-serif"/>
          <w:b/>
          <w:color w:val="000000"/>
          <w:sz w:val="22"/>
        </w:rPr>
      </w:pPr>
      <w:r>
        <w:rPr>
          <w:rFonts w:ascii="Arial;sans-serif" w:hAnsi="Arial;sans-serif"/>
          <w:b/>
          <w:color w:val="000000"/>
          <w:sz w:val="22"/>
        </w:rPr>
        <w:t>Portfolio Optimization &amp; Strategic Transformation</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Entered into agreements to sell the Public Transit business to Modaxo for $164 million and the Tolling business to Quarterhill Inc. for $70 million, plus a 7% equity interest in Quarterhill, further simplifying Conduent's portfolio, strengthening financial flexibility and increasing focus on core growth opportunities.</w:t>
      </w:r>
    </w:p>
    <w:p>
      <w:pPr>
        <w:pStyle w:val="TextBody"/>
        <w:bidi w:val="0"/>
        <w:spacing w:lineRule="auto" w:line="417" w:before="120" w:after="283"/>
        <w:jc w:val="left"/>
        <w:rPr>
          <w:rFonts w:ascii="Arial;sans-serif" w:hAnsi="Arial;sans-serif"/>
          <w:b/>
          <w:color w:val="000000"/>
          <w:sz w:val="22"/>
        </w:rPr>
      </w:pPr>
      <w:r>
        <w:rPr>
          <w:rFonts w:ascii="Arial;sans-serif" w:hAnsi="Arial;sans-serif"/>
          <w:b/>
          <w:color w:val="000000"/>
          <w:sz w:val="22"/>
        </w:rPr>
        <w:t>Business Execution &amp; Contract Wins</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Signed a pension risk transfer administration engagement with Securian, expanding Conduent's retirement administration capabilities.</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Selected by Trillium Health Resources to deploy the Health Services Plus platform for claims processing, provider data management, and member services.</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Implemented a modernized Medicaid platform for the State of New Mexico, replacing a 24-year-old legacy system and supporting approximately 900,000 Medicaid members.</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Awarded a multi-year contract renewal by the Commonwealth of Virginia to continue operating and modernizing its Medicaid platform, serving approximately 1.6 million members.</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Expanded the EBT EMV implementation following the Alabama rollout, with four states expected to be live with chip-enabled EBT cards by year-end 2026, helping strengthen payment security and protect beneficiaries from card fraud.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Innovation &amp; Technology Investment</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Introduced an AI-powered next-generation Customer Experience platform featuring real-time translation, AI-assisted training, and voice enhancement capabilities to improve customer experiences and agent performance.</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Investing in next-generation Medicaid technology to modernize provider enrollment and management, with the first client implementation planned for a U.S. state, expanding Conduent's Government Healthcare capabilities and supporting continued modernization of state Medicaid programs.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Leadership &amp; Governance</w:t>
      </w:r>
    </w:p>
    <w:p>
      <w:pPr>
        <w:pStyle w:val="TextBody"/>
        <w:bidi w:val="0"/>
        <w:spacing w:lineRule="auto" w:line="336" w:before="120" w:after="283"/>
        <w:ind w:left="0" w:right="0" w:hanging="360"/>
        <w:jc w:val="left"/>
        <w:rPr/>
      </w:pPr>
      <w:r>
        <w:rPr>
          <w:color w:val="000000"/>
        </w:rPr>
        <w:t>•</w:t>
      </w:r>
      <w:r>
        <w:rPr>
          <w:rFonts w:ascii="Arial;sans-serif" w:hAnsi="Arial;sans-serif"/>
          <w:b w:val="false"/>
          <w:color w:val="000000"/>
          <w:sz w:val="22"/>
        </w:rPr>
        <w:t>Appointed Adam Demuyakor to the Board of Directors, adding expertise in artificial intelligence, digital transformation, innovation and enterprise technology.</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36" w:before="120" w:after="283"/>
        <w:jc w:val="center"/>
        <w:rPr/>
      </w:pPr>
      <w:r>
        <w:rPr>
          <w:rFonts w:ascii="Arial;sans-serif" w:hAnsi="Arial;sans-serif"/>
          <w:b/>
          <w:color w:val="000000"/>
          <w:sz w:val="22"/>
          <w:u w:val="single"/>
        </w:rPr>
        <w:t>FY 2026 Outlook</w:t>
      </w:r>
      <w:r>
        <w:rPr>
          <w:rFonts w:ascii="Arial;sans-serif" w:hAnsi="Arial;sans-serif"/>
          <w:b w:val="false"/>
          <w:color w:val="000000"/>
          <w:sz w:val="10"/>
        </w:rPr>
        <w:t>(3)</w:t>
      </w:r>
    </w:p>
    <w:tbl>
      <w:tblPr>
        <w:tblW w:w="6739" w:type="dxa"/>
        <w:jc w:val="center"/>
        <w:tblInd w:w="0" w:type="dxa"/>
        <w:tblLayout w:type="fixed"/>
        <w:tblCellMar>
          <w:top w:w="28" w:type="dxa"/>
          <w:left w:w="28" w:type="dxa"/>
          <w:bottom w:w="28" w:type="dxa"/>
          <w:right w:w="28" w:type="dxa"/>
        </w:tblCellMar>
      </w:tblPr>
      <w:tblGrid>
        <w:gridCol w:w="1614"/>
        <w:gridCol w:w="1414"/>
        <w:gridCol w:w="1427"/>
        <w:gridCol w:w="109"/>
        <w:gridCol w:w="109"/>
        <w:gridCol w:w="109"/>
        <w:gridCol w:w="562"/>
        <w:gridCol w:w="562"/>
        <w:gridCol w:w="570"/>
        <w:gridCol w:w="109"/>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left w:val="single" w:sz="8" w:space="0" w:color="000000"/>
            </w:tcBorders>
            <w:shd w:fill="00285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2" w:space="0" w:color="6D6D6D"/>
              <w:right w:val="single" w:sz="8" w:space="0" w:color="000000"/>
            </w:tcBorders>
            <w:shd w:fill="002855" w:val="clear"/>
            <w:tcMar>
              <w:top w:w="52" w:type="dxa"/>
              <w:bottom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 xml:space="preserve">FY 2026 </w:t>
            </w:r>
          </w:p>
          <w:p>
            <w:pPr>
              <w:pStyle w:val="TableContents"/>
              <w:bidi w:val="0"/>
              <w:spacing w:lineRule="auto" w:line="240" w:before="0" w:after="0"/>
              <w:jc w:val="center"/>
              <w:rPr/>
            </w:pPr>
            <w:r>
              <w:rPr>
                <w:rFonts w:ascii="Arial;sans-serif" w:hAnsi="Arial;sans-serif"/>
                <w:b/>
                <w:color w:val="FFFFFF"/>
                <w:sz w:val="18"/>
              </w:rPr>
              <w:t>Outlook</w:t>
            </w:r>
            <w:r>
              <w:rPr>
                <w:rFonts w:ascii="Arial;sans-serif" w:hAnsi="Arial;sans-serif"/>
                <w:b/>
                <w:color w:val="FFFFFF"/>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left w:val="single" w:sz="8" w:space="0" w:color="000000"/>
            </w:tcBorders>
            <w:shd w:fill="DADDDC" w:val="clear"/>
            <w:tcMar>
              <w:top w:w="52" w:type="dxa"/>
              <w:bottom w:w="0" w:type="dxa"/>
              <w:right w:w="0" w:type="dxa"/>
            </w:tcMar>
            <w:vAlign w:val="center"/>
          </w:tcPr>
          <w:p>
            <w:pPr>
              <w:pStyle w:val="TableContents"/>
              <w:bidi w:val="0"/>
              <w:spacing w:lineRule="auto" w:line="288" w:before="0" w:after="283"/>
              <w:jc w:val="left"/>
              <w:rPr>
                <w:rFonts w:ascii="Arial;sans-serif" w:hAnsi="Arial;sans-serif"/>
                <w:b/>
                <w:color w:val="002855"/>
                <w:sz w:val="20"/>
              </w:rPr>
            </w:pPr>
            <w:r>
              <w:rPr>
                <w:rFonts w:ascii="Arial;sans-serif" w:hAnsi="Arial;sans-serif"/>
                <w:b/>
                <w:color w:val="002855"/>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2" w:space="0" w:color="6D6D6D"/>
              <w:right w:val="single" w:sz="8" w:space="0" w:color="000000"/>
            </w:tcBorders>
            <w:shd w:fill="DADDDC" w:val="clear"/>
            <w:tcMar>
              <w:top w:w="52" w:type="dxa"/>
              <w:bottom w:w="0" w:type="dxa"/>
            </w:tcMar>
            <w:vAlign w:val="center"/>
          </w:tcPr>
          <w:p>
            <w:pPr>
              <w:pStyle w:val="TableContents"/>
              <w:bidi w:val="0"/>
              <w:spacing w:lineRule="auto" w:line="240" w:before="0" w:after="283"/>
              <w:jc w:val="center"/>
              <w:rPr>
                <w:rFonts w:ascii="Arial;sans-serif" w:hAnsi="Arial;sans-serif"/>
                <w:b w:val="false"/>
                <w:color w:val="494949"/>
                <w:sz w:val="18"/>
              </w:rPr>
            </w:pPr>
            <w:r>
              <w:rPr>
                <w:rFonts w:ascii="Arial;sans-serif" w:hAnsi="Arial;sans-serif"/>
                <w:b w:val="false"/>
                <w:color w:val="494949"/>
                <w:sz w:val="18"/>
              </w:rPr>
              <w:t>$2,150M - $2,250M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left w:val="single" w:sz="8" w:space="0" w:color="000000"/>
              <w:bottom w:val="single" w:sz="8" w:space="0" w:color="000000"/>
            </w:tcBorders>
            <w:shd w:fill="DADDDC" w:val="clear"/>
            <w:tcMar>
              <w:top w:w="52" w:type="dxa"/>
              <w:bottom w:w="30" w:type="dxa"/>
              <w:right w:w="0" w:type="dxa"/>
            </w:tcMar>
            <w:vAlign w:val="center"/>
          </w:tcPr>
          <w:p>
            <w:pPr>
              <w:pStyle w:val="TableContents"/>
              <w:bidi w:val="0"/>
              <w:spacing w:lineRule="auto" w:line="288" w:before="0" w:after="0"/>
              <w:jc w:val="left"/>
              <w:rPr/>
            </w:pPr>
            <w:r>
              <w:rPr>
                <w:rFonts w:ascii="Arial;sans-serif" w:hAnsi="Arial;sans-serif"/>
                <w:b/>
                <w:color w:val="002855"/>
                <w:sz w:val="20"/>
              </w:rPr>
              <w:t>Adj. EBITDA</w:t>
            </w:r>
            <w:r>
              <w:rPr>
                <w:color w:val="002855"/>
              </w:rPr>
              <w:t xml:space="preserve"> </w:t>
            </w:r>
            <w:r>
              <w:rPr>
                <w:rFonts w:ascii="Arial;sans-serif" w:hAnsi="Arial;sans-serif"/>
                <w:b/>
                <w:color w:val="002855"/>
                <w:sz w:val="22"/>
              </w:rPr>
              <w:t>from Continuing Operations</w:t>
            </w:r>
            <w:r>
              <w:rPr>
                <w:rFonts w:ascii="Arial;sans-serif" w:hAnsi="Arial;sans-serif"/>
                <w:b/>
                <w:color w:val="002855"/>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2" w:space="0" w:color="6D6D6D"/>
              <w:bottom w:val="single" w:sz="8" w:space="0" w:color="000000"/>
              <w:right w:val="single" w:sz="8" w:space="0" w:color="000000"/>
            </w:tcBorders>
            <w:shd w:fill="DADDDC" w:val="clear"/>
            <w:tcMar>
              <w:top w:w="52" w:type="dxa"/>
              <w:bottom w:w="30" w:type="dxa"/>
            </w:tcMar>
            <w:vAlign w:val="center"/>
          </w:tcPr>
          <w:p>
            <w:pPr>
              <w:pStyle w:val="TableContents"/>
              <w:bidi w:val="0"/>
              <w:spacing w:lineRule="auto" w:line="240" w:before="0" w:after="283"/>
              <w:jc w:val="center"/>
              <w:rPr>
                <w:rFonts w:ascii="Arial;sans-serif" w:hAnsi="Arial;sans-serif"/>
                <w:b w:val="false"/>
                <w:color w:val="494949"/>
                <w:sz w:val="18"/>
              </w:rPr>
            </w:pPr>
            <w:r>
              <w:rPr>
                <w:rFonts w:ascii="Arial;sans-serif" w:hAnsi="Arial;sans-serif"/>
                <w:b w:val="false"/>
                <w:color w:val="494949"/>
                <w:sz w:val="18"/>
              </w:rPr>
              <w:t>$140M - $170M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Refer to the Appendix for definition and complete non-GAAP reconciliations of Adjusted EBITDA, Adjusted EBITDA Margin, Adjusted Diluted EPS and Adjusted Free Cash Flow.</w:t>
      </w:r>
    </w:p>
    <w:p>
      <w:pPr>
        <w:pStyle w:val="TextBody"/>
        <w:bidi w:val="0"/>
        <w:spacing w:lineRule="auto" w:line="417" w:before="0" w:after="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Refer to the Appendix for definition.</w:t>
      </w:r>
    </w:p>
    <w:p>
      <w:pPr>
        <w:pStyle w:val="TextBody"/>
        <w:bidi w:val="0"/>
        <w:spacing w:lineRule="auto" w:line="417" w:before="60" w:after="283"/>
        <w:ind w:left="0" w:right="0" w:hanging="180"/>
        <w:jc w:val="left"/>
        <w:rPr/>
      </w:pPr>
      <w:r>
        <w:rPr>
          <w:rFonts w:ascii="Arial;sans-serif" w:hAnsi="Arial;sans-serif"/>
          <w:b w:val="false"/>
          <w:color w:val="000000"/>
          <w:sz w:val="10"/>
        </w:rPr>
        <w:t xml:space="preserve">(3) </w:t>
      </w:r>
      <w:r>
        <w:rPr>
          <w:rFonts w:ascii="Arial;sans-serif" w:hAnsi="Arial;sans-serif"/>
          <w:b w:val="false"/>
          <w:color w:val="000000"/>
          <w:sz w:val="16"/>
        </w:rPr>
        <w:t>Refer to the Appendix for additional information regarding non-GAAP outlook.</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417" w:before="60" w:after="283"/>
        <w:jc w:val="left"/>
        <w:rPr>
          <w:rFonts w:ascii="Arial;sans-serif" w:hAnsi="Arial;sans-serif"/>
          <w:b/>
          <w:color w:val="000000"/>
          <w:sz w:val="22"/>
          <w:u w:val="single"/>
        </w:rPr>
      </w:pPr>
      <w:r>
        <w:rPr>
          <w:rFonts w:ascii="Arial;sans-serif" w:hAnsi="Arial;sans-serif"/>
          <w:b/>
          <w:color w:val="000000"/>
          <w:sz w:val="22"/>
          <w:u w:val="single"/>
        </w:rPr>
        <w:t>Conference Call</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Management will present the results during a conference call and webcast on August 10, 2026 at 9:00 a.m. ET.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call will be available by live audio webcast along with the news release and online presentation slides at https://investor.conduent.com/.</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conference call will also be available by calling 877-407-4019 toll-free. If requested, the conference ID for this call is 13761624.</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international dial-in is 1-201-689-8337. The international conference ID is also 13761624.</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 recording of the conference call will be available by calling 1-877-660-6853 three hours after the conference call concludes. The replay ID is 13761624.</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telephone recording will be available until Aug 24, 2026.</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color w:val="000000"/>
          <w:sz w:val="22"/>
        </w:rPr>
        <w:t>About Conduent  </w:t>
      </w:r>
      <w:r>
        <w:rPr>
          <w:color w:val="000000"/>
        </w:rPr>
        <w:t xml:space="preserve"> </w:t>
      </w:r>
    </w:p>
    <w:p>
      <w:pPr>
        <w:pStyle w:val="TextBody"/>
        <w:bidi w:val="0"/>
        <w:spacing w:lineRule="auto" w:line="417" w:before="0" w:after="0"/>
        <w:jc w:val="left"/>
        <w:rPr/>
      </w:pPr>
      <w:r>
        <w:rPr>
          <w:rFonts w:ascii="Arial;sans-serif" w:hAnsi="Arial;sans-serif"/>
          <w:b w:val="false"/>
          <w:color w:val="000000"/>
          <w:sz w:val="22"/>
        </w:rPr>
        <w:t>Conduent delivers digital business solutions and services spanning the commercial, government and transportation spectrum – creating valuable outcomes for its clients and the millions of people who count on them. The Company leverages cloud computing, artificial intelligence, machine learning, automation and advanced analytics to deliver mission-critical solutions. Through a dedicated global team of approximately 46,000</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associates, process expertise and advanced technologies, Conduent’s solutions and services digitally transform its clients’ operations to enhance customer experiences, improve performance, increase efficiencies and reduce costs. Conduent adds momentum to its clients’ missions in many ways including disbursing approximately $80 billion in government payments annually, enabling approximately 2.0 billion customer service interactions annually, empowering millions of employees through HR services every year and processing over 14 million tolling transactions every day. Learn more at www.conduent.com.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Approximately 46,000 employees globally, including approximately 3,500 within the Transportation business.</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We have reported our financial results in accordance with accounting principles generally accepted in the U.S. (U.S. GAAP). In addition, we have discussed our financial results using non-GAAP measures from our Continuing Operations only, unless otherwise noted. 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our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 Refer to the "Non-GAAP Financial Measures" and "Non-GAAP Reconciliations" sections attached to this release for a discussion of these non-GAAP measures and their reconciliation to the reported U.S. GAAP measures.</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1"/>
        </w:rPr>
      </w:pPr>
      <w:r>
        <w:rPr>
          <w:rFonts w:ascii="Arial;sans-serif" w:hAnsi="Arial;sans-serif"/>
          <w:b w:val="false"/>
          <w:color w:val="000000"/>
          <w:sz w:val="21"/>
        </w:rPr>
        <w:t>This press release, any exhibits or attachments to this release, and other public statements we make may contain "forward-looking statements" as defined in the Private Securities Litigation Reform Act of 1995. The words “anticipate,” “believe,” “estimate,” “expect,” "expectations," "in front of us," "plan," “intend,” “will,” “aim,” “should,” “could,” “forecast,” “target,” “may,” "continue to," "looking to continue,"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forward-looking. All statements other than statements of historical fact included in this press release or any attachment to this press release are forward-looking statements, including, but not limited to, statements regarding our financial results, condition and outlook; changes in our operating results; general and market and economic conditions; and our projected financial performance, including all statements made under the section captioned “FY 2026 Outlook” within this release. Unless otherwise noted, the discussion of our results is on a continuing operations basis and does not include discontinued operations. These statements are based on our beliefs and reflect our current views with respect to future events using currently available information and are subject to certain risks, uncertainties and assumptions, many of which are outside of our control, that could cause actual results to differ materially from those expected or implied by such forward-looking statements contained in this press release, any exhibits to this press release and other public statements we make.</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1"/>
        </w:rPr>
      </w:pPr>
      <w:r>
        <w:rPr>
          <w:rFonts w:ascii="Arial;sans-serif" w:hAnsi="Arial;sans-serif"/>
          <w:b w:val="false"/>
          <w:color w:val="000000"/>
          <w:sz w:val="21"/>
        </w:rPr>
        <w:t xml:space="preserve">Important factors and uncertainties that could cause our actual results to differ materially from those in our forward-looking statements include, but are not limited to: risks related to recently announced divestitures including the sale of the Company’s (i) Public Transit business and (ii) Tolling business, including but not limited to our ability to realize the benefits anticipated from such transactions, as well as unexpected costs, liabilities or delays associated with such transactions; competitive restrictions applicable to the Company and its affiliates under the definitive transaction agreements; risks related to the equity interest in Quarterhill Inc. to be received as partial consideration in the Tolling transaction, including fluctuations in the value of such interest; government appropriations and termination rights contained in our government contracts; the impact of changes in government spending levels, budget priorities or efficiency initiatives, including federal cost-reduction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1"/>
        </w:rPr>
      </w:pPr>
      <w:r>
        <w:rPr>
          <w:rFonts w:ascii="Arial;sans-serif" w:hAnsi="Arial;sans-serif"/>
          <w:b w:val="false"/>
          <w:color w:val="000000"/>
          <w:sz w:val="21"/>
        </w:rPr>
        <w:t>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Conduent’s investigation of such incident and mitigation and remediation efforts, the nature and extent of such incident, the potential disruption to our business or operations, the potential impact on Conduent’s reputation, and Conduent’s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Condition and Results of Operations” section and other sections in our 2025 Annual Report on Form 10-K, as well as in our Quarterly Reports on Form 10-Q and Current Reports on Form 8-K filed with or furnished to the Securities and Exchange Commission. Any forward-looking statements made by us in this release speak only as of the date on which they are made. We are under no obligation to, and expressly disclaim any obligation to, update or alter our forward-looking statements, whether because of new information, subsequent events or otherwise,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417" w:before="0" w:after="0"/>
        <w:jc w:val="left"/>
        <w:rPr/>
      </w:pPr>
      <w:r>
        <w:rPr>
          <w:rFonts w:ascii="Arial;sans-serif" w:hAnsi="Arial;sans-serif"/>
          <w:b w:val="false"/>
          <w:color w:val="000000"/>
          <w:sz w:val="22"/>
        </w:rPr>
        <w:t>Remy Kaul, Conduent, remy.kaul</w:t>
      </w:r>
      <w:r>
        <w:rPr>
          <w:rFonts w:ascii="Arial;sans-serif" w:hAnsi="Arial;sans-serif"/>
          <w:b w:val="false"/>
          <w:color w:val="000000"/>
          <w:sz w:val="22"/>
          <w:u w:val="single"/>
        </w:rPr>
        <w:t>@conduent.com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417" w:before="0" w:after="0"/>
        <w:jc w:val="left"/>
        <w:rPr/>
      </w:pPr>
      <w:r>
        <w:rPr>
          <w:rFonts w:ascii="Arial;sans-serif" w:hAnsi="Arial;sans-serif"/>
          <w:b w:val="false"/>
          <w:color w:val="000000"/>
          <w:sz w:val="20"/>
        </w:rPr>
        <w:t>Nick Goel, ir</w:t>
      </w:r>
      <w:r>
        <w:rPr>
          <w:rFonts w:ascii="Arial;sans-serif" w:hAnsi="Arial;sans-serif"/>
          <w:b w:val="false"/>
          <w:color w:val="000000"/>
          <w:sz w:val="22"/>
          <w:u w:val="single"/>
        </w:rPr>
        <w:t>@conduent.com</w:t>
        <w:br/>
      </w:r>
      <w:r>
        <w:rPr>
          <w:rFonts w:ascii="Arial;sans-serif" w:hAnsi="Arial;sans-serif"/>
          <w:b w:val="false"/>
          <w:color w:val="000000"/>
          <w:sz w:val="20"/>
        </w:rPr>
        <w:t>Conduent Incorporated</w:t>
        <w:br/>
        <w:t>100 Campus Drive, Suite 200</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Florham Park, NJ 07932</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www.conduent.com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CONDUENT INCORPORATED</w: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CONDENSED CONSOLIDATED STATEMENTS OF INCOME (LOSS) (UNAUDITED)</w:t>
      </w:r>
    </w:p>
    <w:tbl>
      <w:tblPr>
        <w:tblW w:w="10205" w:type="dxa"/>
        <w:jc w:val="center"/>
        <w:tblInd w:w="0" w:type="dxa"/>
        <w:tblLayout w:type="fixed"/>
        <w:tblCellMar>
          <w:top w:w="28" w:type="dxa"/>
          <w:left w:w="28" w:type="dxa"/>
          <w:bottom w:w="28" w:type="dxa"/>
          <w:right w:w="28" w:type="dxa"/>
        </w:tblCellMar>
      </w:tblPr>
      <w:tblGrid>
        <w:gridCol w:w="1984"/>
        <w:gridCol w:w="1724"/>
        <w:gridCol w:w="1733"/>
        <w:gridCol w:w="109"/>
        <w:gridCol w:w="109"/>
        <w:gridCol w:w="109"/>
        <w:gridCol w:w="196"/>
        <w:gridCol w:w="538"/>
        <w:gridCol w:w="109"/>
        <w:gridCol w:w="109"/>
        <w:gridCol w:w="109"/>
        <w:gridCol w:w="109"/>
        <w:gridCol w:w="196"/>
        <w:gridCol w:w="538"/>
        <w:gridCol w:w="109"/>
        <w:gridCol w:w="109"/>
        <w:gridCol w:w="109"/>
        <w:gridCol w:w="109"/>
        <w:gridCol w:w="196"/>
        <w:gridCol w:w="556"/>
        <w:gridCol w:w="109"/>
        <w:gridCol w:w="109"/>
        <w:gridCol w:w="109"/>
        <w:gridCol w:w="109"/>
        <w:gridCol w:w="196"/>
        <w:gridCol w:w="556"/>
        <w:gridCol w:w="157"/>
      </w:tblGrid>
      <w:tr>
        <w:trPr/>
        <w:tc>
          <w:tcPr>
            <w:tcW w:w="198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60" w:after="283"/>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CONDUENT INCORPORATED</w: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CONDENSED CONSOLIDATED STATEMENTS OF COMPREHENSIVE INCOME (LOSS) (UNAUDITED)</w:t>
      </w:r>
    </w:p>
    <w:tbl>
      <w:tblPr>
        <w:tblW w:w="7902" w:type="dxa"/>
        <w:jc w:val="center"/>
        <w:tblInd w:w="0" w:type="dxa"/>
        <w:tblLayout w:type="fixed"/>
        <w:tblCellMar>
          <w:top w:w="28" w:type="dxa"/>
          <w:left w:w="28" w:type="dxa"/>
          <w:bottom w:w="28" w:type="dxa"/>
          <w:right w:w="28" w:type="dxa"/>
        </w:tblCellMar>
      </w:tblPr>
      <w:tblGrid>
        <w:gridCol w:w="1280"/>
        <w:gridCol w:w="1119"/>
        <w:gridCol w:w="1126"/>
        <w:gridCol w:w="109"/>
        <w:gridCol w:w="109"/>
        <w:gridCol w:w="109"/>
        <w:gridCol w:w="196"/>
        <w:gridCol w:w="496"/>
        <w:gridCol w:w="109"/>
        <w:gridCol w:w="109"/>
        <w:gridCol w:w="109"/>
        <w:gridCol w:w="109"/>
        <w:gridCol w:w="196"/>
        <w:gridCol w:w="406"/>
        <w:gridCol w:w="109"/>
        <w:gridCol w:w="109"/>
        <w:gridCol w:w="109"/>
        <w:gridCol w:w="109"/>
        <w:gridCol w:w="196"/>
        <w:gridCol w:w="496"/>
        <w:gridCol w:w="109"/>
        <w:gridCol w:w="109"/>
        <w:gridCol w:w="109"/>
        <w:gridCol w:w="109"/>
        <w:gridCol w:w="196"/>
        <w:gridCol w:w="40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CONDUENT INCORPORATED</w: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8586" w:type="dxa"/>
        <w:jc w:val="center"/>
        <w:tblInd w:w="0" w:type="dxa"/>
        <w:tblLayout w:type="fixed"/>
        <w:tblCellMar>
          <w:top w:w="28" w:type="dxa"/>
          <w:left w:w="28" w:type="dxa"/>
          <w:bottom w:w="28" w:type="dxa"/>
          <w:right w:w="28" w:type="dxa"/>
        </w:tblCellMar>
      </w:tblPr>
      <w:tblGrid>
        <w:gridCol w:w="1884"/>
        <w:gridCol w:w="1657"/>
        <w:gridCol w:w="1663"/>
        <w:gridCol w:w="109"/>
        <w:gridCol w:w="109"/>
        <w:gridCol w:w="109"/>
        <w:gridCol w:w="259"/>
        <w:gridCol w:w="736"/>
        <w:gridCol w:w="144"/>
        <w:gridCol w:w="109"/>
        <w:gridCol w:w="109"/>
        <w:gridCol w:w="109"/>
        <w:gridCol w:w="343"/>
        <w:gridCol w:w="976"/>
        <w:gridCol w:w="270"/>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share data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154,709 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series A convertible preferred stock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CONDUENT INCORPORATED</w: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131"/>
        <w:gridCol w:w="1830"/>
        <w:gridCol w:w="1855"/>
        <w:gridCol w:w="109"/>
        <w:gridCol w:w="109"/>
        <w:gridCol w:w="109"/>
        <w:gridCol w:w="196"/>
        <w:gridCol w:w="486"/>
        <w:gridCol w:w="109"/>
        <w:gridCol w:w="109"/>
        <w:gridCol w:w="109"/>
        <w:gridCol w:w="109"/>
        <w:gridCol w:w="196"/>
        <w:gridCol w:w="421"/>
        <w:gridCol w:w="109"/>
        <w:gridCol w:w="109"/>
        <w:gridCol w:w="109"/>
        <w:gridCol w:w="109"/>
        <w:gridCol w:w="196"/>
        <w:gridCol w:w="486"/>
        <w:gridCol w:w="109"/>
        <w:gridCol w:w="109"/>
        <w:gridCol w:w="109"/>
        <w:gridCol w:w="109"/>
        <w:gridCol w:w="196"/>
        <w:gridCol w:w="421"/>
        <w:gridCol w:w="156"/>
      </w:tblGrid>
      <w:tr>
        <w:trPr/>
        <w:tc>
          <w:tcPr>
            <w:tcW w:w="213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required to reconcile net income (loss) to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inducement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sales of 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internal 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issuance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payment on 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contribution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Cash, Cash Equivalents and Restricted Cash at End of period</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4"/>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(1)Includes $12 million and $19 million restricted cash as of June 30, 2026 and 2025, respectively, that were included in Other current assets on the respective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Appendix</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Definitions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New Business Annual Contract Value (ACV):</w:t>
      </w:r>
      <w:r>
        <w:rPr>
          <w:color w:val="000000"/>
        </w:rPr>
        <w:t xml:space="preserve"> </w:t>
      </w:r>
      <w:r>
        <w:rPr>
          <w:rFonts w:ascii="Arial;sans-serif" w:hAnsi="Arial;sans-serif"/>
          <w:b w:val="false"/>
          <w:color w:val="000000"/>
          <w:sz w:val="20"/>
        </w:rPr>
        <w:t>(New Business TCV / contract term) multiplied by 12.</w:t>
      </w:r>
    </w:p>
    <w:p>
      <w:pPr>
        <w:pStyle w:val="TextBody"/>
        <w:bidi w:val="0"/>
        <w:spacing w:before="0" w:after="0"/>
        <w:jc w:val="left"/>
        <w:rPr/>
      </w:pPr>
      <w:r>
        <w:rPr/>
      </w:r>
    </w:p>
    <w:p>
      <w:pPr>
        <w:pStyle w:val="TextBody"/>
        <w:bidi w:val="0"/>
        <w:spacing w:lineRule="auto" w:line="276"/>
        <w:jc w:val="left"/>
        <w:rPr/>
      </w:pPr>
      <w:r>
        <w:rPr>
          <w:rFonts w:ascii="Arial;sans-serif" w:hAnsi="Arial;sans-serif"/>
          <w:b/>
          <w:color w:val="000000"/>
          <w:sz w:val="20"/>
        </w:rPr>
        <w:t xml:space="preserve">New Business Total Contract Value (TCV): </w:t>
      </w:r>
      <w:r>
        <w:rPr>
          <w:rFonts w:ascii="Arial;sans-serif" w:hAnsi="Arial;sans-serif"/>
          <w:b w:val="false"/>
          <w:color w:val="000000"/>
          <w:sz w:val="20"/>
        </w:rPr>
        <w:t xml:space="preserve">Estimated total future revenues from contracts signed during the period related to new logo, new service line or expansion with existing customers. </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TTM:</w:t>
      </w:r>
      <w:r>
        <w:rPr>
          <w:color w:val="000000"/>
        </w:rPr>
        <w:t xml:space="preserve"> </w:t>
      </w:r>
      <w:r>
        <w:rPr>
          <w:rFonts w:ascii="Arial;sans-serif" w:hAnsi="Arial;sans-serif"/>
          <w:b w:val="false"/>
          <w:color w:val="000000"/>
          <w:sz w:val="20"/>
        </w:rPr>
        <w:t>Trailing twelve months.</w:t>
      </w:r>
    </w:p>
    <w:p>
      <w:pPr>
        <w:pStyle w:val="TextBody"/>
        <w:bidi w:val="0"/>
        <w:spacing w:before="0" w:after="0"/>
        <w:jc w:val="left"/>
        <w:rPr/>
      </w:pPr>
      <w:r>
        <w:rPr/>
      </w:r>
    </w:p>
    <w:p>
      <w:pPr>
        <w:pStyle w:val="TextBody"/>
        <w:bidi w:val="0"/>
        <w:spacing w:lineRule="auto" w:line="288" w:before="0" w:after="180"/>
        <w:jc w:val="left"/>
        <w:rPr/>
      </w:pPr>
      <w:r>
        <w:rPr>
          <w:rFonts w:ascii="Arial;sans-serif" w:hAnsi="Arial;sans-serif"/>
          <w:b/>
          <w:color w:val="000000"/>
          <w:sz w:val="20"/>
        </w:rPr>
        <w:t>PBT:</w:t>
      </w:r>
      <w:r>
        <w:rPr>
          <w:color w:val="000000"/>
        </w:rPr>
        <w:t xml:space="preserve"> </w:t>
      </w:r>
      <w:r>
        <w:rPr>
          <w:rFonts w:ascii="Arial;sans-serif" w:hAnsi="Arial;sans-serif"/>
          <w:b w:val="false"/>
          <w:color w:val="000000"/>
          <w:sz w:val="20"/>
        </w:rPr>
        <w:t>Profit before tax.</w:t>
      </w:r>
    </w:p>
    <w:p>
      <w:pPr>
        <w:pStyle w:val="TextBody"/>
        <w:bidi w:val="0"/>
        <w:spacing w:lineRule="auto" w:line="276" w:before="0" w:after="180"/>
        <w:jc w:val="left"/>
        <w:rPr/>
      </w:pPr>
      <w:r>
        <w:rPr>
          <w:rFonts w:ascii="Arial;sans-serif" w:hAnsi="Arial;sans-serif"/>
          <w:b/>
          <w:color w:val="000000"/>
          <w:sz w:val="20"/>
          <w:u w:val="single"/>
        </w:rPr>
        <w:t>Non-GAAP Financial Measures</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reported our financial results in accordance with accounting principles generally accepted in the U.S. (U.S. GAAP). In addition, we have discussed our financial results using non-GAAP measures for our Continuing Operations only, unless otherwise noted.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Management cautions that amounts presented in accordance with Conduent's definition of non-GAAP financial measures may not be comparable to similar measures disclosed by other companies because not all companies calculate non-GAAP measures in the same manner.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reconciliation of the non-GAAP financial measures to the most directly comparable financial measures calculated and presented in accordance with U.S. GAAP are provided below.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These reconciliations also include the income tax effects for our non-GAAP performance measures in total, to the extent applicable. The income tax effects are calculated under the same accounting principles as applied to our reported pre-tax performance measures under Accounting Standards Codification 740, which employs an annual effective tax rate method. The noted income tax effect for our non-GAAP performance measures is effectively the difference in income taxes for reported and adjusted pre-tax income calculated under the annual effective tax rate method. The tax effect of the non-GAAP adjustments was calculated based upon evaluation of the statutory tax treatment and the applicable statutory tax rate in the jurisdictions in which such charges were incurred.</w:t>
      </w:r>
    </w:p>
    <w:p>
      <w:pPr>
        <w:pStyle w:val="TextBody"/>
        <w:bidi w:val="0"/>
        <w:spacing w:lineRule="auto" w:line="288" w:before="0" w:after="180"/>
        <w:jc w:val="left"/>
        <w:rPr>
          <w:rFonts w:ascii="Arial;sans-serif" w:hAnsi="Arial;sans-serif"/>
          <w:b/>
          <w:color w:val="000000"/>
          <w:sz w:val="20"/>
          <w:u w:val="single"/>
        </w:rPr>
      </w:pPr>
      <w:r>
        <w:rPr>
          <w:rFonts w:ascii="Arial;sans-serif" w:hAnsi="Arial;sans-serif"/>
          <w:b/>
          <w:color w:val="000000"/>
          <w:sz w:val="20"/>
          <w:u w:val="single"/>
        </w:rPr>
        <w:t>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announced the pending sales of our Public Transit and Tolling businesses. These two pending transactions collectively represent an exit from the Transportation business, a strategic shift that will have a major effect on our operations and financial results. As such, these transactions qualify under applicable accounting guidance for reporting as discontinued operations and we reported these businesses as discontinued operations and reclassified their results from our former Transportation segment to Discontinued Operations and no longer report results for a Transportation segment. Additionally, the related assets and liabilities associated with the discontinued operations are classified as held for sale in our condensed consolidated balance sheet for the periods presented.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Unless otherwise noted, the discussion of our results is on a continuing operations basis and does not include discontinued operations. </w:t>
      </w:r>
    </w:p>
    <w:p>
      <w:pPr>
        <w:pStyle w:val="TextBody"/>
        <w:bidi w:val="0"/>
        <w:spacing w:before="0" w:after="180"/>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Adjusted Revenue, Adjusted Profit Before Tax from Continuing Operations, Adjusted Net Income (Loss) from Continuing Operations, Adjusted Diluted Earnings per Share from Continuing Operations, Adjusted Weighted Average Common Shares Outstanding, and Adjusted Effective Tax Rate from Continuing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make adjustments to Revenue, Net Income (Loss) before Income Taxes from Continuing Operations for the following items, as applicable, to the particular financial measure, for the purpose of calculating Adjusted Revenue, Adjusted Profit Before Tax from Continuing Operations, Adjusted Net Income (Loss) from Continuing Operations, Adjusted Diluted Earnings per Share from Continuing Operations, Adjusted Weighted Average Common Shares Outstanding, and Adjusted Effective Tax Rate from Continuing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acquired intangible assets. This is driven by acquisition activity, which can vary in size, nature and timing as compared to other companies within our industry and from period to period.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Restructuring and related costs. This includes restructuring and asset impairment charges as well as costs associated with our strategic transformation program.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Goodwill impairment. This represents goodwill impairment charges arising from annual or interim goodwill testing.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(Gain) loss on divestitures and transaction costs, net. Represents (gain) loss on divested businesses and transaction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Litigation settlements (recoveries), net represents settlements or recoveries for various matters subject to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on extinguishment of debt. This represents write-off related debt issuance costs related to prepayments of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Direct response costs - cyber event. This represents costs related to investigating, remediating and responding to the January 2025 Cyber Event.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charges (credits). This includes Other (income) expenses, net on the Consolidated Statements of Income (Loss) and other adjustments, including former CEO separation costs of approximately $4 million in Q1 2026.</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Divestitures. Revenue and Adjusted EBITDA of divested businesses, which are not reported as discontinued operations, are excluded.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provide adjusted net income and adjusted EPS financial measures from continuing operations to assist our investors in evaluating our ongoing operating performance for the current reporting period and, where provided, over different reporting periods, by adjusting for certain items which may be recurring or non-recurring and which in our view do not necessarily reflect ongoing performance. We also internally use these measures to assess our operating performance, both absolutely and in comparison to other companies, and in evaluating or making selected compensation decisions.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Management believes that the adjusted effective tax rate from continuing operations, provided as supplemental information, facilitates a comparison by investors of our actual effective tax rate from continuing operations with an adjusted effective tax rate from continuing operations which reflects the impact of the items which are excluded in providing adjusted net income and certain other identified items, and may provide added insight into our underlying business results and how effective tax rates impact our ongoing business.</w:t>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Adjusted Revenue, Adjusted Operating Income from Continuing Operations and Adjusted Operating Margin from Continuing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make adjustments to Revenue, Costs and Expenses and Operating Margin from Continuing Operations for the following items, as applicable, for the purpose of calculating Adjusted Revenue from Continuing Operations, Adjusted Operating Income from Continuing Operations and Adjusted Operating Margin from Continuing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acquired intangible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Restructuring and related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Interest expense. Interest expense includes interest on long-term debt and amortization of debt issuance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Goodwill impairment.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(Gain) loss on divestitures and transaction costs, net.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Litigation settlements (recoveries), net.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on extinguishment of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Direct response costs - cyber event.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charges (credits).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provide our investors with adjusted revenue, adjusted operating income from Continuing Operations and adjusted operating margin from Continuing Operations information, as supplemental information, because we believe it offers added insight, by itself and for comparability between periods, by adjusting for certain non-cash items as well as certain other identified items which we do not believe are indicative of our ongoing business, and may also provide added insight on trends in our ongoing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Adjusted EBITDA from Continuing Operations and EBITDA Margin from Continuing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Adjusted EBITDA from Continuing Operations and Adjusted EBITDA Margin from Continuing Operations as an additional way of assessing certain aspects of our operations that, when viewed with the U.S. GAAP results and the accompanying reconciliations to corresponding U.S. GAAP financial measures, provide a more complete understanding of our on-going business. Adjusted EBITDA from Continuing Operations represents income (loss) before interest, income taxes, depreciation and amortization and contract inducement amortization adjusted for the following items. Adjusted EBITDA Margin from Continuing Operations is Adjusted EBITDA from Continuing Operations divided by revenue or adjusted revenue, as applicable.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Restructuring and related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Goodwill impairment.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(Gain) loss on divestitures and transaction costs, net.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Litigation settlements (recoveries), net.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on extinguishment of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Direct response costs - cyber event.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charges (credits).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from Continuing Operations is not intended to represent cash flows from operations, operating income (loss) or net income (loss) as defined by U.S. GAAP as indicators of operating performance.</w:t>
      </w:r>
    </w:p>
    <w:p>
      <w:pPr>
        <w:pStyle w:val="TextBody"/>
        <w:bidi w:val="0"/>
        <w:spacing w:before="0" w:after="283"/>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Free Cash Flow</w:t>
      </w:r>
    </w:p>
    <w:p>
      <w:pPr>
        <w:pStyle w:val="TextBody"/>
        <w:bidi w:val="0"/>
        <w:spacing w:before="0" w:after="0"/>
        <w:jc w:val="left"/>
        <w:rPr/>
      </w:pPr>
      <w:r>
        <w:rPr/>
      </w:r>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 xml:space="preserve">Free Cash Flow is defined as cash flows from operating activities as reported on the consolidated statement of cash flows, less cost of additions to land, buildings and equipment, cost of additions to internal use software, and proceeds from sales of land, buildings and equipment, as applicable. We use the non-GAAP measure of Free Cash Flow as a criterion of liquidity. We use Free Cash Flow as a measure of liquidity to determine amounts we can reinvest in our core businesses, such as amounts available to make acquisitions and invest in land, buildings and equipment and internal use software, after required payments on debt. In order to provide a meaningful basis for comparison, we are providing information with respect to our Free Cash Flow reconciled to cash flow provided by operating activities, which we believe to be the most directly comparable measure under U.S. GAAP.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Adjusted Free Cash Flow</w: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Adjusted Free Cash Flow is defined as Free Cash Flow from above plus adjustments for litigation insurance recoveries, transaction costs, taxes paid on gains from divestitures and litigation recoveries, proceeds from failed sale-leaseback transactions and certain other identified adjustments, as applicable. We use Adjusted Free Cash Flow, in addition to Free Cash Flow, to provide supplemental information to our investors concerning our ability to generate cash from our ongoing operating activities; by excluding these items, we believe we provide useful additional information to our investors to help them further understand our ability to generate cash period-over-period as well as added information on comparability to our competitors. Such as with Free Cash Flow information, as so adjusted, it is specifically not intended to provide amounts available for discretionary spending. We have added certain adjustments to account for items which we do not believe reflect our core business or operating performance, and we computed all periods with such adjusted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Revenue at Constant Currency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better understand trends in our business, we believe that it is helpful to adjust revenue to exclude the impact of changes in the translation of foreign currencies into U.S. Dollars. We refer to this adjusted revenue as “constant currency.” Currency impact is determined as the difference between actual growth rates and constant currency growth rates. This currency impact is calculated by translating the current period activity in local currency using the comparable prior-year period's currency translation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Outlook</w: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 providing the Full Year 2026 Outlook for Adjusted EBITDA and Adjusted EBITDA Margin, we exclude certain items which are otherwise included in determining the comparable U.S. GAAP financial measure. A description of the adjustments which historically have been applicable in determining Adjusted EBITDA and Adjusted EBITDA Margin is reflected in the table below. We are providing such outlook only on a non-GAAP basis because we are unable without unreasonable efforts to predict with reasonable certainty the totality or ultimate outcome or occurrence of these adjustments for the forward-looking period, which can be dependent on future events that may not be reliably predicted. Based on past reported results, where one or more of these items have been applicable, such excluded items could be material, individually or in the aggregate, to reported results. We have provided an outlook for Adjusted Revenue only on a non-GAAP basis using foreign currency translation rates as of fiscal year end due to the inability to, without unreasonable efforts, accurately predict foreign currency impact on revenues. In addition, the outlook is on a continuing operations basis.</w:t>
      </w:r>
    </w:p>
    <w:p>
      <w:pPr>
        <w:pStyle w:val="TextBody"/>
        <w:bidi w:val="0"/>
        <w:spacing w:before="0" w:after="283"/>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23"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60" w:after="283"/>
        <w:jc w:val="both"/>
        <w:rPr/>
      </w:pPr>
      <w:r>
        <w:rPr>
          <w:rFonts w:ascii="Arial;sans-serif" w:hAnsi="Arial;sans-serif"/>
          <w:b/>
          <w:color w:val="000000"/>
          <w:sz w:val="20"/>
        </w:rPr>
        <w:t xml:space="preserve">Non-GAAP Reconciliations: </w:t>
      </w:r>
      <w:r>
        <w:rPr>
          <w:rFonts w:ascii="Arial;sans-serif" w:hAnsi="Arial;sans-serif"/>
          <w:b w:val="false"/>
          <w:color w:val="000000"/>
          <w:sz w:val="20"/>
        </w:rPr>
        <w:t>Revenue at Constant Currency, Adjusted Net Income (Loss) from Continuing Operations, Adjusted Effective Tax from Continuing Operations, Adjusted Operating Income (Loss) from Continuing Operations and Adjusted EBITDA from Continuing Operations were as follows (see footnotes on last page of Non-GAAP reconciliations):</w:t>
      </w:r>
    </w:p>
    <w:tbl>
      <w:tblPr>
        <w:tblW w:w="10205" w:type="dxa"/>
        <w:jc w:val="center"/>
        <w:tblInd w:w="0" w:type="dxa"/>
        <w:tblLayout w:type="fixed"/>
        <w:tblCellMar>
          <w:top w:w="28" w:type="dxa"/>
          <w:left w:w="28" w:type="dxa"/>
          <w:bottom w:w="28" w:type="dxa"/>
          <w:right w:w="28" w:type="dxa"/>
        </w:tblCellMar>
      </w:tblPr>
      <w:tblGrid>
        <w:gridCol w:w="2090"/>
        <w:gridCol w:w="1782"/>
        <w:gridCol w:w="1804"/>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6"/>
      </w:tblGrid>
      <w:tr>
        <w:trPr/>
        <w:tc>
          <w:tcPr>
            <w:tcW w:w="209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REVENUE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at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Net Income (Loss) from Continuing Operations calculated from 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acquired intangible assets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adjustments</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Net Income (Loss) from Continuing Operations calculated from 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PBT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adjustments</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24"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9551" w:type="dxa"/>
        <w:jc w:val="center"/>
        <w:tblInd w:w="0" w:type="dxa"/>
        <w:tblLayout w:type="fixed"/>
        <w:tblCellMar>
          <w:top w:w="28" w:type="dxa"/>
          <w:left w:w="28" w:type="dxa"/>
          <w:bottom w:w="28" w:type="dxa"/>
          <w:right w:w="28" w:type="dxa"/>
        </w:tblCellMar>
      </w:tblPr>
      <w:tblGrid>
        <w:gridCol w:w="1905"/>
        <w:gridCol w:w="1677"/>
        <w:gridCol w:w="1682"/>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96"/>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Operating Income (Loss)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Operating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EBITDA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25"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20"/>
        </w:rPr>
        <w:t xml:space="preserve">Non-GAAP Reconciliations: </w:t>
      </w:r>
      <w:r>
        <w:rPr>
          <w:rFonts w:ascii="Arial;sans-serif" w:hAnsi="Arial;sans-serif"/>
          <w:b w:val="false"/>
          <w:color w:val="000000"/>
          <w:sz w:val="20"/>
        </w:rPr>
        <w:t>Adjusted Weighted Average Shares Outstanding, Adjusted Diluted EPS from Continuing Operations, Adjusted Effective Tax Rate from Continuing Operations, Adjusted Operating Margin from Continuing Operations and Adjusted EBITDA Margin from Continuing Operations were as follows:</w:t>
      </w:r>
    </w:p>
    <w:tbl>
      <w:tblPr>
        <w:tblW w:w="10205" w:type="dxa"/>
        <w:jc w:val="center"/>
        <w:tblInd w:w="0" w:type="dxa"/>
        <w:tblLayout w:type="fixed"/>
        <w:tblCellMar>
          <w:top w:w="28" w:type="dxa"/>
          <w:left w:w="28" w:type="dxa"/>
          <w:bottom w:w="28" w:type="dxa"/>
          <w:right w:w="28" w:type="dxa"/>
        </w:tblCellMar>
      </w:tblPr>
      <w:tblGrid>
        <w:gridCol w:w="1843"/>
        <w:gridCol w:w="1538"/>
        <w:gridCol w:w="1545"/>
        <w:gridCol w:w="109"/>
        <w:gridCol w:w="109"/>
        <w:gridCol w:w="109"/>
        <w:gridCol w:w="196"/>
        <w:gridCol w:w="528"/>
        <w:gridCol w:w="256"/>
        <w:gridCol w:w="109"/>
        <w:gridCol w:w="109"/>
        <w:gridCol w:w="109"/>
        <w:gridCol w:w="196"/>
        <w:gridCol w:w="528"/>
        <w:gridCol w:w="256"/>
        <w:gridCol w:w="109"/>
        <w:gridCol w:w="109"/>
        <w:gridCol w:w="109"/>
        <w:gridCol w:w="196"/>
        <w:gridCol w:w="528"/>
        <w:gridCol w:w="256"/>
        <w:gridCol w:w="109"/>
        <w:gridCol w:w="109"/>
        <w:gridCol w:w="109"/>
        <w:gridCol w:w="196"/>
        <w:gridCol w:w="528"/>
        <w:gridCol w:w="307"/>
      </w:tblGrid>
      <w:tr>
        <w:trPr/>
        <w:tc>
          <w:tcPr>
            <w:tcW w:w="184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4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(Amounts are in whole dollars, shares are in thousands and margins and rates are 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u w:val="single"/>
              </w:rPr>
              <w:t>ADJUSTED DILUTED EPS FROM CONTINUING OPERATIONS</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161,448</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units /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161,448</w:t>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EPS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 tax adjustments</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Adjusted Diluted EPS from Continuing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EFFECTIVE TAX RATE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Effective Tax Rate from Continuing Operations</w:t>
            </w:r>
            <w:r>
              <w:rPr>
                <w:rFonts w:ascii="Arial;sans-serif" w:hAnsi="Arial;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OPERATING MARGIN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Margin for Adjusted Operating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9129" w:type="dxa"/>
        <w:jc w:val="center"/>
        <w:tblInd w:w="0" w:type="dxa"/>
        <w:tblLayout w:type="fixed"/>
        <w:tblCellMar>
          <w:top w:w="28" w:type="dxa"/>
          <w:left w:w="28" w:type="dxa"/>
          <w:bottom w:w="28" w:type="dxa"/>
          <w:right w:w="28" w:type="dxa"/>
        </w:tblCellMar>
      </w:tblPr>
      <w:tblGrid>
        <w:gridCol w:w="1872"/>
        <w:gridCol w:w="1647"/>
        <w:gridCol w:w="1655"/>
        <w:gridCol w:w="109"/>
        <w:gridCol w:w="109"/>
        <w:gridCol w:w="109"/>
        <w:gridCol w:w="224"/>
        <w:gridCol w:w="226"/>
        <w:gridCol w:w="256"/>
        <w:gridCol w:w="109"/>
        <w:gridCol w:w="109"/>
        <w:gridCol w:w="109"/>
        <w:gridCol w:w="188"/>
        <w:gridCol w:w="188"/>
        <w:gridCol w:w="256"/>
        <w:gridCol w:w="109"/>
        <w:gridCol w:w="109"/>
        <w:gridCol w:w="109"/>
        <w:gridCol w:w="188"/>
        <w:gridCol w:w="188"/>
        <w:gridCol w:w="256"/>
        <w:gridCol w:w="109"/>
        <w:gridCol w:w="109"/>
        <w:gridCol w:w="109"/>
        <w:gridCol w:w="188"/>
        <w:gridCol w:w="188"/>
        <w:gridCol w:w="301"/>
      </w:tblGrid>
      <w:tr>
        <w:trPr/>
        <w:tc>
          <w:tcPr>
            <w:tcW w:w="18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ADJUSTED EBITDA MARGIN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EBITDA Margin from Continuing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from Continuing Operations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firstLine="86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26"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Free Cash Flow and Adjusted Free Cash Flow Reconciliation:</w:t>
      </w:r>
    </w:p>
    <w:tbl>
      <w:tblPr>
        <w:tblW w:w="7904" w:type="dxa"/>
        <w:jc w:val="left"/>
        <w:tblInd w:w="0" w:type="dxa"/>
        <w:tblLayout w:type="fixed"/>
        <w:tblCellMar>
          <w:top w:w="28" w:type="dxa"/>
          <w:left w:w="28" w:type="dxa"/>
          <w:bottom w:w="28" w:type="dxa"/>
          <w:right w:w="28" w:type="dxa"/>
        </w:tblCellMar>
      </w:tblPr>
      <w:tblGrid>
        <w:gridCol w:w="1336"/>
        <w:gridCol w:w="1168"/>
        <w:gridCol w:w="1185"/>
        <w:gridCol w:w="109"/>
        <w:gridCol w:w="109"/>
        <w:gridCol w:w="109"/>
        <w:gridCol w:w="198"/>
        <w:gridCol w:w="320"/>
        <w:gridCol w:w="110"/>
        <w:gridCol w:w="110"/>
        <w:gridCol w:w="110"/>
        <w:gridCol w:w="110"/>
        <w:gridCol w:w="198"/>
        <w:gridCol w:w="411"/>
        <w:gridCol w:w="110"/>
        <w:gridCol w:w="109"/>
        <w:gridCol w:w="109"/>
        <w:gridCol w:w="109"/>
        <w:gridCol w:w="196"/>
        <w:gridCol w:w="406"/>
        <w:gridCol w:w="109"/>
        <w:gridCol w:w="109"/>
        <w:gridCol w:w="109"/>
        <w:gridCol w:w="109"/>
        <w:gridCol w:w="196"/>
        <w:gridCol w:w="49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internal 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w:t>
      </w:r>
    </w:p>
    <w:p>
      <w:pPr>
        <w:pStyle w:val="TextBody"/>
        <w:bidi w:val="0"/>
        <w:spacing w:lineRule="auto" w:line="288" w:before="60" w:after="283"/>
        <w:ind w:left="0" w:right="0" w:hanging="360"/>
        <w:jc w:val="left"/>
        <w:rPr>
          <w:rFonts w:ascii="Arial;sans-serif" w:hAnsi="Arial;sans-serif"/>
          <w:b w:val="false"/>
          <w:i/>
          <w:color w:val="000000"/>
          <w:sz w:val="14"/>
        </w:rPr>
      </w:pPr>
      <w:r>
        <w:rPr>
          <w:rFonts w:ascii="Arial;sans-serif" w:hAnsi="Arial;sans-serif"/>
          <w:b w:val="false"/>
          <w:i/>
          <w:color w:val="000000"/>
          <w:sz w:val="14"/>
        </w:rPr>
        <w:t>(1)Reserved for future use.</w:t>
      </w:r>
    </w:p>
    <w:p>
      <w:pPr>
        <w:pStyle w:val="TextBody"/>
        <w:bidi w:val="0"/>
        <w:spacing w:lineRule="auto" w:line="288" w:before="60" w:after="283"/>
        <w:ind w:left="0" w:right="0" w:hanging="360"/>
        <w:jc w:val="left"/>
        <w:rPr>
          <w:rFonts w:ascii="Arial;sans-serif" w:hAnsi="Arial;sans-serif"/>
          <w:b w:val="false"/>
          <w:i/>
          <w:color w:val="000000"/>
          <w:sz w:val="14"/>
        </w:rPr>
      </w:pPr>
      <w:r>
        <w:rPr>
          <w:rFonts w:ascii="Arial;sans-serif" w:hAnsi="Arial;sans-serif"/>
          <w:b w:val="false"/>
          <w:i/>
          <w:color w:val="000000"/>
          <w:sz w:val="14"/>
        </w:rPr>
        <w:t>(2)Included in Depreciation and amortization on the Consolidated Statements of Income (Loss).</w:t>
      </w:r>
    </w:p>
    <w:p>
      <w:pPr>
        <w:pStyle w:val="TextBody"/>
        <w:bidi w:val="0"/>
        <w:spacing w:lineRule="auto" w:line="288" w:before="60" w:after="283"/>
        <w:ind w:left="0" w:right="0" w:hanging="360"/>
        <w:jc w:val="left"/>
        <w:rPr>
          <w:rFonts w:ascii="Arial;sans-serif" w:hAnsi="Arial;sans-serif"/>
          <w:b w:val="false"/>
          <w:i/>
          <w:color w:val="000000"/>
          <w:sz w:val="14"/>
        </w:rPr>
      </w:pPr>
      <w:r>
        <w:rPr>
          <w:rFonts w:ascii="Arial;sans-serif" w:hAnsi="Arial;sans-serif"/>
          <w:b w:val="false"/>
          <w:i/>
          <w:color w:val="000000"/>
          <w:sz w:val="14"/>
        </w:rPr>
        <w:t>(3)The tax impact of Adjusted Pre-tax income (loss) was calculated under the same accounting principles applied to the 'As Reported' pre-tax income (loss), which employs an annual effective tax rate method to the results and without regard to the Total Non-GAAP adjustments.</w:t>
      </w:r>
    </w:p>
    <w:p>
      <w:pPr>
        <w:pStyle w:val="TextBody"/>
        <w:bidi w:val="0"/>
        <w:spacing w:lineRule="auto" w:line="288" w:before="60" w:after="283"/>
        <w:ind w:left="0" w:right="0" w:hanging="360"/>
        <w:jc w:val="left"/>
        <w:rPr>
          <w:rFonts w:ascii="Arial;sans-serif" w:hAnsi="Arial;sans-serif"/>
          <w:b w:val="false"/>
          <w:i/>
          <w:color w:val="000000"/>
          <w:sz w:val="14"/>
        </w:rPr>
      </w:pPr>
      <w:r>
        <w:rPr>
          <w:rFonts w:ascii="Arial;sans-serif" w:hAnsi="Arial;sans-serif"/>
          <w:b w:val="false"/>
          <w:i/>
          <w:color w:val="000000"/>
          <w:sz w:val="14"/>
        </w:rPr>
        <w:t>(4)Average shares for the 2026 and 2025 calculation of adjusted EPS excludes 5.4 million shares associated with our Series A convertible preferred stock and includes the impact of preferred stock dividends of approximately $3 million each quarter.</w:t>
      </w:r>
    </w:p>
    <w:p>
      <w:pPr>
        <w:pStyle w:val="TextBody"/>
        <w:bidi w:val="0"/>
        <w:spacing w:before="0" w:after="0"/>
        <w:jc w:val="center"/>
        <w:rPr/>
      </w:pPr>
      <w:bookmarkStart w:id="1" w:name="ex992-slidesxfinalforfil.htm"/>
      <w:bookmarkStart w:id="2" w:name="ksex992slidesxfinalforfil"/>
      <w:bookmarkEnd w:id="1"/>
      <w:bookmarkEnd w:id="2"/>
      <w:r>
        <w:rPr/>
        <w:drawing>
          <wp:inline distT="0" distB="0" distL="0" distR="0">
            <wp:extent cx="13001625" cy="8362950"/>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4"/>
                    <a:stretch>
                      <a:fillRect/>
                    </a:stretch>
                  </pic:blipFill>
                  <pic:spPr bwMode="auto">
                    <a:xfrm>
                      <a:off x="0" y="0"/>
                      <a:ext cx="13001625" cy="83629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28"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jc w:val="center"/>
        <w:rPr>
          <w:color w:val="FFFFFF"/>
          <w:sz w:val="2"/>
        </w:rPr>
      </w:pPr>
      <w:r>
        <w:rPr>
          <w:color w:val="FFFFFF"/>
          <w:sz w:val="2"/>
        </w:rPr>
        <w:t xml:space="preserve">August 10, 2026 Conduent Q2 2026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 descr=""/>
                    <pic:cNvPicPr>
                      <a:picLocks noChangeAspect="1" noChangeArrowheads="1"/>
                    </pic:cNvPicPr>
                  </pic:nvPicPr>
                  <pic:blipFill>
                    <a:blip r:embed="rId5"/>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any exhibits or attachments to this presentation, and other public statements we make may contain “forward-looking statements” as defined in the Private Securities Litigation Reform Act of 1995. The words “anticipate,” “believe,” “estimate,” “expect,” expectations," "in front of us," "plan," “intend,” “will,” “aim,” “should,” “could,” “forecast,” “target,” “may,” "continue to," "looking to continue,"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 looking. All statements other than statements of historical fact included in this presentation or any attachment to this presentation are forward-looking statements, including, but not limited to, statements regarding our financial results, condition and outlook; changes in our operating results; general and market and economic conditions; and our projected financial performance, including all statements made under the section captioned “FY 2026 Outlook” within this presentation. These statements are based on our beliefs and reflect our current views with respect to future events using currently available information and are subject to certain risks, uncertainties and assumptions many of which are outside of our control, that could cause actual results to differ materially from those expected or implied by such forward-looking statements contained in this presentation, any exhibits to this presentation and other public statements we make. Important factors and uncertainties that could cause our actual results to differ materially from those in our forward-looking statements include, but are not limited to: risks related to recently announced divestitures including the sale of the Company’s (i) Public Transit business and (ii) Tolling business, including but not limited to our ability to realize the benefits anticipated from such transactions, as well as unexpected costs, liabilities or delays associated with such transactions; competitive restrictions applicable to the Company and its affiliates under the definitive transaction agreements; risks related to the equity interest in Quarterhill Inc. to be received as partial consideration in the Tolling transaction, including fluctuations in the value of such interest; government appropriations and termination rights contained in our government contracts; the impact of changes in government spending levels, budget priorities or efficiency initiatives, including federal cost- 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Conduent’s investigation of such incident and mitigation and remediation efforts, the nature and extent of such incident, the potential disruption to our business or operations, the potential impact on Conduent’s reputation, and Conduent’s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Condition and Results of Operations” section and other sections in our 2025 Annual Report on Form 10-K, as well as in our Quarterly Reports on Form 10-Q and Current Reports on Form 8-K filed with or furnished to the Securities and Exchange Commission. Any forward-looking statements made by us in this release speak only as of the date on which they are made. We are under no obligation to, and expressly disclaim any obligation to, update or alter our forward-looking statements, whether because of new information, subsequent events or otherwise, except as required by law. Cautionary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 descr=""/>
                    <pic:cNvPicPr>
                      <a:picLocks noChangeAspect="1" noChangeArrowheads="1"/>
                    </pic:cNvPicPr>
                  </pic:nvPicPr>
                  <pic:blipFill>
                    <a:blip r:embed="rId6"/>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Non-GAAP Financial Measures We have reported our financial results in accordance with accounting principles generally accepted in the U.S. (U.S. GAAP). In addition, we have discussed our financial results using non-GAAP measures for our Continuing Operations only, unless otherwise noted. 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our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 Refer to the "Non-GAAP Financial Measures" and "Non-GAAP Reconciliations" sections in this presentation for a discussion of these non-GAAP measures and their reconciliation to the reported U.S. GAAP measures. Discontinued Operations We have announced the pending sales of our Public Transit and Tolling businesses. These two pending transactions collectively represent an exit from the Transportation business, a strategic shift that will have a major effect on our operations and financial results. As such, these transactions qualify under applicable accounting guidance for reporting as discontinued operations and reclassified their results from our former Transportation segment to Discontinued Operations and no longer report results for a Transportation segment. Additionally, the related assets and liabilities associated with the discontinued operations are classified as held for sale in our condensed consolidated balance sheet for the periods presented. Unless otherwise noted, the discussion of our results is on a continuing operations basis and does not include discontinued operations. Cautionary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6" descr=""/>
                    <pic:cNvPicPr>
                      <a:picLocks noChangeAspect="1" noChangeArrowheads="1"/>
                    </pic:cNvPicPr>
                  </pic:nvPicPr>
                  <pic:blipFill>
                    <a:blip r:embed="rId7"/>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Q2 2026 Results (1) Refer to the Appendix for complete Non-GAAP reconciliations of Adjusted EBITDA and Adjusted EBITDA Margin. (2) Full definition in the Appendix. Q2 Results / Metrics CEO Priorities • Revenue: $531M • Adj. EBITDA(1): $16M • Adj. EBITDA Margin(1): 3.0% • New Business Signings ACV(2): $99M • Increase speed and accountability: ◦ Simplified operating model and strengthened leadership execution • Enforce financial discipline: ◦ Improved spending controls, cash management and capital allocation • Reduce cost structure: ◦ Progressed on the $100M annualized cost-savings program • Optimize the portfolio: ◦ Announced Transit and Tolling divestitures (approximately $234M expected gross proceeds) • Convert pipeline to growth: ◦ Built a $3B qualified pipeline and expanded client wins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 descr=""/>
                    <pic:cNvPicPr>
                      <a:picLocks noChangeAspect="1" noChangeArrowheads="1"/>
                    </pic:cNvPicPr>
                  </pic:nvPicPr>
                  <pic:blipFill>
                    <a:blip r:embed="rId8"/>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Key Sales Metrics New Business ACV(1) Signings Q2 New Business ACV(1) by Segment (1) Full definition in the Appendix. $216 $194 Q2' 25 Q2' 26 $0M $150M $300M $450M New Business TCV(1) Signings $60 $73 Q2'25 Q2'26 $50M $100M $150M $51M $48M Commercial Government $111 $99 Q2'25 Q2'26 $0M $50M $100M $150M New Business ARR(1) Trailing Four Quarters ACV(1) Sales Trend $361 $349 $365 $377 $365 $239 $223 $213 $216 $209 $122 $126 $152 $161 $156 Conduent Total Commercial Government Q2' 25 Q3' 25 Q4' 25 Q1' 26 Q2' 26 $0 $200 $400 $0M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 descr=""/>
                    <pic:cNvPicPr>
                      <a:picLocks noChangeAspect="1" noChangeArrowheads="1"/>
                    </pic:cNvPicPr>
                  </pic:nvPicPr>
                  <pic:blipFill>
                    <a:blip r:embed="rId9"/>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Key Sales Metrics TCV Signings (incl. ARR(1) + NRR(1)) $466 $206 $367 $286 $617 $216 $134 $193 $162 $194 Renewal NB Q2' 25 Q3' 25 Q4' 25 Q1' 26 Q2' 26 $0M $500M $1,000M New Business (ARR(1) + NRR(1) Breakdown) $60 $40 $46 $39 $73 $55 $36 $61 $74 $27 NB ARR NB NRR Q2' 25 Q3' 25 Q4' 25 Q1' 26 Q2' 26 $0M $50M $100M $150M New Business ARR Avg. Contract Length(1) $111 $70 $106 $89 $99 Q2' 25 Q3' 25 Q4' 25 Q1' 26 Q2' 26 $0M $50M $100M $150M New Business ACV(1) Signings 2.7yrs 2.5yrs 2.9yrs 2.3yrs 2.3yrs Q2' 25 Q3' 25 Q4' 25 Q1' 26 Q2' 26 —yrs 2.0yrs 4.0yrs (1) Full definition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0"/>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Q2 2026 P&amp;L Metrics $603M $531M Q2 2025 Q2 2026 $0M $250M $500M $750M (11.9)%Y/Y (11.9)% in CC(2) Revenue $23M / 3.8% $16M / 3.0% Q2 2025 Q2 2026 $0M $20M Adj. EBITDA(1) / Adj. EBITDA Margin(1) (30.4)% Y/Y • Revenue(1): Decline primarily driven by contract losses and lower volumes, partially offset by new business ramp. • Adj. EBITDA(1) and Adj. EBITDA Margin(1): Decrease primarily due to revenue drivers and discrete negative items in the Commercial and Government segments, partially offset by cost efficiencies. (4.7)% (5.5)% (5.2)% (5.0)% (11.9)% Q2' 25 Q3' 25 Q4' 25 Q1' 26 Q2' 26 Revenue(1) Trend (Y/Y Compare) (1) Refer to the Appendix for complete Non-GAAP reconciliations of Adjusted Revenue, Adjusted EBITDA and Adjusted EBITDA Margin. (2) Refer to definition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1"/>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8 $24M $51M $(59)M $16M Commercial Government Unallocated Costs Adjusted EBITDA Commercial, $316M Government, $215M Q2 2026 P&amp;L by Segment (1) Refer to the Appendix for complete Non-GAAP reconciliations of Adjusted EBITDA and Adjusted EBITDA Margin. (9.7)% Y/Y (13.4)% Y/Y (15.0)% Y/Y (11.1)% Y/Y Revenue Adj. EBITDA(1) Contributions (30.4)% Y/Y 7.8% Y/Y • Commercial: Decrease primarily driven by contract losses and loss of largest Commercial segment customer, partially offset by new business ramp. • Government: decrease primarily driven by contract losses, lower volumes and timing of implementation activity in the Government Healthcare Solutions business. These declines were partially offset by ramp of new business. • Commercial: Decrease primarily driven by revenue drivers, and discrete negative items, partially offset by our cost efficiency programs which helped maintain our margins; margin 7.6% up 20 bps Y/Y. • Government: Decrease primarily due to revenue drivers and other discrete items in the prior year; margin 23.7% down (150) bps Y/Y. • Unallocated Costs: Decrease primarily driven by cost efficiencies in our corporate functions.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 descr=""/>
                    <pic:cNvPicPr>
                      <a:picLocks noChangeAspect="1" noChangeArrowheads="1"/>
                    </pic:cNvPicPr>
                  </pic:nvPicPr>
                  <pic:blipFill>
                    <a:blip r:embed="rId12"/>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9 $520M Senior Notes 2026 2027 2028 2029 Q2 2026 Cash Flow and Balance Sheet Q2 2026 Cash(4) Balance Changes Balance Sheet For the complete set of footnotes associated with this slide, please refer to the last page of the Appendix. ($ in millions) 12/31/2025 6/30/2026 Total Cash(4) $243 $240 Total Debt(5) 629 664 Current Portion of Debt(8) 22 21 Revolving Credit Facility(6) 109 144 Senior Notes due 2029 520 520 Finance leases and Other loans 62 58 Adjusted net leverage ratio(3) 2.2x 2.1x Senior Notes Maturity(7) $251M $(8)M $(3)M $240M Cash Beginning of Period Adjusted Free Cash Flow Financing and Other Activity Cash End of Period • Adj. Free Cash Flow(1): $(8)M • Capex(2) as % of revenue: 2.6% • Adjusted net leverage ratio(3): 2.1x • $240M of cash(4) at end of Q2 2026 (1) $ --M $ --M$ --M $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13"/>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FY 2026 Outlook(1) (1) Refer to the Appendix for additional information regarding Non-GAAP Outlook. (2) Refer to the Appendix for complete Non-GAAP reconciliations of Adjusted EBITDA and Adjusted EBITDA Margin. $2,150M - $2,250MRevenue Adj. EBITDA from Continuing Operations(2) $140M - $170M FY 2026 Outlook(1) • $200M+ in divestiture consideration • $100M+ in cost efficiencies by the end of 2027 • Achieving positive free cash flow in 2027 Other modelling considerations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Key Achievements and Industry Accolades Portfolio Optimization and Strategic Transformation • Entered into agreements to sell the Public Transit business to Modaxo for $164 million and the Tolling business to Quarterhill Inc. for $70 million, plus a 7% equity interest in Quarterhill, further simplifying Conduent's portfolio, strengthening financial flexibility and increasing focus on core growth opportunities. Business Execution &amp; Contract Wins • Signed a pension risk transfer administration engagement with Securian, expanding Conduent's retirement administration capabilities. • Selected by Trillium Health Resources to deploy the Health Services Plus platform for claims processing, provider data management, and member services. • Implemented a modernized Medicaid platform for the State of New Mexico, replacing a 24-year-old legacy system and supporting approximately 900,000 Medicaid members. • Awarded a multi-year contract renewal by the Commonwealth of Virginia to continue operating and modernizing its Medicaid platform, serving approximately 1.6 million members. • Expanded the EBT EMV implementation following the Alabama rollout, with four states expected to be live with chip-enabled EBT cards by year- end 2026, helping strengthen payment security and protect beneficiaries from card fraud. Innovation &amp; Technology Investment • Introduced an AI-powered next-generation Customer Experience platform featuring real-time translation, AI-assisted training, and voice enhancement capabilities to improve customer experiences and agent performance. • Investing in next-generation Medicaid technology to modernize provider enrollment and management, with the first client implementation planned for a U.S. state, expanding Conduent's Government Healthcare capabilities and supporting continued modernization of state Medicaid programs. Leadership &amp; Governance • Appointed Adam Demuyakor to the Board of Directors, adding expertise in artificial intelligence, digital transformation, innovation and enterprise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Definitions New Business Total Contract Value (TCV): Estimated total future revenues from contracts signed during the period related to new logo, new service line or expansion with existing customers. New Business Non-Recurring Revenue (NRR): Metric measures the non-recurring revenue for any new business signing, includes: i. Signing value of any contract with term less than 12 months; ii. Signing value of project based revenue, not expected to continue long term. New Business Annual Recurring Revenue (ARR): Metric measures the revenue from recurring services provided to the client for any new business signing. ARR represents the recurring services provided to a customer with the opportunity for renewal at the end of the contract term. The calculation of ARR is (Total Contract Value less Non-Recurring Revenue) divided by the Contract Term. New Business Annual Contract Value (ACV): (New Business TCV / contract term) multiplied by 12. Renewal TCV Signings: Estimated total future revenues from contracts signed during the period related to renewals. Implied New Business Average Contract Length: (New Business TCV – New Business NRR) / New Business ARR = Implied New Business Average Contract Length. TTM: Trailing twelve months. CC: Constant Currency as defined in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17"/>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Non-GAAP Financial Measures We have reported our financial results in accordance with accounting principles generally accepted in the U.S. (U.S. GAAP). In addition, we have discussed our financial results using non-GAAP measures for our Continuing Operations only, unless otherwise noted. 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our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 GAAP measures are among the primary factors management uses in planning for and forecasting future periods. Compensation of our executives is based in part on the performance of our business based on certain of these non-GAAP measures. Management cautions that amounts presented in accordance with Conduent's definition of non-GAAP financial measures may not be comparable to similar measures disclosed by other companies because not all companies calculate non-GAAP measures in the same manner. Reconciliations of the non-GAAP financial measures to the most directly comparable financial measures calculated and presented in accordance with U.S. GAAP Reconciliations are provided below. These reconciliations also include the income tax effects for our non-GAAP performance measures in total, to the extent applicable. The income tax effects are calculated under the same accounting principles as applied to our reported pre-tax performance measures under ASC 740, which employs an annual effective tax rate method. The noted income tax effect for our non-GAAP performance measures is effectively the difference in income taxes for reported and adjusted pre-tax income calculated under the annual effective tax rate method. The tax effect of the non-GAAP adjustments was calculated based upon evaluation of the statutory tax treatment and the applicable statutory tax rate in the jurisdictions in which such charges were incurred. Adjusted Revenue, Adjusted Profit Before Tax from Continuing Operations, Adjusted Net Income (Loss) from Continuing Operations, Adjusted Diluted Earnings per Share from Continuing Operations, Adjusted Weighted Average Common Shares Outstanding, and Adjusted Effective Tax Rate from Continuing Operations. We make adjustments to Revenue, Net Income (Loss) before Income Taxes from Continuing Operations for the following items, as applicable, to the particular financial measure, for the purpose of calculating Adjusted Revenue from Continuing Operations , Adjusted Net Income (Loss) from Continuing Operations, Adjusted Profit Before Tax from Continuing Operations, Adjusted Diluted Earnings per Share from Continuing Operations, Adjusted Weighted Average Common Shares Outstanding, and Adjusted Effective Tax Rate from Continuing Operations: • Amortization of acquired intangible assets. This is driven by acquisition activity, which can vary in size, nature and timing as compared to other companies within our industry and from period to period. • Restructuring and related costs. This includes restructuring and asset impairment charges as well as costs associated with our strategic transformation program. • (Gain) loss on divestitures and transaction costs, net. Represents (gain) loss on divested businesses and transaction costs. • Goodwill Impairment. This represents goodwill impairment charges arising from annual or interim goodwill testing. • Loss on extinguishment of debt. This represents write-off related debt issuance costs related to prepayments of debt. • Litigation settlements (recoveries), net. Litigation settlements (recoveries), net represents provisions for various matters subject to litigation. • Direct response costs - cyber event. This represents costs related to investigating, remediating and responding to the January 2025 Cyber Event. • Other charges (credits). This includes Other (income) expenses, net on the Consolidated Statements of Income (Loss) and other adjustments, including former CEO separation costs of approximately $4 million in Q1 2026. • Divestitures. Revenue and Adjusted EBITDA of divested businesses, which are not reported as discontinued operations, are excluded. We provide adjusted net income and adjusted EPS financial measures to assist our investors in evaluating our ongoing operating performance for the current reporting period and, where provided, over different reporting periods, by adjusting for certain items which may be recurring or non-recurring and which in our view do not necessarily reflect ongoing performance. We also internally use these measures to assess our operating performance, both absolutely and in comparison to other companies, and in evaluating or making selected compensation decisions. Management believes that the adjusted effective tax rate from continuing operations, provided as supplemental information, facilitates a comparison by investors of our actual effective tax rate from continuing operations with an adjusted effective tax rate from continuing operations which reflects the impact of the items which are excluded in providing adjusted net income and certain other identified items, and may provide added insight into our underlying business results and how effective tax rates impact our ongoing business.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7" descr=""/>
                    <pic:cNvPicPr>
                      <a:picLocks noChangeAspect="1" noChangeArrowheads="1"/>
                    </pic:cNvPicPr>
                  </pic:nvPicPr>
                  <pic:blipFill>
                    <a:blip r:embed="rId18"/>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Adjusted Revenue, Adjusted Operating Income from Continuing Operations and Adjusted Operating Margin from Continuing Operations. We make adjustments to Revenue, Costs and Expenses and Operating Margin from Continuing Operations for the following items, as applicable, for the purpose of calculating Adjusted Revenue, Adjusted Operating Income from Continuing Operations and Adjusted Operating Margin from Continuing Operations: • Amortization of acquired intangible assets. • Restructuring and related costs. • Interest expense. Interest expense includes interest on long-term debt and amortization of debt issuance costs. • Goodwill impairment. • (Gain) loss on divestitures and transaction costs, net. • Litigation settlements (recoveries), net. • Loss on extinguishment of debt. • Direct response costs - cyber event. • Other charges (credits). • Divestitures. We provide our investors with adjusted revenue, adjusted operating income from continuing operations and adjusted operating margin from continuing operations information, as supplemental information, because we believe it offers added insight, by itself and for comparability between periods, by adjusting for certain non-cash items as well as certain other identified items which we do not believe are indicative of our ongoing business, and may also provide added insight on trends in our ongoing business.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8" descr=""/>
                    <pic:cNvPicPr>
                      <a:picLocks noChangeAspect="1" noChangeArrowheads="1"/>
                    </pic:cNvPicPr>
                  </pic:nvPicPr>
                  <pic:blipFill>
                    <a:blip r:embed="rId19"/>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Adjusted EBITDA from Continuing Operations and EBITDA Margin from Continuing Operations We use Adjusted EBITDA from Continuing Operations and Adjusted EBITDA Margin from Continuing Operations as an additional way of assessing certain aspects of our operations that, when viewed with the U.S. GAAP results and the accompanying reconciliations to corresponding U.S. GAAP financial measures, provide a more complete understanding of our on-going business. Adjusted EBITDA from Continuing Operations represents income (loss) before interest, income taxes, depreciation and amortization and contract inducement amortization adjusted for the following items. Adjusted EBITDA Margin from Continuing Operations is Adjusted EBITDA from Continuing Operations divided by revenue or adjusted revenue, as applicable: • Restructuring and related costs. • Goodwill impairment. • (Gain) loss on divestitures and transaction costs, net. • Litigation settlements (recoveries), net. • Loss on extinguishment of debt. • Direct response costs - cyber event. • Other charges (credits). • Divestitures. Adjusted EBITDA from Continuing Operations is not intended to represent cash flows from operations, operating income (loss) or net income (loss) as defined by U.S. GAAP as indicators of operating performance.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9" descr=""/>
                    <pic:cNvPicPr>
                      <a:picLocks noChangeAspect="1" noChangeArrowheads="1"/>
                    </pic:cNvPicPr>
                  </pic:nvPicPr>
                  <pic:blipFill>
                    <a:blip r:embed="rId20"/>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Free Cash Flow Free Cash Flow is defined as cash flows from operating activities as reported on the consolidated statement of cash flows, less cost of additions to land, buildings and equipment, cost of additions to internal use software, and proceeds from sales of land, buildings and equipment, as applicable. We use the non-GAAP measure of Free Cash Flow as a criterion of liquidity. We use Free Cash Flow as a measure of liquidity to determine amounts we can reinvest in our core businesses, such as amounts available to make acquisitions and invest in land, buildings and equipment and internal use software, after required payments on debt. In order to provide a meaningful basis for comparison, we are providing information with respect to our Free Cash Flow reconciled to cash flow provided by operating activities, which we believe to be the most directly comparable measure under U.S. GAAP. Adjusted Free Cash Flow Adjusted Free Cash Flow is defined as Free Cash Flow from above plus adjustments for litigation insurance recoveries, transaction costs, taxes paid on gains from divestitures and litigation recoveries, proceeds from failed sale-leaseback transactions and certain other identified adjustments, as applicable. We use Adjusted Free Cash Flow, in addition to Free Cash Flow, to provide supplemental information to our investors concerning our ability to generate cash from our ongoing operating activities; by excluding these items, we believe we provide useful additional information to our investors to help them further understand our ability to generate cash period-over-period as well as added information on comparability to our competitors. Such as with Free Cash Flow information, as so adjusted, it is specifically not intended to provide amounts available for discretionary spending. We have added certain adjustments to account for items which we do not believe reflect our core business or operating performance, and we computed all periods with such adjusted costs. Revenue at Constant Currency To better understand trends in our business, we believe that it is helpful to adjust revenue to exclude the impact of changes in the translation of foreign currencies into U.S. Dollars. We refer to this adjusted revenue as “constant currency.” Currency impact is determined as the difference between actual growth rates and constant currency growth rates. This currency impact is calculated by translating the current period activity in local currency using the comparable prior-year period's currency translation rate. Non-GAAP Outlook In providing the Full Year 2026 Outlook for Adjusted EBITDA from continuing operations, we exclude certain items which are otherwise included in determining the comparable U.S. GAAP financial measure. A description of the adjustments which historically have been applicable in determining Adjusted EBITDA is reflected in the table within this presentation. We are providing such outlooks only on a non-GAAP basis because we are unable without unreasonable efforts to predict with reasonable certainty the totality or ultimate outcome or occurrence of these adjustments for the forward-looking period, which can be dependent on future events that may not be reliably predicted. Based on past reported results, where one or more of these items have been applicable, such excluded items could be material, individually or in the aggregate, to reported results. We have provided outlooks for revenue only on a non-GAAP basis using foreign currency translation rates as of fiscal year end due to the inability to, without unreasonable efforts, accurately predict foreign currency impact on revenues. In addition, the Non-GAAP Outlook is provided on a continuing operations basis.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0" descr=""/>
                    <pic:cNvPicPr>
                      <a:picLocks noChangeAspect="1" noChangeArrowheads="1"/>
                    </pic:cNvPicPr>
                  </pic:nvPicPr>
                  <pic:blipFill>
                    <a:blip r:embed="rId21"/>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Non-GAAP Reconciliations (in millions) Q2 2026 Q1 2026 FY 2025 Q4 2025 Q3 2025 Q2 2025 Q1 2025 REVENUE Revenue $ 531 $ 587 $ 2,433 $ 607 $ 605 $ 603 $ 618 Foreign currency impact (1) (4) (4) (2) (3) (1) 2 Revenue at Constant Currency $ 530 $ 583 $ 2,429 $ 605 $ 602 $ 602 $ 620 Adjusted Net Income (Loss) from Continuing Operations calculated from Net Income (Loss) from Continuing Operations Income (Loss) From Continuing Operations $ (69) $ (22) $ (174) $ (34) $ (42) $ (42) $ (56) Adjustments: Amortization of acquired intangible assets(2) 1 — 2 — 1 1 — Restructuring and related costs 20 8 35 11 12 8 4 Loss on extinguishment of debt — — 1 — 1 — — (Gain) loss on divestitures and transaction costs, net 2 1 8 2 — 4 2 Litigation settlements (recoveries), net 1 — 1 (1) — — 2 Direct response costs - cyber event — — 25 — — — 25 Other charges (credits) — 7 7 3 2 1 1 Total Non-GAAP Adjustments 24 16 79 15 16 14 34 Income tax adjustments(3) 19 5 26 7 12 5 2 Adjusted Net Income (Loss) from Continuing Operations $ (26) $ (1) $ (69) $ (12) $ (14) $ (23) $ (20) Revenue at Constant Currency, Adjusted Net Income (Loss) from Continuing Operations, Adjusted Effective Tax Rate from Continuing Operations, Adjusted Operating Income (Loss) from Continuing Operations and Adjusted EBITDA from Continuing Operations (see footnotes on last page of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 descr=""/>
                    <pic:cNvPicPr>
                      <a:picLocks noChangeAspect="1" noChangeArrowheads="1"/>
                    </pic:cNvPicPr>
                  </pic:nvPicPr>
                  <pic:blipFill>
                    <a:blip r:embed="rId22"/>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CONTINUED (in millions) Q2 2026 Q1 2026 FY 2025 Q4 2025 Q3 2025 Q2 2025 Q1 2025 Adjusted Net Income (Loss) from Continuing Operations calculated from Income (Loss) before Income Taxes from Continuing Operations Income (Loss) Before Income Taxes from Continuing Operations $ (57) $ (19) $ (170) $ (27) $ (38) $ (43) $ (62) Adjustment: Total Non-GAAP Adjustments 24 16 79 15 16 14 34 Adjusted PBT from Continuing Operations $ (33) $ (3) $ (91) $ (12) $ (22) $ (29) $ (28) Income tax expense (benefit) $ 12 $ 3 $ 4 $ 7 $ 4 $ (1) $ (6) Income tax adjustments(3) (19) (5) (26) (7) (12) (5) (2) Adjusted Income Tax Expense (Benefit) from Continuing Operations (7) (2) (22) — (8) (6) (8) Adjusted Net Income (Loss) from Continuing Operations $ (26) $ (1) $ (69) $ (12) $ (14) $ (23) $ (20) Adjusted Operating Income (Loss) from Continuing Operations Income (Loss) Before Income Taxes from Continuing Operations $ (57) $ (19) $ (170) $ (27) $ (38) $ (43) $ (62) Adjustment: Total non-GAAP adjustments 24 16 79 15 16 14 34 Interest expense 13 12 48 12 12 12 12 Adjusted Operating Income (Loss) from Continuing Operations $ (20) $ 9 $ (43) $ — $ (10) $ (17) $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2" descr=""/>
                    <pic:cNvPicPr>
                      <a:picLocks noChangeAspect="1" noChangeArrowheads="1"/>
                    </pic:cNvPicPr>
                  </pic:nvPicPr>
                  <pic:blipFill>
                    <a:blip r:embed="rId23"/>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(in millions) Q2 2026 Q1 2026 FY 2025 Q4 2025 Q3 2025 Q2 2025 Q1 2025 ADJUSTED EBITDA FROM CONTINUING OPERATIONS Net Income (Loss) from Continuing Operations $ (69) $ (22) $ (174) $ (34) $ (42) $ (42) $ (56) Income tax expense (benefit) from continuing operations 12 3 4 7 4 (1) (6) Depreciation and amortization 37 41 168 44 42 41 41 Interest expense 13 12 48 12 12 12 12 EBITDA FROM CONTINUING OPERATIONS (7) 34 46 29 16 10 (9) Adjustments: Restructuring and related costs 20 8 35 11 12 8 4 Loss on extinguishment of debt — — 1 — 1 — — (Gain) loss on divestitures and transaction costs, net 2 1 8 2 — 4 2 Litigation settlements (recoveries), net 1 — 1 (1) — — 2 Direct response costs - cyber event — — 25 — — — 25 Other charges (credits) — 7 7 3 2 1 1 Adjusted EBITDA from Continuing Operations $ 16 $ 50 $ 123 $ 44 $ 31 $ 23 $ 25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 descr=""/>
                    <pic:cNvPicPr>
                      <a:picLocks noChangeAspect="1" noChangeArrowheads="1"/>
                    </pic:cNvPicPr>
                  </pic:nvPicPr>
                  <pic:blipFill>
                    <a:blip r:embed="rId24"/>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CONTINUED (Amounts are in whole dollars, shares are in thousands and margins are in %) Q2 2026 Q1 2026 FY 2025 Q4 2025 Q3 2025 Q2 2025 Q1 2025 ADJUSTED DILUTED EPS FROM CONTINUING OPERATIONS(4) Weighted Average Common Shares Outstanding 155,288 154,903 158,422 153,803 157,004 161,162 161,830 Adjustments: Restricted stock and performance units / shares — — — — — — — Adjusted Weighted Average Common Shares Outstanding 155,288 154,903 158,422 153,803 157,004 161,162 161,830 Diluted EPS from Continuing Operations $ (0.46) $ (0.16) $ (1.16) $ (0.23) $ (0.27) $ (0.27) $ (0.36) Adjustments: Total non-GAAP adjustments 0.16 0.10 0.51 0.09 0.08 0.08 0.21 Income tax adjustments(3) 0.12 0.03 0.16 0.05 0.08 0.03 0.01 Adjusted Diluted EPS from Continuing Operations $ (0.18) $ (0.03) $ (0.49) $ (0.09) $ (0.11) $ (0.16) $ (0.14) ADJUSTED EFFECTIVE TAX RATE FROM CONTINUING OPERATIONS Effective tax rate (20.8) % (18.5) % (2.3) % (23.9) % (12.0) % 2.7 % 9.7 % Adjustments: Total non-GAAP adjustments 41.3 86.6 26.8 33.3 43.7 19.2 18.4 Adjusted Effective Tax Rate from Continuing Operations(3) 20.5 % 68.1 % 24.5 % 9.4 % 31.7 % 21.9 % 28.1 % Adjusted Weighted Average Shares Outstanding, Adjusted Diluted EPS from Continuing Operations, Adjusted Effective Tax Rate from Continuing Operations, Adjusted Operating Margin from Continuing Operations, and Adjusted EBITDA Margin from Continuing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4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4" descr=""/>
                    <pic:cNvPicPr>
                      <a:picLocks noChangeAspect="1" noChangeArrowheads="1"/>
                    </pic:cNvPicPr>
                  </pic:nvPicPr>
                  <pic:blipFill>
                    <a:blip r:embed="rId25"/>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(Margins are in %) Q2 2026 Q1 2026 FY 2025 Q4 2025 Q3 2025 Q2 2025 Q1 2025 ADJUSTED OPERATING MARGIN FROM CONTINUING OPERATIONS Income (Loss) Before Income Taxes from Continuing Operations Margin (10.7) % (3.2) % (7.0) % (4.4) % (6.3) % (7.1) % (10.0) % Adjustments: Total non-GAAP adjustments 4.5 2.7 3.2 2.4 2.6 2.3 5.5 Interest expense 2.4 2.0 2.0 2.0 2.0 2.0 1.9 Margin for Adjusted Operating Income from Continuing Operations (3.8) % 1.5 % (1.8) % — % (1.7) % (2.8) % (2.6) % ADJUSTED EBITDA FROM CONTINUING OPERATIONS MARGIN EBITDA Margin from Continuing Operations (1.3) % 5.8 % 1.9 % 4.8 % 2.6 % 1.7 % (1.5) % Total non-GAAP adjustments 4.3 2.7 3.2 2.4 2.5 2.1 5.5 Adjusted EBITDA from Continuing Operations Margin 3.0 % 8.5 % 5.1 % 7.2 % 5.1 % 3.8 % 4.0 %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5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 descr=""/>
                    <pic:cNvPicPr>
                      <a:picLocks noChangeAspect="1" noChangeArrowheads="1"/>
                    </pic:cNvPicPr>
                  </pic:nvPicPr>
                  <pic:blipFill>
                    <a:blip r:embed="rId26"/>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CONTINUED (in millions) Q2 2026 Q1 2026 FY 2025 Q4 2025 Q3 2025 Q2 2025 Q1 2025 Operating Cash Flow $ 7 $ (8) $ (73) $ 39 $ (39) $ (15) $ (58) Cost of additions to land, buildings and equipment (9) (9) (59) (15) (15) (15) (14) Cost of additions to internal use software (6) (5) (22) (7) (6) (5) (4) Free Cash Flow (8) (22) (154) 17 (60) (35) (76) Transaction costs 3 3 14 5 2 3 4 Direct response costs - cyber event payments 1 7 17 8 7 — 2 Vendor finance lease payments (4) (3) (13) (3) (3) (3) (4) Proceeds from failed sale-leaseback transactions — — 5 — — 5 — Tax payment related to divestitures and litigation recoveries — — 1 1 — — — Adjusted Free Cash Flow $ (8) $ (15) $ (130) $ 28 $ (54) $ (30) $ (74) Free Cash Flow and Adj. Free Cash Flow The below footnotes correspond to the "Non-GAAP Reconciliations" slides 1. Reserved for future use. 2. Included in Depreciation and amortization on the Consolidated Statements of Income (Loss). 3. The tax impact of Adjusted Pre-tax income (loss) was calculated under the same accounting principles applied to the 'As Reported' pre-tax income (loss), which employs an annual effective tax rate method to the results and without regard to the adjustments listed. 4. Average shares for the 2026 and 2025 calculation of adjusted diluted EPS excludes 5.4 million shares associated with our Series A convertible preferred stock and includes the impact of the preferred stock dividend of approximately $3 million each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5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 descr=""/>
                    <pic:cNvPicPr>
                      <a:picLocks noChangeAspect="1" noChangeArrowheads="1"/>
                    </pic:cNvPicPr>
                  </pic:nvPicPr>
                  <pic:blipFill>
                    <a:blip r:embed="rId27"/>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CONTINUED ($ in millions, except ratio) June 30, 2026 December 31, 2025 Long-term debt $ 697 $ 665 Current portion of long-term debt 21 22 Total GAAP debt 718 687 less cash and cash equivalents 228 233 less estimated proceeds from divestitures at closing 187 187 Adjusted Net Debt $ 303 $ 267 Adjusted EBITDA from Continuing Operations for the three months ended June 30, 2026 $ 16 March 31, 2026 50 December 31, 2025 44 $ 44 September 30, 2025 31 31 June 30, 2025 23 March 31, 2025 25 Trailing 12 months Adjusted EBITDA from Continuing Operations ("TTM AEBITDA") $ 141 $ 123 Adjusted Net Leverage Ratio (Adjusted Net Debt divided by TTM AEBITDA) 2.1 2.2 (1) Refer to Appendix for complete Non-GAAP reconciliations of Adjusted Free Cash Flow. (2) Capex refers to additions to Land, Buildings &amp; Equipment, Internal Use Software, Product Software Additions and Software as a Service Implementation Cost. (3) Adjusted Net debt (Total Debt, including finance leases and other as well as deferred financing costs; less unrestricted cash and assumed proceeds from divestitures at closing) divided by TTM Adjusted EBITDA (from continuing operations). See reconciliation below. (4) Total Cash includes $12M and $10M of restricted cash as of June 30, 2026 and December 31, 2025, respectively. (5) Total Debt as of June 30, 2026 and December 31, 2025 include Senior Notes and outstanding revolver balance. (6) $144M outstanding under its Revolving Credit Facility Interest Rate ("SOFR") + 175 to 300 bps; remaining unused capacity is $190M as of June 30, 2026; and total capacity steps down from $357M currently to $187M in October 2026. (7) Debt maturity amounts reflect only Senior Notes due 2029 and exclude all other debt instruments, finance leases, and potential mandatory prepayments. (8) Current portion of debt reflects the current maturities due in the next twelve months. The below footnotes correspond to the "Q2 2026 Cash Flow and Balance Sheet" slide Reconciliation of Adjusted Net Debt and Adjusted Net Leverage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362950"/>
            <wp:effectExtent l="0" t="0" r="0" b="0"/>
            <wp:docPr id="5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 descr=""/>
                    <pic:cNvPicPr>
                      <a:picLocks noChangeAspect="1" noChangeArrowheads="1"/>
                    </pic:cNvPicPr>
                  </pic:nvPicPr>
                  <pic:blipFill>
                    <a:blip r:embed="rId28"/>
                    <a:stretch>
                      <a:fillRect/>
                    </a:stretch>
                  </pic:blipFill>
                  <pic:spPr bwMode="auto">
                    <a:xfrm>
                      <a:off x="0" y="0"/>
                      <a:ext cx="13001625" cy="83629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2025 Conduent, Inc. All rights reserved. Conduent and Conduent Agile Star are trademarks of Conduent, Inc. and/or its subsidiaries in the United States and/or other countries.© 2026 Conduent, Inc. All rights reserved. Conduent and Conduent Agile Star are trademarks of Conduent, Inc. and/or its subsidiaries in the United States and/or other countries.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14356</Words>
  <Characters>80924</Characters>
  <CharactersWithSpaces>94555</CharactersWithSpaces>
  <Paragraphs>1310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ex992-slidesxfinalforfil</dc:title>
</cp:coreProperties>
</file>