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68"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14"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95"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87"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43"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0"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pacing w:after="0" w:line="2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49"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1"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spacing w:after="0" w:line="12" w:lineRule="exact"/>
        <w:rPr>
          <w:sz w:val="24"/>
          <w:szCs w:val="24"/>
          <w:color w:val="auto"/>
        </w:rPr>
      </w:pPr>
    </w:p>
    <w:p>
      <w:pPr>
        <w:ind w:right="300"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 w:lineRule="exact"/>
        <w:rPr>
          <w:sz w:val="24"/>
          <w:szCs w:val="24"/>
          <w:color w:val="auto"/>
        </w:rPr>
      </w:pPr>
    </w:p>
    <w:p>
      <w:pPr>
        <w:ind w:right="320" w:firstLine="162"/>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9" w:lineRule="exact"/>
        <w:rPr>
          <w:sz w:val="24"/>
          <w:szCs w:val="24"/>
          <w:color w:val="auto"/>
        </w:rPr>
      </w:pPr>
    </w:p>
    <w:p>
      <w:pPr>
        <w:ind w:right="20"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00"/>
        <w:spacing w:after="0" w:line="181" w:lineRule="exact"/>
        <w:tabs>
          <w:tab w:leader="none" w:pos="2040" w:val="left"/>
          <w:tab w:leader="none" w:pos="2500" w:val="left"/>
          <w:tab w:leader="none" w:pos="3820" w:val="left"/>
          <w:tab w:leader="none" w:pos="4300" w:val="left"/>
          <w:tab w:leader="none" w:pos="5960" w:val="left"/>
          <w:tab w:leader="none" w:pos="6460" w:val="left"/>
          <w:tab w:leader="none" w:pos="8420" w:val="left"/>
          <w:tab w:leader="none" w:pos="894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6" w:lineRule="exact"/>
        <w:rPr>
          <w:sz w:val="24"/>
          <w:szCs w:val="24"/>
          <w:color w:val="auto"/>
        </w:rPr>
      </w:pPr>
    </w:p>
    <w:p>
      <w:pPr>
        <w:ind w:right="160" w:firstLine="162"/>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w w:val="98"/>
              </w:rPr>
              <w:t>Class</w:t>
            </w:r>
          </w:p>
        </w:tc>
        <w:tc>
          <w:tcPr>
            <w:tcW w:w="124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rPr>
              <w:t>Outstanding at April 30, 2022</w:t>
            </w:r>
          </w:p>
        </w:tc>
      </w:tr>
      <w:tr>
        <w:trPr>
          <w:trHeight w:val="205"/>
        </w:trPr>
        <w:tc>
          <w:tcPr>
            <w:tcW w:w="184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590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142"/>
              <w:spacing w:after="0"/>
              <w:rPr>
                <w:sz w:val="20"/>
                <w:szCs w:val="20"/>
                <w:color w:val="auto"/>
              </w:rPr>
            </w:pPr>
            <w:r>
              <w:rPr>
                <w:rFonts w:ascii="Arial" w:cs="Arial" w:eastAsia="Arial" w:hAnsi="Arial"/>
                <w:sz w:val="16"/>
                <w:szCs w:val="16"/>
                <w:color w:val="auto"/>
              </w:rPr>
              <w:t>215,604,418</w:t>
            </w:r>
          </w:p>
        </w:tc>
      </w:tr>
      <w:tr>
        <w:trPr>
          <w:trHeight w:val="413"/>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Q1 2022 Form 10-Q</w:t>
            </w:r>
          </w:p>
        </w:tc>
      </w:tr>
      <w:tr>
        <w:trPr>
          <w:trHeight w:val="694"/>
        </w:trPr>
        <w:tc>
          <w:tcPr>
            <w:tcW w:w="1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forward-looking. In addition, all statements regarding the working capital adjustment related to the Midas divestiture will not be material, expectations regarding the proposed separation of the Transportation business,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10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10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Important factors and uncertainties that could cause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volatility of our stock price and the risk of litigation following a decline in the price of our stock; uncertainty regarding whether the proposed separation of the Transportation business will be commenced or completed and the timing and value of such transaction; and other factors that are set forth in the “Risk Factors” section, the “Legal Proceedings” section, the “Management's Discussion and Analysis of Financial Condition and Results of Operations” section and other sections of this Quarterly Report on Form 10-Q as well as in our 2021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 w:name="page3"/>
    <w:bookmarkEnd w:id="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5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1269BC"/>
              </w:rPr>
              <w:t>March 31, 2022</w:t>
            </w:r>
          </w:p>
        </w:tc>
        <w:tc>
          <w:tcPr>
            <w:tcW w:w="8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320" w:type="dxa"/>
            <w:vAlign w:val="bottom"/>
          </w:tcPr>
          <w:p>
            <w:pPr>
              <w:spacing w:after="0"/>
              <w:rPr>
                <w:sz w:val="24"/>
                <w:szCs w:val="24"/>
                <w:color w:val="auto"/>
              </w:rPr>
            </w:pPr>
          </w:p>
        </w:tc>
        <w:tc>
          <w:tcPr>
            <w:tcW w:w="8560" w:type="dxa"/>
            <w:vAlign w:val="bottom"/>
          </w:tcPr>
          <w:p>
            <w:pPr>
              <w:ind w:left="334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73"/>
        </w:trPr>
        <w:tc>
          <w:tcPr>
            <w:tcW w:w="132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09"/>
        </w:trPr>
        <w:tc>
          <w:tcPr>
            <w:tcW w:w="9880" w:type="dxa"/>
            <w:vAlign w:val="bottom"/>
            <w:gridSpan w:val="2"/>
            <w:shd w:val="clear" w:color="auto" w:fill="CCEEFF"/>
          </w:tcPr>
          <w:p>
            <w:pPr>
              <w:ind w:left="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340" w:type="dxa"/>
            <w:vAlign w:val="bottom"/>
            <w:shd w:val="clear" w:color="auto" w:fill="CCEEFF"/>
          </w:tcPr>
          <w:p>
            <w:pPr>
              <w:spacing w:after="0"/>
              <w:rPr>
                <w:sz w:val="18"/>
                <w:szCs w:val="18"/>
                <w:color w:val="auto"/>
              </w:rPr>
            </w:pPr>
          </w:p>
        </w:tc>
      </w:tr>
      <w:tr>
        <w:trPr>
          <w:trHeight w:val="230"/>
        </w:trPr>
        <w:tc>
          <w:tcPr>
            <w:tcW w:w="132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5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(Loss)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(Loss)</w:t>
              </w:r>
            </w:hyperlink>
          </w:p>
        </w:tc>
        <w:tc>
          <w:tcPr>
            <w:tcW w:w="134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34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Shareholders' Equity</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134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r>
      <w:tr>
        <w:trPr>
          <w:trHeight w:val="229"/>
        </w:trPr>
        <w:tc>
          <w:tcPr>
            <w:tcW w:w="1320" w:type="dxa"/>
            <w:vAlign w:val="bottom"/>
            <w:shd w:val="clear" w:color="auto" w:fill="CCEEFF"/>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23</w:t>
              </w:r>
            </w:hyperlink>
          </w:p>
        </w:tc>
      </w:tr>
      <w:tr>
        <w:trPr>
          <w:trHeight w:val="230"/>
        </w:trPr>
        <w:tc>
          <w:tcPr>
            <w:tcW w:w="1320" w:type="dxa"/>
            <w:vAlign w:val="bottom"/>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560" w:type="dxa"/>
            <w:vAlign w:val="bottom"/>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340" w:type="dxa"/>
            <w:vAlign w:val="bottom"/>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29"/>
        </w:trPr>
        <w:tc>
          <w:tcPr>
            <w:tcW w:w="1320" w:type="dxa"/>
            <w:vAlign w:val="bottom"/>
            <w:shd w:val="clear" w:color="auto" w:fill="CCEEFF"/>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32</w:t>
              </w:r>
            </w:hyperlink>
          </w:p>
        </w:tc>
      </w:tr>
      <w:tr>
        <w:trPr>
          <w:trHeight w:val="148"/>
        </w:trPr>
        <w:tc>
          <w:tcPr>
            <w:tcW w:w="13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1320" w:type="dxa"/>
            <w:vAlign w:val="bottom"/>
            <w:shd w:val="clear" w:color="auto" w:fill="CCEEFF"/>
          </w:tcPr>
          <w:p>
            <w:pPr>
              <w:ind w:left="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 Other</w:t>
              </w:r>
            </w:hyperlink>
          </w:p>
        </w:tc>
        <w:tc>
          <w:tcPr>
            <w:tcW w:w="8560" w:type="dxa"/>
            <w:vAlign w:val="bottom"/>
            <w:shd w:val="clear" w:color="auto" w:fill="CCEEFF"/>
          </w:tcPr>
          <w:p>
            <w:pPr>
              <w:ind w:left="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Information</w:t>
              </w:r>
            </w:hyperlink>
          </w:p>
        </w:tc>
        <w:tc>
          <w:tcPr>
            <w:tcW w:w="1340" w:type="dxa"/>
            <w:vAlign w:val="bottom"/>
            <w:shd w:val="clear" w:color="auto" w:fill="CCEEFF"/>
          </w:tcPr>
          <w:p>
            <w:pPr>
              <w:spacing w:after="0"/>
              <w:rPr>
                <w:sz w:val="19"/>
                <w:szCs w:val="19"/>
                <w:color w:val="auto"/>
              </w:rPr>
            </w:pPr>
          </w:p>
        </w:tc>
      </w:tr>
      <w:tr>
        <w:trPr>
          <w:trHeight w:val="162"/>
        </w:trPr>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9"/>
        </w:trPr>
        <w:tc>
          <w:tcPr>
            <w:tcW w:w="1320" w:type="dxa"/>
            <w:vAlign w:val="bottom"/>
            <w:shd w:val="clear" w:color="auto" w:fill="CCEEFF"/>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1.</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32</w:t>
              </w:r>
            </w:hyperlink>
          </w:p>
        </w:tc>
      </w:tr>
      <w:tr>
        <w:trPr>
          <w:trHeight w:val="230"/>
        </w:trPr>
        <w:tc>
          <w:tcPr>
            <w:tcW w:w="1320" w:type="dxa"/>
            <w:vAlign w:val="bottom"/>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1A.</w:t>
              </w:r>
            </w:hyperlink>
          </w:p>
        </w:tc>
        <w:tc>
          <w:tcPr>
            <w:tcW w:w="8560" w:type="dxa"/>
            <w:vAlign w:val="bottom"/>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1340" w:type="dxa"/>
            <w:vAlign w:val="bottom"/>
          </w:tcPr>
          <w:p>
            <w:pPr>
              <w:jc w:val="cente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32</w:t>
              </w:r>
            </w:hyperlink>
          </w:p>
        </w:tc>
      </w:tr>
      <w:tr>
        <w:trPr>
          <w:trHeight w:val="229"/>
        </w:trPr>
        <w:tc>
          <w:tcPr>
            <w:tcW w:w="1320" w:type="dxa"/>
            <w:vAlign w:val="bottom"/>
            <w:shd w:val="clear" w:color="auto" w:fill="CCEEFF"/>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8560" w:type="dxa"/>
            <w:vAlign w:val="bottom"/>
            <w:shd w:val="clear" w:color="auto" w:fill="CCEEFF"/>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Unregistered Sales of Equity Securities and Use of Proceeds</w:t>
              </w:r>
            </w:hyperlink>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33</w:t>
              </w:r>
            </w:hyperlink>
          </w:p>
        </w:tc>
      </w:tr>
      <w:tr>
        <w:trPr>
          <w:trHeight w:val="230"/>
        </w:trPr>
        <w:tc>
          <w:tcPr>
            <w:tcW w:w="1320" w:type="dxa"/>
            <w:vAlign w:val="bottom"/>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Item 6.</w:t>
              </w:r>
            </w:hyperlink>
          </w:p>
        </w:tc>
        <w:tc>
          <w:tcPr>
            <w:tcW w:w="8560" w:type="dxa"/>
            <w:vAlign w:val="bottom"/>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1340" w:type="dxa"/>
            <w:vAlign w:val="bottom"/>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30"/>
        </w:trPr>
        <w:tc>
          <w:tcPr>
            <w:tcW w:w="1320" w:type="dxa"/>
            <w:vAlign w:val="bottom"/>
            <w:shd w:val="clear" w:color="auto" w:fill="CCEEFF"/>
          </w:tcPr>
          <w:p>
            <w:pPr>
              <w:ind w:left="2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Signatures</w:t>
              </w:r>
            </w:hyperlink>
          </w:p>
        </w:tc>
        <w:tc>
          <w:tcPr>
            <w:tcW w:w="85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35</w:t>
              </w:r>
            </w:hyperlink>
          </w:p>
        </w:tc>
      </w:tr>
    </w:tbl>
    <w:p>
      <w:pPr>
        <w:spacing w:after="0" w:line="32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22"/>
          <w:szCs w:val="22"/>
          <w:b w:val="1"/>
          <w:bCs w:val="1"/>
          <w:color w:val="0066CC"/>
        </w:rPr>
      </w:pPr>
      <w:hyperlink w:anchor="page3">
        <w:r>
          <w:rPr>
            <w:rFonts w:ascii="Arial" w:cs="Arial" w:eastAsia="Arial" w:hAnsi="Arial"/>
            <w:sz w:val="22"/>
            <w:szCs w:val="22"/>
            <w:b w:val="1"/>
            <w:bCs w:val="1"/>
            <w:color w:val="0066CC"/>
          </w:rPr>
          <w:t>PART I — FINANCIAL INFORMATION</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Three Months Ended</w:t>
      </w:r>
    </w:p>
    <w:p>
      <w:pPr>
        <w:ind w:left="97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80" w:type="dxa"/>
            <w:vAlign w:val="bottom"/>
            <w:gridSpan w:val="2"/>
          </w:tcPr>
          <w:p>
            <w:pPr>
              <w:spacing w:after="0" w:line="142" w:lineRule="exact"/>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787</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Borders>
              <w:bottom w:val="single" w:sz="8" w:color="CCEEFF"/>
            </w:tcBorders>
          </w:tcPr>
          <w:p>
            <w:pPr>
              <w:spacing w:after="0"/>
              <w:rPr>
                <w:sz w:val="16"/>
                <w:szCs w:val="16"/>
                <w:color w:val="auto"/>
              </w:rPr>
            </w:pPr>
          </w:p>
        </w:tc>
        <w:tc>
          <w:tcPr>
            <w:tcW w:w="8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shd w:val="clear" w:color="auto" w:fill="CCEEFF"/>
          </w:tcPr>
          <w:p>
            <w:pPr>
              <w:spacing w:after="0"/>
              <w:rPr>
                <w:sz w:val="15"/>
                <w:szCs w:val="15"/>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2"/>
        </w:trPr>
        <w:tc>
          <w:tcPr>
            <w:tcW w:w="20" w:type="dxa"/>
            <w:vAlign w:val="bottom"/>
          </w:tcPr>
          <w:p>
            <w:pPr>
              <w:spacing w:after="0"/>
              <w:rPr>
                <w:sz w:val="15"/>
                <w:szCs w:val="15"/>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r>
      <w:tr>
        <w:trPr>
          <w:trHeight w:val="190"/>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p>
      <w:pPr>
        <w:ind w:left="966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0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7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March 31, 2022</w:t>
            </w:r>
          </w:p>
        </w:tc>
        <w:tc>
          <w:tcPr>
            <w:tcW w:w="180" w:type="dxa"/>
            <w:vAlign w:val="bottom"/>
          </w:tcPr>
          <w:p>
            <w:pPr>
              <w:spacing w:after="0"/>
              <w:rPr>
                <w:sz w:val="15"/>
                <w:szCs w:val="15"/>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24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3,910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215,604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215,381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2"/>
                <w:szCs w:val="12"/>
                <w:color w:val="auto"/>
              </w:rPr>
            </w:pPr>
          </w:p>
        </w:tc>
        <w:tc>
          <w:tcPr>
            <w:tcW w:w="118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right"/>
              <w:ind w:right="528"/>
              <w:spacing w:after="0" w:line="129"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95</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69"/>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83"/>
        </w:trPr>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40" w:right="760" w:hanging="332"/>
        <w:spacing w:after="0" w:line="279"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 million and $10 million of restricted cash as of March 31, 2022 and 2021,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center"/>
              <w:ind w:left="629"/>
              <w:spacing w:after="0"/>
              <w:rPr>
                <w:sz w:val="20"/>
                <w:szCs w:val="20"/>
                <w:color w:val="auto"/>
              </w:rPr>
            </w:pPr>
            <w:r>
              <w:rPr>
                <w:rFonts w:ascii="Arial" w:cs="Arial" w:eastAsia="Arial" w:hAnsi="Arial"/>
                <w:sz w:val="14"/>
                <w:szCs w:val="14"/>
                <w:color w:val="auto"/>
              </w:rPr>
              <w:t>Three Months Ended March 31, 2022</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29"/>
              <w:spacing w:after="0"/>
              <w:rPr>
                <w:sz w:val="20"/>
                <w:szCs w:val="20"/>
                <w:color w:val="auto"/>
              </w:rPr>
            </w:pPr>
            <w:r>
              <w:rPr>
                <w:rFonts w:ascii="Arial" w:cs="Arial" w:eastAsia="Arial" w:hAnsi="Arial"/>
                <w:sz w:val="14"/>
                <w:szCs w:val="14"/>
                <w:color w:val="auto"/>
              </w:rPr>
              <w:t>Three Months Ended March 31, 2021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2"/>
                <w:szCs w:val="12"/>
                <w:color w:val="auto"/>
              </w:rPr>
            </w:pPr>
          </w:p>
        </w:tc>
        <w:tc>
          <w:tcPr>
            <w:tcW w:w="1160" w:type="dxa"/>
            <w:vAlign w:val="bottom"/>
          </w:tcPr>
          <w:p>
            <w:pPr>
              <w:jc w:val="center"/>
              <w:ind w:right="89"/>
              <w:spacing w:after="0" w:line="147"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Capital</w:t>
            </w:r>
          </w:p>
        </w:tc>
        <w:tc>
          <w:tcPr>
            <w:tcW w:w="140" w:type="dxa"/>
            <w:vAlign w:val="bottom"/>
          </w:tcPr>
          <w:p>
            <w:pPr>
              <w:spacing w:after="0"/>
              <w:rPr>
                <w:sz w:val="11"/>
                <w:szCs w:val="11"/>
                <w:color w:val="auto"/>
              </w:rPr>
            </w:pPr>
          </w:p>
        </w:tc>
        <w:tc>
          <w:tcPr>
            <w:tcW w:w="1540" w:type="dxa"/>
            <w:vAlign w:val="bottom"/>
            <w:gridSpan w:val="2"/>
          </w:tcPr>
          <w:p>
            <w:pPr>
              <w:jc w:val="center"/>
              <w:ind w:right="260"/>
              <w:spacing w:after="0" w:line="110" w:lineRule="exact"/>
              <w:rPr>
                <w:sz w:val="20"/>
                <w:szCs w:val="20"/>
                <w:color w:val="auto"/>
              </w:rPr>
            </w:pPr>
            <w:r>
              <w:rPr>
                <w:rFonts w:ascii="Arial" w:cs="Arial" w:eastAsia="Arial" w:hAnsi="Arial"/>
                <w:sz w:val="12"/>
                <w:szCs w:val="12"/>
                <w:color w:val="auto"/>
              </w:rPr>
              <w:t>(Deficit)</w:t>
            </w:r>
          </w:p>
        </w:tc>
        <w:tc>
          <w:tcPr>
            <w:tcW w:w="3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9"/>
              <w:spacing w:after="0" w:line="110"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2380" w:right="2060" w:hanging="2372"/>
        <w:spacing w:after="0" w:line="654" w:lineRule="auto"/>
        <w:tabs>
          <w:tab w:leader="none" w:pos="3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8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one of the largest diversified business process services companies in the world, Conduent delivers mission-critical solutions and services on behalf of businesses and governments – creating exceptional outcomes for its clients and the millions of people who count on them. Through its dedicated people, processes and technologies, Conduent's services and solutions enhance customer experience, increase efficiencies, reduce costs and improve performance for most Fortune 100 companies and more than 500 government entities.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2021.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May 3, 2022 and no material subsequent events were identified.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Although as of March 31, 2022, many government-imposed restrictions have been lightened or removed, the future impact of the COVID-19 pandemic continues to be highly uncertain.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Contingencies and Litigation</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 to Note 12 – Contingencies and Litigation to the Condensed Consolidated Financial Statements for additional information regarding loss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Goodwill</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15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tests goodwill for impairment annually or more frequently if an event or change in circumstances indicate the asset may be impaired. Impairment testing for goodwill is done at the reporting unit level.</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January 1, 2022, the Company underwent an internal reorganization in its Commercial reportable segment resulting in the previous four Commercial operating segments being combined into one single operating segment and reporting unit, led by a single segment manager.</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considered the reorganization a triggering event and performed an interim qualitative goodwill impairment assessment of the reporting units before and after the reorganization and concluded no impairment existed at the time of change.</w:t>
      </w:r>
    </w:p>
    <w:p>
      <w:pPr>
        <w:spacing w:after="0" w:line="14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Additionally, as part of this reorganization, certain clients were reassigned from the Government Services reportable segment to the Commercial reportable segment (refer to Note 4 – Segment Reporting to the Condensed Consolidated Financial Statements for additional information). This change resulted in less than 1% of goodwill being reallocated between the reporting units within the two reportable segments.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8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Company's significant accounting policies are described in Note 1–Basis of Presentation and Summary of Significant Accounting Policies in the Company's Annual Report on Form 10-K for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2022 that had a material impact on its Consolidated Financial Statements.</w:t>
      </w:r>
    </w:p>
    <w:p>
      <w:pPr>
        <w:spacing w:after="0" w:line="200" w:lineRule="exact"/>
        <w:rPr>
          <w:sz w:val="20"/>
          <w:szCs w:val="20"/>
          <w:color w:val="auto"/>
        </w:rPr>
      </w:pPr>
    </w:p>
    <w:p>
      <w:pPr>
        <w:spacing w:after="0" w:line="38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 w:name="page11"/>
    <w:bookmarkEnd w:id="1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Company has considered all recent accounting standards issued, but not yet effective, and does not expect any to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first quarter of 2022, certain clients were reclassified from the Government Services segment to the Commercial segment. Additionally, revenue for the Midas business divested in the first quarter of 2022 has been reclassified from the Commercial segment to the Divestitures segment. These changes have no impact on the timing of revenue recognition. All prior periods presented have been revised to reflect these changes.</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6"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p>
      <w:pPr>
        <w:ind w:left="966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0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healthcare solutions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resource and learning services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Government Services: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 Services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Roadway charging &amp; management services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37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75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3"/>
                <w:szCs w:val="13"/>
                <w:color w:val="auto"/>
              </w:rPr>
            </w:pPr>
          </w:p>
        </w:tc>
        <w:tc>
          <w:tcPr>
            <w:tcW w:w="16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March 31, 2022</w:t>
            </w:r>
          </w:p>
        </w:tc>
        <w:tc>
          <w:tcPr>
            <w:tcW w:w="180" w:type="dxa"/>
            <w:vAlign w:val="bottom"/>
          </w:tcPr>
          <w:p>
            <w:pPr>
              <w:spacing w:after="0"/>
              <w:rPr>
                <w:sz w:val="13"/>
                <w:szCs w:val="13"/>
                <w:color w:val="auto"/>
              </w:rPr>
            </w:pPr>
          </w:p>
        </w:tc>
        <w:tc>
          <w:tcPr>
            <w:tcW w:w="1600" w:type="dxa"/>
            <w:vAlign w:val="bottom"/>
          </w:tcPr>
          <w:p>
            <w:pPr>
              <w:jc w:val="right"/>
              <w:ind w:right="188"/>
              <w:spacing w:after="0" w:line="138" w:lineRule="exact"/>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tcPr>
          <w:p>
            <w:pPr>
              <w:spacing w:after="0" w:line="189"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5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57"/>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71"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Revenues of $ 35 million were recognized during the three months ended March 31, 2022 related to the Company's unearned income at December 31, 2021. Additionally, the Company recognized $7 million of revenue related to the unearned income of the divested Midas business for the three months ended March 31, 2022. Such amount was included in Liabilities Held for Sale on the December 31, 2021 consolidated balance sheet.</w:t>
      </w:r>
    </w:p>
    <w:p>
      <w:pPr>
        <w:spacing w:after="0" w:line="150" w:lineRule="exact"/>
        <w:rPr>
          <w:sz w:val="20"/>
          <w:szCs w:val="20"/>
          <w:color w:val="auto"/>
        </w:rPr>
      </w:pPr>
    </w:p>
    <w:p>
      <w:pPr>
        <w:jc w:val="both"/>
        <w:ind w:right="440"/>
        <w:spacing w:after="0" w:line="261" w:lineRule="auto"/>
        <w:rPr>
          <w:sz w:val="20"/>
          <w:szCs w:val="20"/>
          <w:color w:val="auto"/>
        </w:rPr>
      </w:pPr>
      <w:r>
        <w:rPr>
          <w:rFonts w:ascii="Arial" w:cs="Arial" w:eastAsia="Arial" w:hAnsi="Arial"/>
          <w:sz w:val="18"/>
          <w:szCs w:val="18"/>
          <w:color w:val="auto"/>
        </w:rPr>
        <w:t>Revenues of $ 58 million were recognized during the three months ended March 31, 2021 related to the Company's unearned income at December 31, 2020.</w:t>
      </w:r>
    </w:p>
    <w:p>
      <w:pPr>
        <w:spacing w:after="0" w:line="144" w:lineRule="exact"/>
        <w:rPr>
          <w:sz w:val="20"/>
          <w:szCs w:val="20"/>
          <w:color w:val="auto"/>
        </w:rPr>
      </w:pPr>
    </w:p>
    <w:p>
      <w:pPr>
        <w:ind w:right="400"/>
        <w:spacing w:after="0" w:line="438" w:lineRule="auto"/>
        <w:rPr>
          <w:sz w:val="20"/>
          <w:szCs w:val="20"/>
          <w:color w:val="auto"/>
        </w:rPr>
      </w:pPr>
      <w:r>
        <w:rPr>
          <w:rFonts w:ascii="Arial" w:cs="Arial" w:eastAsia="Arial" w:hAnsi="Arial"/>
          <w:sz w:val="18"/>
          <w:szCs w:val="18"/>
          <w:color w:val="auto"/>
        </w:rPr>
        <w:t xml:space="preserve">The Company had no material asset impairment charges related to contract assets for the three months ended March 31, 2022 or 2021. </w:t>
      </w:r>
      <w:r>
        <w:rPr>
          <w:rFonts w:ascii="Arial" w:cs="Arial" w:eastAsia="Arial" w:hAnsi="Arial"/>
          <w:sz w:val="18"/>
          <w:szCs w:val="18"/>
          <w:b w:val="1"/>
          <w:bCs w:val="1"/>
          <w:color w:val="auto"/>
        </w:rPr>
        <w:t>Transaction Price Allocated to the Remaining Performance Obligations</w:t>
      </w:r>
    </w:p>
    <w:p>
      <w:pPr>
        <w:spacing w:after="0" w:line="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March 31, 2022 was approximately $1.1 billion. The Company expects to recognize approximately 72% of this revenue over the next two years and the remainder thereafter.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8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(CODM). The Company's segments involve the delivery of business process services and include service arrangements where it manages a customer's business activity or process.</w:t>
      </w:r>
    </w:p>
    <w:p>
      <w:pPr>
        <w:spacing w:after="0" w:line="14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2022, the Company realigned certain clients between reportable segments to reflect how the Company currently manages its business. Certain clients were reclassified from the Government Services reportable segment to the Commercial reportable segment to align with a product view of the business. Additionally, in the first quarter of 2022, in order to provide greater visibility into the profitability of the Company's segments, certain real estate costs that were previously included in Unallocated Costs have been allocated to each of the reportable segments.</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described in Note 5 – Assets/Liabilities Held for Sale and Divestiture, the Company sold its Midas Suite of patient safety, quality and advanced analytics solutions to a third party in the first quarter of 2022. Accordingly, the results of this disposed business, which had previously been reported in the Commercial segment have been reclassified to the Divestitures segment. All prior periods presented have been recast to reflect these changes.</w:t>
      </w:r>
    </w:p>
    <w:p>
      <w:pPr>
        <w:spacing w:after="0" w:line="15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Company's financial performance is based on Segment Profit/(Loss) for its three reportable segments (Commercial, Government Services and Transportation), Divestitures and Unallocated Costs. The Company's CODM does not evaluate operating segments using discrete asset information.</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2" w:name="page13"/>
    <w:bookmarkEnd w:id="1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to clients in a variety of industries.</w:t>
      </w:r>
      <w:r>
        <w:rPr>
          <w:rFonts w:ascii="Arial" w:cs="Arial" w:eastAsia="Arial" w:hAnsi="Arial"/>
          <w:sz w:val="18"/>
          <w:szCs w:val="18"/>
          <w:b w:val="1"/>
          <w:bCs w:val="1"/>
          <w:color w:val="0066CC"/>
        </w:rPr>
        <w:t xml:space="preserve"> </w:t>
      </w:r>
      <w:r>
        <w:rPr>
          <w:rFonts w:ascii="Arial" w:cs="Arial" w:eastAsia="Arial" w:hAnsi="Arial"/>
          <w:sz w:val="18"/>
          <w:szCs w:val="18"/>
          <w:color w:val="000000"/>
        </w:rPr>
        <w:t>Across the Commercial segment, the Company operates on its clients’ behalf to deliver mission-critical solutions and services to reduce costs, improve efficiencies and enable revenue growth for the Company's clients and their consumers and employees.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0066CC"/>
        </w:rPr>
        <w:t xml:space="preserve">Government Services: </w:t>
      </w:r>
      <w:r>
        <w:rPr>
          <w:rFonts w:ascii="Arial" w:cs="Arial" w:eastAsia="Arial" w:hAnsi="Arial"/>
          <w:sz w:val="18"/>
          <w:szCs w:val="18"/>
          <w:color w:val="000000"/>
        </w:rPr>
        <w:t>The Government Services segment provides government-centric business process services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and local and foreign governments for public assistance program administration, transaction processing and payment services. The solutions in this segment help governments respond to changing rules for eligibility and increasing citizen expectations.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and support, as well as revenue-generating services, to government clients.</w:t>
      </w:r>
      <w:r>
        <w:rPr>
          <w:rFonts w:ascii="Arial" w:cs="Arial" w:eastAsia="Arial" w:hAnsi="Arial"/>
          <w:sz w:val="18"/>
          <w:szCs w:val="18"/>
          <w:b w:val="1"/>
          <w:bCs w:val="1"/>
          <w:color w:val="0066CC"/>
        </w:rPr>
        <w:t xml:space="preserve"> </w:t>
      </w:r>
      <w:r>
        <w:rPr>
          <w:rFonts w:ascii="Arial" w:cs="Arial" w:eastAsia="Arial" w:hAnsi="Arial"/>
          <w:sz w:val="18"/>
          <w:szCs w:val="18"/>
          <w:color w:val="000000"/>
        </w:rPr>
        <w:t>On behalf of government agencies and 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Divestitures includes the Company's Midas Suite of patient safety, quality and advanced analytics solutions which it sold to a third party in the first quarter of 2022. Refer to Note 5 – Assets/Liabilities Held for Sale and Divestiture for additional information.</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color w:val="auto"/>
              </w:rPr>
              <w:t>Divestitures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left="669"/>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left="649"/>
              <w:spacing w:after="0"/>
              <w:rPr>
                <w:sz w:val="20"/>
                <w:szCs w:val="20"/>
                <w:color w:val="auto"/>
              </w:rPr>
            </w:pPr>
            <w:r>
              <w:rPr>
                <w:rFonts w:ascii="Arial" w:cs="Arial" w:eastAsia="Arial" w:hAnsi="Arial"/>
                <w:sz w:val="14"/>
                <w:szCs w:val="14"/>
                <w:color w:val="auto"/>
              </w:rPr>
              <w:t>(59)</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left="669"/>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left="649"/>
              <w:spacing w:after="0"/>
              <w:rPr>
                <w:sz w:val="20"/>
                <w:szCs w:val="20"/>
                <w:color w:val="auto"/>
              </w:rPr>
            </w:pPr>
            <w:r>
              <w:rPr>
                <w:rFonts w:ascii="Arial" w:cs="Arial" w:eastAsia="Arial" w:hAnsi="Arial"/>
                <w:sz w:val="14"/>
                <w:szCs w:val="14"/>
                <w:color w:val="auto"/>
              </w:rPr>
              <w:t>(79)</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6"/>
          </w:tcPr>
          <w:p>
            <w:pPr>
              <w:jc w:val="right"/>
              <w:ind w:right="52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5"/>
          </w:tcPr>
          <w:p>
            <w:pPr>
              <w:jc w:val="right"/>
              <w:ind w:right="80"/>
              <w:spacing w:after="0" w:line="110" w:lineRule="exact"/>
              <w:rPr>
                <w:sz w:val="20"/>
                <w:szCs w:val="20"/>
                <w:color w:val="auto"/>
              </w:rPr>
            </w:pPr>
            <w:r>
              <w:rPr>
                <w:rFonts w:ascii="Arial" w:cs="Arial" w:eastAsia="Arial" w:hAnsi="Arial"/>
                <w:sz w:val="12"/>
                <w:szCs w:val="12"/>
                <w:color w:val="auto"/>
              </w:rPr>
              <w:t>March 31,</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8"/>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3"/>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Other (income) expenses,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Pre-tax Income (Loss)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Assets/Liabilities Held for Sale and Divestiture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Assets/Liabilities Held for Sale</w:t>
      </w:r>
    </w:p>
    <w:p>
      <w:pPr>
        <w:spacing w:after="0" w:line="19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As of December 31, 2021, the sale of the Midas Suite of patient safety, quality and advanced analytics solutions to Symplr Software, Inc. had not yet closed. Accordingly, the assets and liabilities of this portfolio, collectively referred to as the Disposal Group, were reclassified as held for sale and measured at the lower of carrying value or fair value less costs to sell. As described below, the sale closed in the first quarter of 2022 and the assets and liabilities held for sale have been removed from the Company's Condensed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8, 2022, the Company completed the sale of its Midas Suite of patient safety, quality and advanced analytics solutions to Symplr Software, Inc. The Company received $321 million of cash consideration for this divestiture, subject to customary working capital adjustments. Working capital adjustments are expected to be finalized in the second quarter of 2022 and are not expected to be material. The divestiture generated a pre-tax gain of $165 million, which is included in (Gain) loss on divestitures and transaction costs. The Company recorded approximately $62 million of income taxes in connection with the divestiture. The revenue generated by this business was $7 million and $18 million for the three months ended March 31, 2022 and 2021, respectively.</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$4 million and $7 million for the three months ended March 31, 2022 and 2021,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three months ended March 31, 2022 and 2021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380" w:type="dxa"/>
            <w:vAlign w:val="bottom"/>
            <w:gridSpan w:val="2"/>
          </w:tcPr>
          <w:p>
            <w:pPr>
              <w:jc w:val="center"/>
              <w:ind w:right="460"/>
              <w:spacing w:after="0" w:line="110" w:lineRule="exact"/>
              <w:rPr>
                <w:sz w:val="20"/>
                <w:szCs w:val="20"/>
                <w:color w:val="auto"/>
              </w:rPr>
            </w:pPr>
            <w:r>
              <w:rPr>
                <w:rFonts w:ascii="Arial" w:cs="Arial" w:eastAsia="Arial" w:hAnsi="Arial"/>
                <w:sz w:val="12"/>
                <w:szCs w:val="12"/>
                <w:color w:val="auto"/>
              </w:rPr>
              <w:t>Costs</w:t>
            </w:r>
          </w:p>
        </w:tc>
        <w:tc>
          <w:tcPr>
            <w:tcW w:w="120" w:type="dxa"/>
            <w:vAlign w:val="bottom"/>
          </w:tcPr>
          <w:p>
            <w:pPr>
              <w:spacing w:after="0"/>
              <w:rPr>
                <w:sz w:val="11"/>
                <w:szCs w:val="11"/>
                <w:color w:val="auto"/>
              </w:rPr>
            </w:pPr>
          </w:p>
        </w:tc>
        <w:tc>
          <w:tcPr>
            <w:tcW w:w="164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00" w:type="dxa"/>
            <w:vAlign w:val="bottom"/>
            <w:gridSpan w:val="2"/>
          </w:tcPr>
          <w:p>
            <w:pPr>
              <w:spacing w:after="0" w:line="18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March 31, 2022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color w:val="auto"/>
              </w:rPr>
              <w:t>Severance and Related</w:t>
            </w:r>
          </w:p>
        </w:tc>
        <w:tc>
          <w:tcPr>
            <w:tcW w:w="10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8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360" w:type="dxa"/>
            <w:vAlign w:val="bottom"/>
          </w:tcPr>
          <w:p>
            <w:pPr>
              <w:spacing w:after="0"/>
              <w:rPr>
                <w:sz w:val="11"/>
                <w:szCs w:val="11"/>
                <w:color w:val="auto"/>
              </w:rPr>
            </w:pPr>
          </w:p>
        </w:tc>
        <w:tc>
          <w:tcPr>
            <w:tcW w:w="1400" w:type="dxa"/>
            <w:vAlign w:val="bottom"/>
            <w:gridSpan w:val="2"/>
          </w:tcPr>
          <w:p>
            <w:pPr>
              <w:jc w:val="center"/>
              <w:ind w:right="480"/>
              <w:spacing w:after="0" w:line="110" w:lineRule="exact"/>
              <w:rPr>
                <w:sz w:val="20"/>
                <w:szCs w:val="20"/>
                <w:color w:val="auto"/>
              </w:rPr>
            </w:pPr>
            <w:r>
              <w:rPr>
                <w:rFonts w:ascii="Arial" w:cs="Arial" w:eastAsia="Arial" w:hAnsi="Arial"/>
                <w:sz w:val="12"/>
                <w:szCs w:val="12"/>
                <w:color w:val="auto"/>
              </w:rPr>
              <w:t>Costs</w:t>
            </w:r>
          </w:p>
        </w:tc>
        <w:tc>
          <w:tcPr>
            <w:tcW w:w="100" w:type="dxa"/>
            <w:vAlign w:val="bottom"/>
          </w:tcPr>
          <w:p>
            <w:pPr>
              <w:spacing w:after="0"/>
              <w:rPr>
                <w:sz w:val="11"/>
                <w:szCs w:val="11"/>
                <w:color w:val="auto"/>
              </w:rPr>
            </w:pPr>
          </w:p>
        </w:tc>
        <w:tc>
          <w:tcPr>
            <w:tcW w:w="1660" w:type="dxa"/>
            <w:vAlign w:val="bottom"/>
            <w:gridSpan w:val="2"/>
          </w:tcPr>
          <w:p>
            <w:pPr>
              <w:jc w:val="center"/>
              <w:ind w:right="200"/>
              <w:spacing w:after="0" w:line="110" w:lineRule="exact"/>
              <w:rPr>
                <w:sz w:val="20"/>
                <w:szCs w:val="20"/>
                <w:color w:val="auto"/>
              </w:rPr>
            </w:pPr>
            <w:r>
              <w:rPr>
                <w:rFonts w:ascii="Arial" w:cs="Arial" w:eastAsia="Arial" w:hAnsi="Arial"/>
                <w:sz w:val="12"/>
                <w:szCs w:val="12"/>
                <w:color w:val="auto"/>
              </w:rPr>
              <w:t>Costs</w:t>
            </w: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2020</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tcPr>
          <w:p>
            <w:pPr>
              <w:spacing w:after="0" w:line="18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March 31, 2021</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5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 addition, the Company recorded professional support costs associated with the implementation of certain strategic transformation programs of $1 million and $1 million for the three months ended March 31, 2022 and 2021, respectively.</w:t>
      </w:r>
    </w:p>
    <w:p>
      <w:pPr>
        <w:spacing w:after="0" w:line="14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2"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Three Months Ended</w:t>
      </w:r>
    </w:p>
    <w:p>
      <w:pPr>
        <w:ind w:left="95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46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2022</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Government Services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9"/>
                <w:szCs w:val="9"/>
                <w:color w:val="auto"/>
              </w:rPr>
              <w:t>(1)</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
        </w:trPr>
        <w:tc>
          <w:tcPr>
            <w:tcW w:w="848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8480" w:type="dxa"/>
            <w:vAlign w:val="bottom"/>
            <w:gridSpan w:val="3"/>
            <w:vMerge w:val="continue"/>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40" w:right="360" w:hanging="332"/>
        <w:spacing w:after="0" w:line="27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March 31, 2022</w:t>
            </w:r>
          </w:p>
        </w:tc>
        <w:tc>
          <w:tcPr>
            <w:tcW w:w="180" w:type="dxa"/>
            <w:vAlign w:val="bottom"/>
          </w:tcPr>
          <w:p>
            <w:pPr>
              <w:spacing w:after="0"/>
              <w:rPr>
                <w:sz w:val="15"/>
                <w:szCs w:val="15"/>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r>
      <w:tr>
        <w:trPr>
          <w:trHeight w:val="189"/>
        </w:trPr>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515</w:t>
            </w:r>
          </w:p>
        </w:tc>
      </w:tr>
      <w:tr>
        <w:trPr>
          <w:trHeight w:val="189"/>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89"/>
        </w:trPr>
        <w:tc>
          <w:tcPr>
            <w:tcW w:w="3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706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260" w:type="dxa"/>
            <w:vAlign w:val="bottom"/>
          </w:tcPr>
          <w:p>
            <w:pPr>
              <w:spacing w:after="0"/>
              <w:rPr>
                <w:sz w:val="16"/>
                <w:szCs w:val="16"/>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6"/>
              </w:rPr>
              <w:t>Other</w:t>
            </w:r>
          </w:p>
        </w:tc>
        <w:tc>
          <w:tcPr>
            <w:tcW w:w="28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1,440</w:t>
            </w:r>
          </w:p>
        </w:tc>
      </w:tr>
      <w:tr>
        <w:trPr>
          <w:trHeight w:val="189"/>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Arial" w:cs="Arial" w:eastAsia="Arial" w:hAnsi="Arial"/>
                <w:sz w:val="14"/>
                <w:szCs w:val="14"/>
                <w:color w:val="auto"/>
              </w:rPr>
              <w:t>Debt issuance costs and unamortized discounts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3"/>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Arial" w:cs="Arial" w:eastAsia="Arial" w:hAnsi="Arial"/>
                <w:sz w:val="14"/>
                <w:szCs w:val="14"/>
                <w:b w:val="1"/>
                <w:bCs w:val="1"/>
                <w:color w:val="auto"/>
              </w:rPr>
              <w:t>Total 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1,383</w:t>
            </w: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quarter of 2022, the Company repaid $100 million that was outstanding as of December 31, 2021 under its 2021 Revolving Credit Facility maturing in 2026 (Revolver). As of March 31, 2022, the Company had no outstanding borrowings under its Revolver. However, the Company utilized $10 million of the Revolver to issue letters of credit. The net Revolver available to be drawn upon as of March 31, 2022 was $540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the Company was in compliance with all debt covenants related to the borrowings in the table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March 31, 2022 and December 31, 2021, the Company had outstanding forward exchange contracts with gross notional values of $139 million and $150 million, respectively. At March 31, 2022, approximately 71% of these contracts mature within three months, 11% in three to six months, 14% in six to twelve months and 4% in greater than twelve months. Most of these foreign currency derivative contracts are designated as cash flow hedges and did not have a material impact on the Company's balance sheet, income statement or cash flows for the periods presented.</w:t>
      </w:r>
    </w:p>
    <w:p>
      <w:pPr>
        <w:spacing w:after="0" w:line="15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8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420" w:type="dxa"/>
            <w:vAlign w:val="bottom"/>
            <w:gridSpan w:val="2"/>
          </w:tcPr>
          <w:p>
            <w:pPr>
              <w:spacing w:after="0" w:line="138"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70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March 31, 2022</w:t>
            </w:r>
          </w:p>
        </w:tc>
        <w:tc>
          <w:tcPr>
            <w:tcW w:w="180" w:type="dxa"/>
            <w:vAlign w:val="bottom"/>
          </w:tcPr>
          <w:p>
            <w:pPr>
              <w:spacing w:after="0"/>
              <w:rPr>
                <w:sz w:val="13"/>
                <w:szCs w:val="13"/>
                <w:color w:val="auto"/>
              </w:rPr>
            </w:pPr>
          </w:p>
        </w:tc>
        <w:tc>
          <w:tcPr>
            <w:tcW w:w="1660" w:type="dxa"/>
            <w:vAlign w:val="bottom"/>
          </w:tcPr>
          <w:p>
            <w:pPr>
              <w:jc w:val="right"/>
              <w:ind w:right="228"/>
              <w:spacing w:after="0" w:line="138" w:lineRule="exact"/>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2022</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color w:val="auto"/>
              </w:rPr>
              <w:t>December 31, 2021</w:t>
            </w: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540" w:type="dxa"/>
            <w:vAlign w:val="bottom"/>
          </w:tcPr>
          <w:p>
            <w:pPr>
              <w:spacing w:after="0"/>
              <w:rPr>
                <w:sz w:val="12"/>
                <w:szCs w:val="12"/>
                <w:color w:val="auto"/>
              </w:rPr>
            </w:pPr>
          </w:p>
        </w:tc>
        <w:tc>
          <w:tcPr>
            <w:tcW w:w="960" w:type="dxa"/>
            <w:vAlign w:val="bottom"/>
            <w:gridSpan w:val="2"/>
          </w:tcPr>
          <w:p>
            <w:pPr>
              <w:jc w:val="center"/>
              <w:ind w:right="560"/>
              <w:spacing w:after="0" w:line="147"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11"/>
              <w:spacing w:after="0" w:line="147"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31"/>
              <w:spacing w:after="0" w:line="147" w:lineRule="exact"/>
              <w:rPr>
                <w:sz w:val="20"/>
                <w:szCs w:val="20"/>
                <w:color w:val="auto"/>
              </w:rPr>
            </w:pPr>
            <w:r>
              <w:rPr>
                <w:rFonts w:ascii="Arial" w:cs="Arial" w:eastAsia="Arial" w:hAnsi="Arial"/>
                <w:sz w:val="14"/>
                <w:szCs w:val="14"/>
                <w:color w:val="auto"/>
              </w:rPr>
              <w:t>Fair</w:t>
            </w:r>
          </w:p>
        </w:tc>
      </w:tr>
      <w:tr>
        <w:trPr>
          <w:trHeight w:val="130"/>
        </w:trPr>
        <w:tc>
          <w:tcPr>
            <w:tcW w:w="20" w:type="dxa"/>
            <w:vAlign w:val="bottom"/>
          </w:tcPr>
          <w:p>
            <w:pPr>
              <w:spacing w:after="0"/>
              <w:rPr>
                <w:sz w:val="11"/>
                <w:szCs w:val="11"/>
                <w:color w:val="auto"/>
              </w:rPr>
            </w:pPr>
          </w:p>
        </w:tc>
        <w:tc>
          <w:tcPr>
            <w:tcW w:w="5600" w:type="dxa"/>
            <w:vAlign w:val="bottom"/>
            <w:gridSpan w:val="2"/>
          </w:tcPr>
          <w:p>
            <w:pPr>
              <w:spacing w:after="0" w:line="110" w:lineRule="exact"/>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11"/>
                <w:szCs w:val="11"/>
                <w:color w:val="auto"/>
              </w:rPr>
            </w:pPr>
          </w:p>
        </w:tc>
        <w:tc>
          <w:tcPr>
            <w:tcW w:w="110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540" w:type="dxa"/>
            <w:vAlign w:val="bottom"/>
          </w:tcPr>
          <w:p>
            <w:pPr>
              <w:spacing w:after="0"/>
              <w:rPr>
                <w:sz w:val="11"/>
                <w:szCs w:val="11"/>
                <w:color w:val="auto"/>
              </w:rPr>
            </w:pPr>
          </w:p>
        </w:tc>
        <w:tc>
          <w:tcPr>
            <w:tcW w:w="960" w:type="dxa"/>
            <w:vAlign w:val="bottom"/>
            <w:gridSpan w:val="2"/>
          </w:tcPr>
          <w:p>
            <w:pPr>
              <w:jc w:val="center"/>
              <w:ind w:right="560"/>
              <w:spacing w:after="0" w:line="110" w:lineRule="exact"/>
              <w:rPr>
                <w:sz w:val="20"/>
                <w:szCs w:val="20"/>
                <w:color w:val="auto"/>
              </w:rPr>
            </w:pPr>
            <w:r>
              <w:rPr>
                <w:rFonts w:ascii="Arial" w:cs="Arial" w:eastAsia="Arial" w:hAnsi="Arial"/>
                <w:sz w:val="12"/>
                <w:szCs w:val="12"/>
                <w:color w:val="auto"/>
              </w:rPr>
              <w:t>Value</w:t>
            </w:r>
          </w:p>
        </w:tc>
        <w:tc>
          <w:tcPr>
            <w:tcW w:w="240" w:type="dxa"/>
            <w:vAlign w:val="bottom"/>
          </w:tcPr>
          <w:p>
            <w:pPr>
              <w:spacing w:after="0"/>
              <w:rPr>
                <w:sz w:val="11"/>
                <w:szCs w:val="11"/>
                <w:color w:val="auto"/>
              </w:rPr>
            </w:pPr>
          </w:p>
        </w:tc>
        <w:tc>
          <w:tcPr>
            <w:tcW w:w="112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Amount</w:t>
            </w:r>
          </w:p>
        </w:tc>
        <w:tc>
          <w:tcPr>
            <w:tcW w:w="360" w:type="dxa"/>
            <w:vAlign w:val="bottom"/>
          </w:tcPr>
          <w:p>
            <w:pPr>
              <w:spacing w:after="0"/>
              <w:rPr>
                <w:sz w:val="11"/>
                <w:szCs w:val="11"/>
                <w:color w:val="auto"/>
              </w:rPr>
            </w:pPr>
          </w:p>
        </w:tc>
        <w:tc>
          <w:tcPr>
            <w:tcW w:w="1040" w:type="dxa"/>
            <w:vAlign w:val="bottom"/>
          </w:tcPr>
          <w:p>
            <w:pPr>
              <w:jc w:val="center"/>
              <w:ind w:right="211"/>
              <w:spacing w:after="0" w:line="110" w:lineRule="exact"/>
              <w:rPr>
                <w:sz w:val="20"/>
                <w:szCs w:val="20"/>
                <w:color w:val="auto"/>
              </w:rPr>
            </w:pPr>
            <w:r>
              <w:rPr>
                <w:rFonts w:ascii="Arial" w:cs="Arial" w:eastAsia="Arial" w:hAnsi="Arial"/>
                <w:sz w:val="12"/>
                <w:szCs w:val="12"/>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1,277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1,383</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1,374</w:t>
            </w:r>
          </w:p>
        </w:tc>
      </w:tr>
    </w:tbl>
    <w:p>
      <w:pPr>
        <w:spacing w:after="0" w:line="25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200" w:lineRule="exact"/>
        <w:rPr>
          <w:sz w:val="20"/>
          <w:szCs w:val="20"/>
          <w:color w:val="auto"/>
        </w:rPr>
      </w:pPr>
    </w:p>
    <w:p>
      <w:pPr>
        <w:spacing w:after="0" w:line="22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8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Company has post-retirement savings and investment plans in several countries, including the U.S., U.K. and Canada.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5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recognized an expense related to its defined contribution plans of $5 million and $5 million for the three months ended March 31, 2022 and 2021, respectively. The balance sheet and income statement impacts of any remaining defined benefit plans are immaterial for all periods presented in these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3" w:lineRule="exact"/>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4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4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right w:val="single" w:sz="8" w:color="CCEEFF"/>
            </w:tcBorders>
          </w:tcPr>
          <w:p>
            <w:pPr>
              <w:spacing w:after="0"/>
              <w:rPr>
                <w:sz w:val="15"/>
                <w:szCs w:val="15"/>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Currency</w:t>
            </w:r>
          </w:p>
        </w:tc>
        <w:tc>
          <w:tcPr>
            <w:tcW w:w="20" w:type="dxa"/>
            <w:vAlign w:val="bottom"/>
          </w:tcPr>
          <w:p>
            <w:pPr>
              <w:spacing w:after="0"/>
              <w:rPr>
                <w:sz w:val="20"/>
                <w:szCs w:val="20"/>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rPr>
              <w:t>Defined Benefit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4"/>
                <w:szCs w:val="14"/>
                <w:color w:val="auto"/>
              </w:rPr>
              <w:t>Translation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40" w:type="dxa"/>
            <w:vAlign w:val="bottom"/>
            <w:gridSpan w:val="4"/>
          </w:tcPr>
          <w:p>
            <w:pPr>
              <w:spacing w:after="0" w:line="110" w:lineRule="exact"/>
              <w:rPr>
                <w:sz w:val="20"/>
                <w:szCs w:val="20"/>
                <w:color w:val="auto"/>
              </w:rPr>
            </w:pPr>
            <w:r>
              <w:rPr>
                <w:rFonts w:ascii="Arial" w:cs="Arial" w:eastAsia="Arial" w:hAnsi="Arial"/>
                <w:sz w:val="12"/>
                <w:szCs w:val="12"/>
                <w:color w:val="auto"/>
              </w:rPr>
              <w:t>(in millions)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10" w:lineRule="exact"/>
              <w:rPr>
                <w:sz w:val="20"/>
                <w:szCs w:val="20"/>
                <w:color w:val="auto"/>
              </w:rPr>
            </w:pPr>
            <w:r>
              <w:rPr>
                <w:rFonts w:ascii="Arial" w:cs="Arial" w:eastAsia="Arial" w:hAnsi="Arial"/>
                <w:sz w:val="12"/>
                <w:szCs w:val="12"/>
                <w:color w:val="auto"/>
              </w:rPr>
              <w:t>Adjustments</w:t>
            </w:r>
          </w:p>
        </w:tc>
        <w:tc>
          <w:tcPr>
            <w:tcW w:w="20" w:type="dxa"/>
            <w:vAlign w:val="bottom"/>
          </w:tcPr>
          <w:p>
            <w:pPr>
              <w:spacing w:after="0"/>
              <w:rPr>
                <w:sz w:val="11"/>
                <w:szCs w:val="11"/>
                <w:color w:val="auto"/>
              </w:rPr>
            </w:pPr>
          </w:p>
        </w:tc>
        <w:tc>
          <w:tcPr>
            <w:tcW w:w="142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Cash Flow Hedges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00"/>
              <w:spacing w:after="0" w:line="110" w:lineRule="exact"/>
              <w:rPr>
                <w:sz w:val="20"/>
                <w:szCs w:val="20"/>
                <w:color w:val="auto"/>
              </w:rPr>
            </w:pPr>
            <w:r>
              <w:rPr>
                <w:rFonts w:ascii="Arial" w:cs="Arial" w:eastAsia="Arial" w:hAnsi="Arial"/>
                <w:sz w:val="12"/>
                <w:szCs w:val="12"/>
                <w:color w:val="auto"/>
              </w:rPr>
              <w:t>Pension Items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March 31, 2021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March 31, 2022.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200" w:lineRule="exact"/>
        <w:rPr>
          <w:sz w:val="20"/>
          <w:szCs w:val="20"/>
          <w:color w:val="auto"/>
        </w:rPr>
      </w:pPr>
    </w:p>
    <w:p>
      <w:pPr>
        <w:spacing w:after="0" w:line="36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March 31, 2022, the Company had accrued its estimate of liability incurred under its indemnification arrangements and guarantees.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u w:val="single" w:color="auto"/>
          <w:color w:val="1269BC"/>
        </w:rPr>
        <w:t>Employees’ Retirement System of the Puerto Rico Electric Power Authority et al v. Conduent Inc.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our financial guidance and business and operations was filed against us, our former Chief Executive Officer, and our former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The Court granted Class Certification on February 28, 2022. We intend to defend the litigation vigorously. The Company maintains insurance that may cover any costs arising out of this litigation up to the insurance limits, and subject to meeting certain deductibles and to other terms and conditions thereof. The Company is not able to determine or predict the ultimate outcome of this proceeding or reasonably provide an estimate or range of estimate of the possible outcome or loss, if any, in excess of currently recorded reserves.</w:t>
      </w:r>
    </w:p>
    <w:p>
      <w:pPr>
        <w:spacing w:after="0" w:line="1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u w:val="single" w:color="auto"/>
          <w:color w:val="1269BC"/>
        </w:rPr>
        <w:t>Skyview Capital LLC and Continuum Global Solutions, LLC v. Conduent Business Services, LLC:</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February 3, 2020, plaintiffs filed</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LLC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Conduent denies all of the plaintiffs' allegations, believes that it has strong defenses to all of plaintiffs’ claims and it intends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8" w:name="page19"/>
    <w:bookmarkEnd w:id="1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b w:val="1"/>
          <w:bCs w:val="1"/>
          <w:i w:val="1"/>
          <w:iCs w:val="1"/>
          <w:u w:val="single" w:color="auto"/>
          <w:color w:val="1269BC"/>
        </w:rPr>
        <w:t>Dennis Nasrawi v. Buck Consultants et al.:</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October 8, 2009, plaintiffs filed a lawsuit in the Superior Court of California, Stanislaus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County, and on November 24, 2009, the case was removed to the U.S. Court for the Eastern District of California, Fresno Division. Plaintiffs alleged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alleged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was stayed pending the outcome of parallel litigation the plaintiffs were pursuing against StanCERA. The parallel litigation was tried before the bench in June 2018, and on January 24, 2019, the Court found in favor of StanCERA, holding that it had not breached its fiduciary duty to plaintiffs. In August 2018, the Company sold Buck; however, the Company retained this liability after the sale. On April 26, 2019, plaintiffs in the parallel litigation filed an appeal. On December 8, 2021, the appellate court affirmed the trial court’s decision, and the judgment became final on January 7, 2022. On January 18, 2022, Plaintiffs in the parallel litigation filed a petition for review to the California Supreme Court. On March 16, 2022, the California Supreme Court denied Plaintiffs’ petition, thereby foreclosing further avenues for Plaintiffs. Plaintiffs filed their Notice of Dismissal, which the Court entered on March 22, 2022. As a result, during the first quarter of 2022, the Company reversed the reserve pertaining to this matter.</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u w:val="single" w:color="auto"/>
          <w:color w:val="1269BC"/>
        </w:rPr>
        <w:t>Conduent Business Services, LLC v. Cognizant Business Services Corporation:</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$ 25 million termination fee. Cognizant's second amended counterclaim increased Cognizant's damages to $89 million.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Matters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included in the Company’s Annual Report on Form 10-K for the year ended December 31, 2020. As a result of the settlement agreements entered with the insurers, the Company received an aggregate sum of $38 million, of which $14 million was recognized as defense costs recovery in Selling, general and administrative and $24 million was recognized in Litigation settlements (recoveries), net.</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9" w:name="page20"/>
    <w:bookmarkEnd w:id="1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contracts, primarily in the Company's Government Services and Transportation segments, require the Company to provide a surety bond or a letter of credit as a guarantee of performance. As of March 31, 2022, the Company had $559 million of outstanding surety bonds issued to secure its performance of contractual obligations with its clients and $ 105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9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2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20" w:type="dxa"/>
            <w:vAlign w:val="bottom"/>
            <w:gridSpan w:val="2"/>
          </w:tcPr>
          <w:p>
            <w:pPr>
              <w:spacing w:after="0" w:line="142" w:lineRule="exact"/>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2022</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Pr>
          <w:p>
            <w:pPr>
              <w:spacing w:after="0"/>
              <w:rPr>
                <w:sz w:val="15"/>
                <w:szCs w:val="15"/>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4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189"/>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215,503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212,250</w:t>
            </w:r>
          </w:p>
        </w:tc>
      </w:tr>
      <w:tr>
        <w:trPr>
          <w:trHeight w:val="189"/>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Borders>
              <w:bottom w:val="single" w:sz="8" w:color="CCEEFF"/>
            </w:tcBorders>
          </w:tcPr>
          <w:p>
            <w:pPr>
              <w:spacing w:after="0"/>
              <w:rPr>
                <w:sz w:val="16"/>
                <w:szCs w:val="16"/>
                <w:color w:val="auto"/>
              </w:rPr>
            </w:pPr>
          </w:p>
        </w:tc>
        <w:tc>
          <w:tcPr>
            <w:tcW w:w="8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223,890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(0.06)</w:t>
            </w: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6" w:lineRule="exact"/>
        <w:rPr>
          <w:sz w:val="20"/>
          <w:szCs w:val="20"/>
          <w:color w:val="auto"/>
        </w:rPr>
      </w:pPr>
    </w:p>
    <w:p>
      <w:pPr>
        <w:ind w:left="20" w:right="340"/>
        <w:spacing w:after="0" w:line="229"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40" w:type="dxa"/>
            <w:vAlign w:val="bottom"/>
          </w:tcPr>
          <w:p>
            <w:pPr>
              <w:jc w:val="right"/>
              <w:spacing w:after="0"/>
              <w:rPr>
                <w:sz w:val="20"/>
                <w:szCs w:val="20"/>
                <w:color w:val="auto"/>
              </w:rPr>
            </w:pPr>
            <w:r>
              <w:rPr>
                <w:rFonts w:ascii="Arial" w:cs="Arial" w:eastAsia="Arial" w:hAnsi="Arial"/>
                <w:sz w:val="14"/>
                <w:szCs w:val="14"/>
                <w:color w:val="auto"/>
              </w:rPr>
              <w:t>2,698</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11,011</w:t>
            </w:r>
          </w:p>
        </w:tc>
      </w:tr>
      <w:tr>
        <w:trPr>
          <w:trHeight w:val="189"/>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183"/>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2,698</w:t>
            </w:r>
          </w:p>
        </w:tc>
        <w:tc>
          <w:tcPr>
            <w:tcW w:w="1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16,404</w:t>
            </w:r>
          </w:p>
        </w:tc>
      </w:tr>
      <w:tr>
        <w:trPr>
          <w:trHeight w:val="20"/>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2022</w:t>
            </w:r>
          </w:p>
        </w:tc>
        <w:tc>
          <w:tcPr>
            <w:tcW w:w="180" w:type="dxa"/>
            <w:vAlign w:val="bottom"/>
          </w:tcPr>
          <w:p>
            <w:pPr>
              <w:spacing w:after="0"/>
              <w:rPr>
                <w:sz w:val="15"/>
                <w:szCs w:val="15"/>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Current Liabilities</w:t>
            </w: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Other Long-term Assets</w:t>
            </w: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2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Related Party Transactions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Condensed Consolidated Statements of Income (Loss).</w:t>
      </w:r>
    </w:p>
    <w:p>
      <w:pPr>
        <w:spacing w:after="0" w:line="200" w:lineRule="exact"/>
        <w:rPr>
          <w:sz w:val="20"/>
          <w:szCs w:val="20"/>
          <w:color w:val="auto"/>
        </w:rPr>
      </w:pPr>
    </w:p>
    <w:p>
      <w:pPr>
        <w:spacing w:after="0" w:line="37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2" w:name="page23"/>
    <w:bookmarkEnd w:id="2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29"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2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(in millions)</w:t>
            </w:r>
          </w:p>
        </w:tc>
        <w:tc>
          <w:tcPr>
            <w:tcW w:w="1140" w:type="dxa"/>
            <w:vAlign w:val="bottom"/>
          </w:tcPr>
          <w:p>
            <w:pPr>
              <w:jc w:val="right"/>
              <w:ind w:right="108"/>
              <w:spacing w:after="0" w:line="129" w:lineRule="exact"/>
              <w:rPr>
                <w:sz w:val="20"/>
                <w:szCs w:val="20"/>
                <w:color w:val="auto"/>
              </w:rPr>
            </w:pPr>
            <w:r>
              <w:rPr>
                <w:rFonts w:ascii="Arial" w:cs="Arial" w:eastAsia="Arial" w:hAnsi="Arial"/>
                <w:sz w:val="14"/>
                <w:szCs w:val="14"/>
                <w:color w:val="auto"/>
              </w:rPr>
              <w:t>2022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right"/>
              <w:ind w:right="568"/>
              <w:spacing w:after="0" w:line="129"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1"/>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receivable and payable balances with related party entities were not material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40"/>
        <w:spacing w:after="0" w:line="274"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4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Headquartered in Florham Park, New Jersey, we have a team of approximately 58,000 associates as of March 31, 2022, servicing customers from service centers in 24 countries.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correspond to how we organize and manage the business and are aligned to the solutions we offer our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49" w:lineRule="exact"/>
        <w:rPr>
          <w:sz w:val="20"/>
          <w:szCs w:val="20"/>
          <w:color w:val="auto"/>
        </w:rPr>
      </w:pPr>
    </w:p>
    <w:p>
      <w:pPr>
        <w:ind w:left="340" w:right="10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and customized solutions to clients in a variety of</w:t>
      </w:r>
      <w:r>
        <w:rPr>
          <w:rFonts w:ascii="Arial" w:cs="Arial" w:eastAsia="Arial" w:hAnsi="Arial"/>
          <w:sz w:val="18"/>
          <w:szCs w:val="18"/>
          <w:b w:val="1"/>
          <w:bCs w:val="1"/>
          <w:color w:val="3051F2"/>
        </w:rPr>
        <w:t xml:space="preserve"> </w:t>
      </w:r>
      <w:r>
        <w:rPr>
          <w:rFonts w:ascii="Arial" w:cs="Arial" w:eastAsia="Arial" w:hAnsi="Arial"/>
          <w:sz w:val="18"/>
          <w:szCs w:val="18"/>
          <w:color w:val="000000"/>
        </w:rPr>
        <w:t>industries. Across the Commercial segment, we operate on our clients’ behalf to deliver mission-critical solutions and services to reduce costs, improve efficiencies and enable revenue growth for our clients and their consumers and employees.</w:t>
      </w:r>
    </w:p>
    <w:p>
      <w:pPr>
        <w:spacing w:after="0" w:line="116" w:lineRule="exact"/>
        <w:rPr>
          <w:rFonts w:ascii="Arial" w:cs="Arial" w:eastAsia="Arial" w:hAnsi="Arial"/>
          <w:sz w:val="18"/>
          <w:szCs w:val="18"/>
          <w:color w:val="auto"/>
        </w:rPr>
      </w:pPr>
    </w:p>
    <w:p>
      <w:pPr>
        <w:ind w:left="340" w:right="3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Services </w:t>
      </w:r>
      <w:r>
        <w:rPr>
          <w:rFonts w:ascii="Arial" w:cs="Arial" w:eastAsia="Arial" w:hAnsi="Arial"/>
          <w:sz w:val="18"/>
          <w:szCs w:val="18"/>
          <w:color w:val="000000"/>
        </w:rPr>
        <w:t>– Our Government Services segment provides government-centric business process services to U.S. federal,</w:t>
      </w:r>
      <w:r>
        <w:rPr>
          <w:rFonts w:ascii="Arial" w:cs="Arial" w:eastAsia="Arial" w:hAnsi="Arial"/>
          <w:sz w:val="18"/>
          <w:szCs w:val="18"/>
          <w:b w:val="1"/>
          <w:bCs w:val="1"/>
          <w:color w:val="3051F2"/>
        </w:rPr>
        <w:t xml:space="preserve"> </w:t>
      </w:r>
      <w:r>
        <w:rPr>
          <w:rFonts w:ascii="Arial" w:cs="Arial" w:eastAsia="Arial" w:hAnsi="Arial"/>
          <w:sz w:val="18"/>
          <w:szCs w:val="18"/>
          <w:color w:val="000000"/>
        </w:rPr>
        <w:t>state and local and 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8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continue to transform our business through an intense focus on growth, quality, and efficiency – utilizing a programmatic and project management approach. Beginning in the first quarter of 2020 and through the first quarter of 2022, we have expanded the focus of our project portfolio to include both efficiency and growth initiatives, aimed to position the company to pivot to revenue growth and margin expansion over time.</w:t>
      </w:r>
    </w:p>
    <w:p>
      <w:pPr>
        <w:spacing w:after="0" w:line="15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intend to drive portfolio focus, operating discipline, sales and delivery excellence and innovation, complemented by tightly aligned investments to achieve this mission and purpose. Our strategy is designed to deliver value by delivering profitable growth, expanding operating margins and deploying a disciplined capital allocation strategy. During the three months ended March 31, 2022, our strategy is showing results, including the following:</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ectPr>
          <w:pgSz w:w="11900" w:h="16838" w:orient="portrait"/>
          <w:cols w:equalWidth="0" w:num="1">
            <w:col w:w="11220"/>
          </w:cols>
          <w:pgMar w:left="320" w:top="152" w:right="3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24" w:name="page25"/>
    <w:bookmarkEnd w:id="2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6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of $136 million for the three months ended March 31, 2022, as compared to net loss of $11 million for the same period in the prior year.</w:t>
      </w:r>
    </w:p>
    <w:p>
      <w:pPr>
        <w:spacing w:after="0" w:line="35"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Annual Recurring Revenue (ARR) activity metric (as defined in "Metrics") of $102 million, a 17% increase over the first quarter of 2021.</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signings results:</w:t>
      </w:r>
    </w:p>
    <w:p>
      <w:pPr>
        <w:spacing w:after="0" w:line="9" w:lineRule="exact"/>
        <w:rPr>
          <w:rFonts w:ascii="Arial" w:cs="Arial" w:eastAsia="Arial" w:hAnsi="Arial"/>
          <w:sz w:val="18"/>
          <w:szCs w:val="18"/>
          <w:color w:val="auto"/>
        </w:rPr>
      </w:pPr>
    </w:p>
    <w:p>
      <w:pPr>
        <w:ind w:left="980" w:right="260" w:hanging="324"/>
        <w:spacing w:after="0" w:line="261"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New business total contract value (TCV) signings of $464 million for the three months ended March 31, 2022, representing an increase of 32% compared to the same period of the prior year.</w:t>
      </w:r>
    </w:p>
    <w:p>
      <w:pPr>
        <w:spacing w:after="0" w:line="35" w:lineRule="exact"/>
        <w:rPr>
          <w:rFonts w:ascii="Arial" w:cs="Arial" w:eastAsia="Arial" w:hAnsi="Arial"/>
          <w:sz w:val="18"/>
          <w:szCs w:val="18"/>
          <w:color w:val="auto"/>
        </w:rPr>
      </w:pPr>
    </w:p>
    <w:p>
      <w:pPr>
        <w:ind w:left="980" w:right="100" w:hanging="324"/>
        <w:spacing w:after="0" w:line="261"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Annual recurring revenue signings of $107 million for the three months ended March 31, 2022, representing an increase of 14% compared to the same period of the prior year.</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Renewal TCV of $936 million for the three months ended March 31, 2022, substantially higher than the same period of the prior year.</w:t>
      </w:r>
    </w:p>
    <w:p>
      <w:pPr>
        <w:spacing w:after="0" w:line="63" w:lineRule="exact"/>
        <w:rPr>
          <w:rFonts w:ascii="Arial" w:cs="Arial" w:eastAsia="Arial" w:hAnsi="Arial"/>
          <w:sz w:val="18"/>
          <w:szCs w:val="18"/>
          <w:color w:val="auto"/>
        </w:rPr>
      </w:pPr>
    </w:p>
    <w:p>
      <w:pPr>
        <w:ind w:left="340" w:right="76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completed the sale of its Midas suite of solutions on February 8, 2022 for cash consideration of $321 million and, subsequent to the end of the first quarter of 2022, announced the planned separation of the Transportation segment.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COVID-19 Pandemic</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Throughout the COVID-19 pandemic, we have continued to provide critical and best-in-class services to our customers and their end-users, while ensuring the health and safety of our greatest assets - our associates. To address the potential impact to our business over the near-term, our Business Continuity team established a proactive plan in the first quarter of 2020 that has continued throughout the pandemic, which includes:</w:t>
      </w:r>
    </w:p>
    <w:p>
      <w:pPr>
        <w:spacing w:after="0" w:line="150" w:lineRule="exact"/>
        <w:rPr>
          <w:sz w:val="20"/>
          <w:szCs w:val="20"/>
          <w:color w:val="auto"/>
        </w:rPr>
      </w:pPr>
    </w:p>
    <w:p>
      <w:pPr>
        <w:ind w:left="340" w:right="56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our associates with a number of specific initiatives, including making improvements to our policies to extend short-term disability, providing extra supplemental sick leave coverage and introducing a hardship leave policy.</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sanitation and social distancing for on-site essential associates.</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the end of the first quarter of 2022, we continued to have most of our workforce in a work-from-home environment. We will continue to assess when to bring associates back to our offices, as appropriate, based on the specific COVID-19 conditions in certain geographies, as well as business requirements.</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the pandemic continues, we may revise our approach to these initiatives or take additional actions to meet the needs of our employees, customers and their end-users as well as the Company's needs and to continue to provide our mission-critical services and solutions.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5" w:name="page26"/>
    <w:bookmarkEnd w:id="2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Review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2022 vs.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2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420" w:type="dxa"/>
            <w:vAlign w:val="bottom"/>
          </w:tcPr>
          <w:p>
            <w:pPr>
              <w:jc w:val="right"/>
              <w:ind w:right="30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for the three months ended March 31, 2022 was down, compared to the prior year period, primarily due to lower federal stimulus revenue in the Government Services segment, as well as lost business from prior years partially offset by new business ramp across all 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Cost of services for the three months ended March 31, 2022 decreased, compared to the prior year period, driven by lost business from prior years as well as increased operational efficiency, slightly offset by an increase in hiring activity to support new deal ramp in the Commercial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8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SG&amp;A for the three months ended March 31, 2022 decreased, compared to the prior year period, primarily driven by the recovery of $14 million of defense costs as part of the settlement with insurance carriers relating to the previously disclosed State of Texas matter.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9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Depreciation and amortization for the three months ended March 31, 2022 decreased, compared to the prior year period, primarily due to portions of certain customer relationship intangible assets being fully amortized during both the first quarters of 2022 and 2021.</w:t>
      </w:r>
    </w:p>
    <w:p>
      <w:pPr>
        <w:spacing w:after="0" w:line="200" w:lineRule="exact"/>
        <w:rPr>
          <w:sz w:val="20"/>
          <w:szCs w:val="20"/>
          <w:color w:val="auto"/>
        </w:rPr>
      </w:pPr>
    </w:p>
    <w:p>
      <w:pPr>
        <w:spacing w:after="0" w:line="36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6"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Three Months Ended</w:t>
      </w:r>
    </w:p>
    <w:p>
      <w:pPr>
        <w:ind w:left="94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gridSpan w:val="2"/>
          </w:tcPr>
          <w:p>
            <w:pPr>
              <w:spacing w:after="0" w:line="142" w:lineRule="exact"/>
              <w:rPr>
                <w:sz w:val="20"/>
                <w:szCs w:val="20"/>
                <w:color w:val="auto"/>
              </w:rPr>
            </w:pPr>
            <w:r>
              <w:rPr>
                <w:rFonts w:ascii="Arial" w:cs="Arial" w:eastAsia="Arial" w:hAnsi="Arial"/>
                <w:sz w:val="13"/>
                <w:szCs w:val="13"/>
                <w:color w:val="auto"/>
              </w:rPr>
              <w:t>(in millions)</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2022</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Data center consolidation</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and asset impairment costs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Total net current period charges</w:t>
            </w: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Restructuring and related costs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17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 expense represents interest on long-term debt and the amortization of debt issuance costs. On October 15, 2021, we completed the refinancing of our previously outstanding debt, which extended the maturity profile of our debt. The increase in Interest expense for the three months ended March 31, 2022, compared to the prior year period, was driven by higher interest rates on our refinanced credit facilities, partially offset by a lower total outstanding debt balance.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8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divestiture of the Midas business in the first quarter of 2022 resulted in a gain of $ 165 million. Additionally, professional fees and other costs related to certain consummated and non-consummated transactions considered by the Company are included in this financial statement line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Litigation settlements (recoveries), net for the three months ended March 31, 2022 primarily consist of $24 million of insurance recoveries related to the previously disclosed State of Texas matter.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 Contingencies and Litigation to the Condensed Consolidated Financial Statements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effective tax rate for the three months ended March 31, 2022 was 35.2%, compared to (23.4)% for the three months ended March 31, 2021. The March 31, 2022 rate was higher than the U.S. statutory rate of 21%, primarily due to the geographic mix of income, state and local taxes and permanently non-deductible amounts related to the divestiture transaction, partially offset by the tax benefit of valuation allowances released due to the gain from divestiture and tax credits.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effective tax rate for the three months ended March 31, 2021 was negative as compared to the U.S. statutory rate of 21%, primarily due to pre-tax loss and tax expense resulting from geographic mix of income, valuation allowances, and tax charges recognized on employee equity award vestings, partially offset by tax credits.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Excluding the impact of the Midas divestiture, the litigation insurance recoveries, amortization of intangible assets, restructuring costs and certain discrete tax items, the normalized effective tax rate for the three months ended March 31, 2022 was 29.6%. The normalized effective tax rate for the three months ended March 31, 2021 was 23.4%, predominantly due to excluding the impact of valuation allowances, equity award vesting, amortization of intangible assets and restructuring costs. The normalized effective tax rate for the three months ended March 31, 2022 was higher than the three months ended March 31, 2021 rate due to the geographic mix of income.</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it is reasonably possible that unrecognized tax benefits of approximately $11 million will reverse within 12 months due to an anticipated audit settlement.</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recent years, government agencies and global organizations have had an increased focus on the issues of taxation of multinational corporations. In March 2022, the Organization for Economic Co-operation and Development (OECD) released the Commentary to the Pillar 2 Model Rules as agreed by the OECD/G20 Inclusive Framework on Base Erosion and Profit Shifting. The Pillar 2 Model Rules, released on December 20, 2021, define the scope and key mechanics for the Pillar 2 system of global minimum tax rules. The Company is monitoring the development and assessing any potential impact. We do not anticipate a material impact based on current guidance.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first quarter of 2022, we realigned certain clients between reportable segments to reflect how we currently manage our business. Certain clients were reclassified from the Government Services reportable segment to the Commercial reportable segment to align with a product view of the business. This change had an insignificant impact. Additionally, in the first quarter of 2022, in order to provide greater visibility into the profitability of our segments, certain real estate costs that were previously included in Unallocated Costs have been allocated to each of the reportable segments. As described in Note 5 – Assets/Liabilities Held for Sale and Divestiture, we sold our Midas Suite of patient safety, quality and advanced analytics solutions to a third party in the first quarter of 2022. Accordingly, the results of this disposed business, which had been reported in the Commercial segment have been reclassified to the Divestitures segment. All prior periods presented have been recast to reflect these changes.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6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Services;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includes our Midas business which was sold in the first quarter of 2022.</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continue to modernize a significant portion of our infrastructure with new systems and processes and consolidate our data centers as part of our transformation initiatives. There is a risk, however, that our modernization efforts and data center consolidations could materially and adversely disrupt our operations. See Part I, Item 1A – Risk Factors of our Annual Report on Form 10-K for the year ended December 31, 2021 for additional information.</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Divestitures</w:t>
            </w: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color w:val="auto"/>
              </w:rPr>
              <w:t>Services</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3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52.9 %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34.7 %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49.8 %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right"/>
              <w:ind w:right="52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gridSpan w:val="3"/>
          </w:tcPr>
          <w:p>
            <w:pPr>
              <w:spacing w:after="0" w:line="110" w:lineRule="exact"/>
              <w:rPr>
                <w:sz w:val="20"/>
                <w:szCs w:val="20"/>
                <w:color w:val="auto"/>
              </w:rPr>
            </w:pPr>
            <w:r>
              <w:rPr>
                <w:rFonts w:ascii="Arial" w:cs="Arial" w:eastAsia="Arial" w:hAnsi="Arial"/>
                <w:sz w:val="12"/>
                <w:szCs w:val="12"/>
                <w:color w:val="auto"/>
              </w:rPr>
              <w:t>(in millions)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4"/>
          </w:tcPr>
          <w:p>
            <w:pPr>
              <w:jc w:val="right"/>
              <w:ind w:right="8"/>
              <w:spacing w:after="0" w:line="110" w:lineRule="exact"/>
              <w:rPr>
                <w:sz w:val="20"/>
                <w:szCs w:val="20"/>
                <w:color w:val="auto"/>
              </w:rPr>
            </w:pPr>
            <w:r>
              <w:rPr>
                <w:rFonts w:ascii="Arial" w:cs="Arial" w:eastAsia="Arial" w:hAnsi="Arial"/>
                <w:sz w:val="12"/>
                <w:szCs w:val="12"/>
                <w:color w:val="auto"/>
              </w:rPr>
              <w:t>March 31,</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ind w:left="80"/>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Reconciling items:</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gridSpan w:val="5"/>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Litigation costs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Other (income) expenses, net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Pre-tax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582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Commercial revenue for the three months ended March 31, 2022 was substantially unchanged, compared to the prior year period, due to new business ramp, which was especially strong in Customer Experience Management, being offset by lost business from prior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Increases in the Commercial segment profit and adjusted EBITDA margin for the three months ended March 31, 2022, compared to the prior year period, were mainly driven by increased operational efficiency and expense reductions resulting from progress in our efficiency initiatives, more than offsetting the dynamics of a challenging labor market in both North America and Europe.</w:t>
      </w:r>
    </w:p>
    <w:p>
      <w:pPr>
        <w:spacing w:after="0" w:line="200" w:lineRule="exact"/>
        <w:rPr>
          <w:sz w:val="20"/>
          <w:szCs w:val="20"/>
          <w:color w:val="auto"/>
        </w:rPr>
      </w:pPr>
    </w:p>
    <w:p>
      <w:pPr>
        <w:spacing w:after="0" w:line="35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Services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Government Services revenue for the three months ended March 31, 2022 decreased, compared to the prior year period. This decrease was primarily driven by significantly lower Federal stimulus revenue, while increases in volume, price and new business offset lost business from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Decreases in the Government Services segment profit and adjusted EBITDA margin for the three months ended March 31, 2022, compared to the prior year period, were mainly driven by lower Federal stimulus revenue, partially offset by expense reductions resulting from progress in our efficiency initiatives.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Transportation revenue for the three months ended March 31, 2022 decreased, compared to the prior year period, primarily driven by the impact of lower volume and project timing in our International transit business, unfavorable exchange rate movement, a one-time revenue benefit in the prior year period and lost business from prior years, partially offset by new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Transportation segment profit and adjusted EBITDA margin decreased for the three months ended March 31, 2022, compared to the prior year period, mainly driven by the impact of lost business, project timing in the International business, and a one-time item benefiting the prior year period, partially offset by new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(Loss) and Adjusted EBITDA</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decline in revenue, segment profit and Adjusted EBITDA for the three months ended March 31, 2022 was primarily due to the sale of the Midas Suite of products. The current year includes slightly more than one month of activity versus the prior year includes a full quarter of activity.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Unallocated Costs for the three months ended March 31, 2022 decreased, compared to the prior year period primarily due to a portion of the recovery of defense costs as part of the settlement with insurance carriers relating to the previously disclosed State of Texas matter that settled in February 2019 that was allocated to SG&amp;A and progress with our efficiency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8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For the three months ended March 31, 2022, the Company signed $464 million of new business, representing a 32% increase compared to the prior year period. Renewal TCV for the three months ended March 31, 2022 was $936 million.</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ind w:left="6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2022 vs. 2021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gridSpan w:val="2"/>
          </w:tcPr>
          <w:p>
            <w:pPr>
              <w:spacing w:after="0" w:line="12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2"/>
                <w:szCs w:val="12"/>
                <w:color w:val="auto"/>
              </w:rPr>
            </w:pPr>
          </w:p>
        </w:tc>
        <w:tc>
          <w:tcPr>
            <w:tcW w:w="1220" w:type="dxa"/>
            <w:vAlign w:val="bottom"/>
          </w:tcPr>
          <w:p>
            <w:pPr>
              <w:jc w:val="right"/>
              <w:ind w:right="470"/>
              <w:spacing w:after="0" w:line="129" w:lineRule="exact"/>
              <w:rPr>
                <w:sz w:val="20"/>
                <w:szCs w:val="20"/>
                <w:color w:val="auto"/>
              </w:rPr>
            </w:pPr>
            <w:r>
              <w:rPr>
                <w:rFonts w:ascii="Arial" w:cs="Arial" w:eastAsia="Arial" w:hAnsi="Arial"/>
                <w:sz w:val="11"/>
                <w:szCs w:val="11"/>
                <w:color w:val="auto"/>
              </w:rPr>
              <w:t>2022</w:t>
            </w:r>
            <w:r>
              <w:rPr>
                <w:rFonts w:ascii="Arial" w:cs="Arial" w:eastAsia="Arial" w:hAnsi="Arial"/>
                <w:sz w:val="14"/>
                <w:szCs w:val="14"/>
                <w:color w:val="auto"/>
                <w:vertAlign w:val="superscript"/>
              </w:rPr>
              <w:t>(3)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right"/>
              <w:ind w:right="491"/>
              <w:spacing w:after="0" w:line="129" w:lineRule="exact"/>
              <w:rPr>
                <w:sz w:val="20"/>
                <w:szCs w:val="20"/>
                <w:color w:val="auto"/>
              </w:rPr>
            </w:pPr>
            <w:r>
              <w:rPr>
                <w:rFonts w:ascii="Arial" w:cs="Arial" w:eastAsia="Arial" w:hAnsi="Arial"/>
                <w:sz w:val="11"/>
                <w:szCs w:val="11"/>
                <w:color w:val="auto"/>
              </w:rPr>
              <w:t>2021</w:t>
            </w:r>
            <w:r>
              <w:rPr>
                <w:rFonts w:ascii="Arial" w:cs="Arial" w:eastAsia="Arial" w:hAnsi="Arial"/>
                <w:sz w:val="14"/>
                <w:szCs w:val="14"/>
                <w:color w:val="auto"/>
                <w:vertAlign w:val="superscript"/>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ind w:left="180"/>
              <w:spacing w:after="0" w:line="12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2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243 %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4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17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total new business pipeline at the end of March 31, 2022 and 2021 was $22.0 billion and $21.0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80"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line="152" w:lineRule="exact"/>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2021</w:t>
            </w:r>
          </w:p>
        </w:tc>
        <w:tc>
          <w:tcPr>
            <w:tcW w:w="2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2021</w:t>
            </w:r>
          </w:p>
        </w:tc>
        <w:tc>
          <w:tcPr>
            <w:tcW w:w="2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2021</w:t>
            </w:r>
          </w:p>
        </w:tc>
        <w:tc>
          <w:tcPr>
            <w:tcW w:w="2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9"/>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2021</w:t>
            </w:r>
          </w:p>
        </w:tc>
        <w:tc>
          <w:tcPr>
            <w:tcW w:w="2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March 31, 2022 and December 31, 2021, total cash and cash equivalents were $588 million and $ 415 million, respectively. We also have a $550 million revolving line of credit for our various cash needs, of which $10 million was used for letters of credit. In the first quarter of 2022, we repaid $100 million that was outstanding as of December 31, 2021 under our revolving line of credit. The net amount available to be drawn upon under our revolving line of credit as of March 31, 2022, was $540 million.</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March 31, 2022, our total debt outstanding was $1.3 billion of which $30 million was due within one year. Refer to Note 7 – Debt in the Condensed Consolidated Financial Statements for additional debt information.</w:t>
      </w:r>
    </w:p>
    <w:p>
      <w:pPr>
        <w:spacing w:after="0" w:line="14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In order 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200" w:lineRule="exact"/>
        <w:rPr>
          <w:sz w:val="20"/>
          <w:szCs w:val="20"/>
          <w:color w:val="auto"/>
        </w:rPr>
      </w:pPr>
    </w:p>
    <w:p>
      <w:pPr>
        <w:spacing w:after="0" w:line="34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color w:val="auto"/>
              </w:rPr>
              <w:t>Three Months Ended March 31,</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8"/>
              <w:spacing w:after="0" w:line="12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28"/>
              <w:spacing w:after="0" w:line="129" w:lineRule="exact"/>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302</w:t>
            </w: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improvement in cash used in operating activities of $13 million, compared to the prior year period, was primarily related to the $38 million of insurance recoveries related to the previously disclosed State of Texas matter, partially offset by lower Adjusted EBITDA and higher cash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increase in cash provided by investing activities of $302 million was primarily due to the proceeds from the divestiture of the Midas business, partially offset by increased spending related to modernizing our infrastructure and productivity tools.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9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increase in cash used in financing activities was primarily related to the repayment of the $100 million borrowed under the revolver partially offset by lower Term loan principal 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9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believes its balances of cash and cash equivalents, which totaled $588 million as of March 31, 2022, along with cash generated by operations and amounts available for borrowing under its 2021 Revolving Credit Facility, will be sufficient to satisfy its cash requirements over the next 12 months and beyond.</w:t>
      </w:r>
    </w:p>
    <w:p>
      <w:pPr>
        <w:spacing w:after="0" w:line="14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At March 31, 2022, the Company’s material cash requirements include debt, leases and estimated purchase commitments. See Part II, Item 7 – Management's Discussion and Analysis of Financial Condition and Results of Operation of our Annual Report on Form 10-K for the year ended December 31, 2021 for additional information on our material cash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Condensed Consolidated Financial Statements and notes thereto. There have been no significant changes during the three months ended March 31, 2022 to our critical accounting estimates and policies from those disclosed in our Annual Report on Form 10-K for the year ended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2" w:name="page33"/>
    <w:bookmarkEnd w:id="32"/>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Recent market and economic events, including the effects of the COVID-19 pandemic, have not caused us to materially modify nor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93"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36"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93" w:lineRule="exact"/>
        <w:rPr>
          <w:sz w:val="20"/>
          <w:szCs w:val="20"/>
          <w:color w:val="auto"/>
        </w:rPr>
      </w:pPr>
    </w:p>
    <w:p>
      <w:pPr>
        <w:ind w:left="340" w:right="1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2021. There have been no material changes to our risk factors as previously reported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3" w:name="page34"/>
    <w:bookmarkEnd w:id="33"/>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March 31, 2022</w:t>
      </w:r>
    </w:p>
    <w:p>
      <w:pPr>
        <w:spacing w:after="0" w:line="193"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During the quarter ended March 31, 2022, the Company did not issue any securities in transactions that were not registered under the Securities Act of 1933, as amended.</w:t>
      </w:r>
    </w:p>
    <w:p>
      <w:pPr>
        <w:spacing w:after="0" w:line="12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March 31, 2022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2022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Borders>
              <w:bottom w:val="single" w:sz="8" w:color="0000FF"/>
            </w:tcBorders>
            <w:gridSpan w:val="7"/>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6"/>
        </w:trPr>
        <w:tc>
          <w:tcPr>
            <w:tcW w:w="1440" w:type="dxa"/>
            <w:vAlign w:val="bottom"/>
          </w:tcPr>
          <w:p>
            <w:pPr>
              <w:spacing w:after="0"/>
              <w:rPr>
                <w:sz w:val="13"/>
                <w:szCs w:val="13"/>
                <w:color w:val="auto"/>
              </w:rPr>
            </w:pPr>
          </w:p>
        </w:tc>
        <w:tc>
          <w:tcPr>
            <w:tcW w:w="44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2016.</w:t>
              </w:r>
            </w:hyperlink>
          </w:p>
        </w:tc>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50"/>
        </w:trPr>
        <w:tc>
          <w:tcPr>
            <w:tcW w:w="1440" w:type="dxa"/>
            <w:vAlign w:val="bottom"/>
          </w:tcPr>
          <w:p>
            <w:pPr>
              <w:spacing w:after="0"/>
              <w:rPr>
                <w:sz w:val="21"/>
                <w:szCs w:val="21"/>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7080" w:type="dxa"/>
            <w:vAlign w:val="bottom"/>
            <w:tcBorders>
              <w:bottom w:val="single" w:sz="8" w:color="0000FF"/>
            </w:tcBorders>
            <w:gridSpan w:val="6"/>
          </w:tcPr>
          <w:p>
            <w:pPr>
              <w:spacing w:after="0" w:line="189"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Amended and Restated By-Laws of Registrant as amended through December 31, 2016.</w:t>
              </w:r>
            </w:hyperlink>
          </w:p>
        </w:tc>
        <w:tc>
          <w:tcPr>
            <w:tcW w:w="2320" w:type="dxa"/>
            <w:vAlign w:val="bottom"/>
          </w:tcPr>
          <w:p>
            <w:pPr>
              <w:spacing w:after="0"/>
              <w:rPr>
                <w:sz w:val="16"/>
                <w:szCs w:val="16"/>
                <w:color w:val="auto"/>
              </w:rPr>
            </w:pPr>
          </w:p>
        </w:tc>
      </w:tr>
      <w:tr>
        <w:trPr>
          <w:trHeight w:val="250"/>
        </w:trPr>
        <w:tc>
          <w:tcPr>
            <w:tcW w:w="1440" w:type="dxa"/>
            <w:vAlign w:val="bottom"/>
          </w:tcPr>
          <w:p>
            <w:pPr>
              <w:spacing w:after="0"/>
              <w:rPr>
                <w:sz w:val="21"/>
                <w:szCs w:val="21"/>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10.6(a)(ix)</w:t>
            </w:r>
          </w:p>
        </w:tc>
        <w:tc>
          <w:tcPr>
            <w:tcW w:w="5920" w:type="dxa"/>
            <w:vAlign w:val="bottom"/>
            <w:tcBorders>
              <w:bottom w:val="single" w:sz="8" w:color="0000FF"/>
            </w:tcBorders>
            <w:gridSpan w:val="4"/>
          </w:tcPr>
          <w:p>
            <w:pPr>
              <w:spacing w:after="0" w:line="189" w:lineRule="exact"/>
              <w:rPr>
                <w:rFonts w:ascii="Arial" w:cs="Arial" w:eastAsia="Arial" w:hAnsi="Arial"/>
                <w:sz w:val="18"/>
                <w:szCs w:val="18"/>
                <w:color w:val="0000FF"/>
                <w:w w:val="99"/>
              </w:rPr>
            </w:pPr>
            <w:hyperlink w:anchor="page37">
              <w:r>
                <w:rPr>
                  <w:rFonts w:ascii="Arial" w:cs="Arial" w:eastAsia="Arial" w:hAnsi="Arial"/>
                  <w:sz w:val="18"/>
                  <w:szCs w:val="18"/>
                  <w:color w:val="0000FF"/>
                  <w:w w:val="99"/>
                </w:rPr>
                <w:t>Form of Restricted Stock Unit Award Agreement 2022 under the 2021 PIP.</w:t>
              </w:r>
            </w:hyperlink>
          </w:p>
        </w:tc>
        <w:tc>
          <w:tcPr>
            <w:tcW w:w="3480" w:type="dxa"/>
            <w:vAlign w:val="bottom"/>
            <w:gridSpan w:val="3"/>
          </w:tcPr>
          <w:p>
            <w:pPr>
              <w:spacing w:after="0"/>
              <w:rPr>
                <w:sz w:val="16"/>
                <w:szCs w:val="16"/>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10.6(a)(x)</w:t>
            </w:r>
          </w:p>
        </w:tc>
        <w:tc>
          <w:tcPr>
            <w:tcW w:w="70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Form of Performance Restricted Stock Unit Award Agreement 2022 under the 2021 PIP.</w:t>
              </w:r>
            </w:hyperlink>
          </w:p>
        </w:tc>
        <w:tc>
          <w:tcPr>
            <w:tcW w:w="2400" w:type="dxa"/>
            <w:vAlign w:val="bottom"/>
            <w:gridSpan w:val="2"/>
          </w:tcPr>
          <w:p>
            <w:pPr>
              <w:spacing w:after="0"/>
              <w:rPr>
                <w:sz w:val="18"/>
                <w:szCs w:val="18"/>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31(a)</w:t>
            </w:r>
          </w:p>
        </w:tc>
        <w:tc>
          <w:tcPr>
            <w:tcW w:w="53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Certification of CEO pursuant to Rule 13a-14(a) or Rule 15d-14(a).</w:t>
              </w:r>
            </w:hyperlink>
          </w:p>
        </w:tc>
        <w:tc>
          <w:tcPr>
            <w:tcW w:w="4100" w:type="dxa"/>
            <w:vAlign w:val="bottom"/>
            <w:gridSpan w:val="4"/>
          </w:tcPr>
          <w:p>
            <w:pPr>
              <w:spacing w:after="0"/>
              <w:rPr>
                <w:sz w:val="18"/>
                <w:szCs w:val="18"/>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31(b)</w:t>
            </w:r>
          </w:p>
        </w:tc>
        <w:tc>
          <w:tcPr>
            <w:tcW w:w="9400" w:type="dxa"/>
            <w:vAlign w:val="bottom"/>
            <w:gridSpan w:val="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CFO pursuant to Rule 13a-14(a) or Rule 15d-14(a).</w:t>
              </w:r>
            </w:hyperlink>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40" w:lineRule="exact"/>
        <w:rPr>
          <w:sz w:val="20"/>
          <w:szCs w:val="20"/>
          <w:color w:val="auto"/>
        </w:rPr>
      </w:pPr>
    </w:p>
    <w:p>
      <w:pPr>
        <w:ind w:left="1460" w:right="200" w:hanging="1434"/>
        <w:spacing w:after="0" w:line="227" w:lineRule="auto"/>
        <w:tabs>
          <w:tab w:leader="none" w:pos="1460" w:val="left"/>
        </w:tabs>
        <w:numPr>
          <w:ilvl w:val="0"/>
          <w:numId w:val="17"/>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of CEO and CFO pursuant to 18 U.S.C. Section 1350, as adopted pursuant to Section 906 of the Sarbanes-</w:t>
        </w:r>
      </w:hyperlink>
      <w:hyperlink w:anchor="page63">
        <w:r>
          <w:rPr>
            <w:rFonts w:ascii="Arial" w:cs="Arial" w:eastAsia="Arial" w:hAnsi="Arial"/>
            <w:sz w:val="18"/>
            <w:szCs w:val="18"/>
            <w:u w:val="single" w:color="auto"/>
            <w:color w:val="0000FF"/>
          </w:rPr>
          <w:t>Oxley Act of 2002.</w:t>
        </w:r>
      </w:hyperlink>
    </w:p>
    <w:p>
      <w:pPr>
        <w:spacing w:after="0" w:line="252"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17"/>
        </w:trPr>
        <w:tc>
          <w:tcPr>
            <w:tcW w:w="108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5" w:name="page36"/>
    <w:bookmarkEnd w:id="35"/>
    <w:p>
      <w:pPr>
        <w:ind w:left="20"/>
        <w:spacing w:after="0"/>
        <w:rPr>
          <w:rFonts w:ascii="Arial" w:cs="Arial" w:eastAsia="Arial" w:hAnsi="Arial"/>
          <w:sz w:val="20"/>
          <w:szCs w:val="20"/>
          <w:b w:val="1"/>
          <w:bCs w:val="1"/>
          <w:u w:val="single" w:color="auto"/>
          <w:color w:val="0000FF"/>
        </w:rPr>
      </w:pPr>
      <w:hyperlink w:anchor="page2">
        <w:r>
          <w:rPr>
            <w:rFonts w:ascii="Arial" w:cs="Arial" w:eastAsia="Arial" w:hAnsi="Arial"/>
            <w:sz w:val="20"/>
            <w:szCs w:val="20"/>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2888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1"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2022 Form 10-Q</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52"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RESTRICTED STOCK UNIT AWARD AGREEMENT PURSUANT TOCONDUENT INCORPORATED 2021 PERFORMANCE INCENTIVE PLAN</w:t>
      </w: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AWARDS</w:t>
      </w:r>
    </w:p>
    <w:p>
      <w:pPr>
        <w:spacing w:after="0" w:line="117" w:lineRule="exact"/>
        <w:rPr>
          <w:sz w:val="20"/>
          <w:szCs w:val="20"/>
          <w:color w:val="auto"/>
        </w:rPr>
      </w:pPr>
    </w:p>
    <w:p>
      <w:pPr>
        <w:jc w:val="both"/>
        <w:ind w:firstLine="8"/>
        <w:spacing w:after="0" w:line="256" w:lineRule="auto"/>
        <w:tabs>
          <w:tab w:leader="none" w:pos="21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RESTRICTED STOCK UNITS</w:t>
      </w:r>
    </w:p>
    <w:p>
      <w:pPr>
        <w:spacing w:after="0" w:line="139" w:lineRule="exact"/>
        <w:rPr>
          <w:sz w:val="20"/>
          <w:szCs w:val="20"/>
          <w:color w:val="auto"/>
        </w:rPr>
      </w:pPr>
    </w:p>
    <w:p>
      <w:pPr>
        <w:jc w:val="both"/>
        <w:ind w:firstLine="8"/>
        <w:spacing w:after="0" w:line="252"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00" w:lineRule="exact"/>
        <w:rPr>
          <w:rFonts w:ascii="Arial" w:cs="Arial" w:eastAsia="Arial" w:hAnsi="Arial"/>
          <w:sz w:val="18"/>
          <w:szCs w:val="18"/>
          <w:color w:val="auto"/>
        </w:rPr>
      </w:pPr>
    </w:p>
    <w:p>
      <w:pPr>
        <w:jc w:val="both"/>
        <w:ind w:firstLine="8"/>
        <w:spacing w:after="0" w:line="253"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6 of the Plan) or as otherwise provided in this Section 3 or Section 8, the vesting of RSUs covered hereby shall be subject to the Employee’s continued employment with the Company or a subsidiary or affiliate through the applicable Vesting Date. The Employee shall be eligible to vest in one-third of the shares of Common Stock covered by this Agreement as set forth in the Award Summary on each of December 31, 2022, December 31, 2023 and December 31, 2024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RSUs outstanding on the date of such Change in Control, and any dividend equivalents with respect thereto, shall be assumed by the successor company (or its parent company) and remain outstanding and thereafter the vesting of such RSUs, and any dividend equivalents with respect thereto, shall be subject to the Employee’s continued employment with the Company or a subsidiary or an affiliate through each applicable Vesting Date as provided in this Section 3, at which time such RSUs shall vest and shall be paid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shall be paid to the extent provided in Section 8 in the event of the Employee’s termination of employment following such Change in Control and prior to a Vesting Date. Upon payment pursuant to the terms of the Plan, such awards shall be cancelled.</w:t>
      </w:r>
    </w:p>
    <w:p>
      <w:pPr>
        <w:spacing w:after="0" w:line="90" w:lineRule="exact"/>
        <w:rPr>
          <w:sz w:val="20"/>
          <w:szCs w:val="20"/>
          <w:color w:val="auto"/>
        </w:rPr>
      </w:pPr>
    </w:p>
    <w:p>
      <w:pPr>
        <w:jc w:val="both"/>
        <w:ind w:firstLine="8"/>
        <w:spacing w:after="0" w:line="253"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each applicable Vesting Date (or such earlier date provided in Section 8) a cash payment equaling the same amount(s) that the 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39" w:lineRule="exact"/>
        <w:rPr>
          <w:sz w:val="20"/>
          <w:szCs w:val="20"/>
          <w:color w:val="auto"/>
        </w:rPr>
      </w:pPr>
    </w:p>
    <w:p>
      <w:pPr>
        <w:jc w:val="both"/>
        <w:ind w:firstLine="8"/>
        <w:spacing w:after="0" w:line="256" w:lineRule="auto"/>
        <w:tabs>
          <w:tab w:leader="none" w:pos="21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93" w:lineRule="exact"/>
        <w:rPr>
          <w:rFonts w:ascii="Arial" w:cs="Arial" w:eastAsia="Arial" w:hAnsi="Arial"/>
          <w:sz w:val="18"/>
          <w:szCs w:val="18"/>
          <w:color w:val="auto"/>
        </w:rPr>
      </w:pPr>
    </w:p>
    <w:p>
      <w:pPr>
        <w:jc w:val="both"/>
        <w:ind w:firstLine="8"/>
        <w:spacing w:after="0" w:line="256" w:lineRule="auto"/>
        <w:tabs>
          <w:tab w:leader="none" w:pos="21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93" w:lineRule="exact"/>
        <w:rPr>
          <w:rFonts w:ascii="Arial" w:cs="Arial" w:eastAsia="Arial" w:hAnsi="Arial"/>
          <w:sz w:val="18"/>
          <w:szCs w:val="18"/>
          <w:color w:val="auto"/>
        </w:rPr>
      </w:pPr>
    </w:p>
    <w:p>
      <w:pPr>
        <w:jc w:val="both"/>
        <w:ind w:firstLine="8"/>
        <w:spacing w:after="0" w:line="254"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7(d)(ii) of the Plan. Any purported sale, assignment, alienation, transfer, pledge, attachment or other encumbrance of a RSU in violation of the provisions of this Section 7 and Section 7(d)(ii) of the Plan shall be void.</w:t>
      </w:r>
    </w:p>
    <w:p>
      <w:pPr>
        <w:spacing w:after="0" w:line="95" w:lineRule="exact"/>
        <w:rPr>
          <w:rFonts w:ascii="Arial" w:cs="Arial" w:eastAsia="Arial" w:hAnsi="Arial"/>
          <w:sz w:val="18"/>
          <w:szCs w:val="18"/>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17" w:lineRule="exact"/>
        <w:rPr>
          <w:sz w:val="20"/>
          <w:szCs w:val="20"/>
          <w:color w:val="auto"/>
        </w:rPr>
      </w:pPr>
    </w:p>
    <w:p>
      <w:pPr>
        <w:ind w:firstLine="8"/>
        <w:spacing w:after="0" w:line="261"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prior to December 31, 2024, the RSUs will be treated as set forth below.</w:t>
      </w:r>
    </w:p>
    <w:p>
      <w:pPr>
        <w:spacing w:after="0" w:line="89" w:lineRule="exact"/>
        <w:rPr>
          <w:rFonts w:ascii="Arial" w:cs="Arial" w:eastAsia="Arial" w:hAnsi="Arial"/>
          <w:sz w:val="18"/>
          <w:szCs w:val="18"/>
          <w:color w:val="auto"/>
        </w:rPr>
      </w:pPr>
    </w:p>
    <w:p>
      <w:pPr>
        <w:jc w:val="both"/>
        <w:ind w:firstLine="899"/>
        <w:spacing w:after="0" w:line="256" w:lineRule="auto"/>
        <w:tabs>
          <w:tab w:leader="none" w:pos="11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Voluntary Resignation. In the event the Employee voluntarily ceases to be an employee of the Employer for any reason other than a Termination For Good Reason following a Change in Control, the RSUs that have not vested in accordance with Section 3 shall be canceled and forfeited on the date of such voluntary termination of employment.</w:t>
      </w:r>
    </w:p>
    <w:p>
      <w:pPr>
        <w:spacing w:after="0" w:line="93" w:lineRule="exact"/>
        <w:rPr>
          <w:rFonts w:ascii="Arial" w:cs="Arial" w:eastAsia="Arial" w:hAnsi="Arial"/>
          <w:sz w:val="18"/>
          <w:szCs w:val="18"/>
          <w:color w:val="auto"/>
        </w:rPr>
      </w:pPr>
    </w:p>
    <w:p>
      <w:pPr>
        <w:jc w:val="both"/>
        <w:ind w:firstLine="899"/>
        <w:spacing w:after="0" w:line="25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Termination without Cause. In the event the Employee involuntarily ceases to be an employee of the Employer on or after the nine-month anniversary of the grant date and prior to a Change in Control for any reason other than due to death, Disability or a termination for Cause, the number of RSUs scheduled to vest on the Vesting Date immediately following such termination, and any dividend equivalents with respect thereto, shall be prorated based on a fraction, the numerator of which is the number of full months elapsed since the most recent Vesting Date immediately preceding such date of termination (or, in the event such termination is prior to the first Vesting Date, the number of full months elapsed since the Date of Grant) and the denominator of which is 12, and any remaining RSUs shall be forfeited. Such prorated number of RSUs, and any dividend equivalents with respect thereto, shall immediately vest and shall be settled in accordance with Section 2 within 60 days following the Vesting Date immediately following such termination; provided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In</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event the Employee involuntarily ceases to be an employee of the Employer prior to the nine-month anniversary of the grant date, the RSUs shall be cancelled and forfeited on the date of such termination.</w:t>
      </w:r>
    </w:p>
    <w:p>
      <w:pPr>
        <w:spacing w:after="0" w:line="90" w:lineRule="exact"/>
        <w:rPr>
          <w:sz w:val="20"/>
          <w:szCs w:val="20"/>
          <w:color w:val="auto"/>
        </w:rPr>
      </w:pPr>
    </w:p>
    <w:p>
      <w:pPr>
        <w:jc w:val="both"/>
        <w:ind w:firstLine="899"/>
        <w:spacing w:after="0" w:line="251" w:lineRule="auto"/>
        <w:tabs>
          <w:tab w:leader="none" w:pos="11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Qualifying Termination Following Change in Control. In the event the Employee involuntarily ceases to be an employee of 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103" w:lineRule="exact"/>
        <w:rPr>
          <w:rFonts w:ascii="Arial" w:cs="Arial" w:eastAsia="Arial" w:hAnsi="Arial"/>
          <w:sz w:val="18"/>
          <w:szCs w:val="18"/>
          <w:color w:val="auto"/>
        </w:rPr>
      </w:pPr>
    </w:p>
    <w:p>
      <w:pPr>
        <w:jc w:val="both"/>
        <w:ind w:firstLine="899"/>
        <w:spacing w:after="0" w:line="254" w:lineRule="auto"/>
        <w:tabs>
          <w:tab w:leader="none" w:pos="11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Death or Disability. In the event the Employee involuntarily ceases to be an employee of the Employer by reason of death or Disability, the RSUs covered by this Agreement, and any dividend equivalents with respect thereto, shall immediately vest if such termination of employment occurs prior to a Change in Control and shall be settled within 60 days following the Vesting Date immediately following such termination in accordance with Section 2, without proration.</w:t>
      </w:r>
    </w:p>
    <w:p>
      <w:pPr>
        <w:spacing w:after="0" w:line="95" w:lineRule="exact"/>
        <w:rPr>
          <w:rFonts w:ascii="Arial" w:cs="Arial" w:eastAsia="Arial" w:hAnsi="Arial"/>
          <w:sz w:val="18"/>
          <w:szCs w:val="18"/>
          <w:color w:val="auto"/>
        </w:rPr>
      </w:pPr>
    </w:p>
    <w:p>
      <w:pPr>
        <w:jc w:val="both"/>
        <w:ind w:firstLine="899"/>
        <w:spacing w:after="0" w:line="256"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for Cause. In the event the Employee involuntarily ceases to be an employee of the Employer due to termination for Cause, the 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72" w:lineRule="exact"/>
        <w:rPr>
          <w:sz w:val="20"/>
          <w:szCs w:val="20"/>
          <w:color w:val="auto"/>
        </w:rPr>
      </w:pPr>
    </w:p>
    <w:p>
      <w:pPr>
        <w:ind w:firstLine="170"/>
        <w:spacing w:after="0" w:line="287" w:lineRule="auto"/>
        <w:tabs>
          <w:tab w:leader="none" w:pos="4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45"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93" w:lineRule="exact"/>
        <w:rPr>
          <w:sz w:val="20"/>
          <w:szCs w:val="20"/>
          <w:color w:val="auto"/>
        </w:rPr>
      </w:pPr>
    </w:p>
    <w:p>
      <w:pPr>
        <w:ind w:left="1580" w:hanging="276"/>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17" w:lineRule="exact"/>
        <w:rPr>
          <w:rFonts w:ascii="Arial" w:cs="Arial" w:eastAsia="Arial" w:hAnsi="Arial"/>
          <w:sz w:val="18"/>
          <w:szCs w:val="18"/>
          <w:color w:val="auto"/>
        </w:rPr>
      </w:pPr>
    </w:p>
    <w:p>
      <w:pPr>
        <w:jc w:val="both"/>
        <w:ind w:firstLine="1304"/>
        <w:spacing w:after="0" w:line="252" w:lineRule="auto"/>
        <w:tabs>
          <w:tab w:leader="none" w:pos="15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98" w:lineRule="exact"/>
        <w:rPr>
          <w:rFonts w:ascii="Arial" w:cs="Arial" w:eastAsia="Arial" w:hAnsi="Arial"/>
          <w:sz w:val="18"/>
          <w:szCs w:val="18"/>
          <w:color w:val="auto"/>
        </w:rPr>
      </w:pPr>
    </w:p>
    <w:p>
      <w:pPr>
        <w:jc w:val="both"/>
        <w:ind w:firstLine="1304"/>
        <w:spacing w:after="0" w:line="254" w:lineRule="auto"/>
        <w:tabs>
          <w:tab w:leader="none" w:pos="15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95" w:lineRule="exact"/>
        <w:rPr>
          <w:rFonts w:ascii="Arial" w:cs="Arial" w:eastAsia="Arial" w:hAnsi="Arial"/>
          <w:sz w:val="18"/>
          <w:szCs w:val="18"/>
          <w:color w:val="auto"/>
        </w:rPr>
      </w:pPr>
    </w:p>
    <w:p>
      <w:pPr>
        <w:ind w:firstLine="1304"/>
        <w:spacing w:after="0" w:line="261" w:lineRule="auto"/>
        <w:tabs>
          <w:tab w:leader="none" w:pos="15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w:t>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The failure of the Company to obtain a satisfactory agreement from any successor to assume responsibility to perform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this Plan.</w:t>
      </w:r>
    </w:p>
    <w:p>
      <w:pPr>
        <w:spacing w:after="0" w:line="11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A termination by the Employee of his or her employment shall not fail to be a Termination for Good Reason merely because of the Employee’s incapacity due to physical or mental illness, or because the Employee’s employment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75" w:lineRule="exact"/>
        <w:rPr>
          <w:sz w:val="20"/>
          <w:szCs w:val="20"/>
          <w:color w:val="auto"/>
        </w:rPr>
      </w:pPr>
    </w:p>
    <w:p>
      <w:pPr>
        <w:jc w:val="both"/>
        <w:ind w:firstLine="89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68" w:lineRule="exact"/>
        <w:rPr>
          <w:sz w:val="20"/>
          <w:szCs w:val="20"/>
          <w:color w:val="auto"/>
        </w:rPr>
      </w:pPr>
    </w:p>
    <w:p>
      <w:pPr>
        <w:jc w:val="both"/>
        <w:ind w:firstLine="891"/>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45" w:lineRule="exact"/>
        <w:rPr>
          <w:sz w:val="20"/>
          <w:szCs w:val="20"/>
          <w:color w:val="auto"/>
        </w:rPr>
      </w:pPr>
    </w:p>
    <w:p>
      <w:pPr>
        <w:jc w:val="both"/>
        <w:ind w:right="20" w:firstLine="891"/>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67" w:lineRule="exact"/>
        <w:rPr>
          <w:sz w:val="20"/>
          <w:szCs w:val="20"/>
          <w:color w:val="auto"/>
        </w:rPr>
      </w:pPr>
    </w:p>
    <w:p>
      <w:pPr>
        <w:jc w:val="both"/>
        <w:ind w:firstLine="500"/>
        <w:spacing w:after="0" w:line="251" w:lineRule="auto"/>
        <w:tabs>
          <w:tab w:leader="none" w:pos="76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the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RSUs shall vest and be paid as provided in Section 8(a)(ii) above, whether or not such termination occurs after the nine-month anniversary of the grant date of the RSUs; provided, however, that in the event such termination occurs prior to December 31, 2022, the Employee shall vest in the RSUs scheduled to vest on the Vesting Date immediately following such termination, prorated based on a fraction, the numerator of which is the number of full months elapsed since January 1, 2022 and the denominator of which is 12, and the remaining RSUs shall be forfeited; and provided, further, that, in the event the Employee is offered a comparable position (as determined by the Committee in accordance with the Company’s severance policy) with the acquirer of such line of business and does not accept such offer, the RSUs shall be cancelled and forfeited on the date of termination of employment.</w:t>
      </w:r>
    </w:p>
    <w:p>
      <w:pPr>
        <w:spacing w:after="0" w:line="102" w:lineRule="exact"/>
        <w:rPr>
          <w:rFonts w:ascii="Arial" w:cs="Arial" w:eastAsia="Arial" w:hAnsi="Arial"/>
          <w:sz w:val="18"/>
          <w:szCs w:val="18"/>
          <w:color w:val="auto"/>
        </w:rPr>
      </w:pPr>
    </w:p>
    <w:p>
      <w:pPr>
        <w:jc w:val="both"/>
        <w:ind w:firstLine="8"/>
        <w:spacing w:after="0" w:line="252" w:lineRule="auto"/>
        <w:tabs>
          <w:tab w:leader="none" w:pos="2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pacing w:after="0" w:line="98" w:lineRule="exact"/>
        <w:rPr>
          <w:rFonts w:ascii="Arial" w:cs="Arial" w:eastAsia="Arial" w:hAnsi="Arial"/>
          <w:sz w:val="18"/>
          <w:szCs w:val="18"/>
          <w:color w:val="auto"/>
        </w:rPr>
      </w:pPr>
    </w:p>
    <w:p>
      <w:pPr>
        <w:jc w:val="both"/>
        <w:ind w:firstLine="8"/>
        <w:spacing w:after="0" w:line="256" w:lineRule="auto"/>
        <w:tabs>
          <w:tab w:leader="none" w:pos="3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w:t>
      </w:r>
    </w:p>
    <w:p>
      <w:pPr>
        <w:sectPr>
          <w:pgSz w:w="11900" w:h="16838" w:orient="portrait"/>
          <w:cols w:equalWidth="0" w:num="1">
            <w:col w:w="11240"/>
          </w:cols>
          <w:pgMar w:left="320" w:top="118" w:right="339" w:bottom="1440" w:gutter="0" w:footer="0" w:header="0"/>
        </w:sectPr>
      </w:pPr>
    </w:p>
    <w:bookmarkStart w:id="40" w:name="page41"/>
    <w:bookmarkEnd w:id="40"/>
    <w:p>
      <w:pPr>
        <w:ind w:left="9760"/>
        <w:spacing w:after="0"/>
        <w:rPr>
          <w:sz w:val="20"/>
          <w:szCs w:val="20"/>
          <w:color w:val="auto"/>
        </w:rPr>
      </w:pPr>
      <w:r>
        <w:rPr>
          <w:rFonts w:ascii="Arial" w:cs="Arial" w:eastAsia="Arial" w:hAnsi="Arial"/>
          <w:sz w:val="17"/>
          <w:szCs w:val="17"/>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amount actually withheld by the Company or the Employer. In the event that there is withholding tax liability in connection with the vesting or settlement of RSUs, the Employee may satisfy, in whole or in part, and subject to company procedures, any withholding tax liability: (a) by cash payment of an amount equal to such withholding liability; or (b) by having the Company withhold from the number of RSUs in which the Employee would be entitled to vest a number of shares of Common Stock having a fair value equal to such withholding tax liability in accordance with the Company’s share withholding procedures.</w:t>
      </w:r>
    </w:p>
    <w:p>
      <w:pPr>
        <w:spacing w:after="0" w:line="97"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17" w:lineRule="exact"/>
        <w:rPr>
          <w:rFonts w:ascii="Arial" w:cs="Arial" w:eastAsia="Arial" w:hAnsi="Arial"/>
          <w:sz w:val="18"/>
          <w:szCs w:val="18"/>
          <w:color w:val="auto"/>
        </w:rPr>
      </w:pPr>
    </w:p>
    <w:p>
      <w:pPr>
        <w:jc w:val="both"/>
        <w:ind w:firstLine="409"/>
        <w:spacing w:after="0" w:line="256" w:lineRule="auto"/>
        <w:tabs>
          <w:tab w:leader="none" w:pos="8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9(c) of the Plan regarding Plan amendment and termination and, in addition, the RSUs are subject to modification and adjustment under Section 9(c) of the Plan.</w:t>
      </w:r>
    </w:p>
    <w:p>
      <w:pPr>
        <w:spacing w:after="0" w:line="93" w:lineRule="exact"/>
        <w:rPr>
          <w:rFonts w:ascii="Arial" w:cs="Arial" w:eastAsia="Arial" w:hAnsi="Arial"/>
          <w:sz w:val="18"/>
          <w:szCs w:val="18"/>
          <w:color w:val="auto"/>
        </w:rPr>
      </w:pPr>
    </w:p>
    <w:p>
      <w:pPr>
        <w:ind w:firstLine="409"/>
        <w:spacing w:after="0" w:line="261" w:lineRule="auto"/>
        <w:tabs>
          <w:tab w:leader="none" w:pos="8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89" w:lineRule="exact"/>
        <w:rPr>
          <w:rFonts w:ascii="Arial" w:cs="Arial" w:eastAsia="Arial" w:hAnsi="Arial"/>
          <w:sz w:val="18"/>
          <w:szCs w:val="18"/>
          <w:color w:val="auto"/>
        </w:rPr>
      </w:pPr>
    </w:p>
    <w:p>
      <w:pPr>
        <w:ind w:firstLine="409"/>
        <w:spacing w:after="0" w:line="261" w:lineRule="auto"/>
        <w:tabs>
          <w:tab w:leader="none" w:pos="81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89" w:lineRule="exact"/>
        <w:rPr>
          <w:rFonts w:ascii="Arial" w:cs="Arial" w:eastAsia="Arial" w:hAnsi="Arial"/>
          <w:sz w:val="18"/>
          <w:szCs w:val="18"/>
          <w:color w:val="auto"/>
        </w:rPr>
      </w:pPr>
    </w:p>
    <w:p>
      <w:pPr>
        <w:jc w:val="both"/>
        <w:ind w:firstLine="409"/>
        <w:spacing w:after="0" w:line="256" w:lineRule="auto"/>
        <w:tabs>
          <w:tab w:leader="none" w:pos="821"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RSU award and the Employee’s participation in the Plan will not be interpreted to form an employment contract or relationship with the Employer;</w:t>
      </w:r>
    </w:p>
    <w:p>
      <w:pPr>
        <w:spacing w:after="0" w:line="93" w:lineRule="exact"/>
        <w:rPr>
          <w:rFonts w:ascii="Arial" w:cs="Arial" w:eastAsia="Arial" w:hAnsi="Arial"/>
          <w:sz w:val="18"/>
          <w:szCs w:val="18"/>
          <w:color w:val="auto"/>
        </w:rPr>
      </w:pPr>
    </w:p>
    <w:p>
      <w:pPr>
        <w:ind w:left="820" w:hanging="41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17" w:lineRule="exact"/>
        <w:rPr>
          <w:rFonts w:ascii="Arial" w:cs="Arial" w:eastAsia="Arial" w:hAnsi="Arial"/>
          <w:sz w:val="18"/>
          <w:szCs w:val="18"/>
          <w:color w:val="auto"/>
        </w:rPr>
      </w:pPr>
    </w:p>
    <w:p>
      <w:pPr>
        <w:ind w:firstLine="409"/>
        <w:spacing w:after="0" w:line="261" w:lineRule="auto"/>
        <w:tabs>
          <w:tab w:leader="none" w:pos="7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89" w:lineRule="exact"/>
        <w:rPr>
          <w:rFonts w:ascii="Arial" w:cs="Arial" w:eastAsia="Arial" w:hAnsi="Arial"/>
          <w:sz w:val="18"/>
          <w:szCs w:val="18"/>
          <w:color w:val="auto"/>
        </w:rPr>
      </w:pPr>
    </w:p>
    <w:p>
      <w:pPr>
        <w:ind w:left="820" w:hanging="41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117" w:lineRule="exact"/>
        <w:rPr>
          <w:rFonts w:ascii="Arial" w:cs="Arial" w:eastAsia="Arial" w:hAnsi="Arial"/>
          <w:sz w:val="18"/>
          <w:szCs w:val="18"/>
          <w:color w:val="auto"/>
        </w:rPr>
      </w:pPr>
    </w:p>
    <w:p>
      <w:pPr>
        <w:jc w:val="both"/>
        <w:ind w:firstLine="409"/>
        <w:spacing w:after="0" w:line="254" w:lineRule="auto"/>
        <w:tabs>
          <w:tab w:leader="none" w:pos="821"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95" w:lineRule="exact"/>
        <w:rPr>
          <w:rFonts w:ascii="Arial" w:cs="Arial" w:eastAsia="Arial" w:hAnsi="Arial"/>
          <w:sz w:val="18"/>
          <w:szCs w:val="18"/>
          <w:color w:val="auto"/>
        </w:rPr>
      </w:pPr>
    </w:p>
    <w:p>
      <w:pPr>
        <w:ind w:left="760" w:hanging="351"/>
        <w:spacing w:after="0"/>
        <w:tabs>
          <w:tab w:leader="none" w:pos="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17" w:lineRule="exact"/>
        <w:rPr>
          <w:rFonts w:ascii="Arial" w:cs="Arial" w:eastAsia="Arial" w:hAnsi="Arial"/>
          <w:sz w:val="18"/>
          <w:szCs w:val="18"/>
          <w:color w:val="auto"/>
        </w:rPr>
      </w:pPr>
    </w:p>
    <w:p>
      <w:pPr>
        <w:jc w:val="both"/>
        <w:ind w:firstLine="409"/>
        <w:spacing w:after="0" w:line="253" w:lineRule="auto"/>
        <w:tabs>
          <w:tab w:leader="none" w:pos="8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consideration of the award of the RSUs, no claim or entitlement to compensation or damages shall arise from forfeiture of the RSUs, including, but not limited to, forfeiture resulting from 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97" w:lineRule="exact"/>
        <w:rPr>
          <w:rFonts w:ascii="Arial" w:cs="Arial" w:eastAsia="Arial" w:hAnsi="Arial"/>
          <w:sz w:val="18"/>
          <w:szCs w:val="18"/>
          <w:color w:val="auto"/>
        </w:rPr>
      </w:pPr>
    </w:p>
    <w:p>
      <w:pPr>
        <w:ind w:firstLine="409"/>
        <w:spacing w:after="0" w:line="261" w:lineRule="auto"/>
        <w:tabs>
          <w:tab w:leader="none" w:pos="9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RSUs and the benefits under the Plan, if any, will not automatically transfer to another company in the case of a merger, take-over or transfer of liability.</w:t>
      </w:r>
    </w:p>
    <w:p>
      <w:pPr>
        <w:spacing w:after="0" w:line="89" w:lineRule="exact"/>
        <w:rPr>
          <w:rFonts w:ascii="Arial" w:cs="Arial" w:eastAsia="Arial" w:hAnsi="Arial"/>
          <w:sz w:val="18"/>
          <w:szCs w:val="18"/>
          <w:color w:val="auto"/>
        </w:rPr>
      </w:pPr>
    </w:p>
    <w:p>
      <w:pPr>
        <w:jc w:val="both"/>
        <w:ind w:firstLine="8"/>
        <w:spacing w:after="0" w:line="256"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The Employee is hereby advised to consult with his or her own personal tax, legal and financial advisors regarding his or her participation in the Plan before taking any action related to the Plan.</w:t>
      </w:r>
    </w:p>
    <w:p>
      <w:pPr>
        <w:spacing w:after="0" w:line="90" w:lineRule="exact"/>
        <w:rPr>
          <w:sz w:val="20"/>
          <w:szCs w:val="20"/>
          <w:color w:val="auto"/>
        </w:rPr>
      </w:pPr>
    </w:p>
    <w:p>
      <w:pPr>
        <w:ind w:right="20" w:firstLine="8"/>
        <w:spacing w:after="0" w:line="261"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89" w:lineRule="exact"/>
        <w:rPr>
          <w:rFonts w:ascii="Arial" w:cs="Arial" w:eastAsia="Arial" w:hAnsi="Arial"/>
          <w:sz w:val="18"/>
          <w:szCs w:val="18"/>
          <w:color w:val="auto"/>
        </w:rPr>
      </w:pPr>
    </w:p>
    <w:p>
      <w:pPr>
        <w:jc w:val="both"/>
        <w:ind w:firstLine="8"/>
        <w:spacing w:after="0" w:line="254"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this Award and the delivery of any shares of Common Stock hereunder are contingent on the Employee executing, and the Employee’s continued compliance with, the Non-Competition and Non-Solicitation Agreement set forth as Exhibit A to this Agreement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ind w:firstLine="8"/>
        <w:spacing w:after="0" w:line="261"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89" w:lineRule="exact"/>
        <w:rPr>
          <w:rFonts w:ascii="Arial" w:cs="Arial" w:eastAsia="Arial" w:hAnsi="Arial"/>
          <w:sz w:val="18"/>
          <w:szCs w:val="18"/>
          <w:color w:val="auto"/>
        </w:rPr>
      </w:pPr>
    </w:p>
    <w:p>
      <w:pPr>
        <w:ind w:firstLine="8"/>
        <w:spacing w:after="0" w:line="26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89" w:lineRule="exact"/>
        <w:rPr>
          <w:rFonts w:ascii="Arial" w:cs="Arial" w:eastAsia="Arial" w:hAnsi="Arial"/>
          <w:sz w:val="18"/>
          <w:szCs w:val="18"/>
          <w:color w:val="auto"/>
        </w:rPr>
      </w:pPr>
    </w:p>
    <w:p>
      <w:pPr>
        <w:ind w:firstLine="409"/>
        <w:spacing w:after="0" w:line="261" w:lineRule="auto"/>
        <w:tabs>
          <w:tab w:leader="none" w:pos="6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89" w:lineRule="exact"/>
        <w:rPr>
          <w:rFonts w:ascii="Arial" w:cs="Arial" w:eastAsia="Arial" w:hAnsi="Arial"/>
          <w:sz w:val="18"/>
          <w:szCs w:val="18"/>
          <w:color w:val="auto"/>
        </w:rPr>
      </w:pPr>
    </w:p>
    <w:p>
      <w:pPr>
        <w:jc w:val="both"/>
        <w:ind w:firstLine="409"/>
        <w:spacing w:after="0" w:line="254" w:lineRule="auto"/>
        <w:tabs>
          <w:tab w:leader="none" w:pos="6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96" w:lineRule="exact"/>
        <w:rPr>
          <w:sz w:val="20"/>
          <w:szCs w:val="20"/>
          <w:color w:val="auto"/>
        </w:rPr>
      </w:pPr>
    </w:p>
    <w:p>
      <w:pPr>
        <w:jc w:val="both"/>
        <w:ind w:firstLine="401"/>
        <w:spacing w:after="0" w:line="252"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00" w:lineRule="exact"/>
        <w:rPr>
          <w:sz w:val="20"/>
          <w:szCs w:val="20"/>
          <w:color w:val="auto"/>
        </w:rPr>
      </w:pPr>
    </w:p>
    <w:p>
      <w:pPr>
        <w:jc w:val="both"/>
        <w:ind w:firstLine="409"/>
        <w:spacing w:after="0" w:line="253" w:lineRule="auto"/>
        <w:tabs>
          <w:tab w:leader="none" w:pos="6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97" w:lineRule="exact"/>
        <w:rPr>
          <w:rFonts w:ascii="Arial" w:cs="Arial" w:eastAsia="Arial" w:hAnsi="Arial"/>
          <w:sz w:val="18"/>
          <w:szCs w:val="18"/>
          <w:color w:val="auto"/>
        </w:rPr>
      </w:pPr>
    </w:p>
    <w:p>
      <w:pPr>
        <w:jc w:val="both"/>
        <w:ind w:firstLine="409"/>
        <w:spacing w:after="0" w:line="252" w:lineRule="auto"/>
        <w:tabs>
          <w:tab w:leader="none" w:pos="6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00" w:lineRule="exact"/>
        <w:rPr>
          <w:rFonts w:ascii="Arial" w:cs="Arial" w:eastAsia="Arial" w:hAnsi="Arial"/>
          <w:sz w:val="18"/>
          <w:szCs w:val="18"/>
          <w:color w:val="auto"/>
        </w:rPr>
      </w:pPr>
    </w:p>
    <w:p>
      <w:pPr>
        <w:jc w:val="both"/>
        <w:ind w:firstLine="8"/>
        <w:spacing w:after="0" w:line="256" w:lineRule="auto"/>
        <w:tabs>
          <w:tab w:leader="none" w:pos="31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8"/>
        <w:spacing w:after="0" w:line="261"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89" w:lineRule="exact"/>
        <w:rPr>
          <w:rFonts w:ascii="Arial" w:cs="Arial" w:eastAsia="Arial" w:hAnsi="Arial"/>
          <w:sz w:val="18"/>
          <w:szCs w:val="18"/>
          <w:color w:val="auto"/>
        </w:rPr>
      </w:pPr>
    </w:p>
    <w:p>
      <w:pPr>
        <w:jc w:val="both"/>
        <w:ind w:firstLine="8"/>
        <w:spacing w:after="0" w:line="253" w:lineRule="auto"/>
        <w:tabs>
          <w:tab w:leader="none" w:pos="31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97" w:lineRule="exact"/>
        <w:rPr>
          <w:rFonts w:ascii="Arial" w:cs="Arial" w:eastAsia="Arial" w:hAnsi="Arial"/>
          <w:sz w:val="18"/>
          <w:szCs w:val="18"/>
          <w:color w:val="auto"/>
        </w:rPr>
      </w:pPr>
    </w:p>
    <w:p>
      <w:pPr>
        <w:jc w:val="both"/>
        <w:ind w:firstLine="8"/>
        <w:spacing w:after="0" w:line="252"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00" w:lineRule="exact"/>
        <w:rPr>
          <w:rFonts w:ascii="Arial" w:cs="Arial" w:eastAsia="Arial" w:hAnsi="Arial"/>
          <w:sz w:val="18"/>
          <w:szCs w:val="18"/>
          <w:color w:val="auto"/>
        </w:rPr>
      </w:pPr>
    </w:p>
    <w:p>
      <w:pPr>
        <w:ind w:firstLine="8"/>
        <w:spacing w:after="0" w:line="261" w:lineRule="auto"/>
        <w:tabs>
          <w:tab w:leader="none" w:pos="31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89" w:lineRule="exact"/>
        <w:rPr>
          <w:rFonts w:ascii="Arial" w:cs="Arial" w:eastAsia="Arial" w:hAnsi="Arial"/>
          <w:sz w:val="18"/>
          <w:szCs w:val="18"/>
          <w:color w:val="auto"/>
        </w:rPr>
      </w:pPr>
    </w:p>
    <w:p>
      <w:pPr>
        <w:jc w:val="both"/>
        <w:ind w:firstLine="8"/>
        <w:spacing w:after="0" w:line="253" w:lineRule="auto"/>
        <w:tabs>
          <w:tab w:leader="none" w:pos="32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and agree that such litigation shall be conducted in the state or federal courts located in Delaware.</w:t>
      </w:r>
    </w:p>
    <w:p>
      <w:pPr>
        <w:spacing w:after="0" w:line="97" w:lineRule="exact"/>
        <w:rPr>
          <w:rFonts w:ascii="Arial" w:cs="Arial" w:eastAsia="Arial" w:hAnsi="Arial"/>
          <w:sz w:val="18"/>
          <w:szCs w:val="18"/>
          <w:color w:val="auto"/>
        </w:rPr>
      </w:pPr>
    </w:p>
    <w:p>
      <w:pPr>
        <w:jc w:val="both"/>
        <w:ind w:firstLine="8"/>
        <w:spacing w:after="0" w:line="256"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 (b)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00" w:lineRule="exact"/>
        <w:rPr>
          <w:sz w:val="20"/>
          <w:szCs w:val="20"/>
          <w:color w:val="auto"/>
        </w:rPr>
      </w:pPr>
    </w:p>
    <w:p>
      <w:pPr>
        <w:jc w:val="both"/>
        <w:ind w:firstLine="8"/>
        <w:spacing w:after="0" w:line="256" w:lineRule="auto"/>
        <w:tabs>
          <w:tab w:leader="none" w:pos="32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93" w:lineRule="exact"/>
        <w:rPr>
          <w:rFonts w:ascii="Arial" w:cs="Arial" w:eastAsia="Arial" w:hAnsi="Arial"/>
          <w:sz w:val="18"/>
          <w:szCs w:val="18"/>
          <w:color w:val="auto"/>
        </w:rPr>
      </w:pPr>
    </w:p>
    <w:p>
      <w:pPr>
        <w:ind w:right="20" w:firstLine="8"/>
        <w:spacing w:after="0" w:line="261"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89" w:lineRule="exact"/>
        <w:rPr>
          <w:rFonts w:ascii="Arial" w:cs="Arial" w:eastAsia="Arial" w:hAnsi="Arial"/>
          <w:sz w:val="18"/>
          <w:szCs w:val="18"/>
          <w:color w:val="auto"/>
        </w:rPr>
      </w:pPr>
    </w:p>
    <w:p>
      <w:pPr>
        <w:jc w:val="both"/>
        <w:ind w:firstLine="8"/>
        <w:spacing w:after="0" w:line="253"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97" w:lineRule="exact"/>
        <w:rPr>
          <w:rFonts w:ascii="Arial" w:cs="Arial" w:eastAsia="Arial" w:hAnsi="Arial"/>
          <w:sz w:val="18"/>
          <w:szCs w:val="18"/>
          <w:color w:val="auto"/>
        </w:rPr>
      </w:pPr>
    </w:p>
    <w:p>
      <w:pPr>
        <w:jc w:val="both"/>
        <w:ind w:firstLine="8"/>
        <w:spacing w:after="0" w:line="25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Kujawa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Christopher Kujawa, Chief Human Resources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April 1, 2022</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Non-Competition and Non-Solicitation Agreement (“Agreement”) is made effective as of April 1, 2022 (“Effective Date”) between Conduent Business Services, LLC, its parent, subsidiaries, divisions and affiliates (collectively, “Conduent”) and the individual whose name appears in the Award Summary (“Employee”).</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ind w:left="660" w:right="260" w:hanging="328"/>
        <w:spacing w:after="0" w:line="26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manage, operate, or render any services for (including, but not limited to, as an employee, proprietor, partner, agent, contractor, or consultant) any Entity that is engaged in any Competitive Activity in the Geographical Area.</w:t>
      </w:r>
    </w:p>
    <w:p>
      <w:pPr>
        <w:spacing w:after="0" w:line="220" w:lineRule="exact"/>
        <w:rPr>
          <w:sz w:val="20"/>
          <w:szCs w:val="20"/>
          <w:color w:val="auto"/>
        </w:rPr>
      </w:pPr>
    </w:p>
    <w:p>
      <w:pPr>
        <w:ind w:left="600" w:hanging="268"/>
        <w:spacing w:after="0"/>
        <w:tabs>
          <w:tab w:leader="none" w:pos="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52" w:lineRule="exact"/>
        <w:rPr>
          <w:rFonts w:ascii="Arial" w:cs="Arial" w:eastAsia="Arial" w:hAnsi="Arial"/>
          <w:sz w:val="18"/>
          <w:szCs w:val="18"/>
          <w:color w:val="auto"/>
        </w:rPr>
      </w:pPr>
    </w:p>
    <w:p>
      <w:pPr>
        <w:jc w:val="both"/>
        <w:ind w:firstLine="980"/>
        <w:spacing w:after="0" w:line="253" w:lineRule="auto"/>
        <w:tabs>
          <w:tab w:leader="none" w:pos="1236" w:val="left"/>
        </w:tabs>
        <w:numPr>
          <w:ilvl w:val="2"/>
          <w:numId w:val="35"/>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32" w:lineRule="exact"/>
        <w:rPr>
          <w:rFonts w:ascii="Arial" w:cs="Arial" w:eastAsia="Arial" w:hAnsi="Arial"/>
          <w:sz w:val="18"/>
          <w:szCs w:val="18"/>
          <w:color w:val="auto"/>
        </w:rPr>
      </w:pPr>
    </w:p>
    <w:p>
      <w:pPr>
        <w:ind w:right="20" w:firstLine="980"/>
        <w:spacing w:after="0" w:line="261" w:lineRule="auto"/>
        <w:tabs>
          <w:tab w:leader="none" w:pos="1222" w:val="left"/>
        </w:tabs>
        <w:numPr>
          <w:ilvl w:val="2"/>
          <w:numId w:val="35"/>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224" w:lineRule="exact"/>
        <w:rPr>
          <w:rFonts w:ascii="Arial" w:cs="Arial" w:eastAsia="Arial" w:hAnsi="Arial"/>
          <w:sz w:val="18"/>
          <w:szCs w:val="18"/>
          <w:color w:val="auto"/>
        </w:rPr>
      </w:pPr>
    </w:p>
    <w:p>
      <w:pPr>
        <w:ind w:firstLine="980"/>
        <w:spacing w:after="0" w:line="261" w:lineRule="auto"/>
        <w:tabs>
          <w:tab w:leader="none" w:pos="1275" w:val="left"/>
        </w:tabs>
        <w:numPr>
          <w:ilvl w:val="2"/>
          <w:numId w:val="35"/>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224" w:lineRule="exact"/>
        <w:rPr>
          <w:rFonts w:ascii="Arial" w:cs="Arial" w:eastAsia="Arial" w:hAnsi="Arial"/>
          <w:sz w:val="18"/>
          <w:szCs w:val="18"/>
          <w:color w:val="auto"/>
        </w:rPr>
      </w:pPr>
    </w:p>
    <w:p>
      <w:pPr>
        <w:ind w:firstLine="980"/>
        <w:spacing w:after="0" w:line="261" w:lineRule="auto"/>
        <w:tabs>
          <w:tab w:leader="none" w:pos="1272"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24" w:lineRule="exact"/>
        <w:rPr>
          <w:rFonts w:ascii="Arial" w:cs="Arial" w:eastAsia="Arial" w:hAnsi="Arial"/>
          <w:sz w:val="18"/>
          <w:szCs w:val="18"/>
          <w:color w:val="auto"/>
        </w:rPr>
      </w:pPr>
    </w:p>
    <w:p>
      <w:pPr>
        <w:ind w:firstLine="8"/>
        <w:spacing w:after="0" w:line="261"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09" w:lineRule="exact"/>
        <w:rPr>
          <w:sz w:val="20"/>
          <w:szCs w:val="20"/>
          <w:color w:val="auto"/>
        </w:rPr>
      </w:pPr>
    </w:p>
    <w:p>
      <w:pPr>
        <w:jc w:val="both"/>
        <w:ind w:left="660" w:hanging="328"/>
        <w:spacing w:after="0" w:line="255"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76"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w:t>
      </w:r>
      <w:r>
        <w:rPr>
          <w:rFonts w:ascii="Arial" w:cs="Arial" w:eastAsia="Arial" w:hAnsi="Arial"/>
          <w:sz w:val="18"/>
          <w:szCs w:val="18"/>
          <w:b w:val="1"/>
          <w:bCs w:val="1"/>
          <w:color w:val="auto"/>
        </w:rPr>
        <w:t xml:space="preserve"> </w:t>
      </w:r>
      <w:r>
        <w:rPr>
          <w:rFonts w:ascii="Arial" w:cs="Arial" w:eastAsia="Arial" w:hAnsi="Arial"/>
          <w:sz w:val="18"/>
          <w:szCs w:val="18"/>
          <w:color w:val="auto"/>
        </w:rPr>
        <w:t>solicit, induce, encourage or assist any employee of Conduent to leave such employee’s employment with Conduent.</w:t>
      </w:r>
    </w:p>
    <w:p>
      <w:pPr>
        <w:spacing w:after="0" w:line="44"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72"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68"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Conduent 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68"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10.6(a)(ix)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28" w:hanging="328"/>
        <w:spacing w:after="0" w:line="262"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68"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rPr>
        <w:t>. In the event that any of the provisions of this Agreement is deemed unenforceable or to exceed the protections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afforded 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68" w:lineRule="exact"/>
        <w:rPr>
          <w:rFonts w:ascii="Arial" w:cs="Arial" w:eastAsia="Arial" w:hAnsi="Arial"/>
          <w:sz w:val="18"/>
          <w:szCs w:val="18"/>
          <w:color w:val="auto"/>
        </w:rPr>
      </w:pPr>
    </w:p>
    <w:p>
      <w:pPr>
        <w:jc w:val="both"/>
        <w:ind w:left="328" w:hanging="328"/>
        <w:spacing w:after="0" w:line="268" w:lineRule="auto"/>
        <w:tabs>
          <w:tab w:leader="none" w:pos="32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own choosing and that Employee carefully reviewed the terms of this Agreement before knowingly and voluntarily executing it.</w:t>
      </w:r>
    </w:p>
    <w:p>
      <w:pPr>
        <w:spacing w:after="0" w:line="62" w:lineRule="exact"/>
        <w:rPr>
          <w:rFonts w:ascii="Arial" w:cs="Arial" w:eastAsia="Arial" w:hAnsi="Arial"/>
          <w:sz w:val="18"/>
          <w:szCs w:val="18"/>
          <w:color w:val="auto"/>
        </w:rPr>
      </w:pPr>
    </w:p>
    <w:p>
      <w:pPr>
        <w:jc w:val="both"/>
        <w:ind w:left="328" w:hanging="328"/>
        <w:spacing w:after="0" w:line="268" w:lineRule="auto"/>
        <w:tabs>
          <w:tab w:leader="none" w:pos="32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Any failure by Conduent to exercise any of its rights under this Agreement in the event of any breach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Employee shall not be construed as a waiver of any such breach, nor act to prevent Conduent from requiring strict compliance with the terms of this Agreement.</w:t>
      </w:r>
    </w:p>
    <w:p>
      <w:pPr>
        <w:spacing w:after="0" w:line="62" w:lineRule="exact"/>
        <w:rPr>
          <w:rFonts w:ascii="Arial" w:cs="Arial" w:eastAsia="Arial" w:hAnsi="Arial"/>
          <w:sz w:val="18"/>
          <w:szCs w:val="18"/>
          <w:color w:val="auto"/>
        </w:rPr>
      </w:pPr>
    </w:p>
    <w:p>
      <w:pPr>
        <w:jc w:val="both"/>
        <w:ind w:left="328" w:hanging="328"/>
        <w:spacing w:after="0" w:line="259" w:lineRule="auto"/>
        <w:tabs>
          <w:tab w:leader="none" w:pos="32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ectPr>
          <w:pgSz w:w="11900" w:h="16838" w:orient="portrait"/>
          <w:cols w:equalWidth="0" w:num="1">
            <w:col w:w="10908"/>
          </w:cols>
          <w:pgMar w:left="652"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has authorized the execution and delivery of this Agreement.</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the applicable number of Performance Restricted Stock Units granted pursuant hereto, and the value of a share of Common Stock on the Date of Grant (the “</w:t>
      </w:r>
      <w:r>
        <w:rPr>
          <w:rFonts w:ascii="Arial" w:cs="Arial" w:eastAsia="Arial" w:hAnsi="Arial"/>
          <w:sz w:val="18"/>
          <w:szCs w:val="18"/>
          <w:b w:val="1"/>
          <w:bCs w:val="1"/>
          <w:i w:val="1"/>
          <w:iCs w:val="1"/>
          <w:color w:val="auto"/>
        </w:rPr>
        <w:t>Share Base Price</w:t>
      </w:r>
      <w:r>
        <w:rPr>
          <w:rFonts w:ascii="Arial" w:cs="Arial" w:eastAsia="Arial" w:hAnsi="Arial"/>
          <w:sz w:val="18"/>
          <w:szCs w:val="18"/>
          <w:color w:val="auto"/>
        </w:rPr>
        <w:t>”). The Award Summary is incorporated herein in its entirety.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AWARDS</w:t>
      </w:r>
    </w:p>
    <w:p>
      <w:pPr>
        <w:spacing w:after="0" w:line="117" w:lineRule="exact"/>
        <w:rPr>
          <w:sz w:val="20"/>
          <w:szCs w:val="20"/>
          <w:color w:val="auto"/>
        </w:rPr>
      </w:pPr>
    </w:p>
    <w:p>
      <w:pPr>
        <w:jc w:val="both"/>
        <w:ind w:firstLine="8"/>
        <w:spacing w:after="0" w:line="256" w:lineRule="auto"/>
        <w:tabs>
          <w:tab w:leader="none" w:pos="21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39" w:lineRule="exact"/>
        <w:rPr>
          <w:sz w:val="20"/>
          <w:szCs w:val="20"/>
          <w:color w:val="auto"/>
        </w:rPr>
      </w:pPr>
    </w:p>
    <w:p>
      <w:pPr>
        <w:jc w:val="both"/>
        <w:ind w:firstLine="8"/>
        <w:spacing w:after="0" w:line="253" w:lineRule="auto"/>
        <w:tabs>
          <w:tab w:leader="none" w:pos="21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each applicable Vesting Date (as defined below) (or such earlier date provided in Section 9) in connection with the PRSUs, the Company shall deliver to the Employee, in such manner as the Company shall determine, a number of shares of Common Stock equal to the number of vested PRSUs (subject to reduction for withholding of the Employee’s taxes in relation to the award as described in Section 11); provided that any fractional shares shall be delivered in the form of cash equal to the value of such fractional shares on the applicable Vesting Date.</w:t>
      </w:r>
    </w:p>
    <w:p>
      <w:pPr>
        <w:spacing w:after="0" w:line="75" w:lineRule="exact"/>
        <w:rPr>
          <w:rFonts w:ascii="Arial" w:cs="Arial" w:eastAsia="Arial" w:hAnsi="Arial"/>
          <w:sz w:val="18"/>
          <w:szCs w:val="18"/>
          <w:color w:val="auto"/>
        </w:rPr>
      </w:pPr>
    </w:p>
    <w:p>
      <w:pPr>
        <w:jc w:val="both"/>
        <w:ind w:firstLine="8"/>
        <w:spacing w:after="0" w:line="259"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both a service-based vesting condition (the “</w:t>
      </w:r>
      <w:r>
        <w:rPr>
          <w:rFonts w:ascii="Arial" w:cs="Arial" w:eastAsia="Arial" w:hAnsi="Arial"/>
          <w:sz w:val="18"/>
          <w:szCs w:val="18"/>
          <w:b w:val="1"/>
          <w:bCs w:val="1"/>
          <w:i w:val="1"/>
          <w:iCs w:val="1"/>
          <w:color w:val="auto"/>
        </w:rPr>
        <w:t>Service Condition</w:t>
      </w:r>
      <w:r>
        <w:rPr>
          <w:rFonts w:ascii="Arial" w:cs="Arial" w:eastAsia="Arial" w:hAnsi="Arial"/>
          <w:sz w:val="18"/>
          <w:szCs w:val="18"/>
          <w:color w:val="auto"/>
        </w:rPr>
        <w:t>”), which will be satisfied based on the Employee’s employment with the Company or a subsidiary or Affiliate, and a performance-based vesting condition (the “</w:t>
      </w:r>
      <w:r>
        <w:rPr>
          <w:rFonts w:ascii="Arial" w:cs="Arial" w:eastAsia="Arial" w:hAnsi="Arial"/>
          <w:sz w:val="18"/>
          <w:szCs w:val="18"/>
          <w:b w:val="1"/>
          <w:bCs w:val="1"/>
          <w:i w:val="1"/>
          <w:iCs w:val="1"/>
          <w:color w:val="auto"/>
        </w:rPr>
        <w:t>Share Price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Condition</w:t>
      </w:r>
      <w:r>
        <w:rPr>
          <w:rFonts w:ascii="Arial" w:cs="Arial" w:eastAsia="Arial" w:hAnsi="Arial"/>
          <w:sz w:val="18"/>
          <w:szCs w:val="18"/>
          <w:color w:val="auto"/>
        </w:rPr>
        <w:t>”) which will be satisfied based on the achievement of share price conditions specified below. The PRSUs are divided into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tranches (the “</w:t>
      </w:r>
      <w:r>
        <w:rPr>
          <w:rFonts w:ascii="Arial" w:cs="Arial" w:eastAsia="Arial" w:hAnsi="Arial"/>
          <w:sz w:val="18"/>
          <w:szCs w:val="18"/>
          <w:b w:val="1"/>
          <w:bCs w:val="1"/>
          <w:i w:val="1"/>
          <w:iCs w:val="1"/>
          <w:color w:val="auto"/>
        </w:rPr>
        <w:t>First Vesting Tranche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Second Vesting Tranche</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Third Vesting Tranche</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Vesting Tranche</w:t>
      </w:r>
      <w:r>
        <w:rPr>
          <w:rFonts w:ascii="Arial" w:cs="Arial" w:eastAsia="Arial" w:hAnsi="Arial"/>
          <w:sz w:val="18"/>
          <w:szCs w:val="18"/>
          <w:color w:val="auto"/>
        </w:rPr>
        <w:t>”), with each Vesting Tranche covering 1/3 of the PRSUs.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for each applicable Vesting Tranche shall be the first day upon which both the Service Condition and the Share Price Condition related to such Vesting Tranche are satisfied, as set forth in the table below.</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60" w:type="dxa"/>
            <w:vAlign w:val="bottom"/>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6760" w:type="dxa"/>
            <w:vAlign w:val="bottom"/>
            <w:tcBorders>
              <w:top w:val="single" w:sz="8" w:color="auto"/>
              <w:bottom w:val="single" w:sz="8" w:color="auto"/>
              <w:right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rPr>
              <w:t xml:space="preserve">Each tranche vests after </w:t>
            </w:r>
            <w:r>
              <w:rPr>
                <w:rFonts w:ascii="Arial" w:cs="Arial" w:eastAsia="Arial" w:hAnsi="Arial"/>
                <w:sz w:val="18"/>
                <w:szCs w:val="18"/>
                <w:b w:val="1"/>
                <w:bCs w:val="1"/>
                <w:i w:val="1"/>
                <w:iCs w:val="1"/>
                <w:color w:val="auto"/>
              </w:rPr>
              <w:t>both</w:t>
            </w:r>
            <w:r>
              <w:rPr>
                <w:rFonts w:ascii="Arial" w:cs="Arial" w:eastAsia="Arial" w:hAnsi="Arial"/>
                <w:sz w:val="18"/>
                <w:szCs w:val="18"/>
                <w:b w:val="1"/>
                <w:bCs w:val="1"/>
                <w:color w:val="auto"/>
              </w:rPr>
              <w:t xml:space="preserve"> conditions are satisfied</w:t>
            </w: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Portion of PRSUs</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 Price Condition</w:t>
            </w:r>
          </w:p>
        </w:tc>
        <w:tc>
          <w:tcPr>
            <w:tcW w:w="1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Service Condition</w:t>
            </w:r>
          </w:p>
        </w:tc>
      </w:tr>
      <w:tr>
        <w:trPr>
          <w:trHeight w:val="234"/>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 Vesting Tranche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w:t>
            </w:r>
          </w:p>
        </w:tc>
        <w:tc>
          <w:tcPr>
            <w:tcW w:w="16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i w:val="1"/>
                <w:iCs w:val="1"/>
                <w:color w:val="auto"/>
              </w:rPr>
              <w:t>and</w:t>
            </w:r>
          </w:p>
        </w:tc>
        <w:tc>
          <w:tcPr>
            <w:tcW w:w="29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December 31, 2022</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Second Vesting Tranche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16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i w:val="1"/>
                <w:iCs w:val="1"/>
                <w:color w:val="auto"/>
              </w:rPr>
              <w:t>and</w:t>
            </w:r>
          </w:p>
        </w:tc>
        <w:tc>
          <w:tcPr>
            <w:tcW w:w="29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December 31, 2023</w:t>
            </w:r>
          </w:p>
        </w:tc>
      </w:tr>
      <w:tr>
        <w:trPr>
          <w:trHeight w:val="237"/>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Vesting Tranche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6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i w:val="1"/>
                <w:iCs w:val="1"/>
                <w:color w:val="auto"/>
              </w:rPr>
              <w:t>and</w:t>
            </w:r>
          </w:p>
        </w:tc>
        <w:tc>
          <w:tcPr>
            <w:tcW w:w="29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December 31, 2024</w:t>
            </w:r>
          </w:p>
        </w:tc>
      </w:tr>
    </w:tbl>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Service Condition shall be satisfied with respect to the applicable Vesting Tranche on the date set forth in the table above, subject to the Employee’s continued employment with the Company or a subsidiary or Affiliate on such date (each such date, a “</w:t>
      </w:r>
      <w:r>
        <w:rPr>
          <w:rFonts w:ascii="Arial" w:cs="Arial" w:eastAsia="Arial" w:hAnsi="Arial"/>
          <w:sz w:val="18"/>
          <w:szCs w:val="18"/>
          <w:b w:val="1"/>
          <w:bCs w:val="1"/>
          <w:i w:val="1"/>
          <w:iCs w:val="1"/>
          <w:color w:val="auto"/>
        </w:rPr>
        <w:t>Service Vesting Date</w:t>
      </w:r>
      <w:r>
        <w:rPr>
          <w:rFonts w:ascii="Arial" w:cs="Arial" w:eastAsia="Arial" w:hAnsi="Arial"/>
          <w:sz w:val="18"/>
          <w:szCs w:val="18"/>
          <w:color w:val="auto"/>
        </w:rPr>
        <w:t>”).</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Share Price Condition shall be satisfied with respect to the applicable Vesting Tranche when the average closing price per share of Common Stock exceeds the Share Base Price by the percentage set forth above (each, a “</w:t>
      </w:r>
      <w:r>
        <w:rPr>
          <w:rFonts w:ascii="Arial" w:cs="Arial" w:eastAsia="Arial" w:hAnsi="Arial"/>
          <w:sz w:val="18"/>
          <w:szCs w:val="18"/>
          <w:b w:val="1"/>
          <w:bCs w:val="1"/>
          <w:i w:val="1"/>
          <w:iCs w:val="1"/>
          <w:color w:val="auto"/>
        </w:rPr>
        <w:t>Share Price Condition</w:t>
      </w:r>
      <w:r>
        <w:rPr>
          <w:rFonts w:ascii="Arial" w:cs="Arial" w:eastAsia="Arial" w:hAnsi="Arial"/>
          <w:sz w:val="18"/>
          <w:szCs w:val="18"/>
          <w:color w:val="auto"/>
        </w:rPr>
        <w:t>”) during a consecutive 20-trading day period. The Share Base Price may be equitably adjusted as provided in Section 6 of the Plan. Notwithstanding, to the extent all or a portion of the PRSUs have not vested as of the last Service Vesting Date, the unvested PRSUs will be forfeited. For purposes of calculating the average closing price per share, an amount shall be added to each such closing price equal to the aggregate dividends, if any, paid in respect of a share of Common Stock between the Date of Grant and the applicable measurement date for calculating the average closing price.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subject to the Service Conditions set forth in this Section 3 (while the Share Price Conditions shall each be deemed to have been achieved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9 in the event of the Employee’s termination of employment following such Change in Control and prior to a Vesting Date. Upon payment pursuant to the terms of the Plan, such awards shall be cancelled.</w:t>
      </w:r>
    </w:p>
    <w:p>
      <w:pPr>
        <w:spacing w:after="0" w:line="104" w:lineRule="exact"/>
        <w:rPr>
          <w:sz w:val="20"/>
          <w:szCs w:val="20"/>
          <w:color w:val="auto"/>
        </w:rPr>
      </w:pPr>
    </w:p>
    <w:p>
      <w:pPr>
        <w:jc w:val="both"/>
        <w:ind w:firstLine="8"/>
        <w:spacing w:after="0" w:line="253"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each applicable Vesting Date (or such earlier date provided in Section 9)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each applicable Vesting Date (or such earlier date provided in Section 9) as provided under Section 3. Payments under this Section shall be net of any required withholding taxes.</w:t>
      </w:r>
    </w:p>
    <w:p>
      <w:pPr>
        <w:spacing w:after="0" w:line="97" w:lineRule="exact"/>
        <w:rPr>
          <w:rFonts w:ascii="Arial" w:cs="Arial" w:eastAsia="Arial" w:hAnsi="Arial"/>
          <w:sz w:val="18"/>
          <w:szCs w:val="18"/>
          <w:color w:val="auto"/>
        </w:rPr>
      </w:pPr>
    </w:p>
    <w:p>
      <w:pPr>
        <w:jc w:val="both"/>
        <w:ind w:firstLine="8"/>
        <w:spacing w:after="0" w:line="253"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Relative TSR Modifier</w:t>
      </w:r>
      <w:r>
        <w:rPr>
          <w:rFonts w:ascii="Arial" w:cs="Arial" w:eastAsia="Arial" w:hAnsi="Arial"/>
          <w:sz w:val="18"/>
          <w:szCs w:val="18"/>
          <w:color w:val="auto"/>
        </w:rPr>
        <w:t>. After each Service Vesting Date, the number of shares of Common Stock deliverable with respect to such related Vesting Tranche shall be adjusted based on a relative total shareholder return modifier (the “</w:t>
      </w:r>
      <w:r>
        <w:rPr>
          <w:rFonts w:ascii="Arial" w:cs="Arial" w:eastAsia="Arial" w:hAnsi="Arial"/>
          <w:sz w:val="18"/>
          <w:szCs w:val="18"/>
          <w:b w:val="1"/>
          <w:bCs w:val="1"/>
          <w:i w:val="1"/>
          <w:iCs w:val="1"/>
          <w:color w:val="auto"/>
        </w:rPr>
        <w:t>Relative TSR Modifier</w:t>
      </w:r>
      <w:r>
        <w:rPr>
          <w:rFonts w:ascii="Arial" w:cs="Arial" w:eastAsia="Arial" w:hAnsi="Arial"/>
          <w:sz w:val="18"/>
          <w:szCs w:val="18"/>
          <w:color w:val="auto"/>
        </w:rPr>
        <w:t>”), which shall be based on the Company’s total shareholder return (“</w:t>
      </w:r>
      <w:r>
        <w:rPr>
          <w:rFonts w:ascii="Arial" w:cs="Arial" w:eastAsia="Arial" w:hAnsi="Arial"/>
          <w:sz w:val="18"/>
          <w:szCs w:val="18"/>
          <w:b w:val="1"/>
          <w:bCs w:val="1"/>
          <w:i w:val="1"/>
          <w:iCs w:val="1"/>
          <w:color w:val="auto"/>
        </w:rPr>
        <w:t>TSR</w:t>
      </w:r>
      <w:r>
        <w:rPr>
          <w:rFonts w:ascii="Arial" w:cs="Arial" w:eastAsia="Arial" w:hAnsi="Arial"/>
          <w:sz w:val="18"/>
          <w:szCs w:val="18"/>
          <w:color w:val="auto"/>
        </w:rPr>
        <w:t>”) relative to the peer group identified on the Company’s 2022 Definitive Proxy Statement (the “</w:t>
      </w:r>
      <w:r>
        <w:rPr>
          <w:rFonts w:ascii="Arial" w:cs="Arial" w:eastAsia="Arial" w:hAnsi="Arial"/>
          <w:sz w:val="18"/>
          <w:szCs w:val="18"/>
          <w:b w:val="1"/>
          <w:bCs w:val="1"/>
          <w:i w:val="1"/>
          <w:iCs w:val="1"/>
          <w:color w:val="auto"/>
        </w:rPr>
        <w:t>Proxy Peer Group</w:t>
      </w:r>
      <w:r>
        <w:rPr>
          <w:rFonts w:ascii="Arial" w:cs="Arial" w:eastAsia="Arial" w:hAnsi="Arial"/>
          <w:sz w:val="18"/>
          <w:szCs w:val="18"/>
          <w:color w:val="auto"/>
        </w:rPr>
        <w:t>”), during the Relative TSR Modifier performance period applicable to each Vesting Tranche. The Relative TSR Modifier shall increase or decrease the number of deliverable shares as set forth in the table below:</w:t>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760" w:type="dxa"/>
            <w:vAlign w:val="bottom"/>
            <w:tcBorders>
              <w:top w:val="single" w:sz="8" w:color="auto"/>
              <w:left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Company TSR Relative to</w:t>
            </w:r>
          </w:p>
        </w:tc>
        <w:tc>
          <w:tcPr>
            <w:tcW w:w="3000" w:type="dxa"/>
            <w:vAlign w:val="bottom"/>
            <w:tcBorders>
              <w:top w:val="single" w:sz="8" w:color="auto"/>
              <w:right w:val="single" w:sz="8" w:color="auto"/>
            </w:tcBorders>
          </w:tcPr>
          <w:p>
            <w:pPr>
              <w:ind w:left="560"/>
              <w:spacing w:after="0" w:line="193" w:lineRule="exact"/>
              <w:rPr>
                <w:sz w:val="20"/>
                <w:szCs w:val="20"/>
                <w:color w:val="auto"/>
              </w:rPr>
            </w:pPr>
            <w:r>
              <w:rPr>
                <w:rFonts w:ascii="Arial" w:cs="Arial" w:eastAsia="Arial" w:hAnsi="Arial"/>
                <w:sz w:val="18"/>
                <w:szCs w:val="18"/>
                <w:b w:val="1"/>
                <w:bCs w:val="1"/>
                <w:color w:val="auto"/>
              </w:rPr>
              <w:t>Relative TSR Modifier</w:t>
            </w:r>
          </w:p>
        </w:tc>
      </w:tr>
      <w:tr>
        <w:trPr>
          <w:trHeight w:val="246"/>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Proxy Peer Group</w:t>
            </w:r>
          </w:p>
        </w:tc>
        <w:tc>
          <w:tcPr>
            <w:tcW w:w="3000" w:type="dxa"/>
            <w:vAlign w:val="bottom"/>
            <w:tcBorders>
              <w:bottom w:val="single" w:sz="8" w:color="auto"/>
              <w:right w:val="single" w:sz="8" w:color="auto"/>
            </w:tcBorders>
          </w:tcPr>
          <w:p>
            <w:pPr>
              <w:spacing w:after="0"/>
              <w:rPr>
                <w:sz w:val="21"/>
                <w:szCs w:val="21"/>
                <w:color w:val="auto"/>
              </w:rPr>
            </w:pPr>
          </w:p>
        </w:tc>
      </w:tr>
      <w:tr>
        <w:trPr>
          <w:trHeight w:val="236"/>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75th Percentile or Above</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105%</w:t>
            </w:r>
          </w:p>
        </w:tc>
      </w:tr>
      <w:tr>
        <w:trPr>
          <w:trHeight w:val="237"/>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Median</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37"/>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25th Percentile or Below</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95%</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Linear interpolation will be used for results between points set forth above.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Relative TSR Modifier applicable to each Vesting Tranche shall be measured during the performance periods set forth in the table below:</w:t>
      </w: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960" w:type="dxa"/>
            <w:vAlign w:val="bottom"/>
            <w:tcBorders>
              <w:bottom w:val="single" w:sz="8" w:color="auto"/>
              <w:right w:val="single" w:sz="8" w:color="auto"/>
            </w:tcBorders>
          </w:tcPr>
          <w:p>
            <w:pPr>
              <w:spacing w:after="0"/>
              <w:rPr>
                <w:sz w:val="22"/>
                <w:szCs w:val="22"/>
                <w:color w:val="auto"/>
              </w:rPr>
            </w:pP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Relative TSR Modifier Performance Period</w:t>
            </w:r>
          </w:p>
        </w:tc>
      </w:tr>
      <w:tr>
        <w:trPr>
          <w:trHeight w:val="232"/>
        </w:trPr>
        <w:tc>
          <w:tcPr>
            <w:tcW w:w="2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 Vesting Tranche</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April 1, 2022 to December 31, 2022</w:t>
            </w:r>
          </w:p>
        </w:tc>
      </w:tr>
      <w:tr>
        <w:trPr>
          <w:trHeight w:val="237"/>
        </w:trPr>
        <w:tc>
          <w:tcPr>
            <w:tcW w:w="2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Second Vesting Tranche</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April 1, 2022 to December 31, 2023</w:t>
            </w:r>
          </w:p>
        </w:tc>
      </w:tr>
      <w:tr>
        <w:trPr>
          <w:trHeight w:val="237"/>
        </w:trPr>
        <w:tc>
          <w:tcPr>
            <w:tcW w:w="2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Vesting Tranche</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April 1, 2022 to December 31, 2024</w:t>
            </w:r>
          </w:p>
        </w:tc>
      </w:tr>
    </w:tbl>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each Relative TSR Modifier performance period, the TSR for the Company and each of the companies in the Proxy Peer Group shall be calculated as to each company as follows: (i) the Ending Stock Price, minus the Beginning Stock Price, plus the Reinvested Dividends, divided by (ii) the Beginning Stock Price.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preceding sentence, the following terms shall have the meanings set forth below:</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Beginning Stock Price</w:t>
      </w:r>
      <w:r>
        <w:rPr>
          <w:rFonts w:ascii="Arial" w:cs="Arial" w:eastAsia="Arial" w:hAnsi="Arial"/>
          <w:sz w:val="18"/>
          <w:szCs w:val="18"/>
          <w:color w:val="auto"/>
        </w:rPr>
        <w:t>” shall mean the average closing price per share of common stock during the consecutive 20-trading day period immediately preceding the first day of the Relative TSR Modifier performance period.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Ending Stock Price</w:t>
      </w:r>
      <w:r>
        <w:rPr>
          <w:rFonts w:ascii="Arial" w:cs="Arial" w:eastAsia="Arial" w:hAnsi="Arial"/>
          <w:sz w:val="18"/>
          <w:szCs w:val="18"/>
          <w:color w:val="auto"/>
        </w:rPr>
        <w:t>” shall mean the average closing price per share of common stock during the consecutive 20-trading day period ending on the last day of the Relative TSR Modifier performance period.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Reinvested Dividends</w:t>
      </w:r>
      <w:r>
        <w:rPr>
          <w:rFonts w:ascii="Arial" w:cs="Arial" w:eastAsia="Arial" w:hAnsi="Arial"/>
          <w:sz w:val="18"/>
          <w:szCs w:val="18"/>
          <w:color w:val="auto"/>
        </w:rPr>
        <w:t>” shall mean the dividends paid to common stock owners from the profits of the company as of the trading date on (and after) which the dividend is not owed to new buyers of the company’s stock.</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in its sole discretion, reserves the right to modify the companies included in the Proxy Peer Group during each Relative TSR Modifier performance period based on the occurrence of certain corporate transactions and events, including, but not limited to, merger and acquisitions, bankruptcies, and corporate spin-offs.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39" w:lineRule="exact"/>
        <w:rPr>
          <w:sz w:val="20"/>
          <w:szCs w:val="20"/>
          <w:color w:val="auto"/>
        </w:rPr>
      </w:pPr>
    </w:p>
    <w:p>
      <w:pPr>
        <w:jc w:val="both"/>
        <w:ind w:firstLine="8"/>
        <w:spacing w:after="0" w:line="256" w:lineRule="auto"/>
        <w:tabs>
          <w:tab w:leader="none" w:pos="21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93" w:lineRule="exact"/>
        <w:rPr>
          <w:rFonts w:ascii="Arial" w:cs="Arial" w:eastAsia="Arial" w:hAnsi="Arial"/>
          <w:sz w:val="18"/>
          <w:szCs w:val="18"/>
          <w:color w:val="auto"/>
        </w:rPr>
      </w:pPr>
    </w:p>
    <w:p>
      <w:pPr>
        <w:jc w:val="both"/>
        <w:ind w:right="20" w:firstLine="8"/>
        <w:spacing w:after="0" w:line="256" w:lineRule="auto"/>
        <w:tabs>
          <w:tab w:leader="none" w:pos="21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ectPr>
          <w:pgSz w:w="11900" w:h="16838" w:orient="portrait"/>
          <w:cols w:equalWidth="0" w:num="1">
            <w:col w:w="11240"/>
          </w:cols>
          <w:pgMar w:left="320" w:top="118" w:right="339" w:bottom="1440" w:gutter="0" w:footer="0" w:header="0"/>
        </w:sectPr>
      </w:pPr>
    </w:p>
    <w:bookmarkStart w:id="50" w:name="page51"/>
    <w:bookmarkEnd w:id="50"/>
    <w:p>
      <w:pPr>
        <w:ind w:left="9800"/>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firstLine="8"/>
        <w:spacing w:after="0" w:line="254" w:lineRule="auto"/>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8 and Section 7(d)(ii) of the Plan shall be void.</w:t>
      </w:r>
    </w:p>
    <w:p>
      <w:pPr>
        <w:spacing w:after="0" w:line="95" w:lineRule="exact"/>
        <w:rPr>
          <w:rFonts w:ascii="Arial" w:cs="Arial" w:eastAsia="Arial" w:hAnsi="Arial"/>
          <w:sz w:val="18"/>
          <w:szCs w:val="18"/>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76"/>
        <w:spacing w:after="0" w:line="261" w:lineRule="auto"/>
        <w:tabs>
          <w:tab w:leader="none" w:pos="438"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prior to December 31, 2024, the PRSUs will be treated as set forth below.</w:t>
      </w:r>
    </w:p>
    <w:p>
      <w:pPr>
        <w:spacing w:after="0" w:line="71" w:lineRule="exact"/>
        <w:rPr>
          <w:rFonts w:ascii="Arial" w:cs="Arial" w:eastAsia="Arial" w:hAnsi="Arial"/>
          <w:sz w:val="18"/>
          <w:szCs w:val="18"/>
          <w:color w:val="auto"/>
        </w:rPr>
      </w:pPr>
    </w:p>
    <w:p>
      <w:pPr>
        <w:jc w:val="both"/>
        <w:ind w:right="20" w:firstLine="1304"/>
        <w:spacing w:after="0" w:line="266" w:lineRule="auto"/>
        <w:tabs>
          <w:tab w:leader="none" w:pos="1519" w:val="left"/>
        </w:tabs>
        <w:numPr>
          <w:ilvl w:val="2"/>
          <w:numId w:val="43"/>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the Employer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Termination For Good Reason following a Change in Control, the PRSUs that have not vested in accordance with Section 3 shall be canceled and forfeited on the date of such voluntary termination of employment.</w:t>
      </w:r>
    </w:p>
    <w:p>
      <w:pPr>
        <w:spacing w:after="0" w:line="67" w:lineRule="exact"/>
        <w:rPr>
          <w:rFonts w:ascii="Arial" w:cs="Arial" w:eastAsia="Arial" w:hAnsi="Arial"/>
          <w:sz w:val="18"/>
          <w:szCs w:val="18"/>
          <w:color w:val="auto"/>
        </w:rPr>
      </w:pPr>
    </w:p>
    <w:p>
      <w:pPr>
        <w:jc w:val="both"/>
        <w:ind w:right="20" w:firstLine="1304"/>
        <w:spacing w:after="0" w:line="266" w:lineRule="auto"/>
        <w:tabs>
          <w:tab w:leader="none" w:pos="1546" w:val="left"/>
        </w:tabs>
        <w:numPr>
          <w:ilvl w:val="2"/>
          <w:numId w:val="43"/>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In the event the Employee involuntarily ceases to be an employee of the Employer prior to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for any reason other than due to death, Disability or a termination for Cause, the Employee will remain eligible to vest in the PRSUs that are unvested as of the Termination Date, and any dividend equivalents with respect thereto, as set forth below:</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860" w:type="dxa"/>
            <w:vAlign w:val="bottom"/>
            <w:tcBorders>
              <w:left w:val="single" w:sz="8" w:color="BFBFBF"/>
              <w:bottom w:val="single" w:sz="8" w:color="8064A2"/>
              <w:right w:val="single" w:sz="8" w:color="BFBFBF"/>
            </w:tcBorders>
            <w:shd w:val="clear" w:color="auto" w:fill="BFBFBF"/>
          </w:tcPr>
          <w:p>
            <w:pPr>
              <w:ind w:left="420"/>
              <w:spacing w:after="0"/>
              <w:rPr>
                <w:sz w:val="20"/>
                <w:szCs w:val="20"/>
                <w:color w:val="auto"/>
              </w:rPr>
            </w:pPr>
            <w:r>
              <w:rPr>
                <w:rFonts w:ascii="Arial" w:cs="Arial" w:eastAsia="Arial" w:hAnsi="Arial"/>
                <w:sz w:val="18"/>
                <w:szCs w:val="18"/>
                <w:b w:val="1"/>
                <w:bCs w:val="1"/>
                <w:color w:val="auto"/>
              </w:rPr>
              <w:t>Date of Termination</w:t>
            </w:r>
          </w:p>
        </w:tc>
        <w:tc>
          <w:tcPr>
            <w:tcW w:w="3440" w:type="dxa"/>
            <w:vAlign w:val="bottom"/>
            <w:tcBorders>
              <w:bottom w:val="single" w:sz="8" w:color="8064A2"/>
              <w:right w:val="single" w:sz="8" w:color="BFBFBF"/>
            </w:tcBorders>
            <w:shd w:val="clear" w:color="auto" w:fill="BFBFBF"/>
          </w:tcPr>
          <w:p>
            <w:pPr>
              <w:ind w:left="400"/>
              <w:spacing w:after="0"/>
              <w:rPr>
                <w:sz w:val="20"/>
                <w:szCs w:val="20"/>
                <w:color w:val="auto"/>
              </w:rPr>
            </w:pPr>
            <w:r>
              <w:rPr>
                <w:rFonts w:ascii="Arial" w:cs="Arial" w:eastAsia="Arial" w:hAnsi="Arial"/>
                <w:sz w:val="18"/>
                <w:szCs w:val="18"/>
                <w:b w:val="1"/>
                <w:bCs w:val="1"/>
                <w:color w:val="auto"/>
              </w:rPr>
              <w:t>Vesting Tranche</w:t>
            </w:r>
          </w:p>
        </w:tc>
        <w:tc>
          <w:tcPr>
            <w:tcW w:w="3960" w:type="dxa"/>
            <w:vAlign w:val="bottom"/>
            <w:tcBorders>
              <w:bottom w:val="single" w:sz="8" w:color="8064A2"/>
              <w:right w:val="single" w:sz="8" w:color="BFBFBF"/>
            </w:tcBorders>
            <w:gridSpan w:val="3"/>
            <w:shd w:val="clear" w:color="auto" w:fill="BFBFBF"/>
          </w:tcPr>
          <w:p>
            <w:pPr>
              <w:ind w:left="900"/>
              <w:spacing w:after="0"/>
              <w:rPr>
                <w:sz w:val="20"/>
                <w:szCs w:val="20"/>
                <w:color w:val="auto"/>
              </w:rPr>
            </w:pPr>
            <w:r>
              <w:rPr>
                <w:rFonts w:ascii="Arial" w:cs="Arial" w:eastAsia="Arial" w:hAnsi="Arial"/>
                <w:sz w:val="18"/>
                <w:szCs w:val="18"/>
                <w:b w:val="1"/>
                <w:bCs w:val="1"/>
                <w:color w:val="auto"/>
              </w:rPr>
              <w:t>Treatment of Vesting Tranche</w:t>
            </w:r>
          </w:p>
        </w:tc>
      </w:tr>
      <w:tr>
        <w:trPr>
          <w:trHeight w:val="230"/>
        </w:trPr>
        <w:tc>
          <w:tcPr>
            <w:tcW w:w="3860" w:type="dxa"/>
            <w:vAlign w:val="bottom"/>
            <w:tcBorders>
              <w:left w:val="single" w:sz="8" w:color="8064A2"/>
              <w:bottom w:val="single" w:sz="8" w:color="8064A2"/>
              <w:right w:val="single" w:sz="8" w:color="8064A2"/>
            </w:tcBorders>
          </w:tcPr>
          <w:p>
            <w:pPr>
              <w:ind w:left="420"/>
              <w:spacing w:after="0"/>
              <w:rPr>
                <w:sz w:val="20"/>
                <w:szCs w:val="20"/>
                <w:color w:val="auto"/>
              </w:rPr>
            </w:pPr>
            <w:r>
              <w:rPr>
                <w:rFonts w:ascii="Arial" w:cs="Arial" w:eastAsia="Arial" w:hAnsi="Arial"/>
                <w:sz w:val="18"/>
                <w:szCs w:val="18"/>
                <w:color w:val="auto"/>
              </w:rPr>
              <w:t>Prior to December 31, 2022</w:t>
            </w:r>
          </w:p>
        </w:tc>
        <w:tc>
          <w:tcPr>
            <w:tcW w:w="3440" w:type="dxa"/>
            <w:vAlign w:val="bottom"/>
            <w:tcBorders>
              <w:bottom w:val="single" w:sz="8" w:color="8064A2"/>
              <w:right w:val="single" w:sz="8" w:color="8064A2"/>
            </w:tcBorders>
          </w:tcPr>
          <w:p>
            <w:pPr>
              <w:ind w:left="400"/>
              <w:spacing w:after="0"/>
              <w:rPr>
                <w:sz w:val="20"/>
                <w:szCs w:val="20"/>
                <w:color w:val="auto"/>
              </w:rPr>
            </w:pPr>
            <w:r>
              <w:rPr>
                <w:rFonts w:ascii="Arial" w:cs="Arial" w:eastAsia="Arial" w:hAnsi="Arial"/>
                <w:sz w:val="18"/>
                <w:szCs w:val="18"/>
                <w:color w:val="auto"/>
              </w:rPr>
              <w:t>All</w:t>
            </w:r>
          </w:p>
        </w:tc>
        <w:tc>
          <w:tcPr>
            <w:tcW w:w="2180" w:type="dxa"/>
            <w:vAlign w:val="bottom"/>
            <w:tcBorders>
              <w:bottom w:val="single" w:sz="8" w:color="8064A2"/>
            </w:tcBorders>
          </w:tcPr>
          <w:p>
            <w:pPr>
              <w:ind w:left="40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8064A2"/>
            </w:tcBorders>
          </w:tcPr>
          <w:p>
            <w:pPr>
              <w:spacing w:after="0"/>
              <w:rPr>
                <w:sz w:val="20"/>
                <w:szCs w:val="20"/>
                <w:color w:val="auto"/>
              </w:rPr>
            </w:pPr>
          </w:p>
        </w:tc>
        <w:tc>
          <w:tcPr>
            <w:tcW w:w="860" w:type="dxa"/>
            <w:vAlign w:val="bottom"/>
            <w:tcBorders>
              <w:bottom w:val="single" w:sz="8" w:color="8064A2"/>
              <w:right w:val="single" w:sz="8" w:color="8064A2"/>
            </w:tcBorders>
          </w:tcPr>
          <w:p>
            <w:pPr>
              <w:spacing w:after="0"/>
              <w:rPr>
                <w:sz w:val="20"/>
                <w:szCs w:val="20"/>
                <w:color w:val="auto"/>
              </w:rPr>
            </w:pPr>
          </w:p>
        </w:tc>
      </w:tr>
      <w:tr>
        <w:trPr>
          <w:trHeight w:val="202"/>
        </w:trPr>
        <w:tc>
          <w:tcPr>
            <w:tcW w:w="3860" w:type="dxa"/>
            <w:vAlign w:val="bottom"/>
            <w:tcBorders>
              <w:left w:val="single" w:sz="8" w:color="8064A2"/>
              <w:right w:val="single" w:sz="8" w:color="auto"/>
            </w:tcBorders>
            <w:shd w:val="clear" w:color="auto" w:fill="F2F2F2"/>
          </w:tcPr>
          <w:p>
            <w:pPr>
              <w:ind w:left="420"/>
              <w:spacing w:after="0" w:line="201" w:lineRule="exact"/>
              <w:rPr>
                <w:sz w:val="20"/>
                <w:szCs w:val="20"/>
                <w:color w:val="auto"/>
              </w:rPr>
            </w:pPr>
            <w:r>
              <w:rPr>
                <w:rFonts w:ascii="Arial" w:cs="Arial" w:eastAsia="Arial" w:hAnsi="Arial"/>
                <w:sz w:val="18"/>
                <w:szCs w:val="18"/>
                <w:color w:val="auto"/>
              </w:rPr>
              <w:t>Between   December   31,   2022   and</w:t>
            </w:r>
          </w:p>
        </w:tc>
        <w:tc>
          <w:tcPr>
            <w:tcW w:w="3440" w:type="dxa"/>
            <w:vAlign w:val="bottom"/>
            <w:tcBorders>
              <w:right w:val="single" w:sz="8" w:color="auto"/>
            </w:tcBorders>
            <w:shd w:val="clear" w:color="auto" w:fill="F2F2F2"/>
          </w:tcPr>
          <w:p>
            <w:pPr>
              <w:ind w:left="400"/>
              <w:spacing w:after="0" w:line="201" w:lineRule="exact"/>
              <w:rPr>
                <w:sz w:val="20"/>
                <w:szCs w:val="20"/>
                <w:color w:val="auto"/>
              </w:rPr>
            </w:pPr>
            <w:r>
              <w:rPr>
                <w:rFonts w:ascii="Arial" w:cs="Arial" w:eastAsia="Arial" w:hAnsi="Arial"/>
                <w:sz w:val="18"/>
                <w:szCs w:val="18"/>
                <w:color w:val="auto"/>
              </w:rPr>
              <w:t>First Vesting Tranche</w:t>
            </w:r>
          </w:p>
        </w:tc>
        <w:tc>
          <w:tcPr>
            <w:tcW w:w="3960" w:type="dxa"/>
            <w:vAlign w:val="bottom"/>
            <w:tcBorders>
              <w:right w:val="single" w:sz="8" w:color="8064A2"/>
            </w:tcBorders>
            <w:gridSpan w:val="3"/>
            <w:shd w:val="clear" w:color="auto" w:fill="F2F2F2"/>
          </w:tcPr>
          <w:p>
            <w:pPr>
              <w:ind w:left="1300"/>
              <w:spacing w:after="0" w:line="201" w:lineRule="exact"/>
              <w:rPr>
                <w:sz w:val="20"/>
                <w:szCs w:val="20"/>
                <w:color w:val="auto"/>
              </w:rPr>
            </w:pPr>
            <w:r>
              <w:rPr>
                <w:rFonts w:ascii="Arial" w:cs="Arial" w:eastAsia="Arial" w:hAnsi="Arial"/>
                <w:sz w:val="18"/>
                <w:szCs w:val="18"/>
                <w:color w:val="auto"/>
              </w:rPr>
              <w:t>To the extent not vested as of</w:t>
            </w:r>
          </w:p>
        </w:tc>
      </w:tr>
      <w:tr>
        <w:trPr>
          <w:trHeight w:val="189"/>
        </w:trPr>
        <w:tc>
          <w:tcPr>
            <w:tcW w:w="3860" w:type="dxa"/>
            <w:vAlign w:val="bottom"/>
            <w:tcBorders>
              <w:left w:val="single" w:sz="8" w:color="8064A2"/>
              <w:right w:val="single" w:sz="8" w:color="auto"/>
            </w:tcBorders>
            <w:shd w:val="clear" w:color="auto" w:fill="F2F2F2"/>
          </w:tcPr>
          <w:p>
            <w:pPr>
              <w:ind w:left="40"/>
              <w:spacing w:after="0" w:line="189" w:lineRule="exact"/>
              <w:rPr>
                <w:sz w:val="20"/>
                <w:szCs w:val="20"/>
                <w:color w:val="auto"/>
              </w:rPr>
            </w:pPr>
            <w:r>
              <w:rPr>
                <w:rFonts w:ascii="Arial" w:cs="Arial" w:eastAsia="Arial" w:hAnsi="Arial"/>
                <w:sz w:val="18"/>
                <w:szCs w:val="18"/>
                <w:color w:val="auto"/>
              </w:rPr>
              <w:t>December 30, 2023</w:t>
            </w:r>
          </w:p>
        </w:tc>
        <w:tc>
          <w:tcPr>
            <w:tcW w:w="3440" w:type="dxa"/>
            <w:vAlign w:val="bottom"/>
            <w:tcBorders>
              <w:right w:val="single" w:sz="8" w:color="auto"/>
            </w:tcBorders>
            <w:shd w:val="clear" w:color="auto" w:fill="F2F2F2"/>
          </w:tcPr>
          <w:p>
            <w:pPr>
              <w:spacing w:after="0"/>
              <w:rPr>
                <w:sz w:val="16"/>
                <w:szCs w:val="16"/>
                <w:color w:val="auto"/>
              </w:rPr>
            </w:pPr>
          </w:p>
        </w:tc>
        <w:tc>
          <w:tcPr>
            <w:tcW w:w="3960" w:type="dxa"/>
            <w:vAlign w:val="bottom"/>
            <w:tcBorders>
              <w:right w:val="single" w:sz="8" w:color="8064A2"/>
            </w:tcBorders>
            <w:gridSpan w:val="3"/>
            <w:shd w:val="clear" w:color="auto" w:fill="F2F2F2"/>
          </w:tcPr>
          <w:p>
            <w:pPr>
              <w:spacing w:after="0" w:line="189" w:lineRule="exact"/>
              <w:rPr>
                <w:sz w:val="20"/>
                <w:szCs w:val="20"/>
                <w:color w:val="auto"/>
              </w:rPr>
            </w:pPr>
            <w:r>
              <w:rPr>
                <w:rFonts w:ascii="Arial" w:cs="Arial" w:eastAsia="Arial" w:hAnsi="Arial"/>
                <w:sz w:val="18"/>
                <w:szCs w:val="18"/>
                <w:color w:val="auto"/>
              </w:rPr>
              <w:t>the Termination Date, full number of PRSUs</w:t>
            </w:r>
          </w:p>
        </w:tc>
      </w:tr>
      <w:tr>
        <w:trPr>
          <w:trHeight w:val="189"/>
        </w:trPr>
        <w:tc>
          <w:tcPr>
            <w:tcW w:w="3860" w:type="dxa"/>
            <w:vAlign w:val="bottom"/>
            <w:tcBorders>
              <w:left w:val="single" w:sz="8" w:color="8064A2"/>
              <w:right w:val="single" w:sz="8" w:color="auto"/>
            </w:tcBorders>
            <w:shd w:val="clear" w:color="auto" w:fill="F2F2F2"/>
          </w:tcPr>
          <w:p>
            <w:pPr>
              <w:spacing w:after="0"/>
              <w:rPr>
                <w:sz w:val="16"/>
                <w:szCs w:val="16"/>
                <w:color w:val="auto"/>
              </w:rPr>
            </w:pPr>
          </w:p>
        </w:tc>
        <w:tc>
          <w:tcPr>
            <w:tcW w:w="3440" w:type="dxa"/>
            <w:vAlign w:val="bottom"/>
            <w:tcBorders>
              <w:right w:val="single" w:sz="8" w:color="auto"/>
            </w:tcBorders>
            <w:shd w:val="clear" w:color="auto" w:fill="F2F2F2"/>
          </w:tcPr>
          <w:p>
            <w:pPr>
              <w:spacing w:after="0"/>
              <w:rPr>
                <w:sz w:val="16"/>
                <w:szCs w:val="16"/>
                <w:color w:val="auto"/>
              </w:rPr>
            </w:pPr>
          </w:p>
        </w:tc>
        <w:tc>
          <w:tcPr>
            <w:tcW w:w="3960" w:type="dxa"/>
            <w:vAlign w:val="bottom"/>
            <w:tcBorders>
              <w:right w:val="single" w:sz="8" w:color="8064A2"/>
            </w:tcBorders>
            <w:gridSpan w:val="3"/>
            <w:shd w:val="clear" w:color="auto" w:fill="F2F2F2"/>
          </w:tcPr>
          <w:p>
            <w:pPr>
              <w:spacing w:after="0" w:line="189" w:lineRule="exact"/>
              <w:rPr>
                <w:sz w:val="20"/>
                <w:szCs w:val="20"/>
                <w:color w:val="auto"/>
              </w:rPr>
            </w:pPr>
            <w:r>
              <w:rPr>
                <w:rFonts w:ascii="Arial" w:cs="Arial" w:eastAsia="Arial" w:hAnsi="Arial"/>
                <w:sz w:val="18"/>
                <w:szCs w:val="18"/>
                <w:color w:val="auto"/>
              </w:rPr>
              <w:t>in such Vesting Tranche if Vesting Date is on</w:t>
            </w:r>
          </w:p>
        </w:tc>
      </w:tr>
      <w:tr>
        <w:trPr>
          <w:trHeight w:val="217"/>
        </w:trPr>
        <w:tc>
          <w:tcPr>
            <w:tcW w:w="3860" w:type="dxa"/>
            <w:vAlign w:val="bottom"/>
            <w:tcBorders>
              <w:left w:val="single" w:sz="8" w:color="8064A2"/>
              <w:right w:val="single" w:sz="8" w:color="auto"/>
            </w:tcBorders>
            <w:shd w:val="clear" w:color="auto" w:fill="F2F2F2"/>
          </w:tcPr>
          <w:p>
            <w:pPr>
              <w:spacing w:after="0"/>
              <w:rPr>
                <w:sz w:val="18"/>
                <w:szCs w:val="18"/>
                <w:color w:val="auto"/>
              </w:rPr>
            </w:pPr>
          </w:p>
        </w:tc>
        <w:tc>
          <w:tcPr>
            <w:tcW w:w="3440" w:type="dxa"/>
            <w:vAlign w:val="bottom"/>
            <w:tcBorders>
              <w:right w:val="single" w:sz="8" w:color="auto"/>
            </w:tcBorders>
            <w:shd w:val="clear" w:color="auto" w:fill="F2F2F2"/>
          </w:tcPr>
          <w:p>
            <w:pPr>
              <w:spacing w:after="0"/>
              <w:rPr>
                <w:sz w:val="18"/>
                <w:szCs w:val="18"/>
                <w:color w:val="auto"/>
              </w:rPr>
            </w:pPr>
          </w:p>
        </w:tc>
        <w:tc>
          <w:tcPr>
            <w:tcW w:w="310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or prior to December 31, 2023</w:t>
            </w:r>
          </w:p>
        </w:tc>
        <w:tc>
          <w:tcPr>
            <w:tcW w:w="860" w:type="dxa"/>
            <w:vAlign w:val="bottom"/>
            <w:tcBorders>
              <w:right w:val="single" w:sz="8" w:color="8064A2"/>
            </w:tcBorders>
            <w:shd w:val="clear" w:color="auto" w:fill="F2F2F2"/>
          </w:tcPr>
          <w:p>
            <w:pPr>
              <w:spacing w:after="0"/>
              <w:rPr>
                <w:sz w:val="18"/>
                <w:szCs w:val="18"/>
                <w:color w:val="auto"/>
              </w:rPr>
            </w:pPr>
          </w:p>
        </w:tc>
      </w:tr>
      <w:tr>
        <w:trPr>
          <w:trHeight w:val="257"/>
        </w:trPr>
        <w:tc>
          <w:tcPr>
            <w:tcW w:w="3860" w:type="dxa"/>
            <w:vAlign w:val="bottom"/>
            <w:tcBorders>
              <w:left w:val="single" w:sz="8" w:color="8064A2"/>
              <w:bottom w:val="single" w:sz="8" w:color="F2F2F2"/>
              <w:right w:val="single" w:sz="8" w:color="auto"/>
            </w:tcBorders>
            <w:shd w:val="clear" w:color="auto" w:fill="F2F2F2"/>
          </w:tcPr>
          <w:p>
            <w:pPr>
              <w:spacing w:after="0"/>
              <w:rPr>
                <w:sz w:val="22"/>
                <w:szCs w:val="22"/>
                <w:color w:val="auto"/>
              </w:rPr>
            </w:pPr>
          </w:p>
        </w:tc>
        <w:tc>
          <w:tcPr>
            <w:tcW w:w="3440" w:type="dxa"/>
            <w:vAlign w:val="bottom"/>
            <w:tcBorders>
              <w:bottom w:val="single" w:sz="8" w:color="8064A2"/>
              <w:right w:val="single" w:sz="8" w:color="auto"/>
            </w:tcBorders>
            <w:shd w:val="clear" w:color="auto" w:fill="F2F2F2"/>
          </w:tcPr>
          <w:p>
            <w:pPr>
              <w:spacing w:after="0"/>
              <w:rPr>
                <w:sz w:val="22"/>
                <w:szCs w:val="22"/>
                <w:color w:val="auto"/>
              </w:rPr>
            </w:pPr>
          </w:p>
        </w:tc>
        <w:tc>
          <w:tcPr>
            <w:tcW w:w="2180" w:type="dxa"/>
            <w:vAlign w:val="bottom"/>
            <w:tcBorders>
              <w:bottom w:val="single" w:sz="8" w:color="8064A2"/>
            </w:tcBorders>
            <w:shd w:val="clear" w:color="auto" w:fill="F2F2F2"/>
          </w:tcPr>
          <w:p>
            <w:pPr>
              <w:spacing w:after="0"/>
              <w:rPr>
                <w:sz w:val="22"/>
                <w:szCs w:val="22"/>
                <w:color w:val="auto"/>
              </w:rPr>
            </w:pPr>
          </w:p>
        </w:tc>
        <w:tc>
          <w:tcPr>
            <w:tcW w:w="920" w:type="dxa"/>
            <w:vAlign w:val="bottom"/>
            <w:tcBorders>
              <w:bottom w:val="single" w:sz="8" w:color="8064A2"/>
            </w:tcBorders>
            <w:shd w:val="clear" w:color="auto" w:fill="F2F2F2"/>
          </w:tcPr>
          <w:p>
            <w:pPr>
              <w:spacing w:after="0"/>
              <w:rPr>
                <w:sz w:val="22"/>
                <w:szCs w:val="22"/>
                <w:color w:val="auto"/>
              </w:rPr>
            </w:pPr>
          </w:p>
        </w:tc>
        <w:tc>
          <w:tcPr>
            <w:tcW w:w="860" w:type="dxa"/>
            <w:vAlign w:val="bottom"/>
            <w:tcBorders>
              <w:bottom w:val="single" w:sz="8" w:color="8064A2"/>
              <w:right w:val="single" w:sz="8" w:color="8064A2"/>
            </w:tcBorders>
            <w:shd w:val="clear" w:color="auto" w:fill="F2F2F2"/>
          </w:tcPr>
          <w:p>
            <w:pPr>
              <w:spacing w:after="0"/>
              <w:rPr>
                <w:sz w:val="22"/>
                <w:szCs w:val="22"/>
                <w:color w:val="auto"/>
              </w:rPr>
            </w:pPr>
          </w:p>
        </w:tc>
      </w:tr>
      <w:tr>
        <w:trPr>
          <w:trHeight w:val="195"/>
        </w:trPr>
        <w:tc>
          <w:tcPr>
            <w:tcW w:w="3860" w:type="dxa"/>
            <w:vAlign w:val="bottom"/>
            <w:tcBorders>
              <w:left w:val="single" w:sz="8" w:color="8064A2"/>
              <w:right w:val="single" w:sz="8" w:color="auto"/>
            </w:tcBorders>
            <w:shd w:val="clear" w:color="auto" w:fill="F2F2F2"/>
          </w:tcPr>
          <w:p>
            <w:pPr>
              <w:spacing w:after="0"/>
              <w:rPr>
                <w:sz w:val="16"/>
                <w:szCs w:val="16"/>
                <w:color w:val="auto"/>
              </w:rPr>
            </w:pPr>
          </w:p>
        </w:tc>
        <w:tc>
          <w:tcPr>
            <w:tcW w:w="3440" w:type="dxa"/>
            <w:vAlign w:val="bottom"/>
            <w:tcBorders>
              <w:right w:val="single" w:sz="8" w:color="auto"/>
            </w:tcBorders>
            <w:shd w:val="clear" w:color="auto" w:fill="F2F2F2"/>
          </w:tcPr>
          <w:p>
            <w:pPr>
              <w:ind w:left="400"/>
              <w:spacing w:after="0" w:line="195" w:lineRule="exact"/>
              <w:rPr>
                <w:sz w:val="20"/>
                <w:szCs w:val="20"/>
                <w:color w:val="auto"/>
              </w:rPr>
            </w:pPr>
            <w:r>
              <w:rPr>
                <w:rFonts w:ascii="Arial" w:cs="Arial" w:eastAsia="Arial" w:hAnsi="Arial"/>
                <w:sz w:val="18"/>
                <w:szCs w:val="18"/>
                <w:color w:val="auto"/>
              </w:rPr>
              <w:t>Second Vesting Tranche</w:t>
            </w:r>
          </w:p>
        </w:tc>
        <w:tc>
          <w:tcPr>
            <w:tcW w:w="2180" w:type="dxa"/>
            <w:vAlign w:val="bottom"/>
            <w:shd w:val="clear" w:color="auto" w:fill="F2F2F2"/>
          </w:tcPr>
          <w:p>
            <w:pPr>
              <w:ind w:left="1300"/>
              <w:spacing w:after="0" w:line="195" w:lineRule="exact"/>
              <w:rPr>
                <w:sz w:val="20"/>
                <w:szCs w:val="20"/>
                <w:color w:val="auto"/>
              </w:rPr>
            </w:pPr>
            <w:r>
              <w:rPr>
                <w:rFonts w:ascii="Arial" w:cs="Arial" w:eastAsia="Arial" w:hAnsi="Arial"/>
                <w:sz w:val="18"/>
                <w:szCs w:val="18"/>
                <w:color w:val="auto"/>
              </w:rPr>
              <w:t>Pro-Rata</w:t>
            </w:r>
          </w:p>
        </w:tc>
        <w:tc>
          <w:tcPr>
            <w:tcW w:w="920" w:type="dxa"/>
            <w:vAlign w:val="bottom"/>
            <w:shd w:val="clear" w:color="auto" w:fill="F2F2F2"/>
          </w:tcPr>
          <w:p>
            <w:pPr>
              <w:ind w:left="160"/>
              <w:spacing w:after="0" w:line="195" w:lineRule="exact"/>
              <w:rPr>
                <w:sz w:val="20"/>
                <w:szCs w:val="20"/>
                <w:color w:val="auto"/>
              </w:rPr>
            </w:pPr>
            <w:r>
              <w:rPr>
                <w:rFonts w:ascii="Arial" w:cs="Arial" w:eastAsia="Arial" w:hAnsi="Arial"/>
                <w:sz w:val="18"/>
                <w:szCs w:val="18"/>
                <w:color w:val="auto"/>
              </w:rPr>
              <w:t>Amount</w:t>
            </w:r>
          </w:p>
        </w:tc>
        <w:tc>
          <w:tcPr>
            <w:tcW w:w="860" w:type="dxa"/>
            <w:vAlign w:val="bottom"/>
            <w:tcBorders>
              <w:right w:val="single" w:sz="8" w:color="8064A2"/>
            </w:tcBorders>
            <w:shd w:val="clear" w:color="auto" w:fill="F2F2F2"/>
          </w:tcPr>
          <w:p>
            <w:pPr>
              <w:ind w:left="160"/>
              <w:spacing w:after="0" w:line="195" w:lineRule="exact"/>
              <w:rPr>
                <w:sz w:val="20"/>
                <w:szCs w:val="20"/>
                <w:color w:val="auto"/>
              </w:rPr>
            </w:pPr>
            <w:r>
              <w:rPr>
                <w:rFonts w:ascii="Arial" w:cs="Arial" w:eastAsia="Arial" w:hAnsi="Arial"/>
                <w:sz w:val="18"/>
                <w:szCs w:val="18"/>
                <w:color w:val="auto"/>
              </w:rPr>
              <w:t>(defined</w:t>
            </w:r>
          </w:p>
        </w:tc>
      </w:tr>
      <w:tr>
        <w:trPr>
          <w:trHeight w:val="217"/>
        </w:trPr>
        <w:tc>
          <w:tcPr>
            <w:tcW w:w="3860" w:type="dxa"/>
            <w:vAlign w:val="bottom"/>
            <w:tcBorders>
              <w:left w:val="single" w:sz="8" w:color="8064A2"/>
              <w:right w:val="single" w:sz="8" w:color="auto"/>
            </w:tcBorders>
            <w:shd w:val="clear" w:color="auto" w:fill="F2F2F2"/>
          </w:tcPr>
          <w:p>
            <w:pPr>
              <w:spacing w:after="0"/>
              <w:rPr>
                <w:sz w:val="18"/>
                <w:szCs w:val="18"/>
                <w:color w:val="auto"/>
              </w:rPr>
            </w:pPr>
          </w:p>
        </w:tc>
        <w:tc>
          <w:tcPr>
            <w:tcW w:w="3440" w:type="dxa"/>
            <w:vAlign w:val="bottom"/>
            <w:tcBorders>
              <w:right w:val="single" w:sz="8" w:color="auto"/>
            </w:tcBorders>
            <w:shd w:val="clear" w:color="auto" w:fill="F2F2F2"/>
          </w:tcPr>
          <w:p>
            <w:pPr>
              <w:spacing w:after="0"/>
              <w:rPr>
                <w:sz w:val="18"/>
                <w:szCs w:val="18"/>
                <w:color w:val="auto"/>
              </w:rPr>
            </w:pPr>
          </w:p>
        </w:tc>
        <w:tc>
          <w:tcPr>
            <w:tcW w:w="3960" w:type="dxa"/>
            <w:vAlign w:val="bottom"/>
            <w:tcBorders>
              <w:right w:val="single" w:sz="8" w:color="8064A2"/>
            </w:tcBorders>
            <w:gridSpan w:val="3"/>
            <w:shd w:val="clear" w:color="auto" w:fill="F2F2F2"/>
          </w:tcPr>
          <w:p>
            <w:pPr>
              <w:spacing w:after="0"/>
              <w:rPr>
                <w:sz w:val="20"/>
                <w:szCs w:val="20"/>
                <w:color w:val="auto"/>
              </w:rPr>
            </w:pPr>
            <w:r>
              <w:rPr>
                <w:rFonts w:ascii="Arial" w:cs="Arial" w:eastAsia="Arial" w:hAnsi="Arial"/>
                <w:sz w:val="18"/>
                <w:szCs w:val="18"/>
                <w:color w:val="auto"/>
              </w:rPr>
              <w:t>below) if Vesting Date is on December 31, 2023</w:t>
            </w:r>
          </w:p>
        </w:tc>
      </w:tr>
      <w:tr>
        <w:trPr>
          <w:trHeight w:val="216"/>
        </w:trPr>
        <w:tc>
          <w:tcPr>
            <w:tcW w:w="3860" w:type="dxa"/>
            <w:vAlign w:val="bottom"/>
            <w:tcBorders>
              <w:left w:val="single" w:sz="8" w:color="8064A2"/>
              <w:bottom w:val="single" w:sz="8" w:color="F2F2F2"/>
              <w:right w:val="single" w:sz="8" w:color="auto"/>
            </w:tcBorders>
            <w:shd w:val="clear" w:color="auto" w:fill="F2F2F2"/>
          </w:tcPr>
          <w:p>
            <w:pPr>
              <w:spacing w:after="0"/>
              <w:rPr>
                <w:sz w:val="18"/>
                <w:szCs w:val="18"/>
                <w:color w:val="auto"/>
              </w:rPr>
            </w:pPr>
          </w:p>
        </w:tc>
        <w:tc>
          <w:tcPr>
            <w:tcW w:w="3440" w:type="dxa"/>
            <w:vAlign w:val="bottom"/>
            <w:tcBorders>
              <w:bottom w:val="single" w:sz="8" w:color="8064A2"/>
              <w:right w:val="single" w:sz="8" w:color="auto"/>
            </w:tcBorders>
            <w:shd w:val="clear" w:color="auto" w:fill="F2F2F2"/>
          </w:tcPr>
          <w:p>
            <w:pPr>
              <w:spacing w:after="0"/>
              <w:rPr>
                <w:sz w:val="18"/>
                <w:szCs w:val="18"/>
                <w:color w:val="auto"/>
              </w:rPr>
            </w:pPr>
          </w:p>
        </w:tc>
        <w:tc>
          <w:tcPr>
            <w:tcW w:w="2180" w:type="dxa"/>
            <w:vAlign w:val="bottom"/>
            <w:tcBorders>
              <w:bottom w:val="single" w:sz="8" w:color="8064A2"/>
            </w:tcBorders>
            <w:shd w:val="clear" w:color="auto" w:fill="F2F2F2"/>
          </w:tcPr>
          <w:p>
            <w:pPr>
              <w:spacing w:after="0"/>
              <w:rPr>
                <w:sz w:val="18"/>
                <w:szCs w:val="18"/>
                <w:color w:val="auto"/>
              </w:rPr>
            </w:pPr>
          </w:p>
        </w:tc>
        <w:tc>
          <w:tcPr>
            <w:tcW w:w="920" w:type="dxa"/>
            <w:vAlign w:val="bottom"/>
            <w:tcBorders>
              <w:bottom w:val="single" w:sz="8" w:color="8064A2"/>
            </w:tcBorders>
            <w:shd w:val="clear" w:color="auto" w:fill="F2F2F2"/>
          </w:tcPr>
          <w:p>
            <w:pPr>
              <w:spacing w:after="0"/>
              <w:rPr>
                <w:sz w:val="18"/>
                <w:szCs w:val="18"/>
                <w:color w:val="auto"/>
              </w:rPr>
            </w:pPr>
          </w:p>
        </w:tc>
        <w:tc>
          <w:tcPr>
            <w:tcW w:w="860" w:type="dxa"/>
            <w:vAlign w:val="bottom"/>
            <w:tcBorders>
              <w:bottom w:val="single" w:sz="8" w:color="8064A2"/>
              <w:right w:val="single" w:sz="8" w:color="8064A2"/>
            </w:tcBorders>
            <w:shd w:val="clear" w:color="auto" w:fill="F2F2F2"/>
          </w:tcPr>
          <w:p>
            <w:pPr>
              <w:spacing w:after="0"/>
              <w:rPr>
                <w:sz w:val="18"/>
                <w:szCs w:val="18"/>
                <w:color w:val="auto"/>
              </w:rPr>
            </w:pPr>
          </w:p>
        </w:tc>
      </w:tr>
      <w:tr>
        <w:trPr>
          <w:trHeight w:val="230"/>
        </w:trPr>
        <w:tc>
          <w:tcPr>
            <w:tcW w:w="3860" w:type="dxa"/>
            <w:vAlign w:val="bottom"/>
            <w:tcBorders>
              <w:left w:val="single" w:sz="8" w:color="8064A2"/>
              <w:bottom w:val="single" w:sz="8" w:color="8064A2"/>
              <w:right w:val="single" w:sz="8" w:color="auto"/>
            </w:tcBorders>
            <w:shd w:val="clear" w:color="auto" w:fill="F2F2F2"/>
          </w:tcPr>
          <w:p>
            <w:pPr>
              <w:spacing w:after="0"/>
              <w:rPr>
                <w:sz w:val="20"/>
                <w:szCs w:val="20"/>
                <w:color w:val="auto"/>
              </w:rPr>
            </w:pPr>
          </w:p>
        </w:tc>
        <w:tc>
          <w:tcPr>
            <w:tcW w:w="3440" w:type="dxa"/>
            <w:vAlign w:val="bottom"/>
            <w:tcBorders>
              <w:bottom w:val="single" w:sz="8" w:color="8064A2"/>
              <w:right w:val="single" w:sz="8" w:color="auto"/>
            </w:tcBorders>
            <w:shd w:val="clear" w:color="auto" w:fill="F2F2F2"/>
          </w:tcPr>
          <w:p>
            <w:pPr>
              <w:ind w:left="400"/>
              <w:spacing w:after="0"/>
              <w:rPr>
                <w:sz w:val="20"/>
                <w:szCs w:val="20"/>
                <w:color w:val="auto"/>
              </w:rPr>
            </w:pPr>
            <w:r>
              <w:rPr>
                <w:rFonts w:ascii="Arial" w:cs="Arial" w:eastAsia="Arial" w:hAnsi="Arial"/>
                <w:sz w:val="18"/>
                <w:szCs w:val="18"/>
                <w:color w:val="auto"/>
              </w:rPr>
              <w:t>Third Vesting Tranche</w:t>
            </w:r>
          </w:p>
        </w:tc>
        <w:tc>
          <w:tcPr>
            <w:tcW w:w="2180" w:type="dxa"/>
            <w:vAlign w:val="bottom"/>
            <w:tcBorders>
              <w:bottom w:val="single" w:sz="8" w:color="8064A2"/>
            </w:tcBorders>
            <w:shd w:val="clear" w:color="auto" w:fill="F2F2F2"/>
          </w:tcPr>
          <w:p>
            <w:pPr>
              <w:ind w:left="40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8064A2"/>
            </w:tcBorders>
            <w:shd w:val="clear" w:color="auto" w:fill="F2F2F2"/>
          </w:tcPr>
          <w:p>
            <w:pPr>
              <w:spacing w:after="0"/>
              <w:rPr>
                <w:sz w:val="20"/>
                <w:szCs w:val="20"/>
                <w:color w:val="auto"/>
              </w:rPr>
            </w:pPr>
          </w:p>
        </w:tc>
        <w:tc>
          <w:tcPr>
            <w:tcW w:w="860" w:type="dxa"/>
            <w:vAlign w:val="bottom"/>
            <w:tcBorders>
              <w:bottom w:val="single" w:sz="8" w:color="8064A2"/>
              <w:right w:val="single" w:sz="8" w:color="8064A2"/>
            </w:tcBorders>
            <w:shd w:val="clear" w:color="auto" w:fill="F2F2F2"/>
          </w:tcPr>
          <w:p>
            <w:pPr>
              <w:spacing w:after="0"/>
              <w:rPr>
                <w:sz w:val="20"/>
                <w:szCs w:val="20"/>
                <w:color w:val="auto"/>
              </w:rPr>
            </w:pPr>
          </w:p>
        </w:tc>
      </w:tr>
      <w:tr>
        <w:trPr>
          <w:trHeight w:val="230"/>
        </w:trPr>
        <w:tc>
          <w:tcPr>
            <w:tcW w:w="3860" w:type="dxa"/>
            <w:vAlign w:val="bottom"/>
            <w:tcBorders>
              <w:bottom w:val="single" w:sz="8" w:color="8064A2"/>
            </w:tcBorders>
          </w:tcPr>
          <w:p>
            <w:pPr>
              <w:spacing w:after="0"/>
              <w:rPr>
                <w:sz w:val="19"/>
                <w:szCs w:val="19"/>
                <w:color w:val="auto"/>
              </w:rPr>
            </w:pPr>
          </w:p>
        </w:tc>
        <w:tc>
          <w:tcPr>
            <w:tcW w:w="3440" w:type="dxa"/>
            <w:vAlign w:val="bottom"/>
            <w:tcBorders>
              <w:bottom w:val="single" w:sz="8" w:color="8064A2"/>
            </w:tcBorders>
          </w:tcPr>
          <w:p>
            <w:pPr>
              <w:spacing w:after="0"/>
              <w:rPr>
                <w:sz w:val="19"/>
                <w:szCs w:val="19"/>
                <w:color w:val="auto"/>
              </w:rPr>
            </w:pPr>
          </w:p>
        </w:tc>
        <w:tc>
          <w:tcPr>
            <w:tcW w:w="3960" w:type="dxa"/>
            <w:vAlign w:val="bottom"/>
            <w:tcBorders>
              <w:bottom w:val="single" w:sz="8" w:color="8064A2"/>
            </w:tcBorders>
            <w:gridSpan w:val="3"/>
          </w:tcPr>
          <w:p>
            <w:pPr>
              <w:spacing w:after="0"/>
              <w:rPr>
                <w:sz w:val="19"/>
                <w:szCs w:val="19"/>
                <w:color w:val="auto"/>
              </w:rPr>
            </w:pPr>
          </w:p>
        </w:tc>
      </w:tr>
      <w:tr>
        <w:trPr>
          <w:trHeight w:val="195"/>
        </w:trPr>
        <w:tc>
          <w:tcPr>
            <w:tcW w:w="3860" w:type="dxa"/>
            <w:vAlign w:val="bottom"/>
            <w:tcBorders>
              <w:left w:val="single" w:sz="8" w:color="8064A2"/>
              <w:right w:val="single" w:sz="8" w:color="8064A2"/>
            </w:tcBorders>
          </w:tcPr>
          <w:p>
            <w:pPr>
              <w:ind w:left="420"/>
              <w:spacing w:after="0" w:line="195" w:lineRule="exact"/>
              <w:rPr>
                <w:sz w:val="20"/>
                <w:szCs w:val="20"/>
                <w:color w:val="auto"/>
              </w:rPr>
            </w:pPr>
            <w:r>
              <w:rPr>
                <w:rFonts w:ascii="Arial" w:cs="Arial" w:eastAsia="Arial" w:hAnsi="Arial"/>
                <w:sz w:val="18"/>
                <w:szCs w:val="18"/>
                <w:color w:val="auto"/>
              </w:rPr>
              <w:t>Between   December   30,   2023   and</w:t>
            </w:r>
          </w:p>
        </w:tc>
        <w:tc>
          <w:tcPr>
            <w:tcW w:w="3440" w:type="dxa"/>
            <w:vAlign w:val="bottom"/>
            <w:tcBorders>
              <w:right w:val="single" w:sz="8" w:color="8064A2"/>
            </w:tcBorders>
          </w:tcPr>
          <w:p>
            <w:pPr>
              <w:ind w:left="400"/>
              <w:spacing w:after="0" w:line="195" w:lineRule="exact"/>
              <w:rPr>
                <w:sz w:val="20"/>
                <w:szCs w:val="20"/>
                <w:color w:val="auto"/>
              </w:rPr>
            </w:pPr>
            <w:r>
              <w:rPr>
                <w:rFonts w:ascii="Arial" w:cs="Arial" w:eastAsia="Arial" w:hAnsi="Arial"/>
                <w:sz w:val="18"/>
                <w:szCs w:val="18"/>
                <w:color w:val="auto"/>
              </w:rPr>
              <w:t>First Vesting Tranche</w:t>
            </w:r>
          </w:p>
        </w:tc>
        <w:tc>
          <w:tcPr>
            <w:tcW w:w="3960" w:type="dxa"/>
            <w:vAlign w:val="bottom"/>
            <w:tcBorders>
              <w:right w:val="single" w:sz="8" w:color="8064A2"/>
            </w:tcBorders>
            <w:gridSpan w:val="3"/>
          </w:tcPr>
          <w:p>
            <w:pPr>
              <w:spacing w:after="0" w:line="195" w:lineRule="exact"/>
              <w:rPr>
                <w:sz w:val="20"/>
                <w:szCs w:val="20"/>
                <w:color w:val="auto"/>
              </w:rPr>
            </w:pPr>
            <w:r>
              <w:rPr>
                <w:rFonts w:ascii="Arial" w:cs="Arial" w:eastAsia="Arial" w:hAnsi="Arial"/>
                <w:sz w:val="18"/>
                <w:szCs w:val="18"/>
                <w:color w:val="auto"/>
              </w:rPr>
              <w:t>To the extent not vested as of the Termination</w:t>
            </w:r>
          </w:p>
        </w:tc>
      </w:tr>
      <w:tr>
        <w:trPr>
          <w:trHeight w:val="189"/>
        </w:trPr>
        <w:tc>
          <w:tcPr>
            <w:tcW w:w="3860" w:type="dxa"/>
            <w:vAlign w:val="bottom"/>
            <w:tcBorders>
              <w:left w:val="single" w:sz="8" w:color="8064A2"/>
              <w:right w:val="single" w:sz="8" w:color="8064A2"/>
            </w:tcBorders>
          </w:tcPr>
          <w:p>
            <w:pPr>
              <w:ind w:left="40"/>
              <w:spacing w:after="0" w:line="189" w:lineRule="exact"/>
              <w:rPr>
                <w:sz w:val="20"/>
                <w:szCs w:val="20"/>
                <w:color w:val="auto"/>
              </w:rPr>
            </w:pPr>
            <w:r>
              <w:rPr>
                <w:rFonts w:ascii="Arial" w:cs="Arial" w:eastAsia="Arial" w:hAnsi="Arial"/>
                <w:sz w:val="18"/>
                <w:szCs w:val="18"/>
                <w:color w:val="auto"/>
              </w:rPr>
              <w:t>December 31, 2024</w:t>
            </w:r>
          </w:p>
        </w:tc>
        <w:tc>
          <w:tcPr>
            <w:tcW w:w="3440" w:type="dxa"/>
            <w:vAlign w:val="bottom"/>
            <w:tcBorders>
              <w:right w:val="single" w:sz="8" w:color="8064A2"/>
            </w:tcBorders>
          </w:tcPr>
          <w:p>
            <w:pPr>
              <w:spacing w:after="0"/>
              <w:rPr>
                <w:sz w:val="16"/>
                <w:szCs w:val="16"/>
                <w:color w:val="auto"/>
              </w:rPr>
            </w:pPr>
          </w:p>
        </w:tc>
        <w:tc>
          <w:tcPr>
            <w:tcW w:w="3960" w:type="dxa"/>
            <w:vAlign w:val="bottom"/>
            <w:tcBorders>
              <w:right w:val="single" w:sz="8" w:color="8064A2"/>
            </w:tcBorders>
            <w:gridSpan w:val="3"/>
          </w:tcPr>
          <w:p>
            <w:pPr>
              <w:spacing w:after="0" w:line="189" w:lineRule="exact"/>
              <w:rPr>
                <w:sz w:val="20"/>
                <w:szCs w:val="20"/>
                <w:color w:val="auto"/>
              </w:rPr>
            </w:pPr>
            <w:r>
              <w:rPr>
                <w:rFonts w:ascii="Arial" w:cs="Arial" w:eastAsia="Arial" w:hAnsi="Arial"/>
                <w:sz w:val="18"/>
                <w:szCs w:val="18"/>
                <w:color w:val="auto"/>
              </w:rPr>
              <w:t>Date, full number of PRSUs in such Vesting</w:t>
            </w:r>
          </w:p>
        </w:tc>
      </w:tr>
      <w:tr>
        <w:trPr>
          <w:trHeight w:val="189"/>
        </w:trPr>
        <w:tc>
          <w:tcPr>
            <w:tcW w:w="3860" w:type="dxa"/>
            <w:vAlign w:val="bottom"/>
            <w:tcBorders>
              <w:left w:val="single" w:sz="8" w:color="8064A2"/>
              <w:right w:val="single" w:sz="8" w:color="8064A2"/>
            </w:tcBorders>
          </w:tcPr>
          <w:p>
            <w:pPr>
              <w:spacing w:after="0"/>
              <w:rPr>
                <w:sz w:val="16"/>
                <w:szCs w:val="16"/>
                <w:color w:val="auto"/>
              </w:rPr>
            </w:pPr>
          </w:p>
        </w:tc>
        <w:tc>
          <w:tcPr>
            <w:tcW w:w="3440" w:type="dxa"/>
            <w:vAlign w:val="bottom"/>
            <w:tcBorders>
              <w:right w:val="single" w:sz="8" w:color="8064A2"/>
            </w:tcBorders>
          </w:tcPr>
          <w:p>
            <w:pPr>
              <w:spacing w:after="0"/>
              <w:rPr>
                <w:sz w:val="16"/>
                <w:szCs w:val="16"/>
                <w:color w:val="auto"/>
              </w:rPr>
            </w:pPr>
          </w:p>
        </w:tc>
        <w:tc>
          <w:tcPr>
            <w:tcW w:w="3960" w:type="dxa"/>
            <w:vAlign w:val="bottom"/>
            <w:tcBorders>
              <w:right w:val="single" w:sz="8" w:color="8064A2"/>
            </w:tcBorders>
            <w:gridSpan w:val="3"/>
          </w:tcPr>
          <w:p>
            <w:pPr>
              <w:spacing w:after="0" w:line="189" w:lineRule="exact"/>
              <w:rPr>
                <w:sz w:val="20"/>
                <w:szCs w:val="20"/>
                <w:color w:val="auto"/>
              </w:rPr>
            </w:pPr>
            <w:r>
              <w:rPr>
                <w:rFonts w:ascii="Arial" w:cs="Arial" w:eastAsia="Arial" w:hAnsi="Arial"/>
                <w:sz w:val="18"/>
                <w:szCs w:val="18"/>
                <w:color w:val="auto"/>
              </w:rPr>
              <w:t>Tranche  if  Vesting  Date  is  on  or  prior  to</w:t>
            </w:r>
          </w:p>
        </w:tc>
      </w:tr>
      <w:tr>
        <w:trPr>
          <w:trHeight w:val="217"/>
        </w:trPr>
        <w:tc>
          <w:tcPr>
            <w:tcW w:w="3860" w:type="dxa"/>
            <w:vAlign w:val="bottom"/>
            <w:tcBorders>
              <w:left w:val="single" w:sz="8" w:color="8064A2"/>
              <w:right w:val="single" w:sz="8" w:color="8064A2"/>
            </w:tcBorders>
          </w:tcPr>
          <w:p>
            <w:pPr>
              <w:spacing w:after="0"/>
              <w:rPr>
                <w:sz w:val="18"/>
                <w:szCs w:val="18"/>
                <w:color w:val="auto"/>
              </w:rPr>
            </w:pPr>
          </w:p>
        </w:tc>
        <w:tc>
          <w:tcPr>
            <w:tcW w:w="3440" w:type="dxa"/>
            <w:vAlign w:val="bottom"/>
            <w:tcBorders>
              <w:right w:val="single" w:sz="8" w:color="8064A2"/>
            </w:tcBorders>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December 31, 2024</w:t>
            </w:r>
          </w:p>
        </w:tc>
        <w:tc>
          <w:tcPr>
            <w:tcW w:w="920" w:type="dxa"/>
            <w:vAlign w:val="bottom"/>
          </w:tcPr>
          <w:p>
            <w:pPr>
              <w:spacing w:after="0"/>
              <w:rPr>
                <w:sz w:val="18"/>
                <w:szCs w:val="18"/>
                <w:color w:val="auto"/>
              </w:rPr>
            </w:pPr>
          </w:p>
        </w:tc>
        <w:tc>
          <w:tcPr>
            <w:tcW w:w="860" w:type="dxa"/>
            <w:vAlign w:val="bottom"/>
            <w:tcBorders>
              <w:right w:val="single" w:sz="8" w:color="8064A2"/>
            </w:tcBorders>
          </w:tcPr>
          <w:p>
            <w:pPr>
              <w:spacing w:after="0"/>
              <w:rPr>
                <w:sz w:val="18"/>
                <w:szCs w:val="18"/>
                <w:color w:val="auto"/>
              </w:rPr>
            </w:pPr>
          </w:p>
        </w:tc>
      </w:tr>
      <w:tr>
        <w:trPr>
          <w:trHeight w:val="256"/>
        </w:trPr>
        <w:tc>
          <w:tcPr>
            <w:tcW w:w="3860" w:type="dxa"/>
            <w:vAlign w:val="bottom"/>
            <w:tcBorders>
              <w:left w:val="single" w:sz="8" w:color="8064A2"/>
              <w:right w:val="single" w:sz="8" w:color="8064A2"/>
            </w:tcBorders>
          </w:tcPr>
          <w:p>
            <w:pPr>
              <w:spacing w:after="0"/>
              <w:rPr>
                <w:sz w:val="22"/>
                <w:szCs w:val="22"/>
                <w:color w:val="auto"/>
              </w:rPr>
            </w:pPr>
          </w:p>
        </w:tc>
        <w:tc>
          <w:tcPr>
            <w:tcW w:w="3440" w:type="dxa"/>
            <w:vAlign w:val="bottom"/>
            <w:tcBorders>
              <w:bottom w:val="single" w:sz="8" w:color="8064A2"/>
              <w:right w:val="single" w:sz="8" w:color="8064A2"/>
            </w:tcBorders>
          </w:tcPr>
          <w:p>
            <w:pPr>
              <w:spacing w:after="0"/>
              <w:rPr>
                <w:sz w:val="22"/>
                <w:szCs w:val="22"/>
                <w:color w:val="auto"/>
              </w:rPr>
            </w:pPr>
          </w:p>
        </w:tc>
        <w:tc>
          <w:tcPr>
            <w:tcW w:w="3960" w:type="dxa"/>
            <w:vAlign w:val="bottom"/>
            <w:tcBorders>
              <w:bottom w:val="single" w:sz="8" w:color="8064A2"/>
              <w:right w:val="single" w:sz="8" w:color="8064A2"/>
            </w:tcBorders>
            <w:gridSpan w:val="3"/>
          </w:tcPr>
          <w:p>
            <w:pPr>
              <w:spacing w:after="0"/>
              <w:rPr>
                <w:sz w:val="22"/>
                <w:szCs w:val="22"/>
                <w:color w:val="auto"/>
              </w:rPr>
            </w:pPr>
          </w:p>
        </w:tc>
      </w:tr>
      <w:tr>
        <w:trPr>
          <w:trHeight w:val="195"/>
        </w:trPr>
        <w:tc>
          <w:tcPr>
            <w:tcW w:w="3860" w:type="dxa"/>
            <w:vAlign w:val="bottom"/>
            <w:tcBorders>
              <w:left w:val="single" w:sz="8" w:color="8064A2"/>
              <w:right w:val="single" w:sz="8" w:color="8064A2"/>
            </w:tcBorders>
          </w:tcPr>
          <w:p>
            <w:pPr>
              <w:spacing w:after="0"/>
              <w:rPr>
                <w:sz w:val="16"/>
                <w:szCs w:val="16"/>
                <w:color w:val="auto"/>
              </w:rPr>
            </w:pPr>
          </w:p>
        </w:tc>
        <w:tc>
          <w:tcPr>
            <w:tcW w:w="3440" w:type="dxa"/>
            <w:vAlign w:val="bottom"/>
            <w:tcBorders>
              <w:right w:val="single" w:sz="8" w:color="8064A2"/>
            </w:tcBorders>
          </w:tcPr>
          <w:p>
            <w:pPr>
              <w:ind w:left="400"/>
              <w:spacing w:after="0" w:line="195" w:lineRule="exact"/>
              <w:rPr>
                <w:sz w:val="20"/>
                <w:szCs w:val="20"/>
                <w:color w:val="auto"/>
              </w:rPr>
            </w:pPr>
            <w:r>
              <w:rPr>
                <w:rFonts w:ascii="Arial" w:cs="Arial" w:eastAsia="Arial" w:hAnsi="Arial"/>
                <w:sz w:val="18"/>
                <w:szCs w:val="18"/>
                <w:color w:val="auto"/>
              </w:rPr>
              <w:t>Second Vesting Tranche</w:t>
            </w:r>
          </w:p>
        </w:tc>
        <w:tc>
          <w:tcPr>
            <w:tcW w:w="3960" w:type="dxa"/>
            <w:vAlign w:val="bottom"/>
            <w:tcBorders>
              <w:right w:val="single" w:sz="8" w:color="8064A2"/>
            </w:tcBorders>
            <w:gridSpan w:val="3"/>
          </w:tcPr>
          <w:p>
            <w:pPr>
              <w:spacing w:after="0" w:line="195" w:lineRule="exact"/>
              <w:rPr>
                <w:sz w:val="20"/>
                <w:szCs w:val="20"/>
                <w:color w:val="auto"/>
              </w:rPr>
            </w:pPr>
            <w:r>
              <w:rPr>
                <w:rFonts w:ascii="Arial" w:cs="Arial" w:eastAsia="Arial" w:hAnsi="Arial"/>
                <w:sz w:val="18"/>
                <w:szCs w:val="18"/>
                <w:color w:val="auto"/>
              </w:rPr>
              <w:t>To the extent not vested as of the Termination</w:t>
            </w:r>
          </w:p>
        </w:tc>
      </w:tr>
      <w:tr>
        <w:trPr>
          <w:trHeight w:val="189"/>
        </w:trPr>
        <w:tc>
          <w:tcPr>
            <w:tcW w:w="3860" w:type="dxa"/>
            <w:vAlign w:val="bottom"/>
            <w:tcBorders>
              <w:left w:val="single" w:sz="8" w:color="8064A2"/>
              <w:right w:val="single" w:sz="8" w:color="8064A2"/>
            </w:tcBorders>
          </w:tcPr>
          <w:p>
            <w:pPr>
              <w:spacing w:after="0"/>
              <w:rPr>
                <w:sz w:val="16"/>
                <w:szCs w:val="16"/>
                <w:color w:val="auto"/>
              </w:rPr>
            </w:pPr>
          </w:p>
        </w:tc>
        <w:tc>
          <w:tcPr>
            <w:tcW w:w="3440" w:type="dxa"/>
            <w:vAlign w:val="bottom"/>
            <w:tcBorders>
              <w:right w:val="single" w:sz="8" w:color="8064A2"/>
            </w:tcBorders>
          </w:tcPr>
          <w:p>
            <w:pPr>
              <w:spacing w:after="0"/>
              <w:rPr>
                <w:sz w:val="16"/>
                <w:szCs w:val="16"/>
                <w:color w:val="auto"/>
              </w:rPr>
            </w:pPr>
          </w:p>
        </w:tc>
        <w:tc>
          <w:tcPr>
            <w:tcW w:w="3960" w:type="dxa"/>
            <w:vAlign w:val="bottom"/>
            <w:tcBorders>
              <w:right w:val="single" w:sz="8" w:color="8064A2"/>
            </w:tcBorders>
            <w:gridSpan w:val="3"/>
          </w:tcPr>
          <w:p>
            <w:pPr>
              <w:spacing w:after="0" w:line="189" w:lineRule="exact"/>
              <w:rPr>
                <w:sz w:val="20"/>
                <w:szCs w:val="20"/>
                <w:color w:val="auto"/>
              </w:rPr>
            </w:pPr>
            <w:r>
              <w:rPr>
                <w:rFonts w:ascii="Arial" w:cs="Arial" w:eastAsia="Arial" w:hAnsi="Arial"/>
                <w:sz w:val="18"/>
                <w:szCs w:val="18"/>
                <w:color w:val="auto"/>
              </w:rPr>
              <w:t>Date, full number of PRSUs in such Vesting</w:t>
            </w:r>
          </w:p>
        </w:tc>
      </w:tr>
      <w:tr>
        <w:trPr>
          <w:trHeight w:val="189"/>
        </w:trPr>
        <w:tc>
          <w:tcPr>
            <w:tcW w:w="3860" w:type="dxa"/>
            <w:vAlign w:val="bottom"/>
            <w:tcBorders>
              <w:left w:val="single" w:sz="8" w:color="8064A2"/>
              <w:right w:val="single" w:sz="8" w:color="8064A2"/>
            </w:tcBorders>
          </w:tcPr>
          <w:p>
            <w:pPr>
              <w:spacing w:after="0"/>
              <w:rPr>
                <w:sz w:val="16"/>
                <w:szCs w:val="16"/>
                <w:color w:val="auto"/>
              </w:rPr>
            </w:pPr>
          </w:p>
        </w:tc>
        <w:tc>
          <w:tcPr>
            <w:tcW w:w="3440" w:type="dxa"/>
            <w:vAlign w:val="bottom"/>
            <w:tcBorders>
              <w:right w:val="single" w:sz="8" w:color="8064A2"/>
            </w:tcBorders>
          </w:tcPr>
          <w:p>
            <w:pPr>
              <w:spacing w:after="0"/>
              <w:rPr>
                <w:sz w:val="16"/>
                <w:szCs w:val="16"/>
                <w:color w:val="auto"/>
              </w:rPr>
            </w:pPr>
          </w:p>
        </w:tc>
        <w:tc>
          <w:tcPr>
            <w:tcW w:w="3960" w:type="dxa"/>
            <w:vAlign w:val="bottom"/>
            <w:tcBorders>
              <w:right w:val="single" w:sz="8" w:color="8064A2"/>
            </w:tcBorders>
            <w:gridSpan w:val="3"/>
          </w:tcPr>
          <w:p>
            <w:pPr>
              <w:spacing w:after="0" w:line="189" w:lineRule="exact"/>
              <w:rPr>
                <w:sz w:val="20"/>
                <w:szCs w:val="20"/>
                <w:color w:val="auto"/>
              </w:rPr>
            </w:pPr>
            <w:r>
              <w:rPr>
                <w:rFonts w:ascii="Arial" w:cs="Arial" w:eastAsia="Arial" w:hAnsi="Arial"/>
                <w:sz w:val="18"/>
                <w:szCs w:val="18"/>
                <w:color w:val="auto"/>
              </w:rPr>
              <w:t>Tranche  if  Vesting  Date  is  on  or  prior  to</w:t>
            </w:r>
          </w:p>
        </w:tc>
      </w:tr>
      <w:tr>
        <w:trPr>
          <w:trHeight w:val="217"/>
        </w:trPr>
        <w:tc>
          <w:tcPr>
            <w:tcW w:w="3860" w:type="dxa"/>
            <w:vAlign w:val="bottom"/>
            <w:tcBorders>
              <w:left w:val="single" w:sz="8" w:color="8064A2"/>
              <w:right w:val="single" w:sz="8" w:color="8064A2"/>
            </w:tcBorders>
          </w:tcPr>
          <w:p>
            <w:pPr>
              <w:spacing w:after="0"/>
              <w:rPr>
                <w:sz w:val="18"/>
                <w:szCs w:val="18"/>
                <w:color w:val="auto"/>
              </w:rPr>
            </w:pPr>
          </w:p>
        </w:tc>
        <w:tc>
          <w:tcPr>
            <w:tcW w:w="3440" w:type="dxa"/>
            <w:vAlign w:val="bottom"/>
            <w:tcBorders>
              <w:right w:val="single" w:sz="8" w:color="8064A2"/>
            </w:tcBorders>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December 31, 2024</w:t>
            </w:r>
          </w:p>
        </w:tc>
        <w:tc>
          <w:tcPr>
            <w:tcW w:w="920" w:type="dxa"/>
            <w:vAlign w:val="bottom"/>
          </w:tcPr>
          <w:p>
            <w:pPr>
              <w:spacing w:after="0"/>
              <w:rPr>
                <w:sz w:val="18"/>
                <w:szCs w:val="18"/>
                <w:color w:val="auto"/>
              </w:rPr>
            </w:pPr>
          </w:p>
        </w:tc>
        <w:tc>
          <w:tcPr>
            <w:tcW w:w="860" w:type="dxa"/>
            <w:vAlign w:val="bottom"/>
            <w:tcBorders>
              <w:right w:val="single" w:sz="8" w:color="8064A2"/>
            </w:tcBorders>
          </w:tcPr>
          <w:p>
            <w:pPr>
              <w:spacing w:after="0"/>
              <w:rPr>
                <w:sz w:val="18"/>
                <w:szCs w:val="18"/>
                <w:color w:val="auto"/>
              </w:rPr>
            </w:pPr>
          </w:p>
        </w:tc>
      </w:tr>
      <w:tr>
        <w:trPr>
          <w:trHeight w:val="256"/>
        </w:trPr>
        <w:tc>
          <w:tcPr>
            <w:tcW w:w="3860" w:type="dxa"/>
            <w:vAlign w:val="bottom"/>
            <w:tcBorders>
              <w:left w:val="single" w:sz="8" w:color="8064A2"/>
              <w:right w:val="single" w:sz="8" w:color="8064A2"/>
            </w:tcBorders>
          </w:tcPr>
          <w:p>
            <w:pPr>
              <w:spacing w:after="0"/>
              <w:rPr>
                <w:sz w:val="22"/>
                <w:szCs w:val="22"/>
                <w:color w:val="auto"/>
              </w:rPr>
            </w:pPr>
          </w:p>
        </w:tc>
        <w:tc>
          <w:tcPr>
            <w:tcW w:w="3440" w:type="dxa"/>
            <w:vAlign w:val="bottom"/>
            <w:tcBorders>
              <w:bottom w:val="single" w:sz="8" w:color="8064A2"/>
              <w:right w:val="single" w:sz="8" w:color="8064A2"/>
            </w:tcBorders>
          </w:tcPr>
          <w:p>
            <w:pPr>
              <w:spacing w:after="0"/>
              <w:rPr>
                <w:sz w:val="22"/>
                <w:szCs w:val="22"/>
                <w:color w:val="auto"/>
              </w:rPr>
            </w:pPr>
          </w:p>
        </w:tc>
        <w:tc>
          <w:tcPr>
            <w:tcW w:w="3960" w:type="dxa"/>
            <w:vAlign w:val="bottom"/>
            <w:tcBorders>
              <w:bottom w:val="single" w:sz="8" w:color="8064A2"/>
              <w:right w:val="single" w:sz="8" w:color="8064A2"/>
            </w:tcBorders>
            <w:gridSpan w:val="3"/>
          </w:tcPr>
          <w:p>
            <w:pPr>
              <w:spacing w:after="0"/>
              <w:rPr>
                <w:sz w:val="22"/>
                <w:szCs w:val="22"/>
                <w:color w:val="auto"/>
              </w:rPr>
            </w:pPr>
          </w:p>
        </w:tc>
      </w:tr>
      <w:tr>
        <w:trPr>
          <w:trHeight w:val="195"/>
        </w:trPr>
        <w:tc>
          <w:tcPr>
            <w:tcW w:w="3860" w:type="dxa"/>
            <w:vAlign w:val="bottom"/>
            <w:tcBorders>
              <w:left w:val="single" w:sz="8" w:color="8064A2"/>
              <w:right w:val="single" w:sz="8" w:color="8064A2"/>
            </w:tcBorders>
          </w:tcPr>
          <w:p>
            <w:pPr>
              <w:spacing w:after="0"/>
              <w:rPr>
                <w:sz w:val="16"/>
                <w:szCs w:val="16"/>
                <w:color w:val="auto"/>
              </w:rPr>
            </w:pPr>
          </w:p>
        </w:tc>
        <w:tc>
          <w:tcPr>
            <w:tcW w:w="3440" w:type="dxa"/>
            <w:vAlign w:val="bottom"/>
            <w:tcBorders>
              <w:right w:val="single" w:sz="8" w:color="8064A2"/>
            </w:tcBorders>
          </w:tcPr>
          <w:p>
            <w:pPr>
              <w:ind w:left="400"/>
              <w:spacing w:after="0" w:line="195" w:lineRule="exact"/>
              <w:rPr>
                <w:sz w:val="20"/>
                <w:szCs w:val="20"/>
                <w:color w:val="auto"/>
              </w:rPr>
            </w:pPr>
            <w:r>
              <w:rPr>
                <w:rFonts w:ascii="Arial" w:cs="Arial" w:eastAsia="Arial" w:hAnsi="Arial"/>
                <w:sz w:val="18"/>
                <w:szCs w:val="18"/>
                <w:color w:val="auto"/>
              </w:rPr>
              <w:t>Third Vesting Tranche</w:t>
            </w:r>
          </w:p>
        </w:tc>
        <w:tc>
          <w:tcPr>
            <w:tcW w:w="3960" w:type="dxa"/>
            <w:vAlign w:val="bottom"/>
            <w:tcBorders>
              <w:right w:val="single" w:sz="8" w:color="8064A2"/>
            </w:tcBorders>
            <w:gridSpan w:val="3"/>
          </w:tcPr>
          <w:p>
            <w:pPr>
              <w:spacing w:after="0" w:line="195" w:lineRule="exact"/>
              <w:rPr>
                <w:sz w:val="20"/>
                <w:szCs w:val="20"/>
                <w:color w:val="auto"/>
              </w:rPr>
            </w:pPr>
            <w:r>
              <w:rPr>
                <w:rFonts w:ascii="Arial" w:cs="Arial" w:eastAsia="Arial" w:hAnsi="Arial"/>
                <w:sz w:val="18"/>
                <w:szCs w:val="18"/>
                <w:color w:val="auto"/>
              </w:rPr>
              <w:t>Pro-Rata Amount (defined below) if Vesting Date</w:t>
            </w:r>
          </w:p>
        </w:tc>
      </w:tr>
      <w:tr>
        <w:trPr>
          <w:trHeight w:val="217"/>
        </w:trPr>
        <w:tc>
          <w:tcPr>
            <w:tcW w:w="3860" w:type="dxa"/>
            <w:vAlign w:val="bottom"/>
            <w:tcBorders>
              <w:left w:val="single" w:sz="8" w:color="8064A2"/>
              <w:right w:val="single" w:sz="8" w:color="8064A2"/>
            </w:tcBorders>
          </w:tcPr>
          <w:p>
            <w:pPr>
              <w:spacing w:after="0"/>
              <w:rPr>
                <w:sz w:val="18"/>
                <w:szCs w:val="18"/>
                <w:color w:val="auto"/>
              </w:rPr>
            </w:pPr>
          </w:p>
        </w:tc>
        <w:tc>
          <w:tcPr>
            <w:tcW w:w="3440" w:type="dxa"/>
            <w:vAlign w:val="bottom"/>
            <w:tcBorders>
              <w:right w:val="single" w:sz="8" w:color="8064A2"/>
            </w:tcBorders>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is on December 30, 2024</w:t>
            </w:r>
          </w:p>
        </w:tc>
        <w:tc>
          <w:tcPr>
            <w:tcW w:w="920" w:type="dxa"/>
            <w:vAlign w:val="bottom"/>
          </w:tcPr>
          <w:p>
            <w:pPr>
              <w:spacing w:after="0"/>
              <w:rPr>
                <w:sz w:val="18"/>
                <w:szCs w:val="18"/>
                <w:color w:val="auto"/>
              </w:rPr>
            </w:pPr>
          </w:p>
        </w:tc>
        <w:tc>
          <w:tcPr>
            <w:tcW w:w="860" w:type="dxa"/>
            <w:vAlign w:val="bottom"/>
            <w:tcBorders>
              <w:right w:val="single" w:sz="8" w:color="8064A2"/>
            </w:tcBorders>
          </w:tcPr>
          <w:p>
            <w:pPr>
              <w:spacing w:after="0"/>
              <w:rPr>
                <w:sz w:val="18"/>
                <w:szCs w:val="18"/>
                <w:color w:val="auto"/>
              </w:rPr>
            </w:pPr>
          </w:p>
        </w:tc>
      </w:tr>
      <w:tr>
        <w:trPr>
          <w:trHeight w:val="216"/>
        </w:trPr>
        <w:tc>
          <w:tcPr>
            <w:tcW w:w="3860" w:type="dxa"/>
            <w:vAlign w:val="bottom"/>
            <w:tcBorders>
              <w:left w:val="single" w:sz="8" w:color="8064A2"/>
              <w:bottom w:val="single" w:sz="8" w:color="8064A2"/>
              <w:right w:val="single" w:sz="8" w:color="8064A2"/>
            </w:tcBorders>
          </w:tcPr>
          <w:p>
            <w:pPr>
              <w:spacing w:after="0"/>
              <w:rPr>
                <w:sz w:val="18"/>
                <w:szCs w:val="18"/>
                <w:color w:val="auto"/>
              </w:rPr>
            </w:pPr>
          </w:p>
        </w:tc>
        <w:tc>
          <w:tcPr>
            <w:tcW w:w="3440" w:type="dxa"/>
            <w:vAlign w:val="bottom"/>
            <w:tcBorders>
              <w:bottom w:val="single" w:sz="8" w:color="8064A2"/>
              <w:right w:val="single" w:sz="8" w:color="8064A2"/>
            </w:tcBorders>
          </w:tcPr>
          <w:p>
            <w:pPr>
              <w:spacing w:after="0"/>
              <w:rPr>
                <w:sz w:val="18"/>
                <w:szCs w:val="18"/>
                <w:color w:val="auto"/>
              </w:rPr>
            </w:pPr>
          </w:p>
        </w:tc>
        <w:tc>
          <w:tcPr>
            <w:tcW w:w="2180" w:type="dxa"/>
            <w:vAlign w:val="bottom"/>
            <w:tcBorders>
              <w:bottom w:val="single" w:sz="8" w:color="8064A2"/>
            </w:tcBorders>
          </w:tcPr>
          <w:p>
            <w:pPr>
              <w:spacing w:after="0"/>
              <w:rPr>
                <w:sz w:val="18"/>
                <w:szCs w:val="18"/>
                <w:color w:val="auto"/>
              </w:rPr>
            </w:pPr>
          </w:p>
        </w:tc>
        <w:tc>
          <w:tcPr>
            <w:tcW w:w="920" w:type="dxa"/>
            <w:vAlign w:val="bottom"/>
            <w:tcBorders>
              <w:bottom w:val="single" w:sz="8" w:color="8064A2"/>
            </w:tcBorders>
          </w:tcPr>
          <w:p>
            <w:pPr>
              <w:spacing w:after="0"/>
              <w:rPr>
                <w:sz w:val="18"/>
                <w:szCs w:val="18"/>
                <w:color w:val="auto"/>
              </w:rPr>
            </w:pPr>
          </w:p>
        </w:tc>
        <w:tc>
          <w:tcPr>
            <w:tcW w:w="860" w:type="dxa"/>
            <w:vAlign w:val="bottom"/>
            <w:tcBorders>
              <w:bottom w:val="single" w:sz="8" w:color="8064A2"/>
              <w:right w:val="single" w:sz="8" w:color="8064A2"/>
            </w:tcBorders>
          </w:tcPr>
          <w:p>
            <w:pPr>
              <w:spacing w:after="0"/>
              <w:rPr>
                <w:sz w:val="18"/>
                <w:szCs w:val="18"/>
                <w:color w:val="auto"/>
              </w:rPr>
            </w:pPr>
          </w:p>
        </w:tc>
      </w:tr>
    </w:tbl>
    <w:p>
      <w:pPr>
        <w:spacing w:after="0" w:line="200" w:lineRule="exact"/>
        <w:rPr>
          <w:sz w:val="20"/>
          <w:szCs w:val="20"/>
          <w:color w:val="auto"/>
        </w:rPr>
      </w:pPr>
    </w:p>
    <w:p>
      <w:pPr>
        <w:spacing w:after="0" w:line="317" w:lineRule="exact"/>
        <w:rPr>
          <w:sz w:val="20"/>
          <w:szCs w:val="20"/>
          <w:color w:val="auto"/>
        </w:rPr>
      </w:pPr>
    </w:p>
    <w:p>
      <w:pPr>
        <w:jc w:val="both"/>
        <w:ind w:right="20" w:firstLine="1296"/>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will be equal to the number of PRSUs subject to the applicable Vesting Tranche, multiplied by a fraction, the numerator of which is the number of full months elapsed since the most recent Service Vesting Date immediately preceding such Termination Date (or, where the Termination Date is prior to the first Service Vesting Date, the Date of Grant) and the denominator of which is 12.</w:t>
      </w:r>
    </w:p>
    <w:p>
      <w:pPr>
        <w:sectPr>
          <w:pgSz w:w="11900" w:h="16838" w:orient="portrait"/>
          <w:cols w:equalWidth="0" w:num="1">
            <w:col w:w="11260"/>
          </w:cols>
          <w:pgMar w:left="320" w:top="118"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8"/>
          <w:szCs w:val="18"/>
          <w:color w:val="auto"/>
        </w:rPr>
        <w:t xml:space="preserve">The vesting of such PRSUs, and any dividend equivalents with respect thereto, shall remain subject to the achievement of the applicable Share Price Condition on or prior to the date indicated in the table above, and shall be settled within 60 days following the Vesting Date in accordance with Section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pursuant to the table set forth above shall be forfeited.</w:t>
      </w:r>
    </w:p>
    <w:p>
      <w:pPr>
        <w:spacing w:after="0" w:line="82" w:lineRule="exact"/>
        <w:rPr>
          <w:sz w:val="20"/>
          <w:szCs w:val="20"/>
          <w:color w:val="auto"/>
        </w:rPr>
      </w:pPr>
    </w:p>
    <w:p>
      <w:pPr>
        <w:jc w:val="both"/>
        <w:ind w:firstLine="1304"/>
        <w:spacing w:after="0" w:line="254" w:lineRule="auto"/>
        <w:tabs>
          <w:tab w:leader="none" w:pos="1586"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80" w:lineRule="exact"/>
        <w:rPr>
          <w:rFonts w:ascii="Arial" w:cs="Arial" w:eastAsia="Arial" w:hAnsi="Arial"/>
          <w:sz w:val="18"/>
          <w:szCs w:val="18"/>
          <w:color w:val="auto"/>
        </w:rPr>
      </w:pPr>
    </w:p>
    <w:p>
      <w:pPr>
        <w:jc w:val="both"/>
        <w:ind w:firstLine="1304"/>
        <w:spacing w:after="0" w:line="261" w:lineRule="auto"/>
        <w:tabs>
          <w:tab w:leader="none" w:pos="160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the Employer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prior to a Change in Control, the PRSUs covered by this Agreement, and any dividend equivalents with respect thereto, shall remain eligible to vest pursuant to Section 3 as if such Employee remained employed through each applicable Service Vesting Date and shall be settled within 60 days following the applicable Vesting Date in accordance with Section 2, without proration.</w:t>
      </w:r>
    </w:p>
    <w:p>
      <w:pPr>
        <w:spacing w:after="0" w:line="71" w:lineRule="exact"/>
        <w:rPr>
          <w:rFonts w:ascii="Arial" w:cs="Arial" w:eastAsia="Arial" w:hAnsi="Arial"/>
          <w:sz w:val="18"/>
          <w:szCs w:val="18"/>
          <w:color w:val="auto"/>
        </w:rPr>
      </w:pPr>
    </w:p>
    <w:p>
      <w:pPr>
        <w:jc w:val="both"/>
        <w:ind w:firstLine="1304"/>
        <w:spacing w:after="0" w:line="261" w:lineRule="auto"/>
        <w:tabs>
          <w:tab w:leader="none" w:pos="158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the Employer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Cause, the PRSUs shall be cancelled and forfeited on the date of such termination of employment, in addition to any other rights reserved under the Conduent Incorporated Compensation Recoupment Policy, as may be amended from time to time, or any successor policy.</w:t>
      </w:r>
    </w:p>
    <w:p>
      <w:pPr>
        <w:spacing w:after="0" w:line="68" w:lineRule="exact"/>
        <w:rPr>
          <w:sz w:val="20"/>
          <w:szCs w:val="20"/>
          <w:color w:val="auto"/>
        </w:rPr>
      </w:pPr>
    </w:p>
    <w:p>
      <w:pPr>
        <w:ind w:firstLine="494"/>
        <w:spacing w:after="0" w:line="287" w:lineRule="auto"/>
        <w:tabs>
          <w:tab w:leader="none" w:pos="79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45"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93" w:lineRule="exact"/>
        <w:rPr>
          <w:sz w:val="20"/>
          <w:szCs w:val="20"/>
          <w:color w:val="auto"/>
        </w:rPr>
      </w:pPr>
    </w:p>
    <w:p>
      <w:pPr>
        <w:ind w:left="1580" w:hanging="276"/>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17" w:lineRule="exact"/>
        <w:rPr>
          <w:rFonts w:ascii="Arial" w:cs="Arial" w:eastAsia="Arial" w:hAnsi="Arial"/>
          <w:sz w:val="18"/>
          <w:szCs w:val="18"/>
          <w:color w:val="auto"/>
        </w:rPr>
      </w:pPr>
    </w:p>
    <w:p>
      <w:pPr>
        <w:jc w:val="both"/>
        <w:ind w:firstLine="1304"/>
        <w:spacing w:after="0" w:line="252" w:lineRule="auto"/>
        <w:tabs>
          <w:tab w:leader="none" w:pos="15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board salary reductions similarly affecting all similarly situated employees of the Company and all similarly situated employees of any person in control of the Company;</w:t>
      </w:r>
    </w:p>
    <w:p>
      <w:pPr>
        <w:spacing w:after="0" w:line="90" w:lineRule="exact"/>
        <w:rPr>
          <w:sz w:val="20"/>
          <w:szCs w:val="20"/>
          <w:color w:val="auto"/>
        </w:rPr>
      </w:pPr>
    </w:p>
    <w:p>
      <w:pPr>
        <w:jc w:val="both"/>
        <w:ind w:firstLine="1304"/>
        <w:spacing w:after="0" w:line="254" w:lineRule="auto"/>
        <w:tabs>
          <w:tab w:leader="none" w:pos="15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95" w:lineRule="exact"/>
        <w:rPr>
          <w:rFonts w:ascii="Arial" w:cs="Arial" w:eastAsia="Arial" w:hAnsi="Arial"/>
          <w:sz w:val="18"/>
          <w:szCs w:val="18"/>
          <w:color w:val="auto"/>
        </w:rPr>
      </w:pPr>
    </w:p>
    <w:p>
      <w:pPr>
        <w:jc w:val="both"/>
        <w:ind w:firstLine="1304"/>
        <w:spacing w:after="0" w:line="252" w:lineRule="auto"/>
        <w:tabs>
          <w:tab w:leader="none" w:pos="15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00" w:lineRule="exact"/>
        <w:rPr>
          <w:rFonts w:ascii="Arial" w:cs="Arial" w:eastAsia="Arial" w:hAnsi="Arial"/>
          <w:sz w:val="18"/>
          <w:szCs w:val="18"/>
          <w:color w:val="auto"/>
        </w:rPr>
      </w:pPr>
    </w:p>
    <w:p>
      <w:pPr>
        <w:ind w:left="1580" w:hanging="276"/>
        <w:spacing w:after="0"/>
        <w:tabs>
          <w:tab w:leader="none" w:pos="1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under this Plan.</w:t>
      </w:r>
    </w:p>
    <w:p>
      <w:pPr>
        <w:spacing w:after="0" w:line="11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A termination by the Employee of his or her employment shall not fail to be a Termination for Good Reason merely because of the Employee’s incapacity due to physical or mental illness, or because the Employee’s employment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the Employer.</w:t>
      </w:r>
    </w:p>
    <w:p>
      <w:pPr>
        <w:spacing w:after="0" w:line="117" w:lineRule="exact"/>
        <w:rPr>
          <w:sz w:val="20"/>
          <w:szCs w:val="20"/>
          <w:color w:val="auto"/>
        </w:rPr>
      </w:pPr>
    </w:p>
    <w:p>
      <w:pPr>
        <w:jc w:val="both"/>
        <w:ind w:right="20" w:firstLine="48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9(a) only, an increase in ownership by Permitted Holders shall not be deemed a Change in Control.</w:t>
      </w:r>
    </w:p>
    <w:p>
      <w:pPr>
        <w:spacing w:after="0" w:line="4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67" w:lineRule="exact"/>
        <w:rPr>
          <w:sz w:val="20"/>
          <w:szCs w:val="20"/>
          <w:color w:val="auto"/>
        </w:rPr>
      </w:pPr>
    </w:p>
    <w:p>
      <w:pPr>
        <w:jc w:val="both"/>
        <w:ind w:firstLine="397"/>
        <w:spacing w:after="0" w:line="251" w:lineRule="auto"/>
        <w:tabs>
          <w:tab w:leader="none" w:pos="66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the Employer in connection with the Employer’s sale (whether by sale of assets or a subsidiary, or both) of a line of business within which the Employee was employed immediately prior to such sale as determined by the Committee in its sole discretion, that does not constitute a Change in Control, shall be treated as an involuntary termination of employment for purposes of this Agreement and the PRSUs shall vest and be paid as provided in Section 9(a)(ii) above; provided, however, that in the event such Termination Date occurs prior to December 31, 2022, the Employee shall be eligible to vest with respect to the First Vesting Tranche to the extent that the Vesting Date for such tranche occurs on or prior to December 31, 2023, prorated based on a fraction, the numerator of which is the number of full months elapsed since January 1, 2022 and the denominator of which is 12, and the remaining PRSUs shall be forfeited; and provided, further,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8"/>
        <w:spacing w:after="0" w:line="252" w:lineRule="auto"/>
        <w:tabs>
          <w:tab w:leader="none" w:pos="31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98" w:lineRule="exact"/>
        <w:rPr>
          <w:rFonts w:ascii="Arial" w:cs="Arial" w:eastAsia="Arial" w:hAnsi="Arial"/>
          <w:sz w:val="18"/>
          <w:szCs w:val="18"/>
          <w:color w:val="auto"/>
        </w:rPr>
      </w:pPr>
    </w:p>
    <w:p>
      <w:pPr>
        <w:jc w:val="both"/>
        <w:ind w:firstLine="8"/>
        <w:spacing w:after="0" w:line="252" w:lineRule="auto"/>
        <w:tabs>
          <w:tab w:leader="none" w:pos="31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and subject to company procedures,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97"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17" w:lineRule="exact"/>
        <w:rPr>
          <w:rFonts w:ascii="Arial" w:cs="Arial" w:eastAsia="Arial" w:hAnsi="Arial"/>
          <w:sz w:val="18"/>
          <w:szCs w:val="18"/>
          <w:color w:val="auto"/>
        </w:rPr>
      </w:pPr>
    </w:p>
    <w:p>
      <w:pPr>
        <w:jc w:val="both"/>
        <w:ind w:firstLine="413"/>
        <w:spacing w:after="0" w:line="256" w:lineRule="auto"/>
        <w:tabs>
          <w:tab w:leader="none" w:pos="8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93" w:lineRule="exact"/>
        <w:rPr>
          <w:rFonts w:ascii="Arial" w:cs="Arial" w:eastAsia="Arial" w:hAnsi="Arial"/>
          <w:sz w:val="18"/>
          <w:szCs w:val="18"/>
          <w:color w:val="auto"/>
        </w:rPr>
      </w:pPr>
    </w:p>
    <w:p>
      <w:pPr>
        <w:ind w:firstLine="413"/>
        <w:spacing w:after="0" w:line="261" w:lineRule="auto"/>
        <w:tabs>
          <w:tab w:leader="none" w:pos="8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89" w:lineRule="exact"/>
        <w:rPr>
          <w:rFonts w:ascii="Arial" w:cs="Arial" w:eastAsia="Arial" w:hAnsi="Arial"/>
          <w:sz w:val="18"/>
          <w:szCs w:val="18"/>
          <w:color w:val="auto"/>
        </w:rPr>
      </w:pPr>
    </w:p>
    <w:p>
      <w:pPr>
        <w:ind w:firstLine="413"/>
        <w:spacing w:after="0" w:line="261" w:lineRule="auto"/>
        <w:tabs>
          <w:tab w:leader="none" w:pos="84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89" w:lineRule="exact"/>
        <w:rPr>
          <w:rFonts w:ascii="Arial" w:cs="Arial" w:eastAsia="Arial" w:hAnsi="Arial"/>
          <w:sz w:val="18"/>
          <w:szCs w:val="18"/>
          <w:color w:val="auto"/>
        </w:rPr>
      </w:pPr>
    </w:p>
    <w:p>
      <w:pPr>
        <w:jc w:val="both"/>
        <w:ind w:firstLine="413"/>
        <w:spacing w:after="0" w:line="256" w:lineRule="auto"/>
        <w:tabs>
          <w:tab w:leader="none" w:pos="82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93" w:lineRule="exact"/>
        <w:rPr>
          <w:rFonts w:ascii="Arial" w:cs="Arial" w:eastAsia="Arial" w:hAnsi="Arial"/>
          <w:sz w:val="18"/>
          <w:szCs w:val="18"/>
          <w:color w:val="auto"/>
        </w:rPr>
      </w:pPr>
    </w:p>
    <w:p>
      <w:pPr>
        <w:ind w:left="840" w:hanging="427"/>
        <w:spacing w:after="0"/>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17" w:lineRule="exact"/>
        <w:rPr>
          <w:rFonts w:ascii="Arial" w:cs="Arial" w:eastAsia="Arial" w:hAnsi="Arial"/>
          <w:sz w:val="18"/>
          <w:szCs w:val="18"/>
          <w:color w:val="auto"/>
        </w:rPr>
      </w:pPr>
    </w:p>
    <w:p>
      <w:pPr>
        <w:jc w:val="both"/>
        <w:ind w:firstLine="413"/>
        <w:spacing w:after="0" w:line="256" w:lineRule="auto"/>
        <w:tabs>
          <w:tab w:leader="none" w:pos="97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93" w:lineRule="exact"/>
        <w:rPr>
          <w:rFonts w:ascii="Arial" w:cs="Arial" w:eastAsia="Arial" w:hAnsi="Arial"/>
          <w:sz w:val="18"/>
          <w:szCs w:val="18"/>
          <w:color w:val="auto"/>
        </w:rPr>
      </w:pPr>
    </w:p>
    <w:p>
      <w:pPr>
        <w:ind w:firstLine="413"/>
        <w:spacing w:after="0" w:line="261" w:lineRule="auto"/>
        <w:tabs>
          <w:tab w:leader="none" w:pos="101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89" w:lineRule="exact"/>
        <w:rPr>
          <w:rFonts w:ascii="Arial" w:cs="Arial" w:eastAsia="Arial" w:hAnsi="Arial"/>
          <w:sz w:val="18"/>
          <w:szCs w:val="18"/>
          <w:color w:val="auto"/>
        </w:rPr>
      </w:pPr>
    </w:p>
    <w:p>
      <w:pPr>
        <w:jc w:val="both"/>
        <w:ind w:firstLine="413"/>
        <w:spacing w:after="0" w:line="254" w:lineRule="auto"/>
        <w:tabs>
          <w:tab w:leader="none" w:pos="839"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95" w:lineRule="exact"/>
        <w:rPr>
          <w:rFonts w:ascii="Arial" w:cs="Arial" w:eastAsia="Arial" w:hAnsi="Arial"/>
          <w:sz w:val="18"/>
          <w:szCs w:val="18"/>
          <w:color w:val="auto"/>
        </w:rPr>
      </w:pPr>
    </w:p>
    <w:p>
      <w:pPr>
        <w:ind w:left="780" w:hanging="367"/>
        <w:spacing w:after="0"/>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17" w:lineRule="exact"/>
        <w:rPr>
          <w:rFonts w:ascii="Arial" w:cs="Arial" w:eastAsia="Arial" w:hAnsi="Arial"/>
          <w:sz w:val="18"/>
          <w:szCs w:val="18"/>
          <w:color w:val="auto"/>
        </w:rPr>
      </w:pPr>
    </w:p>
    <w:p>
      <w:pPr>
        <w:ind w:firstLine="413"/>
        <w:spacing w:after="0" w:line="261" w:lineRule="auto"/>
        <w:tabs>
          <w:tab w:leader="none" w:pos="7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forfeiture resulting from</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termination of the Employee’s employment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96" w:lineRule="exact"/>
        <w:rPr>
          <w:sz w:val="20"/>
          <w:szCs w:val="20"/>
          <w:color w:val="auto"/>
        </w:rPr>
      </w:pPr>
    </w:p>
    <w:p>
      <w:pPr>
        <w:ind w:firstLine="413"/>
        <w:spacing w:after="0" w:line="261" w:lineRule="auto"/>
        <w:tabs>
          <w:tab w:leader="none" w:pos="953"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89" w:lineRule="exact"/>
        <w:rPr>
          <w:rFonts w:ascii="Arial" w:cs="Arial" w:eastAsia="Arial" w:hAnsi="Arial"/>
          <w:sz w:val="18"/>
          <w:szCs w:val="18"/>
          <w:color w:val="auto"/>
        </w:rPr>
      </w:pPr>
    </w:p>
    <w:p>
      <w:pPr>
        <w:jc w:val="both"/>
        <w:ind w:firstLine="8"/>
        <w:spacing w:after="0" w:line="254"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95" w:lineRule="exact"/>
        <w:rPr>
          <w:rFonts w:ascii="Arial" w:cs="Arial" w:eastAsia="Arial" w:hAnsi="Arial"/>
          <w:sz w:val="18"/>
          <w:szCs w:val="18"/>
          <w:color w:val="auto"/>
        </w:rPr>
      </w:pPr>
    </w:p>
    <w:p>
      <w:pPr>
        <w:ind w:right="20" w:firstLine="8"/>
        <w:spacing w:after="0" w:line="261"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89" w:lineRule="exact"/>
        <w:rPr>
          <w:rFonts w:ascii="Arial" w:cs="Arial" w:eastAsia="Arial" w:hAnsi="Arial"/>
          <w:sz w:val="18"/>
          <w:szCs w:val="18"/>
          <w:color w:val="auto"/>
        </w:rPr>
      </w:pPr>
    </w:p>
    <w:p>
      <w:pPr>
        <w:jc w:val="both"/>
        <w:ind w:firstLine="8"/>
        <w:spacing w:after="0" w:line="254"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California or another jurisdiction where such restrictive covenants are not permitted under applicable law, this Award and the delivery of any shares of Common Stock hereunder are contingent on the Employee executing, and the Employee’s continued compliance with, the Non-Competition and Non-Solicitation Agreement set forth as Exhibit A to this Agreement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ind w:firstLine="8"/>
        <w:spacing w:after="0" w:line="261"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89" w:lineRule="exact"/>
        <w:rPr>
          <w:rFonts w:ascii="Arial" w:cs="Arial" w:eastAsia="Arial" w:hAnsi="Arial"/>
          <w:sz w:val="18"/>
          <w:szCs w:val="18"/>
          <w:color w:val="auto"/>
        </w:rPr>
      </w:pPr>
    </w:p>
    <w:p>
      <w:pPr>
        <w:ind w:firstLine="8"/>
        <w:spacing w:after="0" w:line="261"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89" w:lineRule="exact"/>
        <w:rPr>
          <w:rFonts w:ascii="Arial" w:cs="Arial" w:eastAsia="Arial" w:hAnsi="Arial"/>
          <w:sz w:val="18"/>
          <w:szCs w:val="18"/>
          <w:color w:val="auto"/>
        </w:rPr>
      </w:pPr>
    </w:p>
    <w:p>
      <w:pPr>
        <w:ind w:left="660" w:hanging="328"/>
        <w:spacing w:after="0" w:line="261" w:lineRule="auto"/>
        <w:tabs>
          <w:tab w:leader="none" w:pos="6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95"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00" w:lineRule="exact"/>
        <w:rPr>
          <w:sz w:val="20"/>
          <w:szCs w:val="20"/>
          <w:color w:val="auto"/>
        </w:rPr>
      </w:pPr>
    </w:p>
    <w:p>
      <w:pPr>
        <w:jc w:val="both"/>
        <w:ind w:left="660" w:hanging="328"/>
        <w:spacing w:after="0" w:line="253" w:lineRule="auto"/>
        <w:tabs>
          <w:tab w:leader="none" w:pos="7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employment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ectPr>
          <w:pgSz w:w="11900" w:h="16838" w:orient="portrait"/>
          <w:cols w:equalWidth="0" w:num="1">
            <w:col w:w="11240"/>
          </w:cols>
          <w:pgMar w:left="320" w:top="11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60" w:hanging="328"/>
        <w:spacing w:after="0" w:line="252"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00" w:lineRule="exact"/>
        <w:rPr>
          <w:rFonts w:ascii="Arial" w:cs="Arial" w:eastAsia="Arial" w:hAnsi="Arial"/>
          <w:sz w:val="18"/>
          <w:szCs w:val="18"/>
          <w:color w:val="auto"/>
        </w:rPr>
      </w:pPr>
    </w:p>
    <w:p>
      <w:pPr>
        <w:jc w:val="both"/>
        <w:ind w:firstLine="8"/>
        <w:spacing w:after="0" w:line="256"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93" w:lineRule="exact"/>
        <w:rPr>
          <w:rFonts w:ascii="Arial" w:cs="Arial" w:eastAsia="Arial" w:hAnsi="Arial"/>
          <w:sz w:val="18"/>
          <w:szCs w:val="18"/>
          <w:color w:val="auto"/>
        </w:rPr>
      </w:pPr>
    </w:p>
    <w:p>
      <w:pPr>
        <w:ind w:firstLine="8"/>
        <w:spacing w:after="0" w:line="261"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89" w:lineRule="exact"/>
        <w:rPr>
          <w:rFonts w:ascii="Arial" w:cs="Arial" w:eastAsia="Arial" w:hAnsi="Arial"/>
          <w:sz w:val="18"/>
          <w:szCs w:val="18"/>
          <w:color w:val="auto"/>
        </w:rPr>
      </w:pPr>
    </w:p>
    <w:p>
      <w:pPr>
        <w:jc w:val="both"/>
        <w:ind w:firstLine="8"/>
        <w:spacing w:after="0" w:line="253" w:lineRule="auto"/>
        <w:tabs>
          <w:tab w:leader="none" w:pos="31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97" w:lineRule="exact"/>
        <w:rPr>
          <w:rFonts w:ascii="Arial" w:cs="Arial" w:eastAsia="Arial" w:hAnsi="Arial"/>
          <w:sz w:val="18"/>
          <w:szCs w:val="18"/>
          <w:color w:val="auto"/>
        </w:rPr>
      </w:pPr>
    </w:p>
    <w:p>
      <w:pPr>
        <w:jc w:val="both"/>
        <w:ind w:firstLine="8"/>
        <w:spacing w:after="0" w:line="252"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00" w:lineRule="exact"/>
        <w:rPr>
          <w:rFonts w:ascii="Arial" w:cs="Arial" w:eastAsia="Arial" w:hAnsi="Arial"/>
          <w:sz w:val="18"/>
          <w:szCs w:val="18"/>
          <w:color w:val="auto"/>
        </w:rPr>
      </w:pPr>
    </w:p>
    <w:p>
      <w:pPr>
        <w:ind w:firstLine="8"/>
        <w:spacing w:after="0" w:line="261" w:lineRule="auto"/>
        <w:tabs>
          <w:tab w:leader="none" w:pos="31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89" w:lineRule="exact"/>
        <w:rPr>
          <w:rFonts w:ascii="Arial" w:cs="Arial" w:eastAsia="Arial" w:hAnsi="Arial"/>
          <w:sz w:val="18"/>
          <w:szCs w:val="18"/>
          <w:color w:val="auto"/>
        </w:rPr>
      </w:pPr>
    </w:p>
    <w:p>
      <w:pPr>
        <w:jc w:val="both"/>
        <w:ind w:firstLine="8"/>
        <w:spacing w:after="0" w:line="253" w:lineRule="auto"/>
        <w:tabs>
          <w:tab w:leader="none" w:pos="32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and agree that such litigation shall be conducted in the state or federal courts located in Delaware.</w:t>
      </w:r>
    </w:p>
    <w:p>
      <w:pPr>
        <w:spacing w:after="0" w:line="97" w:lineRule="exact"/>
        <w:rPr>
          <w:rFonts w:ascii="Arial" w:cs="Arial" w:eastAsia="Arial" w:hAnsi="Arial"/>
          <w:sz w:val="18"/>
          <w:szCs w:val="18"/>
          <w:color w:val="auto"/>
        </w:rPr>
      </w:pPr>
    </w:p>
    <w:p>
      <w:pPr>
        <w:jc w:val="both"/>
        <w:ind w:firstLine="8"/>
        <w:spacing w:after="0" w:line="256"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9 of this Agreement straddles two calendar years, then any PRSUs, and any dividends with respect thereto, that are settled within such 60-day period in accordance with this Agreement shall be settled in the second calendar year.</w:t>
      </w:r>
    </w:p>
    <w:p>
      <w:pPr>
        <w:sectPr>
          <w:pgSz w:w="11900" w:h="16838" w:orient="portrait"/>
          <w:cols w:equalWidth="0" w:num="1">
            <w:col w:w="11240"/>
          </w:cols>
          <w:pgMar w:left="320" w:top="11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 (b)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00" w:lineRule="exact"/>
        <w:rPr>
          <w:sz w:val="20"/>
          <w:szCs w:val="20"/>
          <w:color w:val="auto"/>
        </w:rPr>
      </w:pPr>
    </w:p>
    <w:p>
      <w:pPr>
        <w:jc w:val="both"/>
        <w:ind w:firstLine="8"/>
        <w:spacing w:after="0" w:line="256" w:lineRule="auto"/>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93" w:lineRule="exact"/>
        <w:rPr>
          <w:rFonts w:ascii="Arial" w:cs="Arial" w:eastAsia="Arial" w:hAnsi="Arial"/>
          <w:sz w:val="18"/>
          <w:szCs w:val="18"/>
          <w:color w:val="auto"/>
        </w:rPr>
      </w:pPr>
    </w:p>
    <w:p>
      <w:pPr>
        <w:ind w:right="20" w:firstLine="8"/>
        <w:spacing w:after="0" w:line="261"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89" w:lineRule="exact"/>
        <w:rPr>
          <w:rFonts w:ascii="Arial" w:cs="Arial" w:eastAsia="Arial" w:hAnsi="Arial"/>
          <w:sz w:val="18"/>
          <w:szCs w:val="18"/>
          <w:color w:val="auto"/>
        </w:rPr>
      </w:pPr>
    </w:p>
    <w:p>
      <w:pPr>
        <w:jc w:val="both"/>
        <w:ind w:firstLine="8"/>
        <w:spacing w:after="0" w:line="253" w:lineRule="auto"/>
        <w:tabs>
          <w:tab w:leader="none" w:pos="31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97" w:lineRule="exact"/>
        <w:rPr>
          <w:rFonts w:ascii="Arial" w:cs="Arial" w:eastAsia="Arial" w:hAnsi="Arial"/>
          <w:sz w:val="18"/>
          <w:szCs w:val="18"/>
          <w:color w:val="auto"/>
        </w:rPr>
      </w:pPr>
    </w:p>
    <w:p>
      <w:pPr>
        <w:jc w:val="both"/>
        <w:ind w:firstLine="8"/>
        <w:spacing w:after="0" w:line="25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97" w:lineRule="exact"/>
        <w:rPr>
          <w:sz w:val="20"/>
          <w:szCs w:val="20"/>
          <w:color w:val="auto"/>
        </w:rPr>
      </w:pPr>
    </w:p>
    <w:p>
      <w:pPr>
        <w:ind w:right="1180"/>
        <w:spacing w:after="0" w:line="387" w:lineRule="auto"/>
        <w:rPr>
          <w:sz w:val="20"/>
          <w:szCs w:val="20"/>
          <w:color w:val="auto"/>
        </w:rPr>
      </w:pPr>
      <w:r>
        <w:rPr>
          <w:rFonts w:ascii="Arial" w:cs="Arial" w:eastAsia="Arial" w:hAnsi="Arial"/>
          <w:sz w:val="18"/>
          <w:szCs w:val="18"/>
          <w:color w:val="auto"/>
        </w:rPr>
        <w:t>IN WITNESS WHEREOF, the Company has executed this Agreement as of the day and year set forth on the Award Summary. CONDUENT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Kujawa</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Christopher Kujawa, Chief Human Resources Officer</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Date: April, 1, 2022</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Non-Competition and Non-Solicitation Agreement (“Agreement”) is made effective as of April 1, 2022 (“Effective Date”) between Conduent Business Services, LLC, its parent, subsidiaries, divisions and affiliates (collectively, “Conduent”) and the individual whose name appears in the Award Summary (“Employee”).</w:t>
      </w: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200" w:lineRule="exact"/>
        <w:rPr>
          <w:sz w:val="20"/>
          <w:szCs w:val="20"/>
          <w:color w:val="auto"/>
        </w:rPr>
      </w:pP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00" w:lineRule="exact"/>
        <w:rPr>
          <w:sz w:val="20"/>
          <w:szCs w:val="20"/>
          <w:color w:val="auto"/>
        </w:rPr>
      </w:pPr>
    </w:p>
    <w:p>
      <w:pPr>
        <w:spacing w:after="0" w:line="268" w:lineRule="exact"/>
        <w:rPr>
          <w:sz w:val="20"/>
          <w:szCs w:val="20"/>
          <w:color w:val="auto"/>
        </w:rPr>
      </w:pPr>
    </w:p>
    <w:p>
      <w:pPr>
        <w:ind w:left="660" w:right="260" w:hanging="328"/>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manage, operate, or render any services for (including, but not limited to, as an employee, proprietor, partner, agent, contractor, or consultant) any Entity that is engaged in any Competitive Activity in the Geographical Area.</w:t>
      </w:r>
    </w:p>
    <w:p>
      <w:pPr>
        <w:spacing w:after="0" w:line="200" w:lineRule="exact"/>
        <w:rPr>
          <w:sz w:val="20"/>
          <w:szCs w:val="20"/>
          <w:color w:val="auto"/>
        </w:rPr>
      </w:pPr>
    </w:p>
    <w:p>
      <w:pPr>
        <w:spacing w:after="0" w:line="236" w:lineRule="exact"/>
        <w:rPr>
          <w:sz w:val="20"/>
          <w:szCs w:val="20"/>
          <w:color w:val="auto"/>
        </w:rPr>
      </w:pPr>
    </w:p>
    <w:p>
      <w:pPr>
        <w:ind w:left="600" w:hanging="268"/>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firstLine="980"/>
        <w:spacing w:after="0" w:line="253" w:lineRule="auto"/>
        <w:tabs>
          <w:tab w:leader="none" w:pos="1236"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right="20" w:firstLine="980"/>
        <w:spacing w:after="0" w:line="261" w:lineRule="auto"/>
        <w:tabs>
          <w:tab w:leader="none" w:pos="1222"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980"/>
        <w:spacing w:after="0" w:line="261" w:lineRule="auto"/>
        <w:tabs>
          <w:tab w:leader="none" w:pos="127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980"/>
        <w:spacing w:after="0" w:line="261" w:lineRule="auto"/>
        <w:tabs>
          <w:tab w:leader="none" w:pos="12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8"/>
        <w:spacing w:after="0" w:line="261" w:lineRule="auto"/>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200" w:lineRule="exact"/>
        <w:rPr>
          <w:sz w:val="20"/>
          <w:szCs w:val="20"/>
          <w:color w:val="auto"/>
        </w:rPr>
      </w:pPr>
    </w:p>
    <w:p>
      <w:pPr>
        <w:spacing w:after="0" w:line="225" w:lineRule="exact"/>
        <w:rPr>
          <w:sz w:val="20"/>
          <w:szCs w:val="20"/>
          <w:color w:val="auto"/>
        </w:rPr>
      </w:pPr>
    </w:p>
    <w:p>
      <w:pPr>
        <w:jc w:val="both"/>
        <w:ind w:left="500" w:hanging="168"/>
        <w:spacing w:after="0" w:line="255" w:lineRule="auto"/>
        <w:tabs>
          <w:tab w:leader="none" w:pos="733"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76" w:lineRule="exact"/>
        <w:rPr>
          <w:rFonts w:ascii="Arial" w:cs="Arial" w:eastAsia="Arial" w:hAnsi="Arial"/>
          <w:sz w:val="18"/>
          <w:szCs w:val="18"/>
          <w:b w:val="1"/>
          <w:bCs w:val="1"/>
          <w:u w:val="single" w:color="auto"/>
          <w:color w:val="auto"/>
        </w:rPr>
      </w:pPr>
    </w:p>
    <w:p>
      <w:pPr>
        <w:ind w:left="500" w:hanging="168"/>
        <w:spacing w:after="0" w:line="287" w:lineRule="auto"/>
        <w:tabs>
          <w:tab w:leader="none" w:pos="742"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w:t>
      </w:r>
      <w:r>
        <w:rPr>
          <w:rFonts w:ascii="Arial" w:cs="Arial" w:eastAsia="Arial" w:hAnsi="Arial"/>
          <w:sz w:val="18"/>
          <w:szCs w:val="18"/>
          <w:b w:val="1"/>
          <w:bCs w:val="1"/>
          <w:color w:val="auto"/>
        </w:rPr>
        <w:t xml:space="preserve"> </w:t>
      </w:r>
      <w:r>
        <w:rPr>
          <w:rFonts w:ascii="Arial" w:cs="Arial" w:eastAsia="Arial" w:hAnsi="Arial"/>
          <w:sz w:val="18"/>
          <w:szCs w:val="18"/>
          <w:color w:val="auto"/>
        </w:rPr>
        <w:t>solicit, induce, encourage or assist any employee of Conduent to leave such employee’s employment with Conduent.</w:t>
      </w:r>
    </w:p>
    <w:p>
      <w:pPr>
        <w:spacing w:after="0" w:line="44" w:lineRule="exact"/>
        <w:rPr>
          <w:rFonts w:ascii="Arial" w:cs="Arial" w:eastAsia="Arial" w:hAnsi="Arial"/>
          <w:sz w:val="18"/>
          <w:szCs w:val="18"/>
          <w:b w:val="1"/>
          <w:bCs w:val="1"/>
          <w:u w:val="single" w:color="auto"/>
          <w:color w:val="auto"/>
        </w:rPr>
      </w:pPr>
    </w:p>
    <w:p>
      <w:pPr>
        <w:jc w:val="both"/>
        <w:ind w:left="500" w:hanging="168"/>
        <w:spacing w:after="0" w:line="255" w:lineRule="auto"/>
        <w:tabs>
          <w:tab w:leader="none" w:pos="823"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72" w:lineRule="exact"/>
        <w:rPr>
          <w:rFonts w:ascii="Arial" w:cs="Arial" w:eastAsia="Arial" w:hAnsi="Arial"/>
          <w:sz w:val="18"/>
          <w:szCs w:val="18"/>
          <w:b w:val="1"/>
          <w:bCs w:val="1"/>
          <w:u w:val="single" w:color="auto"/>
          <w:color w:val="auto"/>
        </w:rPr>
      </w:pPr>
    </w:p>
    <w:p>
      <w:pPr>
        <w:jc w:val="both"/>
        <w:ind w:left="500" w:hanging="168"/>
        <w:spacing w:after="0" w:line="262" w:lineRule="auto"/>
        <w:tabs>
          <w:tab w:leader="none" w:pos="725"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68" w:lineRule="exact"/>
        <w:rPr>
          <w:rFonts w:ascii="Arial" w:cs="Arial" w:eastAsia="Arial" w:hAnsi="Arial"/>
          <w:sz w:val="18"/>
          <w:szCs w:val="18"/>
          <w:b w:val="1"/>
          <w:bCs w:val="1"/>
          <w:u w:val="single" w:color="auto"/>
          <w:color w:val="auto"/>
        </w:rPr>
      </w:pPr>
    </w:p>
    <w:p>
      <w:pPr>
        <w:jc w:val="both"/>
        <w:ind w:left="500" w:hanging="168"/>
        <w:spacing w:after="0" w:line="268" w:lineRule="auto"/>
        <w:tabs>
          <w:tab w:leader="none" w:pos="803"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Conduent containing a non-compete obligation, a non-solicitation of customers obligation or a non-solicitation of employees obligation is hereby</w:t>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10.6(a)(x)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68"/>
        <w:spacing w:after="0" w:line="261" w:lineRule="auto"/>
        <w:rPr>
          <w:sz w:val="20"/>
          <w:szCs w:val="20"/>
          <w:color w:val="auto"/>
        </w:rPr>
      </w:pPr>
      <w:r>
        <w:rPr>
          <w:rFonts w:ascii="Arial" w:cs="Arial" w:eastAsia="Arial" w:hAnsi="Arial"/>
          <w:sz w:val="18"/>
          <w:szCs w:val="18"/>
          <w:color w:val="auto"/>
        </w:rPr>
        <w:t>terminated and Employee shall only be subject to this Agreement with respect to such matters. Except as provided by the preceding sentence, all other terms of all agreements between Employee and Conduent shall remain in full effect.</w:t>
      </w:r>
    </w:p>
    <w:p>
      <w:pPr>
        <w:spacing w:after="0" w:line="68" w:lineRule="exact"/>
        <w:rPr>
          <w:sz w:val="20"/>
          <w:szCs w:val="20"/>
          <w:color w:val="auto"/>
        </w:rPr>
      </w:pPr>
    </w:p>
    <w:p>
      <w:pPr>
        <w:jc w:val="both"/>
        <w:ind w:left="168" w:hanging="168"/>
        <w:spacing w:after="0" w:line="259" w:lineRule="auto"/>
        <w:tabs>
          <w:tab w:leader="none" w:pos="388" w:val="left"/>
        </w:tabs>
        <w:numPr>
          <w:ilvl w:val="0"/>
          <w:numId w:val="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71" w:lineRule="exact"/>
        <w:rPr>
          <w:rFonts w:ascii="Arial" w:cs="Arial" w:eastAsia="Arial" w:hAnsi="Arial"/>
          <w:sz w:val="18"/>
          <w:szCs w:val="18"/>
          <w:b w:val="1"/>
          <w:bCs w:val="1"/>
          <w:u w:val="single" w:color="auto"/>
          <w:color w:val="auto"/>
        </w:rPr>
      </w:pPr>
    </w:p>
    <w:p>
      <w:pPr>
        <w:jc w:val="both"/>
        <w:ind w:left="168" w:hanging="168"/>
        <w:spacing w:after="0" w:line="262" w:lineRule="auto"/>
        <w:tabs>
          <w:tab w:leader="none" w:pos="367" w:val="left"/>
        </w:tabs>
        <w:numPr>
          <w:ilvl w:val="0"/>
          <w:numId w:val="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68" w:lineRule="exact"/>
        <w:rPr>
          <w:rFonts w:ascii="Arial" w:cs="Arial" w:eastAsia="Arial" w:hAnsi="Arial"/>
          <w:sz w:val="18"/>
          <w:szCs w:val="18"/>
          <w:b w:val="1"/>
          <w:bCs w:val="1"/>
          <w:u w:val="single" w:color="auto"/>
          <w:color w:val="auto"/>
        </w:rPr>
      </w:pPr>
    </w:p>
    <w:p>
      <w:pPr>
        <w:jc w:val="both"/>
        <w:ind w:left="168" w:hanging="168"/>
        <w:spacing w:after="0" w:line="262" w:lineRule="auto"/>
        <w:tabs>
          <w:tab w:leader="none" w:pos="437" w:val="left"/>
        </w:tabs>
        <w:numPr>
          <w:ilvl w:val="0"/>
          <w:numId w:val="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rPr>
        <w:t>. In the event that any of the provisions of this Agreement is deemed unenforceable or to exceed the protections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afforded 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68" w:lineRule="exact"/>
        <w:rPr>
          <w:rFonts w:ascii="Arial" w:cs="Arial" w:eastAsia="Arial" w:hAnsi="Arial"/>
          <w:sz w:val="18"/>
          <w:szCs w:val="18"/>
          <w:b w:val="1"/>
          <w:bCs w:val="1"/>
          <w:u w:val="single" w:color="auto"/>
          <w:color w:val="auto"/>
        </w:rPr>
      </w:pPr>
    </w:p>
    <w:p>
      <w:pPr>
        <w:jc w:val="both"/>
        <w:ind w:left="168" w:hanging="168"/>
        <w:spacing w:after="0" w:line="268" w:lineRule="auto"/>
        <w:tabs>
          <w:tab w:leader="none" w:pos="360" w:val="left"/>
        </w:tabs>
        <w:numPr>
          <w:ilvl w:val="0"/>
          <w:numId w:val="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own choosing and that Employee carefully reviewed the terms of this Agreement before knowingly and voluntarily executing it.</w:t>
      </w:r>
    </w:p>
    <w:p>
      <w:pPr>
        <w:spacing w:after="0" w:line="62" w:lineRule="exact"/>
        <w:rPr>
          <w:rFonts w:ascii="Arial" w:cs="Arial" w:eastAsia="Arial" w:hAnsi="Arial"/>
          <w:sz w:val="18"/>
          <w:szCs w:val="18"/>
          <w:b w:val="1"/>
          <w:bCs w:val="1"/>
          <w:u w:val="single" w:color="auto"/>
          <w:color w:val="auto"/>
        </w:rPr>
      </w:pPr>
    </w:p>
    <w:p>
      <w:pPr>
        <w:jc w:val="both"/>
        <w:ind w:left="168" w:hanging="168"/>
        <w:spacing w:after="0" w:line="268" w:lineRule="auto"/>
        <w:tabs>
          <w:tab w:leader="none" w:pos="313" w:val="left"/>
        </w:tabs>
        <w:numPr>
          <w:ilvl w:val="0"/>
          <w:numId w:val="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Any failure by Conduent to exercise any of its rights under this Agreement in the event of any breach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Employee shall not be construed as a waiver of any such breach, nor act to prevent Conduent from requiring strict compliance with the terms of this Agreement.</w:t>
      </w:r>
    </w:p>
    <w:p>
      <w:pPr>
        <w:spacing w:after="0" w:line="62" w:lineRule="exact"/>
        <w:rPr>
          <w:rFonts w:ascii="Arial" w:cs="Arial" w:eastAsia="Arial" w:hAnsi="Arial"/>
          <w:sz w:val="18"/>
          <w:szCs w:val="18"/>
          <w:b w:val="1"/>
          <w:bCs w:val="1"/>
          <w:u w:val="single" w:color="auto"/>
          <w:color w:val="auto"/>
        </w:rPr>
      </w:pPr>
    </w:p>
    <w:p>
      <w:pPr>
        <w:jc w:val="both"/>
        <w:ind w:left="168" w:hanging="168"/>
        <w:spacing w:after="0" w:line="259" w:lineRule="auto"/>
        <w:tabs>
          <w:tab w:leader="none" w:pos="306" w:val="left"/>
        </w:tabs>
        <w:numPr>
          <w:ilvl w:val="0"/>
          <w:numId w:val="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ectPr>
          <w:pgSz w:w="11900" w:h="16838" w:orient="portrait"/>
          <w:cols w:equalWidth="0" w:num="1">
            <w:col w:w="10908"/>
          </w:cols>
          <w:pgMar w:left="652"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1885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Clifford Skelton</w:t>
      </w: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63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Stephen Wood</w:t>
      </w: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Form 10-Q of Conduent Incorporated, a New York corporation (the “Company”), for the quarter ended March 31, 2022,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77"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Clifford Skelton</w:t>
      </w: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3, 2022</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b w:val="1"/>
          <w:bCs w:val="1"/>
          <w:color w:val="auto"/>
        </w:rPr>
        <w:t>Stephen Wood</w:t>
      </w: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831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3, 2022</w:t>
      </w:r>
    </w:p>
    <w:p>
      <w:pPr>
        <w:spacing w:after="0" w:line="3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lowerLetter"/>
      <w:start w:val="2"/>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lowerLetter"/>
      <w:start w:val="2"/>
    </w:lvl>
  </w:abstractNum>
  <w:abstractNum w:abstractNumId="16">
    <w:nsid w:val="580BD78F"/>
    <w:multiLevelType w:val="hybridMultilevel"/>
    <w:lvl w:ilvl="0">
      <w:lvlJc w:val="left"/>
      <w:lvlText w:val="%1"/>
      <w:numFmt w:val="decimal"/>
      <w:start w:val="32"/>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2"/>
    </w:lvl>
  </w:abstractNum>
  <w:abstractNum w:abstractNumId="19">
    <w:nsid w:val="70A64E2A"/>
    <w:multiLevelType w:val="hybridMultilevel"/>
    <w:lvl w:ilvl="0">
      <w:lvlJc w:val="left"/>
      <w:lvlText w:val="%1."/>
      <w:numFmt w:val="decimal"/>
      <w:start w:val="4"/>
    </w:lvl>
  </w:abstractNum>
  <w:abstractNum w:abstractNumId="20">
    <w:nsid w:val="6A2342EC"/>
    <w:multiLevelType w:val="hybridMultilevel"/>
    <w:lvl w:ilvl="0">
      <w:lvlJc w:val="left"/>
      <w:lvlText w:val="%1."/>
      <w:numFmt w:val="decimal"/>
      <w:start w:val="5"/>
    </w:lvl>
  </w:abstractNum>
  <w:abstractNum w:abstractNumId="21">
    <w:nsid w:val="2A487CB0"/>
    <w:multiLevelType w:val="hybridMultilevel"/>
    <w:lvl w:ilvl="0">
      <w:lvlJc w:val="left"/>
      <w:lvlText w:val="(%1)"/>
      <w:numFmt w:val="lowerLetter"/>
      <w:start w:val="1"/>
    </w:lvl>
    <w:lvl w:ilvl="1">
      <w:lvlJc w:val="left"/>
      <w:lvlText w:val="(%2)"/>
      <w:numFmt w:val="lowerRoman"/>
      <w:start w:val="1"/>
    </w:lvl>
  </w:abstractNum>
  <w:abstractNum w:abstractNumId="22">
    <w:nsid w:val="1D4ED43B"/>
    <w:multiLevelType w:val="hybridMultilevel"/>
    <w:lvl w:ilvl="0">
      <w:lvlJc w:val="left"/>
      <w:lvlText w:val="(%1)"/>
      <w:numFmt w:val="lowerRoman"/>
      <w:start w:val="3"/>
    </w:lvl>
  </w:abstractNum>
  <w:abstractNum w:abstractNumId="23">
    <w:nsid w:val="725A06FB"/>
    <w:multiLevelType w:val="hybridMultilevel"/>
    <w:lvl w:ilvl="0">
      <w:lvlJc w:val="left"/>
      <w:lvlText w:val="(%1)"/>
      <w:numFmt w:val="lowerLetter"/>
      <w:start w:val="2"/>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decimal"/>
      <w:start w:val="1"/>
    </w:lvl>
    <w:lvl w:ilvl="1">
      <w:lvlJc w:val="left"/>
      <w:lvlText w:val="(%2)"/>
      <w:numFmt w:val="lowerLetter"/>
      <w:start w:val="3"/>
    </w:lvl>
  </w:abstractNum>
  <w:abstractNum w:abstractNumId="26">
    <w:nsid w:val="7A6D8D3C"/>
    <w:multiLevelType w:val="hybridMultilevel"/>
    <w:lvl w:ilvl="0">
      <w:lvlJc w:val="left"/>
      <w:lvlText w:val="%1."/>
      <w:numFmt w:val="decimal"/>
      <w:start w:val="9"/>
    </w:lvl>
    <w:lvl w:ilvl="1">
      <w:lvlJc w:val="left"/>
      <w:lvlText w:val="%2"/>
      <w:numFmt w:val="lowerLetter"/>
      <w:start w:val="1"/>
    </w:lvl>
  </w:abstractNum>
  <w:abstractNum w:abstractNumId="27">
    <w:nsid w:val="4B588F54"/>
    <w:multiLevelType w:val="hybridMultilevel"/>
    <w:lvl w:ilvl="0">
      <w:lvlJc w:val="left"/>
      <w:lvlText w:val="%1."/>
      <w:numFmt w:val="decimal"/>
      <w:start w:val="11"/>
    </w:lvl>
    <w:lvl w:ilvl="1">
      <w:lvlJc w:val="left"/>
      <w:lvlText w:val="(%2)"/>
      <w:numFmt w:val="lowerLetter"/>
      <w:start w:val="1"/>
    </w:lvl>
  </w:abstractNum>
  <w:abstractNum w:abstractNumId="28">
    <w:nsid w:val="542289EC"/>
    <w:multiLevelType w:val="hybridMultilevel"/>
    <w:lvl w:ilvl="0">
      <w:lvlJc w:val="left"/>
      <w:lvlText w:val="%1."/>
      <w:numFmt w:val="decimal"/>
      <w:start w:val="13"/>
    </w:lvl>
    <w:lvl w:ilvl="1">
      <w:lvlJc w:val="left"/>
      <w:lvlText w:val="(%2)"/>
      <w:numFmt w:val="lowerLetter"/>
      <w:start w:val="1"/>
    </w:lvl>
  </w:abstractNum>
  <w:abstractNum w:abstractNumId="29">
    <w:nsid w:val="6DE91B18"/>
    <w:multiLevelType w:val="hybridMultilevel"/>
    <w:lvl w:ilvl="0">
      <w:lvlJc w:val="left"/>
      <w:lvlText w:val="%1"/>
      <w:numFmt w:val="decimal"/>
      <w:start w:val="1"/>
    </w:lvl>
    <w:lvl w:ilvl="1">
      <w:lvlJc w:val="left"/>
      <w:lvlText w:val="(%2)"/>
      <w:numFmt w:val="lowerLetter"/>
      <w:start w:val="3"/>
    </w:lvl>
  </w:abstractNum>
  <w:abstractNum w:abstractNumId="30">
    <w:nsid w:val="38437FDB"/>
    <w:multiLevelType w:val="hybridMultilevel"/>
    <w:lvl w:ilvl="0">
      <w:lvlJc w:val="left"/>
      <w:lvlText w:val="%1."/>
      <w:numFmt w:val="decimal"/>
      <w:start w:val="17"/>
    </w:lvl>
    <w:lvl w:ilvl="1">
      <w:lvlJc w:val="left"/>
      <w:lvlText w:val="%2"/>
      <w:numFmt w:val="lowerLetter"/>
      <w:start w:val="1"/>
    </w:lvl>
  </w:abstractNum>
  <w:abstractNum w:abstractNumId="31">
    <w:nsid w:val="7644A45C"/>
    <w:multiLevelType w:val="hybridMultilevel"/>
    <w:lvl w:ilvl="0">
      <w:lvlJc w:val="left"/>
      <w:lvlText w:val="%1."/>
      <w:numFmt w:val="decimal"/>
      <w:start w:val="18"/>
    </w:lvl>
  </w:abstractNum>
  <w:abstractNum w:abstractNumId="32">
    <w:nsid w:val="32FFF902"/>
    <w:multiLevelType w:val="hybridMultilevel"/>
    <w:lvl w:ilvl="0">
      <w:lvlJc w:val="left"/>
      <w:lvlText w:val="%1."/>
      <w:numFmt w:val="decimal"/>
      <w:start w:val="24"/>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
    <w:nsid w:val="749ABB43"/>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decimal"/>
      <w:start w:val="8"/>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2"/>
    </w:lvl>
  </w:abstractNum>
  <w:abstractNum w:abstractNumId="40">
    <w:nsid w:val="12E685FB"/>
    <w:multiLevelType w:val="hybridMultilevel"/>
    <w:lvl w:ilvl="0">
      <w:lvlJc w:val="left"/>
      <w:lvlText w:val="%1."/>
      <w:numFmt w:val="decimal"/>
      <w:start w:val="4"/>
    </w:lvl>
  </w:abstractNum>
  <w:abstractNum w:abstractNumId="41">
    <w:nsid w:val="70C6A529"/>
    <w:multiLevelType w:val="hybridMultilevel"/>
    <w:lvl w:ilvl="0">
      <w:lvlJc w:val="left"/>
      <w:lvlText w:val="%1."/>
      <w:numFmt w:val="decimal"/>
      <w:start w:val="6"/>
    </w:lvl>
  </w:abstractNum>
  <w:abstractNum w:abstractNumId="42">
    <w:nsid w:val="520EEDD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3">
    <w:nsid w:val="374A3FE6"/>
    <w:multiLevelType w:val="hybridMultilevel"/>
    <w:lvl w:ilvl="0">
      <w:lvlJc w:val="left"/>
      <w:lvlText w:val="(%1)"/>
      <w:numFmt w:val="lowerRoman"/>
      <w:start w:val="3"/>
    </w:lvl>
  </w:abstractNum>
  <w:abstractNum w:abstractNumId="44">
    <w:nsid w:val="4F4EF005"/>
    <w:multiLevelType w:val="hybridMultilevel"/>
    <w:lvl w:ilvl="0">
      <w:lvlJc w:val="left"/>
      <w:lvlText w:val="(%1)"/>
      <w:numFmt w:val="lowerLetter"/>
      <w:start w:val="2"/>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lowerLetter"/>
      <w:start w:val="3"/>
    </w:lvl>
  </w:abstractNum>
  <w:abstractNum w:abstractNumId="47">
    <w:nsid w:val="275AC794"/>
    <w:multiLevelType w:val="hybridMultilevel"/>
    <w:lvl w:ilvl="0">
      <w:lvlJc w:val="left"/>
      <w:lvlText w:val="(%1)"/>
      <w:numFmt w:val="lowerLetter"/>
      <w:start w:val="3"/>
    </w:lvl>
  </w:abstractNum>
  <w:abstractNum w:abstractNumId="48">
    <w:nsid w:val="39386575"/>
    <w:multiLevelType w:val="hybridMultilevel"/>
    <w:lvl w:ilvl="0">
      <w:lvlJc w:val="left"/>
      <w:lvlText w:val="%1."/>
      <w:numFmt w:val="decimal"/>
      <w:start w:val="10"/>
    </w:lvl>
    <w:lvl w:ilvl="1">
      <w:lvlJc w:val="left"/>
      <w:lvlText w:val="(%2)"/>
      <w:numFmt w:val="lowerLetter"/>
      <w:start w:val="1"/>
    </w:lvl>
  </w:abstractNum>
  <w:abstractNum w:abstractNumId="49">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abstractNum>
  <w:abstractNum w:abstractNumId="50">
    <w:nsid w:val="180115B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51">
    <w:nsid w:val="235BA861"/>
    <w:multiLevelType w:val="hybridMultilevel"/>
    <w:lvl w:ilvl="0">
      <w:lvlJc w:val="left"/>
      <w:lvlText w:val="(%1)"/>
      <w:numFmt w:val="lowerLetter"/>
      <w:start w:val="3"/>
    </w:lvl>
  </w:abstractNum>
  <w:abstractNum w:abstractNumId="52">
    <w:nsid w:val="47398C89"/>
    <w:multiLevelType w:val="hybridMultilevel"/>
    <w:lvl w:ilvl="0">
      <w:lvlJc w:val="left"/>
      <w:lvlText w:val="%1"/>
      <w:numFmt w:val="decimal"/>
      <w:start w:val="1"/>
    </w:lvl>
    <w:lvl w:ilvl="1">
      <w:lvlJc w:val="left"/>
      <w:lvlText w:val="(%2)"/>
      <w:numFmt w:val="lowerLetter"/>
      <w:start w:val="4"/>
    </w:lvl>
  </w:abstractNum>
  <w:abstractNum w:abstractNumId="53">
    <w:nsid w:val="354FE9F9"/>
    <w:multiLevelType w:val="hybridMultilevel"/>
    <w:lvl w:ilvl="0">
      <w:lvlJc w:val="left"/>
      <w:lvlText w:val="%1."/>
      <w:numFmt w:val="decimal"/>
      <w:start w:val="18"/>
    </w:lvl>
    <w:lvl w:ilvl="1">
      <w:lvlJc w:val="left"/>
      <w:lvlText w:val="%2"/>
      <w:numFmt w:val="lowerLetter"/>
      <w:start w:val="1"/>
    </w:lvl>
  </w:abstractNum>
  <w:abstractNum w:abstractNumId="54">
    <w:nsid w:val="15B5AF5C"/>
    <w:multiLevelType w:val="hybridMultilevel"/>
    <w:lvl w:ilvl="0">
      <w:lvlJc w:val="left"/>
      <w:lvlText w:val="%1."/>
      <w:numFmt w:val="decimal"/>
      <w:start w:val="25"/>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lowerLetter"/>
      <w:start w:val="2"/>
    </w:lvl>
    <w:lvl w:ilvl="1">
      <w:lvlJc w:val="left"/>
      <w:lvlText w:val="(%2)"/>
      <w:numFmt w:val="lowerRoman"/>
      <w:start w:val="1"/>
    </w:lvl>
  </w:abstractNum>
  <w:abstractNum w:abstractNumId="57">
    <w:nsid w:val="10233C99"/>
    <w:multiLevelType w:val="hybridMultilevel"/>
    <w:lvl w:ilvl="0">
      <w:lvlJc w:val="left"/>
      <w:lvlText w:val="%1"/>
      <w:numFmt w:val="lowerRoman"/>
      <w:start w:val="1"/>
    </w:lvl>
    <w:lvl w:ilvl="1">
      <w:lvlJc w:val="left"/>
      <w:lvlText w:val="(%2)"/>
      <w:numFmt w:val="lowerRoman"/>
      <w:start w:val="4"/>
    </w:lvl>
  </w:abstractNum>
  <w:abstractNum w:abstractNumId="58">
    <w:nsid w:val="3F6AB60F"/>
    <w:multiLevelType w:val="hybridMultilevel"/>
    <w:lvl w:ilvl="0">
      <w:lvlJc w:val="left"/>
      <w:lvlText w:val="(%1)"/>
      <w:numFmt w:val="lowerRoman"/>
      <w:start w:val="5"/>
    </w:lvl>
    <w:lvl w:ilvl="1">
      <w:lvlJc w:val="left"/>
      <w:lvlText w:val="%2"/>
      <w:numFmt w:val="lowerRoman"/>
      <w:start w:val="1"/>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1."/>
      <w:numFmt w:val="decimal"/>
      <w:start w:val="7"/>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5" Type="http://schemas.openxmlformats.org/officeDocument/2006/relationships/hyperlink" Target="http://www.sec.gov/Archives/edgar/data/1677703/000119312516803247/d275811dex31.htm" TargetMode="External"/><Relationship Id="rId46"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2022-05-03T15:20:02Z</dcterms:created>
  <dcterms:modified xsi:type="dcterms:W3CDTF">2022-05-03T15:20:02Z</dcterms:modified>
</cp:coreProperties>
</file>