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_________________________________________________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10-K</w:t>
      </w:r>
    </w:p>
    <w:p>
      <w:pPr>
        <w:pStyle w:val="TextBody"/>
        <w:bidi w:val="0"/>
        <w:spacing w:lineRule="auto" w:line="288" w:before="0" w:after="0"/>
        <w:jc w:val="center"/>
        <w:rPr/>
      </w:pPr>
      <w:r>
        <w:rPr>
          <w:rFonts w:ascii="Times New Roman;serif" w:hAnsi="Times New Roman;serif"/>
          <w:b w:val="false"/>
          <w:color w:val="000000"/>
          <w:sz w:val="16"/>
        </w:rPr>
        <w:t>_________________________________________________ </w:t>
      </w: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(Mark One) </w:t>
      </w:r>
    </w:p>
    <w:tbl>
      <w:tblPr>
        <w:tblW w:w="10107" w:type="dxa"/>
        <w:jc w:val="left"/>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88" w:before="100" w:after="283"/>
        <w:ind w:left="0" w:right="0" w:firstLine="720"/>
        <w:jc w:val="center"/>
        <w:rPr>
          <w:rFonts w:ascii="Arial;sans-serif" w:hAnsi="Arial;sans-serif"/>
          <w:b/>
          <w:color w:val="000000"/>
          <w:sz w:val="20"/>
        </w:rPr>
      </w:pPr>
      <w:r>
        <w:rPr>
          <w:rFonts w:ascii="Arial;sans-serif" w:hAnsi="Arial;sans-serif"/>
          <w:b/>
          <w:color w:val="000000"/>
          <w:sz w:val="20"/>
        </w:rPr>
        <w:t xml:space="preserve">For the fiscal year ended: December 31, 2025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100" w:after="283"/>
        <w:ind w:left="0" w:right="0" w:firstLine="720"/>
        <w:jc w:val="center"/>
        <w:rPr>
          <w:rFonts w:ascii="Arial;sans-serif" w:hAnsi="Arial;sans-serif"/>
          <w:b/>
          <w:color w:val="000000"/>
          <w:sz w:val="20"/>
        </w:rPr>
      </w:pPr>
      <w:r>
        <w:rPr>
          <w:rFonts w:ascii="Arial;sans-serif" w:hAnsi="Arial;sans-serif"/>
          <w:b/>
          <w:color w:val="000000"/>
          <w:sz w:val="20"/>
        </w:rPr>
        <w:t>For the transition period from: _______  to: _______</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Commission File Number 001-37817</w:t>
      </w:r>
    </w:p>
    <w:p>
      <w:pPr>
        <w:pStyle w:val="TextBody"/>
        <w:bidi w:val="0"/>
        <w:spacing w:lineRule="auto" w:line="288" w:before="0" w:after="0"/>
        <w:jc w:val="center"/>
        <w:rPr/>
      </w:pPr>
      <w:r>
        <w:rPr>
          <w:rFonts w:ascii="Times New Roman;serif" w:hAnsi="Times New Roman;serif"/>
          <w:b w:val="false"/>
          <w:color w:val="000000"/>
          <w:sz w:val="16"/>
        </w:rPr>
        <w:t>_________________________________________________</w:t>
      </w:r>
      <w:r>
        <w:rPr>
          <w:color w:val="000000"/>
        </w:rPr>
        <w:t>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CONDUENT INCORPORATED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0" w:after="180"/>
        <w:jc w:val="center"/>
        <w:rPr/>
      </w:pPr>
      <w:r>
        <w:rPr>
          <w:rFonts w:ascii="Times New Roman;serif" w:hAnsi="Times New Roman;serif"/>
          <w:b w:val="false"/>
          <w:color w:val="000000"/>
          <w:sz w:val="16"/>
        </w:rPr>
        <w:t>_________________________________________________ </w:t>
      </w:r>
      <w:r>
        <w:rPr>
          <w:color w:val="000000"/>
        </w:rPr>
        <w:t> </w:t>
      </w:r>
    </w:p>
    <w:tbl>
      <w:tblPr>
        <w:tblW w:w="8746" w:type="dxa"/>
        <w:jc w:val="center"/>
        <w:tblInd w:w="0" w:type="dxa"/>
        <w:tblLayout w:type="fixed"/>
        <w:tblCellMar>
          <w:top w:w="28" w:type="dxa"/>
          <w:left w:w="28" w:type="dxa"/>
          <w:bottom w:w="28" w:type="dxa"/>
          <w:right w:w="28" w:type="dxa"/>
        </w:tblCellMar>
      </w:tblPr>
      <w:tblGrid>
        <w:gridCol w:w="124"/>
        <w:gridCol w:w="109"/>
        <w:gridCol w:w="109"/>
        <w:gridCol w:w="615"/>
        <w:gridCol w:w="615"/>
        <w:gridCol w:w="615"/>
        <w:gridCol w:w="476"/>
        <w:gridCol w:w="476"/>
        <w:gridCol w:w="476"/>
        <w:gridCol w:w="476"/>
        <w:gridCol w:w="476"/>
        <w:gridCol w:w="505"/>
        <w:gridCol w:w="384"/>
        <w:gridCol w:w="384"/>
        <w:gridCol w:w="386"/>
        <w:gridCol w:w="736"/>
        <w:gridCol w:w="736"/>
        <w:gridCol w:w="1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100 Campus Drive,</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Florham Park,</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before="60" w:after="283"/>
        <w:jc w:val="center"/>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(844) 663-2638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Securities registered pursuant to Section 12(g) of the Act: None</w:t>
      </w:r>
    </w:p>
    <w:p>
      <w:pPr>
        <w:pStyle w:val="TextBody"/>
        <w:bidi w:val="0"/>
        <w:spacing w:lineRule="auto" w:line="288" w:before="0" w:after="0"/>
        <w:jc w:val="center"/>
        <w:rPr/>
      </w:pPr>
      <w:r>
        <w:rPr>
          <w:rFonts w:ascii="Times New Roman;serif" w:hAnsi="Times New Roman;serif"/>
          <w:b w:val="false"/>
          <w:color w:val="000000"/>
          <w:sz w:val="16"/>
        </w:rPr>
        <w:t>_________________________________________________</w:t>
      </w:r>
      <w:r>
        <w:rPr>
          <w:color w:val="000000"/>
        </w:rPr>
        <w:t>  </w:t>
      </w:r>
    </w:p>
    <w:p>
      <w:pPr>
        <w:pStyle w:val="TextBody"/>
        <w:bidi w:val="0"/>
        <w:spacing w:lineRule="auto" w:line="288" w:before="100" w:after="283"/>
        <w:ind w:left="0" w:right="0" w:firstLine="180"/>
        <w:jc w:val="both"/>
        <w:rPr/>
      </w:pPr>
      <w:r>
        <w:rPr>
          <w:rFonts w:ascii="Arial;sans-serif" w:hAnsi="Arial;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w:t>
      </w:r>
      <w:r>
        <w:rPr>
          <w:rFonts w:ascii="Arial;sans-serif" w:hAnsi="Arial;sans-serif"/>
          <w:b w:val="false"/>
          <w:color w:val="000000"/>
          <w:sz w:val="20"/>
        </w:rPr>
        <w:t>No </w:t>
      </w:r>
      <w:r>
        <w:rPr>
          <w:rFonts w:ascii="Wingdings;sans-serif" w:hAnsi="Wingdings;sans-serif"/>
          <w:b w:val="false"/>
          <w:color w:val="000000"/>
          <w:sz w:val="20"/>
        </w:rPr>
        <w:t>x</w:t>
      </w:r>
    </w:p>
    <w:p>
      <w:pPr>
        <w:pStyle w:val="TextBody"/>
        <w:bidi w:val="0"/>
        <w:spacing w:lineRule="auto" w:line="288" w:before="100" w:after="283"/>
        <w:ind w:left="0" w:right="0" w:firstLine="180"/>
        <w:jc w:val="both"/>
        <w:rPr/>
      </w:pPr>
      <w:r>
        <w:rPr>
          <w:rFonts w:ascii="Arial;sans-serif" w:hAnsi="Arial;sans-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Arial;sans-serif" w:hAnsi="Arial;sans-serif"/>
          <w:b w:val="false"/>
          <w:color w:val="000000"/>
          <w:sz w:val="20"/>
        </w:rPr>
        <w:t>No </w:t>
      </w:r>
      <w:r>
        <w:rPr>
          <w:rFonts w:ascii="Wingdings;sans-serif" w:hAnsi="Wingdings;sans-serif"/>
          <w:b w:val="false"/>
          <w:color w:val="000000"/>
          <w:sz w:val="20"/>
        </w:rPr>
        <w:t xml:space="preserve">x </w:t>
      </w:r>
    </w:p>
    <w:p>
      <w:pPr>
        <w:pStyle w:val="TextBody"/>
        <w:bidi w:val="0"/>
        <w:spacing w:lineRule="auto" w:line="288" w:before="100" w:after="283"/>
        <w:ind w:left="0" w:right="0" w:firstLine="180"/>
        <w:jc w:val="both"/>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Arial;sans-serif" w:hAnsi="Arial;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180"/>
        <w:jc w:val="both"/>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Arial;sans-serif" w:hAnsi="Arial;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180"/>
        <w:jc w:val="both"/>
        <w:rPr>
          <w:rFonts w:ascii="Arial;sans-serif" w:hAnsi="Arial;sans-serif"/>
          <w:b w:val="false"/>
          <w:color w:val="000000"/>
          <w:sz w:val="20"/>
        </w:rPr>
      </w:pPr>
      <w:r>
        <w:rPr>
          <w:rFonts w:ascii="Arial;sans-serif" w:hAnsi="Arial;sans-serif"/>
          <w:b w:val="false"/>
          <w:color w:val="000000"/>
          <w:sz w:val="20"/>
        </w:rPr>
        <w:t>Indicate by a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422"/>
        <w:gridCol w:w="422"/>
        <w:gridCol w:w="424"/>
        <w:gridCol w:w="109"/>
        <w:gridCol w:w="109"/>
        <w:gridCol w:w="109"/>
        <w:gridCol w:w="537"/>
        <w:gridCol w:w="537"/>
        <w:gridCol w:w="539"/>
        <w:gridCol w:w="109"/>
        <w:gridCol w:w="109"/>
        <w:gridCol w:w="109"/>
        <w:gridCol w:w="627"/>
        <w:gridCol w:w="627"/>
        <w:gridCol w:w="629"/>
        <w:gridCol w:w="109"/>
        <w:gridCol w:w="109"/>
        <w:gridCol w:w="109"/>
        <w:gridCol w:w="676"/>
        <w:gridCol w:w="676"/>
        <w:gridCol w:w="679"/>
        <w:gridCol w:w="109"/>
        <w:gridCol w:w="109"/>
        <w:gridCol w:w="160"/>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Small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45490"/>
                <wp:effectExtent l="0" t="0" r="0" b="0"/>
                <wp:wrapNone/>
                <wp:docPr id="1" name="Frame1"/>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before="0" w:after="283"/>
                        <w:jc w:val="left"/>
                        <w:rPr/>
                      </w:pPr>
                      <w:r>
                        <w:rPr/>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18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120"/>
        <w:ind w:left="0" w:right="0" w:firstLine="180"/>
        <w:jc w:val="left"/>
        <w:rPr/>
      </w:pPr>
      <w:r>
        <w:rPr>
          <w:rFonts w:ascii="Arial;sans-serif" w:hAnsi="Arial;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120"/>
        <w:ind w:left="0" w:right="0" w:firstLine="180"/>
        <w:jc w:val="left"/>
        <w:rPr/>
      </w:pPr>
      <w:r>
        <w:rPr>
          <w:rFonts w:ascii="Arial;sans-serif" w:hAnsi="Arial;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60" w:after="120"/>
        <w:ind w:left="0" w:right="0" w:firstLine="180"/>
        <w:jc w:val="left"/>
        <w:rPr/>
      </w:pPr>
      <w:r>
        <w:rPr>
          <w:rFonts w:ascii="Arial;sans-serif" w:hAnsi="Arial;sans-serif"/>
          <w:b w:val="false"/>
          <w:color w:val="000000"/>
          <w:sz w:val="20"/>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60" w:after="120"/>
        <w:ind w:left="0" w:right="0" w:firstLine="180"/>
        <w:jc w:val="left"/>
        <w:rPr/>
      </w:pPr>
      <w:r>
        <w:rPr>
          <w:rFonts w:ascii="Arial;sans-serif" w:hAnsi="Arial;sans-serif"/>
          <w:b w:val="false"/>
          <w:color w:val="000000"/>
          <w:sz w:val="20"/>
        </w:rPr>
        <w:t>Indicate by a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aggregate market value of the voting and non-voting common stock of the registrant held by non-affiliates as of June 30, 2025 was $411,512,508.</w:t>
      </w:r>
    </w:p>
    <w:p>
      <w:pPr>
        <w:pStyle w:val="TextBody"/>
        <w:bidi w:val="0"/>
        <w:spacing w:lineRule="auto" w:line="288" w:before="120" w:after="283"/>
        <w:ind w:left="0" w:right="0" w:firstLine="180"/>
        <w:jc w:val="both"/>
        <w:rPr>
          <w:rFonts w:ascii="Arial;sans-serif" w:hAnsi="Arial;sans-serif"/>
          <w:b w:val="false"/>
          <w:color w:val="000000"/>
          <w:sz w:val="20"/>
        </w:rPr>
      </w:pPr>
      <w:r>
        <w:rPr>
          <w:rFonts w:ascii="Arial;sans-serif" w:hAnsi="Arial;sans-serif"/>
          <w:b w:val="false"/>
          <w:color w:val="000000"/>
          <w:sz w:val="20"/>
        </w:rPr>
        <w:t>Indicate the number of shares outstanding of each of the Registrant's classes of common stock, as of the latest practicable date:</w:t>
      </w:r>
    </w:p>
    <w:tbl>
      <w:tblPr>
        <w:tblW w:w="6483" w:type="dxa"/>
        <w:jc w:val="left"/>
        <w:tblInd w:w="0" w:type="dxa"/>
        <w:tblLayout w:type="fixed"/>
        <w:tblCellMar>
          <w:top w:w="28" w:type="dxa"/>
          <w:left w:w="28" w:type="dxa"/>
          <w:bottom w:w="28" w:type="dxa"/>
          <w:right w:w="28" w:type="dxa"/>
        </w:tblCellMar>
      </w:tblPr>
      <w:tblGrid>
        <w:gridCol w:w="553"/>
        <w:gridCol w:w="487"/>
        <w:gridCol w:w="489"/>
        <w:gridCol w:w="109"/>
        <w:gridCol w:w="109"/>
        <w:gridCol w:w="109"/>
        <w:gridCol w:w="479"/>
        <w:gridCol w:w="479"/>
        <w:gridCol w:w="481"/>
        <w:gridCol w:w="109"/>
        <w:gridCol w:w="109"/>
        <w:gridCol w:w="109"/>
        <w:gridCol w:w="109"/>
        <w:gridCol w:w="109"/>
        <w:gridCol w:w="109"/>
        <w:gridCol w:w="742"/>
        <w:gridCol w:w="742"/>
        <w:gridCol w:w="1050"/>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6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Outstanding at January 31, 2026</w:t>
            </w:r>
          </w:p>
        </w:tc>
      </w:tr>
      <w:tr>
        <w:trPr/>
        <w:tc>
          <w:tcPr>
            <w:tcW w:w="15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 par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154,709,174</w:t>
            </w:r>
          </w:p>
        </w:tc>
      </w:tr>
    </w:tbl>
    <w:p>
      <w:pPr>
        <w:pStyle w:val="TextBody"/>
        <w:bidi w:val="0"/>
        <w:spacing w:before="0" w:after="0"/>
        <w:ind w:left="0" w:right="0" w:firstLine="18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lineRule="auto" w:line="288" w:before="120" w:after="283"/>
        <w:ind w:left="0" w:right="0" w:firstLine="180"/>
        <w:jc w:val="both"/>
        <w:rPr>
          <w:rFonts w:ascii="Arial;sans-serif" w:hAnsi="Arial;sans-serif"/>
          <w:b w:val="false"/>
          <w:color w:val="000000"/>
          <w:sz w:val="20"/>
        </w:rPr>
      </w:pPr>
      <w:r>
        <w:rPr>
          <w:rFonts w:ascii="Arial;sans-serif" w:hAnsi="Arial;sans-serif"/>
          <w:b w:val="false"/>
          <w:color w:val="000000"/>
          <w:sz w:val="20"/>
        </w:rPr>
        <w:t>Part III of this Form 10-K incorporates by reference certain portions of the Registrant's Notice of 2026 Annual Meeting of Shareholders and Proxy Statement (to be filed with the Securities and Exchange Commission pursuant to Regulation 14A no later than 120 days after the close of the fiscal year covered by this report on Form 10-K).</w:t>
      </w:r>
    </w:p>
    <w:p>
      <w:pPr>
        <w:pStyle w:val="TextBody"/>
        <w:bidi w:val="0"/>
        <w:spacing w:before="12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45490"/>
                <wp:effectExtent l="0" t="0" r="0" b="0"/>
                <wp:wrapNone/>
                <wp:docPr id="2" name="Frame2"/>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before="0" w:after="283"/>
                        <w:jc w:val="left"/>
                        <w:rPr/>
                      </w:pPr>
                      <w:r>
                        <w:rPr/>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From time to time, we and our representatives may provide information, whether orally or in writing, including certain statements in this Annual Report on Form 10-K (the "Form 10-K"), and in any exhibits to this Form 10-K, which are deemed to be "forward-looking" as defined in the Private Securities Litigation Reform Act of 1995 (the "Litigation Reform Act"). These forward-looking statements and other information are based on our beliefs as well as assumptions made by us using information currently available.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Important factors and uncertainties that could cause our actual results to differ materially from those in our forward-looking statements include, but are not limited to: governments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the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 transactions, including but not limited to the Company’s ability to realize the benefits anticipated from such transactions, and unexpected costs or liabilities in connection with such transactions;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10-K, as well as in our Quarterly Reports on Form 10-Q and Current Reports on Form 8-K filed with the Securities and Exchange Commission (the "SEC"). Any forward-looking statements made by us speak only as of the date on which they are made. We are under no obligation to, and expressly disclaim any obligation to, update or alter our forward-looking statements, whether because of new information, subsequent events or otherwise,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16280"/>
                <wp:effectExtent l="0" t="0" r="0" b="0"/>
                <wp:wrapNone/>
                <wp:docPr id="3" name="Frame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CONDUENT INCORPORATED</w:t>
      </w:r>
    </w:p>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FORM 10-K</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 xml:space="preserve">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TABLE OF CONTENTS</w:t>
      </w:r>
    </w:p>
    <w:tbl>
      <w:tblPr>
        <w:tblW w:w="10205" w:type="dxa"/>
        <w:jc w:val="left"/>
        <w:tblInd w:w="0" w:type="dxa"/>
        <w:tblLayout w:type="fixed"/>
        <w:tblCellMar>
          <w:top w:w="28" w:type="dxa"/>
          <w:left w:w="28" w:type="dxa"/>
          <w:bottom w:w="28" w:type="dxa"/>
          <w:right w:w="28" w:type="dxa"/>
        </w:tblCellMar>
      </w:tblPr>
      <w:tblGrid>
        <w:gridCol w:w="454"/>
        <w:gridCol w:w="397"/>
        <w:gridCol w:w="278"/>
        <w:gridCol w:w="2866"/>
        <w:gridCol w:w="2795"/>
        <w:gridCol w:w="2798"/>
        <w:gridCol w:w="180"/>
        <w:gridCol w:w="180"/>
        <w:gridCol w:w="257"/>
      </w:tblGrid>
      <w:tr>
        <w:trPr/>
        <w:tc>
          <w:tcPr>
            <w:tcW w:w="45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20"/>
              </w:rPr>
            </w:pPr>
            <w:r>
              <w:rPr>
                <w:rFonts w:ascii="Arial;sans-serif" w:hAnsi="Arial;sans-serif"/>
                <w:b/>
                <w:color w:val="3051F2"/>
                <w:sz w:val="20"/>
              </w:rPr>
              <w:t>Page</w:t>
            </w:r>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20"/>
              </w:rPr>
            </w:pPr>
            <w:r>
              <w:rPr>
                <w:rFonts w:ascii="Arial;sans-serif" w:hAnsi="Arial;sans-serif"/>
                <w:b/>
                <w:color w:val="3051F2"/>
                <w:sz w:val="20"/>
              </w:rPr>
              <w:t>Part I</w:t>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6">
              <w:r>
                <w:rPr>
                  <w:rStyle w:val="InternetLink"/>
                  <w:rFonts w:ascii="Arial;sans-serif" w:hAnsi="Arial;sans-serif"/>
                  <w:b w:val="false"/>
                  <w:strike w:val="false"/>
                  <w:dstrike w:val="false"/>
                  <w:color w:val="0000FF"/>
                  <w:sz w:val="20"/>
                  <w:u w:val="none"/>
                  <w:effect w:val="none"/>
                </w:rPr>
                <w:t>Item 1.</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6">
              <w:r>
                <w:rPr>
                  <w:rStyle w:val="InternetLink"/>
                  <w:rFonts w:ascii="Arial;sans-serif" w:hAnsi="Arial;sans-serif"/>
                  <w:b w:val="false"/>
                  <w:strike w:val="false"/>
                  <w:dstrike w:val="false"/>
                  <w:color w:val="0000FF"/>
                  <w:sz w:val="20"/>
                  <w:u w:val="none"/>
                  <w:effect w:val="none"/>
                </w:rPr>
                <w:t>Business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16">
              <w:r>
                <w:rPr>
                  <w:rStyle w:val="InternetLink"/>
                  <w:rFonts w:ascii="Arial;sans-serif" w:hAnsi="Arial;sans-serif"/>
                  <w:b/>
                  <w:strike w:val="false"/>
                  <w:dstrike w:val="false"/>
                  <w:color w:val="0000FF"/>
                  <w:sz w:val="20"/>
                  <w:u w:val="none"/>
                  <w:effect w:val="none"/>
                </w:rPr>
                <w:t>3</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9">
              <w:r>
                <w:rPr>
                  <w:rStyle w:val="InternetLink"/>
                  <w:rFonts w:ascii="Arial;sans-serif" w:hAnsi="Arial;sans-serif"/>
                  <w:b w:val="false"/>
                  <w:strike w:val="false"/>
                  <w:dstrike w:val="false"/>
                  <w:color w:val="0000FF"/>
                  <w:sz w:val="20"/>
                  <w:u w:val="none"/>
                  <w:effect w:val="none"/>
                </w:rPr>
                <w:t>Item 1A.</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9">
              <w:r>
                <w:rPr>
                  <w:rStyle w:val="InternetLink"/>
                  <w:rFonts w:ascii="Arial;sans-serif" w:hAnsi="Arial;sans-serif"/>
                  <w:b w:val="false"/>
                  <w:strike w:val="false"/>
                  <w:dstrike w:val="false"/>
                  <w:color w:val="0000FF"/>
                  <w:sz w:val="20"/>
                  <w:u w:val="none"/>
                  <w:effect w:val="none"/>
                </w:rPr>
                <w:t>Risk Factors</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19">
              <w:r>
                <w:rPr>
                  <w:rStyle w:val="InternetLink"/>
                  <w:rFonts w:ascii="Arial;sans-serif" w:hAnsi="Arial;sans-serif"/>
                  <w:b/>
                  <w:strike w:val="false"/>
                  <w:dstrike w:val="false"/>
                  <w:color w:val="0000FF"/>
                  <w:sz w:val="20"/>
                  <w:u w:val="none"/>
                  <w:effect w:val="none"/>
                </w:rPr>
                <w:t>14</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
              <w:r>
                <w:rPr>
                  <w:rStyle w:val="InternetLink"/>
                  <w:rFonts w:ascii="Arial;sans-serif" w:hAnsi="Arial;sans-serif"/>
                  <w:b w:val="false"/>
                  <w:strike w:val="false"/>
                  <w:dstrike w:val="false"/>
                  <w:color w:val="0000FF"/>
                  <w:sz w:val="20"/>
                  <w:u w:val="none"/>
                  <w:effect w:val="none"/>
                </w:rPr>
                <w:t>Item 1B.</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
              <w:r>
                <w:rPr>
                  <w:rStyle w:val="InternetLink"/>
                  <w:rFonts w:ascii="Arial;sans-serif" w:hAnsi="Arial;sans-serif"/>
                  <w:b w:val="false"/>
                  <w:strike w:val="false"/>
                  <w:dstrike w:val="false"/>
                  <w:color w:val="0000FF"/>
                  <w:sz w:val="20"/>
                  <w:u w:val="none"/>
                  <w:effect w:val="none"/>
                </w:rPr>
                <w:t>Unresolved Staff Comments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2">
              <w:r>
                <w:rPr>
                  <w:rStyle w:val="InternetLink"/>
                  <w:rFonts w:ascii="Arial;sans-serif" w:hAnsi="Arial;sans-serif"/>
                  <w:b/>
                  <w:strike w:val="false"/>
                  <w:dstrike w:val="false"/>
                  <w:color w:val="0000FF"/>
                  <w:sz w:val="20"/>
                  <w:u w:val="none"/>
                  <w:effect w:val="none"/>
                </w:rPr>
                <w:t>26</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5">
              <w:r>
                <w:rPr>
                  <w:rStyle w:val="InternetLink"/>
                  <w:rFonts w:ascii="Arial;sans-serif" w:hAnsi="Arial;sans-serif"/>
                  <w:b w:val="false"/>
                  <w:strike w:val="false"/>
                  <w:dstrike w:val="false"/>
                  <w:color w:val="0000FF"/>
                  <w:sz w:val="20"/>
                  <w:u w:val="none"/>
                  <w:effect w:val="none"/>
                </w:rPr>
                <w:t>Item 1C.</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5">
              <w:r>
                <w:rPr>
                  <w:rStyle w:val="InternetLink"/>
                  <w:rFonts w:ascii="Arial;sans-serif" w:hAnsi="Arial;sans-serif"/>
                  <w:b w:val="false"/>
                  <w:strike w:val="false"/>
                  <w:dstrike w:val="false"/>
                  <w:color w:val="0000FF"/>
                  <w:sz w:val="20"/>
                  <w:u w:val="none"/>
                  <w:effect w:val="none"/>
                </w:rPr>
                <w:t>Cybersecurity Matters</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5">
              <w:r>
                <w:rPr>
                  <w:rStyle w:val="InternetLink"/>
                  <w:rFonts w:ascii="Arial;sans-serif" w:hAnsi="Arial;sans-serif"/>
                  <w:b/>
                  <w:strike w:val="false"/>
                  <w:dstrike w:val="false"/>
                  <w:color w:val="0000FF"/>
                  <w:sz w:val="20"/>
                  <w:u w:val="none"/>
                  <w:effect w:val="none"/>
                </w:rPr>
                <w:t>27</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8">
              <w:r>
                <w:rPr>
                  <w:rStyle w:val="InternetLink"/>
                  <w:rFonts w:ascii="Arial;sans-serif" w:hAnsi="Arial;sans-serif"/>
                  <w:b w:val="false"/>
                  <w:strike w:val="false"/>
                  <w:dstrike w:val="false"/>
                  <w:color w:val="0000FF"/>
                  <w:sz w:val="20"/>
                  <w:u w:val="none"/>
                  <w:effect w:val="none"/>
                </w:rPr>
                <w:t>Item 2.</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8">
              <w:r>
                <w:rPr>
                  <w:rStyle w:val="InternetLink"/>
                  <w:rFonts w:ascii="Arial;sans-serif" w:hAnsi="Arial;sans-serif"/>
                  <w:b w:val="false"/>
                  <w:strike w:val="false"/>
                  <w:dstrike w:val="false"/>
                  <w:color w:val="0000FF"/>
                  <w:sz w:val="20"/>
                  <w:u w:val="none"/>
                  <w:effect w:val="none"/>
                </w:rPr>
                <w:t>Properties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8">
              <w:r>
                <w:rPr>
                  <w:rStyle w:val="InternetLink"/>
                  <w:rFonts w:ascii="Arial;sans-serif" w:hAnsi="Arial;sans-serif"/>
                  <w:b/>
                  <w:strike w:val="false"/>
                  <w:dstrike w:val="false"/>
                  <w:color w:val="0000FF"/>
                  <w:sz w:val="20"/>
                  <w:u w:val="none"/>
                  <w:effect w:val="none"/>
                </w:rPr>
                <w:t>28</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31">
              <w:r>
                <w:rPr>
                  <w:rStyle w:val="InternetLink"/>
                  <w:rFonts w:ascii="Arial;sans-serif" w:hAnsi="Arial;sans-serif"/>
                  <w:b w:val="false"/>
                  <w:strike w:val="false"/>
                  <w:dstrike w:val="false"/>
                  <w:color w:val="0000FF"/>
                  <w:sz w:val="20"/>
                  <w:u w:val="none"/>
                  <w:effect w:val="none"/>
                </w:rPr>
                <w:t>Item 3.</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31">
              <w:r>
                <w:rPr>
                  <w:rStyle w:val="InternetLink"/>
                  <w:rFonts w:ascii="Arial;sans-serif" w:hAnsi="Arial;sans-serif"/>
                  <w:b w:val="false"/>
                  <w:strike w:val="false"/>
                  <w:dstrike w:val="false"/>
                  <w:color w:val="0000FF"/>
                  <w:sz w:val="20"/>
                  <w:u w:val="none"/>
                  <w:effect w:val="none"/>
                </w:rPr>
                <w:t>Legal Proceedings</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31">
              <w:r>
                <w:rPr>
                  <w:rStyle w:val="InternetLink"/>
                  <w:rFonts w:ascii="Arial;sans-serif" w:hAnsi="Arial;sans-serif"/>
                  <w:b/>
                  <w:strike w:val="false"/>
                  <w:dstrike w:val="false"/>
                  <w:color w:val="0000FF"/>
                  <w:sz w:val="20"/>
                  <w:u w:val="none"/>
                  <w:effect w:val="none"/>
                </w:rPr>
                <w:t>29</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34">
              <w:r>
                <w:rPr>
                  <w:rStyle w:val="InternetLink"/>
                  <w:rFonts w:ascii="Arial;sans-serif" w:hAnsi="Arial;sans-serif"/>
                  <w:b w:val="false"/>
                  <w:strike w:val="false"/>
                  <w:dstrike w:val="false"/>
                  <w:color w:val="0000FF"/>
                  <w:sz w:val="20"/>
                  <w:u w:val="none"/>
                  <w:effect w:val="none"/>
                </w:rPr>
                <w:t>Item 4.</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07f8c11be1bd43a2a59d2f9f5366a54a_34">
              <w:r>
                <w:rPr>
                  <w:rStyle w:val="InternetLink"/>
                  <w:rFonts w:ascii="Arial;sans-serif" w:hAnsi="Arial;sans-serif"/>
                  <w:b w:val="false"/>
                  <w:strike w:val="false"/>
                  <w:dstrike w:val="false"/>
                  <w:color w:val="0000FF"/>
                  <w:sz w:val="20"/>
                  <w:u w:val="none"/>
                  <w:effect w:val="none"/>
                </w:rPr>
                <w:t>Mine Safety Disclosures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34">
              <w:r>
                <w:rPr>
                  <w:rStyle w:val="InternetLink"/>
                  <w:rFonts w:ascii="Arial;sans-serif" w:hAnsi="Arial;sans-serif"/>
                  <w:b/>
                  <w:strike w:val="false"/>
                  <w:dstrike w:val="false"/>
                  <w:color w:val="0000FF"/>
                  <w:sz w:val="20"/>
                  <w:u w:val="none"/>
                  <w:effect w:val="none"/>
                </w:rPr>
                <w:t>29</w:t>
              </w:r>
            </w:hyperlink>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37">
              <w:r>
                <w:rPr>
                  <w:rStyle w:val="InternetLink"/>
                  <w:rFonts w:ascii="Arial;sans-serif" w:hAnsi="Arial;sans-serif"/>
                  <w:b/>
                  <w:strike w:val="false"/>
                  <w:dstrike w:val="false"/>
                  <w:color w:val="0000FF"/>
                  <w:sz w:val="20"/>
                  <w:u w:val="none"/>
                  <w:effect w:val="none"/>
                </w:rPr>
                <w:t>Part II</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40">
              <w:r>
                <w:rPr>
                  <w:rStyle w:val="InternetLink"/>
                  <w:rFonts w:ascii="Arial;sans-serif" w:hAnsi="Arial;sans-serif"/>
                  <w:b w:val="false"/>
                  <w:strike w:val="false"/>
                  <w:dstrike w:val="false"/>
                  <w:color w:val="0000FF"/>
                  <w:sz w:val="20"/>
                  <w:u w:val="none"/>
                  <w:effect w:val="none"/>
                </w:rPr>
                <w:t>Item 5.</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40">
              <w:r>
                <w:rPr>
                  <w:rStyle w:val="InternetLink"/>
                  <w:rFonts w:ascii="Arial;sans-serif" w:hAnsi="Arial;sans-serif"/>
                  <w:b w:val="false"/>
                  <w:strike w:val="false"/>
                  <w:dstrike w:val="false"/>
                  <w:color w:val="0000FF"/>
                  <w:sz w:val="20"/>
                  <w:u w:val="none"/>
                  <w:effect w:val="none"/>
                </w:rPr>
                <w:t>Market for the Registrant's Common Equity, Related Stockholder Matters and Issuer Purchases of Equity Securities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40">
              <w:r>
                <w:rPr>
                  <w:rStyle w:val="InternetLink"/>
                  <w:rFonts w:ascii="Arial;sans-serif" w:hAnsi="Arial;sans-serif"/>
                  <w:b/>
                  <w:strike w:val="false"/>
                  <w:dstrike w:val="false"/>
                  <w:color w:val="0000FF"/>
                  <w:sz w:val="20"/>
                  <w:u w:val="none"/>
                  <w:effect w:val="none"/>
                </w:rPr>
                <w:t>30</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49">
              <w:r>
                <w:rPr>
                  <w:rStyle w:val="InternetLink"/>
                  <w:rFonts w:ascii="Arial;sans-serif" w:hAnsi="Arial;sans-serif"/>
                  <w:b w:val="false"/>
                  <w:strike w:val="false"/>
                  <w:dstrike w:val="false"/>
                  <w:color w:val="0000FF"/>
                  <w:sz w:val="20"/>
                  <w:u w:val="none"/>
                  <w:effect w:val="none"/>
                </w:rPr>
                <w:t>Item 6.</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49">
              <w:r>
                <w:rPr>
                  <w:rStyle w:val="InternetLink"/>
                  <w:rFonts w:ascii="Arial;sans-serif" w:hAnsi="Arial;sans-serif"/>
                  <w:b w:val="false"/>
                  <w:strike w:val="false"/>
                  <w:dstrike w:val="false"/>
                  <w:color w:val="0000FF"/>
                  <w:sz w:val="20"/>
                  <w:u w:val="none"/>
                  <w:effect w:val="none"/>
                </w:rPr>
                <w:t>[RESERVED]</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49">
              <w:r>
                <w:rPr>
                  <w:rStyle w:val="InternetLink"/>
                  <w:rFonts w:ascii="Arial;sans-serif" w:hAnsi="Arial;sans-serif"/>
                  <w:b/>
                  <w:strike w:val="false"/>
                  <w:dstrike w:val="false"/>
                  <w:color w:val="0000FF"/>
                  <w:sz w:val="20"/>
                  <w:u w:val="none"/>
                  <w:effect w:val="none"/>
                </w:rPr>
                <w:t>31</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58">
              <w:r>
                <w:rPr>
                  <w:rStyle w:val="InternetLink"/>
                  <w:rFonts w:ascii="Arial;sans-serif" w:hAnsi="Arial;sans-serif"/>
                  <w:b w:val="false"/>
                  <w:strike w:val="false"/>
                  <w:dstrike w:val="false"/>
                  <w:color w:val="0000FF"/>
                  <w:sz w:val="20"/>
                  <w:u w:val="none"/>
                  <w:effect w:val="none"/>
                </w:rPr>
                <w:t>Item 7.</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58">
              <w:r>
                <w:rPr>
                  <w:rStyle w:val="InternetLink"/>
                  <w:rFonts w:ascii="Arial;sans-serif" w:hAnsi="Arial;sans-serif"/>
                  <w:b w:val="false"/>
                  <w:strike w:val="false"/>
                  <w:dstrike w:val="false"/>
                  <w:color w:val="0000FF"/>
                  <w:sz w:val="20"/>
                  <w:u w:val="none"/>
                  <w:effect w:val="none"/>
                </w:rPr>
                <w:t>Management's Discussion and Analysis of Financial Condition and Results of Operations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58">
              <w:r>
                <w:rPr>
                  <w:rStyle w:val="InternetLink"/>
                  <w:rFonts w:ascii="Arial;sans-serif" w:hAnsi="Arial;sans-serif"/>
                  <w:b/>
                  <w:strike w:val="false"/>
                  <w:dstrike w:val="false"/>
                  <w:color w:val="0000FF"/>
                  <w:sz w:val="20"/>
                  <w:u w:val="none"/>
                  <w:effect w:val="none"/>
                </w:rPr>
                <w:t>31</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82">
              <w:r>
                <w:rPr>
                  <w:rStyle w:val="InternetLink"/>
                  <w:rFonts w:ascii="Arial;sans-serif" w:hAnsi="Arial;sans-serif"/>
                  <w:b w:val="false"/>
                  <w:strike w:val="false"/>
                  <w:dstrike w:val="false"/>
                  <w:color w:val="0000FF"/>
                  <w:sz w:val="20"/>
                  <w:u w:val="none"/>
                  <w:effect w:val="none"/>
                </w:rPr>
                <w:t>Item 7A.</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82">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82">
              <w:r>
                <w:rPr>
                  <w:rStyle w:val="InternetLink"/>
                  <w:rFonts w:ascii="Arial;sans-serif" w:hAnsi="Arial;sans-serif"/>
                  <w:b/>
                  <w:strike w:val="false"/>
                  <w:dstrike w:val="false"/>
                  <w:color w:val="0000FF"/>
                  <w:sz w:val="20"/>
                  <w:u w:val="none"/>
                  <w:effect w:val="none"/>
                </w:rPr>
                <w:t>46</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88">
              <w:r>
                <w:rPr>
                  <w:rStyle w:val="InternetLink"/>
                  <w:rFonts w:ascii="Arial;sans-serif" w:hAnsi="Arial;sans-serif"/>
                  <w:b w:val="false"/>
                  <w:strike w:val="false"/>
                  <w:dstrike w:val="false"/>
                  <w:color w:val="0000FF"/>
                  <w:sz w:val="20"/>
                  <w:u w:val="none"/>
                  <w:effect w:val="none"/>
                </w:rPr>
                <w:t>Item 8.</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88">
              <w:r>
                <w:rPr>
                  <w:rStyle w:val="InternetLink"/>
                  <w:rFonts w:ascii="Arial;sans-serif" w:hAnsi="Arial;sans-serif"/>
                  <w:b w:val="false"/>
                  <w:strike w:val="false"/>
                  <w:dstrike w:val="false"/>
                  <w:color w:val="0000FF"/>
                  <w:sz w:val="20"/>
                  <w:u w:val="none"/>
                  <w:effect w:val="none"/>
                </w:rPr>
                <w:t>Financial Statements and Supplementary Data</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88">
              <w:r>
                <w:rPr>
                  <w:rStyle w:val="InternetLink"/>
                  <w:rFonts w:ascii="Arial;sans-serif" w:hAnsi="Arial;sans-serif"/>
                  <w:b/>
                  <w:strike w:val="false"/>
                  <w:dstrike w:val="false"/>
                  <w:color w:val="0000FF"/>
                  <w:sz w:val="20"/>
                  <w:u w:val="none"/>
                  <w:effect w:val="none"/>
                </w:rPr>
                <w:t>47</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96">
              <w:r>
                <w:rPr>
                  <w:rStyle w:val="InternetLink"/>
                  <w:rFonts w:ascii="Arial;sans-serif" w:hAnsi="Arial;sans-serif"/>
                  <w:b w:val="false"/>
                  <w:strike w:val="false"/>
                  <w:dstrike w:val="false"/>
                  <w:color w:val="0000FF"/>
                  <w:sz w:val="20"/>
                  <w:u w:val="none"/>
                  <w:effect w:val="none"/>
                </w:rPr>
                <w:t>Item 9.</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96">
              <w:r>
                <w:rPr>
                  <w:rStyle w:val="InternetLink"/>
                  <w:rFonts w:ascii="Arial;sans-serif" w:hAnsi="Arial;sans-serif"/>
                  <w:b w:val="false"/>
                  <w:strike w:val="false"/>
                  <w:dstrike w:val="false"/>
                  <w:color w:val="0000FF"/>
                  <w:sz w:val="20"/>
                  <w:u w:val="none"/>
                  <w:effect w:val="none"/>
                </w:rPr>
                <w:t>Changes in and Disagreements with Accountants on Accounting and Financial Disclosure</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196">
              <w:r>
                <w:rPr>
                  <w:rStyle w:val="InternetLink"/>
                  <w:rFonts w:ascii="Arial;sans-serif" w:hAnsi="Arial;sans-serif"/>
                  <w:b/>
                  <w:strike w:val="false"/>
                  <w:dstrike w:val="false"/>
                  <w:color w:val="0000FF"/>
                  <w:sz w:val="20"/>
                  <w:u w:val="none"/>
                  <w:effect w:val="none"/>
                </w:rPr>
                <w:t>91</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99">
              <w:r>
                <w:rPr>
                  <w:rStyle w:val="InternetLink"/>
                  <w:rFonts w:ascii="Arial;sans-serif" w:hAnsi="Arial;sans-serif"/>
                  <w:b w:val="false"/>
                  <w:strike w:val="false"/>
                  <w:dstrike w:val="false"/>
                  <w:color w:val="0000FF"/>
                  <w:sz w:val="20"/>
                  <w:u w:val="none"/>
                  <w:effect w:val="none"/>
                </w:rPr>
                <w:t>Item 9A.</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99">
              <w:r>
                <w:rPr>
                  <w:rStyle w:val="InternetLink"/>
                  <w:rFonts w:ascii="Arial;sans-serif" w:hAnsi="Arial;sans-serif"/>
                  <w:b w:val="false"/>
                  <w:strike w:val="false"/>
                  <w:dstrike w:val="false"/>
                  <w:color w:val="0000FF"/>
                  <w:sz w:val="20"/>
                  <w:u w:val="none"/>
                  <w:effect w:val="none"/>
                </w:rPr>
                <w:t>Controls and Procedures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199">
              <w:r>
                <w:rPr>
                  <w:rStyle w:val="InternetLink"/>
                  <w:rFonts w:ascii="Arial;sans-serif" w:hAnsi="Arial;sans-serif"/>
                  <w:b/>
                  <w:strike w:val="false"/>
                  <w:dstrike w:val="false"/>
                  <w:color w:val="0000FF"/>
                  <w:sz w:val="20"/>
                  <w:u w:val="none"/>
                  <w:effect w:val="none"/>
                </w:rPr>
                <w:t>91</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02">
              <w:r>
                <w:rPr>
                  <w:rStyle w:val="InternetLink"/>
                  <w:rFonts w:ascii="Arial;sans-serif" w:hAnsi="Arial;sans-serif"/>
                  <w:b w:val="false"/>
                  <w:strike w:val="false"/>
                  <w:dstrike w:val="false"/>
                  <w:color w:val="0000FF"/>
                  <w:sz w:val="20"/>
                  <w:u w:val="none"/>
                  <w:effect w:val="none"/>
                </w:rPr>
                <w:t>Item 9B.</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02">
              <w:r>
                <w:rPr>
                  <w:rStyle w:val="InternetLink"/>
                  <w:rFonts w:ascii="Arial;sans-serif" w:hAnsi="Arial;sans-serif"/>
                  <w:b w:val="false"/>
                  <w:strike w:val="false"/>
                  <w:dstrike w:val="false"/>
                  <w:color w:val="0000FF"/>
                  <w:sz w:val="20"/>
                  <w:u w:val="none"/>
                  <w:effect w:val="none"/>
                </w:rPr>
                <w:t>Other Information</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02">
              <w:r>
                <w:rPr>
                  <w:rStyle w:val="InternetLink"/>
                  <w:rFonts w:ascii="Arial;sans-serif" w:hAnsi="Arial;sans-serif"/>
                  <w:b/>
                  <w:strike w:val="false"/>
                  <w:dstrike w:val="false"/>
                  <w:color w:val="0000FF"/>
                  <w:sz w:val="20"/>
                  <w:u w:val="none"/>
                  <w:effect w:val="none"/>
                </w:rPr>
                <w:t>92</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05">
              <w:r>
                <w:rPr>
                  <w:rStyle w:val="InternetLink"/>
                  <w:rFonts w:ascii="Arial;sans-serif" w:hAnsi="Arial;sans-serif"/>
                  <w:b w:val="false"/>
                  <w:strike w:val="false"/>
                  <w:dstrike w:val="false"/>
                  <w:color w:val="0000FF"/>
                  <w:sz w:val="20"/>
                  <w:u w:val="none"/>
                  <w:effect w:val="none"/>
                </w:rPr>
                <w:t>Item 9C.</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05">
              <w:r>
                <w:rPr>
                  <w:rStyle w:val="InternetLink"/>
                  <w:rFonts w:ascii="Arial;sans-serif" w:hAnsi="Arial;sans-serif"/>
                  <w:b w:val="false"/>
                  <w:strike w:val="false"/>
                  <w:dstrike w:val="false"/>
                  <w:color w:val="0000FF"/>
                  <w:sz w:val="20"/>
                  <w:u w:val="none"/>
                  <w:effect w:val="none"/>
                </w:rPr>
                <w:t>Disclosure Regarding Foreign Jurisdictions That Prevent Inspections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05">
              <w:r>
                <w:rPr>
                  <w:rStyle w:val="InternetLink"/>
                  <w:rFonts w:ascii="Arial;sans-serif" w:hAnsi="Arial;sans-serif"/>
                  <w:b/>
                  <w:strike w:val="false"/>
                  <w:dstrike w:val="false"/>
                  <w:color w:val="0000FF"/>
                  <w:sz w:val="20"/>
                  <w:u w:val="none"/>
                  <w:effect w:val="none"/>
                </w:rPr>
                <w:t>92</w:t>
              </w:r>
            </w:hyperlink>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08">
              <w:r>
                <w:rPr>
                  <w:rStyle w:val="InternetLink"/>
                  <w:rFonts w:ascii="Arial;sans-serif" w:hAnsi="Arial;sans-serif"/>
                  <w:b/>
                  <w:strike w:val="false"/>
                  <w:dstrike w:val="false"/>
                  <w:color w:val="0000FF"/>
                  <w:sz w:val="20"/>
                  <w:u w:val="none"/>
                  <w:effect w:val="none"/>
                </w:rPr>
                <w:t>Part III</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11">
              <w:r>
                <w:rPr>
                  <w:rStyle w:val="InternetLink"/>
                  <w:rFonts w:ascii="Arial;sans-serif" w:hAnsi="Arial;sans-serif"/>
                  <w:b w:val="false"/>
                  <w:strike w:val="false"/>
                  <w:dstrike w:val="false"/>
                  <w:color w:val="0000FF"/>
                  <w:sz w:val="20"/>
                  <w:u w:val="none"/>
                  <w:effect w:val="none"/>
                </w:rPr>
                <w:t>Item 10.</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11">
              <w:r>
                <w:rPr>
                  <w:rStyle w:val="InternetLink"/>
                  <w:rFonts w:ascii="Arial;sans-serif" w:hAnsi="Arial;sans-serif"/>
                  <w:b w:val="false"/>
                  <w:strike w:val="false"/>
                  <w:dstrike w:val="false"/>
                  <w:color w:val="0000FF"/>
                  <w:sz w:val="20"/>
                  <w:u w:val="none"/>
                  <w:effect w:val="none"/>
                </w:rPr>
                <w:t>Directors, Executive Officers and Corporate Governance</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11">
              <w:r>
                <w:rPr>
                  <w:rStyle w:val="InternetLink"/>
                  <w:rFonts w:ascii="Arial;sans-serif" w:hAnsi="Arial;sans-serif"/>
                  <w:b/>
                  <w:strike w:val="false"/>
                  <w:dstrike w:val="false"/>
                  <w:color w:val="0000FF"/>
                  <w:sz w:val="20"/>
                  <w:u w:val="none"/>
                  <w:effect w:val="none"/>
                </w:rPr>
                <w:t>92</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14">
              <w:r>
                <w:rPr>
                  <w:rStyle w:val="InternetLink"/>
                  <w:rFonts w:ascii="Arial;sans-serif" w:hAnsi="Arial;sans-serif"/>
                  <w:b w:val="false"/>
                  <w:strike w:val="false"/>
                  <w:dstrike w:val="false"/>
                  <w:color w:val="0000FF"/>
                  <w:sz w:val="20"/>
                  <w:u w:val="none"/>
                  <w:effect w:val="none"/>
                </w:rPr>
                <w:t>Item 11.</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14">
              <w:r>
                <w:rPr>
                  <w:rStyle w:val="InternetLink"/>
                  <w:rFonts w:ascii="Arial;sans-serif" w:hAnsi="Arial;sans-serif"/>
                  <w:b w:val="false"/>
                  <w:strike w:val="false"/>
                  <w:dstrike w:val="false"/>
                  <w:color w:val="0000FF"/>
                  <w:sz w:val="20"/>
                  <w:u w:val="none"/>
                  <w:effect w:val="none"/>
                </w:rPr>
                <w:t>Executive Compensation</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14">
              <w:r>
                <w:rPr>
                  <w:rStyle w:val="InternetLink"/>
                  <w:rFonts w:ascii="Arial;sans-serif" w:hAnsi="Arial;sans-serif"/>
                  <w:b/>
                  <w:strike w:val="false"/>
                  <w:dstrike w:val="false"/>
                  <w:color w:val="0000FF"/>
                  <w:sz w:val="20"/>
                  <w:u w:val="none"/>
                  <w:effect w:val="none"/>
                </w:rPr>
                <w:t>93</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17">
              <w:r>
                <w:rPr>
                  <w:rStyle w:val="InternetLink"/>
                  <w:rFonts w:ascii="Arial;sans-serif" w:hAnsi="Arial;sans-serif"/>
                  <w:b w:val="false"/>
                  <w:strike w:val="false"/>
                  <w:dstrike w:val="false"/>
                  <w:color w:val="0000FF"/>
                  <w:sz w:val="20"/>
                  <w:u w:val="none"/>
                  <w:effect w:val="none"/>
                </w:rPr>
                <w:t>Item 12.</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17">
              <w:r>
                <w:rPr>
                  <w:rStyle w:val="InternetLink"/>
                  <w:rFonts w:ascii="Arial;sans-serif" w:hAnsi="Arial;sans-serif"/>
                  <w:b w:val="false"/>
                  <w:strike w:val="false"/>
                  <w:dstrike w:val="false"/>
                  <w:color w:val="0000FF"/>
                  <w:sz w:val="20"/>
                  <w:u w:val="none"/>
                  <w:effect w:val="none"/>
                </w:rPr>
                <w:t>Security Ownership of Certain Beneficial Owners and Management and Related Stockholder Matters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17">
              <w:r>
                <w:rPr>
                  <w:rStyle w:val="InternetLink"/>
                  <w:rFonts w:ascii="Arial;sans-serif" w:hAnsi="Arial;sans-serif"/>
                  <w:b/>
                  <w:strike w:val="false"/>
                  <w:dstrike w:val="false"/>
                  <w:color w:val="0000FF"/>
                  <w:sz w:val="20"/>
                  <w:u w:val="none"/>
                  <w:effect w:val="none"/>
                </w:rPr>
                <w:t>93</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0">
              <w:r>
                <w:rPr>
                  <w:rStyle w:val="InternetLink"/>
                  <w:rFonts w:ascii="Arial;sans-serif" w:hAnsi="Arial;sans-serif"/>
                  <w:b w:val="false"/>
                  <w:strike w:val="false"/>
                  <w:dstrike w:val="false"/>
                  <w:color w:val="0000FF"/>
                  <w:sz w:val="20"/>
                  <w:u w:val="none"/>
                  <w:effect w:val="none"/>
                </w:rPr>
                <w:t>Item 13.</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0">
              <w:r>
                <w:rPr>
                  <w:rStyle w:val="InternetLink"/>
                  <w:rFonts w:ascii="Arial;sans-serif" w:hAnsi="Arial;sans-serif"/>
                  <w:b w:val="false"/>
                  <w:strike w:val="false"/>
                  <w:dstrike w:val="false"/>
                  <w:color w:val="0000FF"/>
                  <w:sz w:val="20"/>
                  <w:u w:val="none"/>
                  <w:effect w:val="none"/>
                </w:rPr>
                <w:t>Certain Relationships, Related Transactions and Director Independence</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20">
              <w:r>
                <w:rPr>
                  <w:rStyle w:val="InternetLink"/>
                  <w:rFonts w:ascii="Arial;sans-serif" w:hAnsi="Arial;sans-serif"/>
                  <w:b/>
                  <w:strike w:val="false"/>
                  <w:dstrike w:val="false"/>
                  <w:color w:val="0000FF"/>
                  <w:sz w:val="20"/>
                  <w:u w:val="none"/>
                  <w:effect w:val="none"/>
                </w:rPr>
                <w:t>93</w:t>
              </w:r>
            </w:hyperlink>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3">
              <w:r>
                <w:rPr>
                  <w:rStyle w:val="InternetLink"/>
                  <w:rFonts w:ascii="Arial;sans-serif" w:hAnsi="Arial;sans-serif"/>
                  <w:b w:val="false"/>
                  <w:strike w:val="false"/>
                  <w:dstrike w:val="false"/>
                  <w:color w:val="0000FF"/>
                  <w:sz w:val="20"/>
                  <w:u w:val="none"/>
                  <w:effect w:val="none"/>
                </w:rPr>
                <w:t>Item 14.</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3">
              <w:r>
                <w:rPr>
                  <w:rStyle w:val="InternetLink"/>
                  <w:rFonts w:ascii="Arial;sans-serif" w:hAnsi="Arial;sans-serif"/>
                  <w:b w:val="false"/>
                  <w:strike w:val="false"/>
                  <w:dstrike w:val="false"/>
                  <w:color w:val="0000FF"/>
                  <w:sz w:val="20"/>
                  <w:u w:val="none"/>
                  <w:effect w:val="none"/>
                </w:rPr>
                <w:t>Principal Accountant Fees and Services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23">
              <w:r>
                <w:rPr>
                  <w:rStyle w:val="InternetLink"/>
                  <w:rFonts w:ascii="Arial;sans-serif" w:hAnsi="Arial;sans-serif"/>
                  <w:b/>
                  <w:strike w:val="false"/>
                  <w:dstrike w:val="false"/>
                  <w:color w:val="0000FF"/>
                  <w:sz w:val="20"/>
                  <w:u w:val="none"/>
                  <w:effect w:val="none"/>
                </w:rPr>
                <w:t>93</w:t>
              </w:r>
            </w:hyperlink>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6">
              <w:r>
                <w:rPr>
                  <w:rStyle w:val="InternetLink"/>
                  <w:rFonts w:ascii="Arial;sans-serif" w:hAnsi="Arial;sans-serif"/>
                  <w:b/>
                  <w:strike w:val="false"/>
                  <w:dstrike w:val="false"/>
                  <w:color w:val="0000FF"/>
                  <w:sz w:val="20"/>
                  <w:u w:val="none"/>
                  <w:effect w:val="none"/>
                </w:rPr>
                <w:t>Part IV</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9">
              <w:r>
                <w:rPr>
                  <w:rStyle w:val="InternetLink"/>
                  <w:rFonts w:ascii="Arial;sans-serif" w:hAnsi="Arial;sans-serif"/>
                  <w:b w:val="false"/>
                  <w:strike w:val="false"/>
                  <w:dstrike w:val="false"/>
                  <w:color w:val="0000FF"/>
                  <w:sz w:val="20"/>
                  <w:u w:val="none"/>
                  <w:effect w:val="none"/>
                </w:rPr>
                <w:t>Item 15.</w:t>
              </w:r>
            </w:hyperlink>
          </w:p>
        </w:tc>
        <w:tc>
          <w:tcPr>
            <w:tcW w:w="8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29">
              <w:r>
                <w:rPr>
                  <w:rStyle w:val="InternetLink"/>
                  <w:rFonts w:ascii="Arial;sans-serif" w:hAnsi="Arial;sans-serif"/>
                  <w:b w:val="false"/>
                  <w:strike w:val="false"/>
                  <w:dstrike w:val="false"/>
                  <w:color w:val="0000FF"/>
                  <w:sz w:val="20"/>
                  <w:u w:val="none"/>
                  <w:effect w:val="none"/>
                </w:rPr>
                <w:t>Exhibits and Financial Statement Schedules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29">
              <w:r>
                <w:rPr>
                  <w:rStyle w:val="InternetLink"/>
                  <w:rFonts w:ascii="Arial;sans-serif" w:hAnsi="Arial;sans-serif"/>
                  <w:b/>
                  <w:strike w:val="false"/>
                  <w:dstrike w:val="false"/>
                  <w:color w:val="0000FF"/>
                  <w:sz w:val="20"/>
                  <w:u w:val="none"/>
                  <w:effect w:val="none"/>
                </w:rPr>
                <w:t>93</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32">
              <w:r>
                <w:rPr>
                  <w:rStyle w:val="InternetLink"/>
                  <w:rFonts w:ascii="Arial;sans-serif" w:hAnsi="Arial;sans-serif"/>
                  <w:b w:val="false"/>
                  <w:strike w:val="false"/>
                  <w:dstrike w:val="false"/>
                  <w:color w:val="0000FF"/>
                  <w:sz w:val="20"/>
                  <w:u w:val="none"/>
                  <w:effect w:val="none"/>
                </w:rPr>
                <w:t>Item 16.</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32">
              <w:r>
                <w:rPr>
                  <w:rStyle w:val="InternetLink"/>
                  <w:rFonts w:ascii="Arial;sans-serif" w:hAnsi="Arial;sans-serif"/>
                  <w:b w:val="false"/>
                  <w:strike w:val="false"/>
                  <w:dstrike w:val="false"/>
                  <w:color w:val="0000FF"/>
                  <w:sz w:val="20"/>
                  <w:u w:val="none"/>
                  <w:effect w:val="none"/>
                </w:rPr>
                <w:t>Form 10-K Summary</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32">
              <w:r>
                <w:rPr>
                  <w:rStyle w:val="InternetLink"/>
                  <w:rFonts w:ascii="Arial;sans-serif" w:hAnsi="Arial;sans-serif"/>
                  <w:b/>
                  <w:strike w:val="false"/>
                  <w:dstrike w:val="false"/>
                  <w:color w:val="0000FF"/>
                  <w:sz w:val="20"/>
                  <w:u w:val="none"/>
                  <w:effect w:val="none"/>
                </w:rPr>
                <w:t>94</w:t>
              </w:r>
            </w:hyperlink>
          </w:p>
        </w:tc>
      </w:tr>
      <w:tr>
        <w:trPr/>
        <w:tc>
          <w:tcPr>
            <w:tcW w:w="95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35">
              <w:r>
                <w:rPr>
                  <w:rStyle w:val="InternetLink"/>
                  <w:rFonts w:ascii="Arial;sans-serif" w:hAnsi="Arial;sans-serif"/>
                  <w:b/>
                  <w:strike w:val="false"/>
                  <w:dstrike w:val="false"/>
                  <w:color w:val="0000FF"/>
                  <w:sz w:val="20"/>
                  <w:u w:val="none"/>
                  <w:effect w:val="none"/>
                </w:rPr>
                <w:t>Exhibit Index</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35">
              <w:r>
                <w:rPr>
                  <w:rStyle w:val="InternetLink"/>
                  <w:rFonts w:ascii="Arial;sans-serif" w:hAnsi="Arial;sans-serif"/>
                  <w:b/>
                  <w:strike w:val="false"/>
                  <w:dstrike w:val="false"/>
                  <w:color w:val="0000FF"/>
                  <w:sz w:val="20"/>
                  <w:u w:val="none"/>
                  <w:effect w:val="none"/>
                </w:rPr>
                <w:t>95</w:t>
              </w:r>
            </w:hyperlink>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238">
              <w:r>
                <w:rPr>
                  <w:rStyle w:val="InternetLink"/>
                  <w:rFonts w:ascii="Arial;sans-serif" w:hAnsi="Arial;sans-serif"/>
                  <w:b/>
                  <w:strike w:val="false"/>
                  <w:dstrike w:val="false"/>
                  <w:color w:val="0000FF"/>
                  <w:sz w:val="20"/>
                  <w:u w:val="none"/>
                  <w:effect w:val="none"/>
                </w:rPr>
                <w:t>Signatures</w:t>
              </w:r>
            </w:hyperlink>
          </w:p>
        </w:tc>
        <w:tc>
          <w:tcPr>
            <w:tcW w:w="8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f8c11be1bd43a2a59d2f9f5366a54a_238">
              <w:r>
                <w:rPr>
                  <w:rStyle w:val="InternetLink"/>
                  <w:rFonts w:ascii="Arial;sans-serif" w:hAnsi="Arial;sans-serif"/>
                  <w:b/>
                  <w:strike w:val="false"/>
                  <w:dstrike w:val="false"/>
                  <w:color w:val="0000FF"/>
                  <w:sz w:val="20"/>
                  <w:u w:val="none"/>
                  <w:effect w:val="none"/>
                </w:rPr>
                <w:t>98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6280"/>
                <wp:effectExtent l="0" t="0" r="0" b="0"/>
                <wp:wrapNone/>
                <wp:docPr id="4" name="Frame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ITEM 1.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this Form 10-K, unless the content otherwise dictates, "Conduent", the "Company", "we" or "our" mean Conduent Incorporated and its consolidated subsidiaries.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Our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51,000 associates, process expertise and advanced technologies, our solutions and services digitally transform our clients’ operations to enhance customer experiences, improve performance, increase efficiencies and reduce costs.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Conduent is a diverse, global company with a portfolio of assets spanning both the commercial and public sectors. Our unique set of solutions and services are utilized by some of the largest corporations, governments and public sector agencies across multiple industries and geographies to deliver end-user excellence at scale and business process efficiencies with state-of-the-art, proprietary technology. Each day, our solutions and services interact in the lives of millions of people in many ways - from safer, more seamless commutes with reduced congestion to streamlined benefits enrollment, documents management, customer experiences and government healthcare claims. Conduent’s uniqueness, loyalty and dedication to service make for a future of robust value creation and growth.</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commercial portfolio includes technology-led solutions driving efficiencies and enhanced end-user experiences across multiple industries in attractive growth markets, including customer experience management, finance and accounting, digital and document solutions, banking, healthcare and human capital solutions. In the commercial market, competitive pressures are driving demand for increased productivity, efficiency and modern digital experiences, and these needs favor end-to-end solutions and outsourcing where we have an advantage. In addition, increasing globalization and the proliferation of AI-enabled solutions and applications create opportunities we are poised to capitalize on. Our people, process expertise and technology elevate client outcomes every day. In 2025, we managed approximately 2 billion customer service interactions, captured and classified over 14 billion documents and claims, and supported millions of employees with human resource ("HR") services.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serve a substantial portion of the public sector, providing market-leading government and transportation offerings that streamline enrollment and automate claims for government-funded programs such as Medicaid, accurately deliver benefits payments that residents depend on every day, and seamlessly move travelers.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government portfolio includes government healthcare, eligibility and enrollment solutions, digital payments and child support payments, ensuring efficient Medicaid healthcare claims processing and delivery of benefits to the most vulnerable populations while reducing the risk of fraud. Our solutions help state agencies determine eligibility, streamline enrollment, adjudicate claims and meet requirements for government-funded healthcare programs. We also deliver government-distributed payments seamlessly and securely utilizing our proprietary software and expertise. In 2025, we processed over 454 million Medicaid claims and disbursed approximately $80 billion in government benefit payments.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transportation portfolio includes public transit and road usage charging solutions that streamline operations, increase revenue and reduce congestion while enabling safer, more seamless travel with reduced environmental impact. We help transportation agencies collect payments, manage operations, equipment and servicing, reduce traffic congestion and enable digital transactions for transit and road usage charging globally, processing over 14 million tolling transactions every day.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With approximately 51,000 associates globally as of December 31, 2025, we are dedicated to our clients' success. Each day, our people and our digital business solutions and services serve millions of end users on behalf of our clients.</w:t>
      </w:r>
    </w:p>
    <w:p>
      <w:pPr>
        <w:pStyle w:val="TextBody"/>
        <w:bidi w:val="0"/>
        <w:spacing w:lineRule="auto" w:line="288" w:before="0" w:after="180"/>
        <w:jc w:val="left"/>
        <w:rPr/>
      </w:pPr>
      <w:r>
        <w:rPr>
          <w:rFonts w:ascii="Arial;sans-serif" w:hAnsi="Arial;sans-serif"/>
          <w:b w:val="false"/>
          <w:color w:val="000000"/>
          <w:sz w:val="20"/>
        </w:rPr>
        <w:t xml:space="preserve">Of our global team, approximately 34% is located in North America with the remainder located primarily in our delivery centers in Asia Pacific, Latin America, the Caribbean and Europe. We continue to be recognized for our commitment to </w:t>
      </w:r>
      <w:r>
        <w:rPr>
          <w:rFonts w:ascii="Arial;sans-serif" w:hAnsi="Arial;sans-serif"/>
          <w:b w:val="false"/>
          <w:color w:val="000000"/>
          <w:sz w:val="20"/>
          <w:shd w:fill="FFFFFF" w:val="clear"/>
        </w:rPr>
        <w:t xml:space="preserve">fostering a culture of belonging and </w:t>
      </w:r>
      <w:r>
        <w:rPr>
          <w:rFonts w:ascii="Arial;sans-serif" w:hAnsi="Arial;sans-serif"/>
          <w:b w:val="false"/>
          <w:color w:val="000000"/>
          <w:sz w:val="20"/>
        </w:rPr>
        <w:t>inclusion.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16280"/>
                <wp:effectExtent l="0" t="0" r="0" b="0"/>
                <wp:wrapNone/>
                <wp:docPr id="5" name="Frame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Our Strategic Focus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aim is to be the technology-led business solutions partner of choice for businesses and governments globally. To achieve this, we focus on delivering outcomes across three critical dimensions: Growth, Efficiency and Quality. Our strategy is designed to deliver shareholder value by creating profitable growth, expanding operating margins, identifying process efficiencies and employing a disciplined capital allocation strategy.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identified specific execution strategies and key performance indicators across Growth, Efficiency and Quality.</w:t>
      </w:r>
    </w:p>
    <w:p>
      <w:pPr>
        <w:pStyle w:val="TextBody"/>
        <w:bidi w:val="0"/>
        <w:spacing w:lineRule="auto" w:line="288" w:before="0" w:after="180"/>
        <w:jc w:val="left"/>
        <w:rPr/>
      </w:pPr>
      <w:r>
        <w:rPr>
          <w:rFonts w:ascii="Arial;sans-serif" w:hAnsi="Arial;sans-serif"/>
          <w:b/>
          <w:color w:val="000000"/>
          <w:sz w:val="20"/>
        </w:rPr>
        <w:t>Growth</w:t>
      </w:r>
      <w:r>
        <w:rPr>
          <w:rFonts w:ascii="Arial;sans-serif" w:hAnsi="Arial;sans-serif"/>
          <w:b w:val="false"/>
          <w:color w:val="000000"/>
          <w:sz w:val="20"/>
        </w:rPr>
        <w:t xml:space="preserve">: Our opportunity for growth stems from understanding our clients’ businesses and driving valuable outcomes to help them reduce costs, improve efficiencies and elevate customer experiences. To capitalize on growth opportunities, we remain focused on several key strategies: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Sales Performance Optimization</w:t>
      </w:r>
      <w:r>
        <w:rPr>
          <w:rFonts w:ascii="Arial;sans-serif" w:hAnsi="Arial;sans-serif"/>
          <w:b w:val="false"/>
          <w:color w:val="000000"/>
          <w:sz w:val="20"/>
        </w:rPr>
        <w:t>: We continue to optimize sales training, talent, go-to-market processes and account management to strengthen client and prospect relationships to gain more selling opportunities with new clients as well as greater share of wallet with existing clients. Our team’s talent and dedication has resulted in Conduent serving 46 states, nearly half of the Fortune 100 companies and other leading companies, including: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9 of the top 10 U.S. health insurers;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7 of the top 10 pharma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4 of the top 5 automakers;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7 of the top 10 U.S. banks.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Offering Development</w:t>
      </w:r>
      <w:r>
        <w:rPr>
          <w:rFonts w:ascii="Arial;sans-serif" w:hAnsi="Arial;sans-serif"/>
          <w:b w:val="false"/>
          <w:color w:val="000000"/>
          <w:sz w:val="20"/>
        </w:rPr>
        <w:t>: We continue to augment our portfolio of services and solutions with innovative technology capabilities, including cloud, data analytics, automation tools, generative AI ("GenAI")/ AI, digital payments and machine learning capabilities to create differentiated, high-value solutions for our clients, operate efficiently and enable greater penetration of attractive market segments.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2025, our existing clients renewed contracts with us and gave us more business in adjacent service lines and we also gained new clients. We measure success in “Growth” through revenue retention, our net Annual Recurring Revenue ("ARR") activity metric and new business signings, among other metrics.</w:t>
      </w:r>
    </w:p>
    <w:p>
      <w:pPr>
        <w:pStyle w:val="TextBody"/>
        <w:bidi w:val="0"/>
        <w:spacing w:lineRule="auto" w:line="288" w:before="0" w:after="180"/>
        <w:jc w:val="left"/>
        <w:rPr/>
      </w:pPr>
      <w:r>
        <w:rPr>
          <w:rFonts w:ascii="Arial;sans-serif" w:hAnsi="Arial;sans-serif"/>
          <w:b/>
          <w:color w:val="000000"/>
          <w:sz w:val="20"/>
        </w:rPr>
        <w:t>Efficiency</w:t>
      </w:r>
      <w:r>
        <w:rPr>
          <w:rFonts w:ascii="Arial;sans-serif" w:hAnsi="Arial;sans-serif"/>
          <w:b w:val="false"/>
          <w:color w:val="000000"/>
          <w:sz w:val="20"/>
        </w:rPr>
        <w:t>: We continue to identify ways to reduce costs and create new efficiencies. We have simplified and standardized our operating model by removing redundant management layers and applying processes that enable faster decision-making and greater transparency and accountability. In addition, we aim to achieve additional efficiencies through the following strategies: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AI and Automation</w:t>
      </w:r>
      <w:r>
        <w:rPr>
          <w:rFonts w:ascii="Arial;sans-serif" w:hAnsi="Arial;sans-serif"/>
          <w:b w:val="false"/>
          <w:color w:val="000000"/>
          <w:sz w:val="20"/>
        </w:rPr>
        <w:t>: We will continue to invest in embedding GenAI/AI and intelligent process automation into existing operations, including automated document management, fraud detection and prevention, claims adjudication and customer experience. Our automation capabilities increase productivity through advanced data extraction and handling of structured and unstructured data, improve workflow efficiency through business rules and task automation and increase operational accuracy through predictive analytics. In 2025, we continued a dedicated GenAI program with over 20 prioritized use cases to help drive quality, efficiency and faster cycle times in our clients' operations, as well as continued our GenAI innovation initiative with Microsoft. In addition, we launched our AI Experience Center in our Florham Park, NJ headquarters to immerse our clients in AI innovations and demonstrate these solutions in production.</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Delivery Optimization</w:t>
      </w:r>
      <w:r>
        <w:rPr>
          <w:rFonts w:ascii="Arial;sans-serif" w:hAnsi="Arial;sans-serif"/>
          <w:b w:val="false"/>
          <w:color w:val="000000"/>
          <w:sz w:val="20"/>
        </w:rPr>
        <w:t>: We continue to operate more efficiently through common processes with a shared services model that enables economies of scale and creates greater accountability for client performance. We drive progress through continuous process improvement and capitalizing on a range of staffing models, including flexible work from home and hybrid work, as well as optimizing our geographic footprint.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continue to respond with agility to clients’ shifting needs as reflected in our Net Promoter Score ("NPS"), which has increased significantly since becoming Conduent in 2017. We measure success in Efficiency through associate retention and adjusted earnings before interest, taxes, depreciation and amortization ("Adjusted EBITDA") margin, among other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6280"/>
                <wp:effectExtent l="0" t="0" r="0" b="0"/>
                <wp:wrapNone/>
                <wp:docPr id="6" name="Frame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color w:val="000000"/>
          <w:sz w:val="20"/>
        </w:rPr>
        <w:t>Quality</w:t>
      </w:r>
      <w:r>
        <w:rPr>
          <w:rFonts w:ascii="Arial;sans-serif" w:hAnsi="Arial;sans-serif"/>
          <w:b w:val="false"/>
          <w:color w:val="000000"/>
          <w:sz w:val="20"/>
        </w:rPr>
        <w:t xml:space="preserve">: Our clients depend on stable, high-quality service delivery. We continue to drive progress by increasing system uptime, improving operational stability and creating client confidence and satisfaction by focusing on the following strategies: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Proactive, Real-time Monitoring of Applications and Service Performance</w:t>
      </w:r>
      <w:r>
        <w:rPr>
          <w:rFonts w:ascii="Arial;sans-serif" w:hAnsi="Arial;sans-serif"/>
          <w:b w:val="false"/>
          <w:color w:val="000000"/>
          <w:sz w:val="20"/>
        </w:rPr>
        <w:t xml:space="preserve">: We continue to invest in AI and machine learning technologies to proactively monitor and prevent incidents.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Data Center Optimization</w:t>
      </w:r>
      <w:r>
        <w:rPr>
          <w:rFonts w:ascii="Arial;sans-serif" w:hAnsi="Arial;sans-serif"/>
          <w:b w:val="false"/>
          <w:color w:val="000000"/>
          <w:sz w:val="20"/>
        </w:rPr>
        <w:t xml:space="preserve">: We have systematically consolidated the majority of our technology infrastructure into two primary data centers, leading to increased processing speeds, redundancy and stability, as well as improved performance for our clients.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Improve End-User Experience</w:t>
      </w:r>
      <w:r>
        <w:rPr>
          <w:rFonts w:ascii="Arial;sans-serif" w:hAnsi="Arial;sans-serif"/>
          <w:b w:val="false"/>
          <w:color w:val="000000"/>
          <w:sz w:val="20"/>
        </w:rPr>
        <w:t>: We are enhancing both user interfaces and experiences across our offerings by expanding self-service tools, AI-powered capabilities and mobile apps and by leveraging deeper user insights through analytics.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focus on quality has resulted in continued client confidence and satisfaction. We measure “Quality” by service level agreement performance, system availability, technology incident rates and client satisfaction.</w:t>
      </w:r>
    </w:p>
    <w:p>
      <w:pPr>
        <w:pStyle w:val="TextBody"/>
        <w:bidi w:val="0"/>
        <w:spacing w:lineRule="auto" w:line="288" w:before="0" w:after="180"/>
        <w:jc w:val="left"/>
        <w:rPr/>
      </w:pPr>
      <w:r>
        <w:rPr>
          <w:rFonts w:ascii="Arial;sans-serif" w:hAnsi="Arial;sans-serif"/>
          <w:b/>
          <w:color w:val="000000"/>
          <w:sz w:val="20"/>
        </w:rPr>
        <w:t>Investment Strategy</w:t>
      </w:r>
      <w:r>
        <w:rPr>
          <w:rFonts w:ascii="Arial;sans-serif" w:hAnsi="Arial;sans-serif"/>
          <w:b w:val="false"/>
          <w:color w:val="000000"/>
          <w:sz w:val="20"/>
        </w:rPr>
        <w:t>: We maintain a balanced and disciplined approach to capital allocation including debt repayment, shareholder returns and internal investments. Our internal investments to support our business goals and client needs fall into three broad categories: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Opportunities to optimize, where we have significant scale and where we believe that with process improvements, automation and investment into the current offerings, we can improve the end-user experience, reduce our cost of delivery, expand our margins and further capture additional share.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Opportunities to enhance, where we have strong client relationships, a long history of expertise in that market and legacy technology that needs to be refreshed or modernized.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Opportunities to expand, where we believe we can compete successfully, and we see the return on investment as more significant than in other businesses. These businesses, augmented with new capabilities and geographic expansion, will address market dynamics and provide additional growth opportunities.</w:t>
      </w:r>
    </w:p>
    <w:p>
      <w:pPr>
        <w:pStyle w:val="TextBody"/>
        <w:bidi w:val="0"/>
        <w:spacing w:lineRule="auto" w:line="288" w:before="0" w:after="180"/>
        <w:ind w:left="0" w:right="0" w:hanging="360"/>
        <w:jc w:val="left"/>
        <w:rPr>
          <w:rFonts w:ascii="Arial;sans-serif" w:hAnsi="Arial;sans-serif"/>
          <w:b/>
          <w:color w:val="0066CC"/>
          <w:sz w:val="20"/>
        </w:rPr>
      </w:pPr>
      <w:r>
        <w:rPr>
          <w:rFonts w:ascii="Arial;sans-serif" w:hAnsi="Arial;sans-serif"/>
          <w:b/>
          <w:color w:val="0066CC"/>
          <w:sz w:val="20"/>
        </w:rPr>
        <w:t>Our Market Opportunity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operate in markets with compelling growth opportunities, including Business Process as a Service, transportation, payments and customer experience management, as well as in many industries, including healthcare and financial services. We estimate our addressable market size in the global business process services industry to be $219 billion in 2025, according to third-party industry reports. Many industry analysts and advisors place us as a leader across several segments in this large, diverse and growing market.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Ongoing competitive pressures and increasing demand for further productivity gains have motivated businesses and government organizations to outsource elements of their day-to-day operations to accelerate performance and improve end-user experience. As a result, our clients have become more focused on their core businesses and the range of outsourced activities has expanded. Increasing globalization has also required many companies to optimize cost structures and engage in AI-enabled business process solutions to retain competitiveness.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Conduent is unique in that we have solutions that span the end-to-end value chains of our clients. This means that our clients can partner with us to support more of their business processes than other providers. We are recognized by independent industry analysts as leaders for many of these solutions.</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Industry Analyst Accolades: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Nelson Hall Benefits Administration: Health &amp; Welfare 2025 NEAT Leader - Marketplace Focus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Nelson Hall Healthcare Payer Agility &amp; Innovation 2025 NEAT Leader - Overall</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Nelson Hall Experience-Led HR Transformation 2025 NEAT Leader - Experience and Engagement Focus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6280"/>
                <wp:effectExtent l="0" t="0" r="0" b="0"/>
                <wp:wrapNone/>
                <wp:docPr id="7" name="Frame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Market Position: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Everest Group BPS Top 10 2025 - #9</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Gartner Market Share IT Services 2025 - BPO, Worldwide - #14</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Segments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organize, manage and report our business through three reportable segments: </w:t>
      </w:r>
    </w:p>
    <w:p>
      <w:pPr>
        <w:pStyle w:val="TextBody"/>
        <w:bidi w:val="0"/>
        <w:spacing w:lineRule="auto" w:line="288" w:before="0" w:after="180"/>
        <w:jc w:val="left"/>
        <w:rPr/>
      </w:pPr>
      <w:r>
        <w:rPr>
          <w:rFonts w:ascii="Arial;sans-serif" w:hAnsi="Arial;sans-serif"/>
          <w:b w:val="false"/>
          <w:i/>
          <w:color w:val="000000"/>
          <w:sz w:val="20"/>
          <w:u w:val="single"/>
        </w:rPr>
        <w:t>Commercial:</w:t>
      </w:r>
      <w:r>
        <w:rPr>
          <w:color w:val="000000"/>
        </w:rPr>
        <w:t xml:space="preserve"> </w:t>
      </w:r>
      <w:r>
        <w:rPr>
          <w:rFonts w:ascii="Arial;sans-serif" w:hAnsi="Arial;sans-serif"/>
          <w:b w:val="false"/>
          <w:color w:val="000000"/>
          <w:sz w:val="20"/>
        </w:rPr>
        <w:t>Our Commercial segment provides business process services that span our clients’ business processes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enable revenue growth for our clients, and deliver better experiences for their consumers and employees. Our Commercial segment is our largest segment, with segment revenue for 2025 of $1,511 million, representing 49.7% of our total revenues excluding divestitures.</w:t>
      </w:r>
    </w:p>
    <w:p>
      <w:pPr>
        <w:pStyle w:val="TextBody"/>
        <w:bidi w:val="0"/>
        <w:spacing w:lineRule="auto" w:line="288" w:before="0" w:after="180"/>
        <w:jc w:val="left"/>
        <w:rPr/>
      </w:pPr>
      <w:r>
        <w:rPr>
          <w:rFonts w:ascii="Arial;sans-serif" w:hAnsi="Arial;sans-serif"/>
          <w:b w:val="false"/>
          <w:i/>
          <w:color w:val="000000"/>
          <w:sz w:val="20"/>
          <w:u w:val="single"/>
        </w:rPr>
        <w:t>Government:</w:t>
      </w:r>
      <w:r>
        <w:rPr>
          <w:color w:val="000000"/>
        </w:rPr>
        <w:t xml:space="preserve"> </w:t>
      </w:r>
      <w:r>
        <w:rPr>
          <w:rFonts w:ascii="Arial;sans-serif" w:hAnsi="Arial;sans-serif"/>
          <w:b w:val="false"/>
          <w:color w:val="000000"/>
          <w:sz w:val="20"/>
        </w:rPr>
        <w:t>Our Government segment provides government-centric services and solutions to U.S. federal, state, local and foreign governments for public assistance, healthcare program administration, transaction processing, eligibility and enrollment processing, payment services and case management. In this segment, we help governments respond to changing rules for eligibility and keep pace with increasing citizen expectations, modernize legacy technology systems, combat benefits fraud and adapt to an evolving regulatory environment. Our Government segment revenue for 2025 was $922 million, representing 30.3% of our total revenues excluding divestitures.</w:t>
      </w:r>
    </w:p>
    <w:p>
      <w:pPr>
        <w:pStyle w:val="TextBody"/>
        <w:bidi w:val="0"/>
        <w:spacing w:lineRule="auto" w:line="288" w:before="0" w:after="180"/>
        <w:jc w:val="left"/>
        <w:rPr/>
      </w:pPr>
      <w:r>
        <w:rPr>
          <w:rFonts w:ascii="Arial;sans-serif" w:hAnsi="Arial;sans-serif"/>
          <w:b w:val="false"/>
          <w:i/>
          <w:color w:val="000000"/>
          <w:sz w:val="20"/>
          <w:u w:val="single"/>
        </w:rPr>
        <w:t>Transportation:</w:t>
      </w:r>
      <w:r>
        <w:rPr>
          <w:color w:val="000000"/>
        </w:rPr>
        <w:t xml:space="preserve"> </w:t>
      </w:r>
      <w:r>
        <w:rPr>
          <w:rFonts w:ascii="Arial;sans-serif" w:hAnsi="Arial;sans-serif"/>
          <w:b w:val="false"/>
          <w:color w:val="000000"/>
          <w:sz w:val="20"/>
        </w:rPr>
        <w:t>Our Transportation segment provides government agencies and transportation authorities around the world with systems, support and revenue-generating solutions serving toll and fare collections as well as mobility and digital payments that help streamline operations and increase revenue to government and transportation agencies. With an expanded focus on sustainability and enhancing the quality of life for citizens and communities around the world, our solutions help reduce congestion and greenhouse emissions, while creating seamless travel experiences for consumers throughout transportation ecosystems. Transportation segment revenue for 2025 was $609 million, representing 20.0% of our total revenues excluding divestitures.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present segment financial information in Note 3 – Segment Reporting to our Consolidated Financial Statements included in Part II, Item 8 of this Form 10-K.</w:t>
      </w:r>
    </w:p>
    <w:p>
      <w:pPr>
        <w:pStyle w:val="TextBody"/>
        <w:bidi w:val="0"/>
        <w:spacing w:lineRule="auto" w:line="288" w:before="0" w:after="180"/>
        <w:ind w:left="0" w:right="0" w:hanging="180"/>
        <w:jc w:val="left"/>
        <w:rPr>
          <w:rFonts w:ascii="Arial;sans-serif" w:hAnsi="Arial;sans-serif"/>
          <w:b/>
          <w:color w:val="0066CC"/>
          <w:sz w:val="20"/>
        </w:rPr>
      </w:pPr>
      <w:r>
        <w:rPr>
          <w:rFonts w:ascii="Arial;sans-serif" w:hAnsi="Arial;sans-serif"/>
          <w:b/>
          <w:color w:val="0066CC"/>
          <w:sz w:val="20"/>
        </w:rPr>
        <w:t>Our Service Offerings</w:t>
      </w:r>
    </w:p>
    <w:p>
      <w:pPr>
        <w:pStyle w:val="TextBody"/>
        <w:bidi w:val="0"/>
        <w:spacing w:lineRule="auto" w:line="288" w:before="0" w:after="180"/>
        <w:jc w:val="left"/>
        <w:rPr>
          <w:rFonts w:ascii="Arial;sans-serif" w:hAnsi="Arial;sans-serif"/>
          <w:b/>
          <w:i/>
          <w:color w:val="000000"/>
          <w:sz w:val="20"/>
          <w:u w:val="single"/>
        </w:rPr>
      </w:pPr>
      <w:r>
        <w:rPr>
          <w:rFonts w:ascii="Arial;sans-serif" w:hAnsi="Arial;sans-serif"/>
          <w:b/>
          <w:i/>
          <w:color w:val="000000"/>
          <w:sz w:val="20"/>
          <w:u w:val="single"/>
        </w:rPr>
        <w:t>Commercial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technology-led solutions and services include Customer Experience Management ("CXM"), Business Process as a Service ("BPaaS") and Integrated Digital Solutions ("IDS").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Customer Experience Management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We deliver a full range of customer contact services, including customer care, technical support, loyalty management, and outbound and inbound sales, handling many complex interactions and representing the brands of our clients. We create better experiences across the customer lifecycle through a variety of channels including chat, email, voice and virtual agents to help customers where and how they want to engage. Through omni-channel communications, automation and analytics, as well as labor efficiencies, we help our clients drive revenue growth, enable scale, and gain cost reductions and other operational efficiencies. We serve marquee clients across multiple sectors, including the financial services, healthcare and life sciences, logistics, technology, telecom, travel and hospitality sectors, helping to resolve complex issues for our customers with empathy and effectiveness. The CXM business generally generates income on a per call, per agent, or per percentage of sales made basis.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Business Process as a Service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We help our clients digitally transform business processes and drive efficiency, automation and scale across essential business functions. We streamline client operations through our deep industry experience, understanding of our clients’ needs and the latest technology solutions to reduce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6280"/>
                <wp:effectExtent l="0" t="0" r="0" b="0"/>
                <wp:wrapNone/>
                <wp:docPr id="8" name="Frame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improve security, performance and accuracy, and enable revenue growth, while enhancing the end-user experience. Our portfolio of BPaaS solutions spans payment integrity, finance, accounting, and procurement, human capital, legal and compliance, and bank and lending. We generate revenue in a variety of ways within this business, including per employee covered, contingency fees on recoveries, per agent or per hour.</w:t>
      </w:r>
    </w:p>
    <w:p>
      <w:pPr>
        <w:pStyle w:val="TextBody"/>
        <w:bidi w:val="0"/>
        <w:spacing w:lineRule="auto" w:line="288" w:before="180" w:after="180"/>
        <w:ind w:left="0" w:right="0" w:hanging="360"/>
        <w:jc w:val="left"/>
        <w:rPr/>
      </w:pPr>
      <w:r>
        <w:rPr>
          <w:color w:val="000000"/>
        </w:rPr>
        <w:t>•</w:t>
      </w:r>
      <w:r>
        <w:rPr>
          <w:rFonts w:ascii="Arial;sans-serif" w:hAnsi="Arial;sans-serif"/>
          <w:b/>
          <w:color w:val="000000"/>
          <w:sz w:val="20"/>
        </w:rPr>
        <w:t>Integrated Digital Solutions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We drive efficiencies for clients with more digitized processes across the customer and document lifecycle through automation, data analytics and AI-powered solutions. This helps to shorten decision-making times on items like claims and applications while also lowering costs, reducing manual effort, improving data accuracy, providing omnichannel communications and enhancing the overall customer experience. Our solutions span document and claims processing, health plan administration, scanning and digitization of mailrooms, data and documents, and omnichannel digital and physical communications, including print and mail and solutions focused specifically in the healthcare and banking industries. We generate revenue in a variety of ways within this business, including per image scanned, per document mailed or per member covered.</w:t>
      </w:r>
    </w:p>
    <w:p>
      <w:pPr>
        <w:pStyle w:val="TextBody"/>
        <w:bidi w:val="0"/>
        <w:spacing w:lineRule="auto" w:line="288" w:before="180" w:after="180"/>
        <w:jc w:val="left"/>
        <w:rPr>
          <w:rFonts w:ascii="Arial;sans-serif" w:hAnsi="Arial;sans-serif"/>
          <w:b/>
          <w:i/>
          <w:color w:val="000000"/>
          <w:sz w:val="20"/>
          <w:u w:val="single"/>
        </w:rPr>
      </w:pPr>
      <w:r>
        <w:rPr>
          <w:rFonts w:ascii="Arial;sans-serif" w:hAnsi="Arial;sans-serif"/>
          <w:b/>
          <w:i/>
          <w:color w:val="000000"/>
          <w:sz w:val="20"/>
          <w:u w:val="single"/>
        </w:rPr>
        <w:t>Government</w:t>
      </w:r>
    </w:p>
    <w:p>
      <w:pPr>
        <w:pStyle w:val="TextBody"/>
        <w:bidi w:val="0"/>
        <w:spacing w:lineRule="auto" w:line="288" w:before="0" w:after="180"/>
        <w:jc w:val="left"/>
        <w:rPr/>
      </w:pPr>
      <w:r>
        <w:rPr>
          <w:rFonts w:ascii="Arial;sans-serif" w:hAnsi="Arial;sans-serif"/>
          <w:b w:val="false"/>
          <w:color w:val="000000"/>
          <w:sz w:val="20"/>
        </w:rPr>
        <w:t>Our Government solutions and services include Government Healthcare Solutions and Government Service Solutions</w:t>
      </w:r>
      <w:r>
        <w:rPr>
          <w:color w:val="000000"/>
        </w:rPr>
        <w:t xml:space="preserve"> </w:t>
      </w:r>
      <w:r>
        <w:rPr>
          <w:rFonts w:ascii="Arial;sans-serif" w:hAnsi="Arial;sans-serif"/>
          <w:b w:val="false"/>
          <w:color w:val="000000"/>
          <w:sz w:val="20"/>
        </w:rPr>
        <w:t>that streamline delivery of government benefits and programs to constituents and families in need.</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Government Healthcare Solutions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We provide program administration solutions for government healthcare programs with a range of innovative solutions such as Medicaid management, provider services, Medicaid business intelligence, pharmacy benefits management, eligibility and enrollment support, customer contact services, application processing, premium billing and case management solutions. In 2025 alone, we processed over 454 million claims. Our cloud-native Conduent Medicaid Suite ("CMdS") is a modular software as a service ("SaaS") solution for state Medicaid agencies to transform from a legacy Medicaid Management Information System ("MMIS") to a digital, interoperable and scalable Medicaid Enterprise System. Our case management and tracking solutions provide disease surveillance and outbreak management to make it easier to monitor, report and protect the health of communities globally. Both U.S. and international governments depend on our disease surveillance and outbreak case management solution to track public health metrics, vitals and birth defects, provide contact tracing and understand outbreak dynamics. These solutions help states, counties and countries optimize their costs by streamlining access to care and improving patient health outcomes through population health management, while helping families in need by improving beneficiary support. Within the Government Healthcare Solutions business, our revenue is primarily fixed fee or variable price based on a per call, per interaction or per member basis.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Government Service Solutions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With approximately $80 billion disbursed annually, we are a leader in government payment disbursements for federally sponsored programs including benefit card programs and payment card programs. Benefit card programs are closed-loop solutions that support Supplemental Nutrition Assistance Program, Temporary Assistance for Needy Families and Women, Infants and Children ("WIC"). Payment card programs are open-loop solutions that support child support and Unemployment Insurance. Closed-loop cards are limited to specific retailers (such as Food and Nutrition Service approved retailers), while open-loop cards can be used anywhere that accepts their card network (example MasterCard or Visa). In addition, benefit card programs may only be used for specific, approved products such as food or baby formula, whereas payment card programs can be used for any type of purchase or cash benefit. We deliver electronic payments for government services in 35 states, including 21 Electronic Benefit Transfer ("EBT") programs, 13 EBT for WIC programs and 4 Electronic Childcare programs. In our closed-loop payments solution, we generate revenue based on the number of cases or number of card holders. Within our open-loop payments solution, we generate revenue based on interchange fees and spending on cards as a percentage of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16280"/>
                <wp:effectExtent l="0" t="0" r="0" b="0"/>
                <wp:wrapNone/>
                <wp:docPr id="9" name="Frame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We also offer a broad set of child support services predominately to State Disbursement Units, including processing and distributing payments, child support payment cards, childcare credentialing and case management, among others, to help states comply with federal standards. Within child support solutions, the way we generate revenue varies by state, but it is generally either per financial transaction, per call, fixed price, or for development of systems.</w:t>
      </w:r>
    </w:p>
    <w:p>
      <w:pPr>
        <w:pStyle w:val="TextBody"/>
        <w:bidi w:val="0"/>
        <w:spacing w:lineRule="auto" w:line="288" w:before="0" w:after="180"/>
        <w:jc w:val="left"/>
        <w:rPr>
          <w:rFonts w:ascii="Arial;sans-serif" w:hAnsi="Arial;sans-serif"/>
          <w:b/>
          <w:i/>
          <w:color w:val="000000"/>
          <w:sz w:val="20"/>
          <w:u w:val="single"/>
        </w:rPr>
      </w:pPr>
      <w:r>
        <w:rPr>
          <w:rFonts w:ascii="Arial;sans-serif" w:hAnsi="Arial;sans-serif"/>
          <w:b/>
          <w:i/>
          <w:color w:val="000000"/>
          <w:sz w:val="20"/>
          <w:u w:val="single"/>
        </w:rPr>
        <w:t>Transportation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behalf of transportation authorities around the world, we deliver solutions to facilitate toll and fare collection, congestion and fleet management, and digital payments that help streamline operations and increase revenue. With an expanded focus on sustainability and enhancing the quality of life for citizens and communities around the world, our solutions help reduce congestion and greenhouse emissions, while creating seamless experiences for travelers throughout transportation ecosystems.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Road Usage Charging and Management Solutions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electronic tolling, urban congestion management and mileage-based user solutions help our clients accurately assess and collect payments millions of times every day to generate revenue for infrastructure improvements. Our solutions include vehicle passenger detection systems, electronic toll collection, automated license plate recognition and congestion management solutions. We generate revenue based on a combination of fixed fee and transaction-based pricing. The transaction-based component can be per account per month, per notice mailed, per active account, per violations fees received, or per image-based transaction.</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Transit Solutions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For train, bus, subway, metro and other transit travelers, we help make journeys more personalized and convenient while increasing fare collection for authorities and agencies. We combine fare collection, account-based ticketing and intelligent mobility to provide clients with the added efficiency of a single point of management for all transit solutions. Within transit, we primarily generate revenue via implementation of end projects (hardware and software, maintenance services, repair and sale of spare parts), and the building and operation of fare collection systems.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Commercial Vehicles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We provide computer-aided dispatch/automatic vehicle location technology to help clients manage their fleet operations.</w:t>
      </w:r>
    </w:p>
    <w:p>
      <w:pPr>
        <w:pStyle w:val="TextBody"/>
        <w:bidi w:val="0"/>
        <w:spacing w:lineRule="auto" w:line="288" w:before="0" w:after="180"/>
        <w:ind w:left="0" w:right="0" w:hanging="360"/>
        <w:jc w:val="left"/>
        <w:rPr>
          <w:rFonts w:ascii="Arial;sans-serif" w:hAnsi="Arial;sans-serif"/>
          <w:b/>
          <w:color w:val="0066CC"/>
          <w:sz w:val="20"/>
        </w:rPr>
      </w:pPr>
      <w:r>
        <w:rPr>
          <w:rFonts w:ascii="Arial;sans-serif" w:hAnsi="Arial;sans-serif"/>
          <w:b/>
          <w:color w:val="0066CC"/>
          <w:sz w:val="20"/>
        </w:rPr>
        <w:t>Our Competitive Strengths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possess competitive strengths that distinguish us from our competitors, including:</w:t>
      </w:r>
    </w:p>
    <w:p>
      <w:pPr>
        <w:pStyle w:val="TextBody"/>
        <w:bidi w:val="0"/>
        <w:spacing w:lineRule="auto" w:line="288" w:before="0" w:after="180"/>
        <w:jc w:val="left"/>
        <w:rPr/>
      </w:pPr>
      <w:r>
        <w:rPr>
          <w:rFonts w:ascii="Arial;sans-serif" w:hAnsi="Arial;sans-serif"/>
          <w:b/>
          <w:i/>
          <w:color w:val="000000"/>
          <w:sz w:val="20"/>
        </w:rPr>
        <w:t xml:space="preserve">Leadership in attractive growth markets: </w:t>
      </w:r>
      <w:r>
        <w:rPr>
          <w:rFonts w:ascii="Arial;sans-serif" w:hAnsi="Arial;sans-serif"/>
          <w:b w:val="false"/>
          <w:color w:val="000000"/>
          <w:sz w:val="20"/>
        </w:rPr>
        <w:t>We are a leader in business process solutions that deliver exceptional outcomes for our clients on a massive scale. Our clients continue to outsource key business processes to improve efficiency and to accelerate performance and digital transformation. Additionally, clients are moving beyond services for back-office functions to drive customer/employee satisfaction and loyalty. Conduent has a diverse portfolio of solutions that enable business processes end-to-end across our clients’ organizations. This enables them to partner with us across more of their business functions to drive efficiency and better outcomes for their enterprises. The increase in globalization and cost competition continues to accelerate, forcing companies to seek ways to stay ahead of the competition. These factors, along with clients and their customers demanding more personalized, seamless and secure solutions, position Conduent well to capture these opportunities. Through our portfolio of digital business solutions and services, we have reached significant scale in our businesses including:</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Healthcare:</w:t>
      </w:r>
      <w:r>
        <w:rPr>
          <w:color w:val="000000"/>
        </w:rPr>
        <w:t xml:space="preserve"> </w:t>
      </w:r>
      <w:r>
        <w:rPr>
          <w:rFonts w:ascii="Arial;sans-serif" w:hAnsi="Arial;sans-serif"/>
          <w:b w:val="false"/>
          <w:color w:val="000000"/>
          <w:sz w:val="20"/>
        </w:rPr>
        <w:t>The U.S. healthcare market is projected to grow at an average rate of 5.8% per year between 2024-2033. We are widely recognized by industry analysts as a leader in healthcare payer operations, serving 9 of the top 10 U.S. health plans and providing administrative and mission-critical program administration solutions for government healthcare programs serving over 111 million recipients in 34 states and the District of Columbia. Conduent’s healthcare capabilities have been recognized by NelsonHall and Everest Group.</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 xml:space="preserve">Transportation: </w:t>
      </w:r>
      <w:r>
        <w:rPr>
          <w:rFonts w:ascii="Arial;sans-serif" w:hAnsi="Arial;sans-serif"/>
          <w:b w:val="false"/>
          <w:color w:val="000000"/>
          <w:sz w:val="20"/>
        </w:rPr>
        <w:t xml:space="preserve">Traffic congestion continues to increase due to urbanization and changing global demographics. As a result, optimized transportation systems are becoming critical to increase efficiency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16280"/>
                <wp:effectExtent l="0" t="0" r="0" b="0"/>
                <wp:wrapNone/>
                <wp:docPr id="10" name="Frame1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maintaining strict safety requirements. Electronic toll collection and public transit represent key growth drivers as governments at all levels increasingly focus on transportation infrastructure, and we process over 14 million tolling transactions every day. </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Integrated Digital Solutions:</w:t>
      </w:r>
      <w:r>
        <w:rPr>
          <w:color w:val="000000"/>
        </w:rPr>
        <w:t xml:space="preserve"> </w:t>
      </w:r>
      <w:r>
        <w:rPr>
          <w:rFonts w:ascii="Arial;sans-serif" w:hAnsi="Arial;sans-serif"/>
          <w:b w:val="false"/>
          <w:color w:val="000000"/>
          <w:sz w:val="20"/>
        </w:rPr>
        <w:t>We provide high volume print and mail services, enrollment processing and personalized communications to large corporations and are a leading provider in this market with more than 14 billion documents captured, indexed and classified annually.</w:t>
      </w:r>
    </w:p>
    <w:p>
      <w:pPr>
        <w:pStyle w:val="TextBody"/>
        <w:bidi w:val="0"/>
        <w:spacing w:lineRule="auto" w:line="288" w:before="0" w:after="180"/>
        <w:jc w:val="left"/>
        <w:rPr/>
      </w:pPr>
      <w:r>
        <w:rPr>
          <w:rFonts w:ascii="Arial;sans-serif" w:hAnsi="Arial;sans-serif"/>
          <w:b/>
          <w:i/>
          <w:color w:val="000000"/>
          <w:sz w:val="20"/>
        </w:rPr>
        <w:t>Global delivery expertise:</w:t>
      </w:r>
      <w:r>
        <w:rPr>
          <w:color w:val="000000"/>
        </w:rPr>
        <w:t xml:space="preserve"> </w:t>
      </w:r>
      <w:r>
        <w:rPr>
          <w:rFonts w:ascii="Arial;sans-serif" w:hAnsi="Arial;sans-serif"/>
          <w:b w:val="false"/>
          <w:color w:val="000000"/>
          <w:sz w:val="20"/>
        </w:rPr>
        <w:t>Our scale and global delivery capabilities enable us to deliver our proprietary technology and differentiated service offerings seamlessly to clients around the world. We have operations in 24 countries including India, the Philippines, Jamaica, Guatemala, Mexico, Romania, the United Kingdom and several locations within the United States, providing our customers the option for "onshore", "nearshore" or "offshore" outsourced business process services. This global delivery model allows us to leverage lower-cost production locations, consistent methodologies and processes, time zone advantages and business continuity plans. As of December 31, 2025, 38% of our employees were in high-cost countries and 62% were in low-cost countries.</w:t>
      </w:r>
    </w:p>
    <w:p>
      <w:pPr>
        <w:pStyle w:val="TextBody"/>
        <w:bidi w:val="0"/>
        <w:spacing w:lineRule="auto" w:line="288" w:before="0" w:after="180"/>
        <w:jc w:val="left"/>
        <w:rPr/>
      </w:pPr>
      <w:r>
        <w:rPr>
          <w:rFonts w:ascii="Arial;sans-serif" w:hAnsi="Arial;sans-serif"/>
          <w:b/>
          <w:i/>
          <w:color w:val="000000"/>
          <w:sz w:val="20"/>
        </w:rPr>
        <w:t>Differentiated technology-led suite of multi-industry solutions:</w:t>
      </w:r>
      <w:r>
        <w:rPr>
          <w:color w:val="000000"/>
        </w:rPr>
        <w:t xml:space="preserve"> </w:t>
      </w:r>
      <w:r>
        <w:rPr>
          <w:rFonts w:ascii="Arial;sans-serif" w:hAnsi="Arial;sans-serif"/>
          <w:b w:val="false"/>
          <w:color w:val="000000"/>
          <w:sz w:val="20"/>
        </w:rPr>
        <w:t>Through dedicated people, process expertise and technology, such as AI, analytics and automation, Conduent solutions and services create value across multiple industries by creating efficiencies, improving experiences, reducing costs and enabling revenue growth while better serving millions of end users that depend on us. By understanding our clients' businesses, we deliver performance by optimizing processes to be more efficient, flexible and secure, and our innovative, tech-led solutions are highly configurable to meet our clients' needs. We deliver value by driving better outcomes and reducing costs at scale. We enhance customer experience by improving experiences, engagement and loyalty of end users.</w:t>
      </w:r>
    </w:p>
    <w:p>
      <w:pPr>
        <w:pStyle w:val="TextBody"/>
        <w:bidi w:val="0"/>
        <w:spacing w:lineRule="auto" w:line="288" w:before="0" w:after="180"/>
        <w:jc w:val="left"/>
        <w:rPr/>
      </w:pPr>
      <w:r>
        <w:rPr>
          <w:rFonts w:ascii="Arial;sans-serif" w:hAnsi="Arial;sans-serif"/>
          <w:b/>
          <w:i/>
          <w:color w:val="000000"/>
          <w:sz w:val="20"/>
        </w:rPr>
        <w:t xml:space="preserve">Recurring revenue model supported by a loyal, diverse client base: </w:t>
      </w:r>
      <w:r>
        <w:rPr>
          <w:rFonts w:ascii="Arial;sans-serif" w:hAnsi="Arial;sans-serif"/>
          <w:b w:val="false"/>
          <w:color w:val="000000"/>
          <w:sz w:val="20"/>
        </w:rPr>
        <w:t xml:space="preserve">We have a broad and diverse base of clients across multiple geographies and industries, including nearly half of the Fortune 100 companies, midsize businesses and governmental entities. Our strong client relationships and successful client execution support our stable, recurring revenue model and high renewal rates. </w:t>
      </w:r>
    </w:p>
    <w:p>
      <w:pPr>
        <w:pStyle w:val="TextBody"/>
        <w:bidi w:val="0"/>
        <w:spacing w:lineRule="auto" w:line="288" w:before="0" w:after="180"/>
        <w:ind w:left="0" w:right="0" w:hanging="360"/>
        <w:jc w:val="left"/>
        <w:rPr>
          <w:rFonts w:ascii="Arial;sans-serif" w:hAnsi="Arial;sans-serif"/>
          <w:b/>
          <w:color w:val="0066CC"/>
          <w:sz w:val="20"/>
        </w:rPr>
      </w:pPr>
      <w:r>
        <w:rPr>
          <w:rFonts w:ascii="Arial;sans-serif" w:hAnsi="Arial;sans-serif"/>
          <w:b/>
          <w:color w:val="0066CC"/>
          <w:sz w:val="20"/>
        </w:rPr>
        <w:t>Competition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Although we encounter competition in all areas of our portfolio, we are a leader in many categories. We compete based on technology, performance, quality, reliability, reputation, price, and customer service and support. We consider our "onshore", “near shore” and “offshore” delivery capabilities to be a competitive advantage. Our competitors range from large international companies to relatively small firms. Many of our competitors specialize in certain areas but none compete across all the same segments in our total portfolio which enables us to serve our clients end-to-end across their enterprises. Our competitors include: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Large multinational service providers such as Accenture, Cognizant, TTEC and Teleperformance;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Traditional business process outsourcing companies such as Genpact, Wipro and EXL Services;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Human resource, payroll processing and human capital management providers such as Alight and Willis Towers Watson;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Healthcare-focused IT and service solutions providers such as Gainwell, Optum and Maximus;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U.S. Federal-focused government services providers such as Leidos;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Transportation multi-nationals such as TransCore, Thales, Cubic and INIT;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Smaller, niche business processing service providers and in-house departments that perform functions that could be outsourced.</w:t>
      </w:r>
    </w:p>
    <w:p>
      <w:pPr>
        <w:pStyle w:val="TextBody"/>
        <w:bidi w:val="0"/>
        <w:spacing w:lineRule="auto" w:line="288" w:before="0" w:after="180"/>
        <w:ind w:left="0" w:right="0" w:hanging="180"/>
        <w:jc w:val="left"/>
        <w:rPr>
          <w:rFonts w:ascii="Arial;sans-serif" w:hAnsi="Arial;sans-serif"/>
          <w:b/>
          <w:color w:val="0066CC"/>
          <w:sz w:val="20"/>
        </w:rPr>
      </w:pPr>
      <w:r>
        <w:rPr>
          <w:rFonts w:ascii="Arial;sans-serif" w:hAnsi="Arial;sans-serif"/>
          <w:b/>
          <w:color w:val="0066CC"/>
          <w:sz w:val="20"/>
        </w:rPr>
        <w:t>Sales and Marketing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market and sell our solutions and services to both potential and existing clients through our global sales and business development teams. Additionally, we have dedicated account managers and solution architects who work with clients to better understand their business requirements and tailor our standard solutions to meet their unique needs.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solutions solve clients' business issues and help them achieve their desired business outcomes. We leverage our broad portfolio of offerings and dedicated team of associates to package solutions that meet clients’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6280"/>
                <wp:effectExtent l="0" t="0" r="0" b="0"/>
                <wp:wrapNone/>
                <wp:docPr id="11" name="Frame1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while taking a disciplined approach to pricing and contracting. Our sales efforts typically involve extended selling cycles where our deep domain and industry expertise is critical to winning new business. We maintain strong relationships with our clients from initial engagement to implementation and on-going service delivery.</w:t>
      </w:r>
    </w:p>
    <w:p>
      <w:pPr>
        <w:pStyle w:val="TextBody"/>
        <w:bidi w:val="0"/>
        <w:spacing w:lineRule="auto" w:line="288" w:before="0" w:after="180"/>
        <w:ind w:left="0" w:right="0" w:hanging="180"/>
        <w:jc w:val="left"/>
        <w:rPr>
          <w:rFonts w:ascii="Arial;sans-serif" w:hAnsi="Arial;sans-serif"/>
          <w:b/>
          <w:color w:val="0066CC"/>
          <w:sz w:val="20"/>
        </w:rPr>
      </w:pPr>
      <w:r>
        <w:rPr>
          <w:rFonts w:ascii="Arial;sans-serif" w:hAnsi="Arial;sans-serif"/>
          <w:b/>
          <w:color w:val="0066CC"/>
          <w:sz w:val="20"/>
        </w:rPr>
        <w:t>Intellectual Property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Generally, our policy is to seek patent protection for those inventions likely to be incorporated into our products and services or where obtaining such proprietary rights will improve our competitive position. As of December 31, 2025, we own approximately 489 U.S. patents and have 10 pending applications. Our patent portfolio evolves as new applications are filed, patents are awarded to us and as older patents expire. These patents expire on various dates, generally 20 years from their original filing dates. While we believe that our portfolio of patents and applications has value, in general, no single patent is essential to our business or to any individual segment of our business. In addition, any of our proprietary rights could be challenged, invalidated, or circumvented, or may not provide significant competitive advantages.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business relies on software provided, to an approximately equal extent, by both internal development and external sourcing to deliver our services. With respect to internally developed software, we claim copyright on all such software, registering works which may be accessible to third parties. In addition, we rely on maintaining source code confidentiality to ensure our market competitiveness. With respect to externally sourced software, we rely on contracts assuring our continued access for our business use.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the United States, we own 39 registered trademarks, with 2 pending, reflecting the many businesses we participate in. These trademarks may have a perpetual life, subject to renewal every 10 years and may be subject to cancellation or invalidation based on certain use requirements and third-party challenges, or on other grounds. We vigorously enforce and protect our trademarks.</w:t>
      </w:r>
    </w:p>
    <w:p>
      <w:pPr>
        <w:pStyle w:val="TextBody"/>
        <w:bidi w:val="0"/>
        <w:spacing w:lineRule="auto" w:line="288" w:before="0" w:after="180"/>
        <w:ind w:left="0" w:right="0" w:hanging="180"/>
        <w:jc w:val="left"/>
        <w:rPr>
          <w:rFonts w:ascii="Arial;sans-serif" w:hAnsi="Arial;sans-serif"/>
          <w:b/>
          <w:color w:val="0066CC"/>
          <w:sz w:val="20"/>
        </w:rPr>
      </w:pPr>
      <w:r>
        <w:rPr>
          <w:rFonts w:ascii="Arial;sans-serif" w:hAnsi="Arial;sans-serif"/>
          <w:b/>
          <w:color w:val="0066CC"/>
          <w:sz w:val="20"/>
        </w:rPr>
        <w:t>People and Culture</w:t>
      </w:r>
    </w:p>
    <w:p>
      <w:pPr>
        <w:pStyle w:val="TextBody"/>
        <w:bidi w:val="0"/>
        <w:spacing w:lineRule="auto" w:line="288" w:before="0" w:after="180"/>
        <w:ind w:left="0" w:right="0" w:hanging="180"/>
        <w:jc w:val="left"/>
        <w:rPr>
          <w:rFonts w:ascii="Arial;sans-serif" w:hAnsi="Arial;sans-serif"/>
          <w:b/>
          <w:color w:val="000000"/>
          <w:sz w:val="20"/>
        </w:rPr>
      </w:pPr>
      <w:r>
        <w:rPr>
          <w:rFonts w:ascii="Arial;sans-serif" w:hAnsi="Arial;sans-serif"/>
          <w:b/>
          <w:color w:val="000000"/>
          <w:sz w:val="20"/>
        </w:rPr>
        <w:t>Headcount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skills, expertise and experience of our talented and diverse global workforce allow us to deliver mission-critical services and solutions that drive exceptional client outcomes. As of December 31, 2025, we had approximately 51,000 associates in 24 countries working towards a common vision and purpose, with approximately 34% located in North America and the remainder located primarily in Asia Pacific, Latin America and the Caribbean and Europe. Our three reportable segments, Commercial, Government and Transportation, house most of our associates with approximately 37,300, 4,800 and 3,100 associates, respectively.</w:t>
      </w:r>
    </w:p>
    <w:p>
      <w:pPr>
        <w:pStyle w:val="TextBody"/>
        <w:bidi w:val="0"/>
        <w:spacing w:lineRule="auto" w:line="288" w:before="0" w:after="180"/>
        <w:jc w:val="left"/>
        <w:rPr/>
      </w:pPr>
      <w:r>
        <w:rPr>
          <w:rFonts w:ascii="Arial;sans-serif" w:hAnsi="Arial;sans-serif"/>
          <w:b/>
          <w:color w:val="000000"/>
          <w:sz w:val="20"/>
        </w:rPr>
        <w:t>Conduent Culture</w:t>
      </w:r>
      <w:r>
        <w:rPr>
          <w:color w:val="0000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Conduent, we are committed to building a culture where individuality is recognized and valued, and where every associate feels a true sense of belonging and is empowered to bring their authentic self to work. We foster an open and inclusive workplace where people of all backgrounds have equitable opportunities to grow, do meaningful work, and contribute their unique strengths. This commitment is foundational to our business strategy, strengthens how we serve our clients, and ultimately benefits the millions of end users who interact with Conduent every day.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eight Employee Impact Groups are central to advancing this culture of inclusion and belonging. Through year-round programming, they support professional development, strengthen community, elevate diverse perspectives, and drive measurable business impact. In support of inclusive leadership, during 2025 we continued to deliver enterprise-wide learning and hosted leadership-led conversations focused on belonging and inclusion, working across generations, and various mental health topics.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remain focused on attracting, retaining and developing a diverse, engaged workforce. Our efforts have been recognized through several global and regional workplace honors in recent years, including: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Top 100 Global Most Loved Workplaces (Newsweek: 2025, 2024, 2023);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Most Loved Workplaces in America (Newsweek: 2025, 2024, 2023);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Best Places to Work for Disability Inclusion (Disability Equality Index: 2025, 2024, 2023);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Best for Vets Employers (Military Times: 2025, 2024,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16280"/>
                <wp:effectExtent l="0" t="0" r="0" b="0"/>
                <wp:wrapNone/>
                <wp:docPr id="12" name="Frame1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Employee Learning and Development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associate learning platforms are widely utilized with approximately 1.73 million learning assets completed in 2025 (including 1.4 million developmental learning assets and 331 thousand compliance learning assets). A key focus has been learning aided by AI tools, such as AI simulators, for practicing scenarios in a safe environment, AI assistants for finding relevant online content more quickly, and AI-enabled captions of non-English online learning content, all of which enabled an 18% increase in utilization of these learning platforms. We continue to see great learning effectiveness scores for satisfaction and potential for application of learning on the job, which correlates to a 15 point increase for NPS and a 6% increase for positive experience for online learning content in 2025 versus 2024. We continue to ensure that our associates complete regulatory and compliance training on topics required based on their role and location.</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Associate Engagement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continuously gather associate feedback through multiple touchpoints throughout the year and leverage that feedback to both inform our talent strategy and enhance our associate experience. These touchpoints include both external recognition surveys as well as feedback gathered through internal pulse surveys, town halls, exit surveys and our internal social platform used for open and transparent communications. In 2025, Conduent was recognized among Newsweek’s Top 100 Global Most Loved Workplaces. This recognition was based largely on direct feedback gathered from our associates indicating a strong "emotional connection" between associates and Conduent. We also continuously monitor feedback through our annual associate engagement survey. In 2025, our overall engagement scores remained healthy and consistent with 2024.</w:t>
      </w:r>
    </w:p>
    <w:p>
      <w:pPr>
        <w:pStyle w:val="TextBody"/>
        <w:bidi w:val="0"/>
        <w:spacing w:lineRule="auto" w:line="288" w:before="0" w:after="180"/>
        <w:ind w:left="0" w:right="0" w:hanging="180"/>
        <w:jc w:val="left"/>
        <w:rPr>
          <w:rFonts w:ascii="Arial;sans-serif" w:hAnsi="Arial;sans-serif"/>
          <w:b/>
          <w:color w:val="0066CC"/>
          <w:sz w:val="20"/>
        </w:rPr>
      </w:pPr>
      <w:r>
        <w:rPr>
          <w:rFonts w:ascii="Arial;sans-serif" w:hAnsi="Arial;sans-serif"/>
          <w:b/>
          <w:color w:val="0066CC"/>
          <w:sz w:val="20"/>
        </w:rPr>
        <w:t>Corporate Ethics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operate according to our Ethics and Compliance Program, which is focused on sustaining an ethical culture and is designed to meet general governance and specific industry, regulatory and legal requirements. The Ethics and Compliance Program is based on our core values, including personal accountability, and is overseen by Conduent’s Ethics Office.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Conduent’s Code of Business Conduct is the foundation of our Ethics and Compliance Program. Our Code of Business Conduct embodies and reinforces Conduent’s commitment to the highest standards of integrity and sets forth our expectations for ethical leadership, job performance, and compliance with the Code of Business Conduct and Company policies. It is designed to help associates recognize ethics and compliance issues before they arise and to deal appropriately with issues that occur.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Conduent Finance Employees are additionally required to act in accordance with our supplemental Finance Code of Conduct. Our associates are required to complete annual business ethics training. Conduent’s Ethics Office periodically solicits associate input to gauge our ethical culture and help identify areas for continuing improvements.</w:t>
      </w:r>
    </w:p>
    <w:p>
      <w:pPr>
        <w:pStyle w:val="TextBody"/>
        <w:bidi w:val="0"/>
        <w:spacing w:lineRule="auto" w:line="288" w:before="0" w:after="180"/>
        <w:jc w:val="left"/>
        <w:rPr/>
      </w:pPr>
      <w:r>
        <w:rPr>
          <w:rFonts w:ascii="Arial;sans-serif" w:hAnsi="Arial;sans-serif"/>
          <w:b w:val="false"/>
          <w:color w:val="000000"/>
          <w:sz w:val="20"/>
        </w:rPr>
        <w:t xml:space="preserve">Our directors must act in accordance with our Code of Business Conduct and Ethics for Members of the Board; our principal executive officer, principal financial officer and principal accounting officer, among others, must act in accordance with our Finance Code of Conduct; and all of our executives and employees must act in accordance with our Code of Business Conduct. Each of these codes of conduct can be accessed through our website at </w:t>
      </w:r>
      <w:r>
        <w:rPr>
          <w:rFonts w:ascii="Arial;sans-serif" w:hAnsi="Arial;sans-serif"/>
          <w:b w:val="false"/>
          <w:color w:val="0563C1"/>
          <w:sz w:val="20"/>
        </w:rPr>
        <w:t>www.conduent.com/corporate-governance</w:t>
      </w:r>
      <w:r>
        <w:rPr>
          <w:rFonts w:ascii="Arial;sans-serif" w:hAnsi="Arial;sans-serif"/>
          <w:b w:val="false"/>
          <w:color w:val="000000"/>
          <w:sz w:val="20"/>
        </w:rPr>
        <w:t>. They are also available to any shareholder who requests them in writing addressed to Conduent Incorporated, 100 Campus Drive Suite 200, Florham Park, NJ 07932, Attention: Corporate Secretary. We will disclose any future amendments to, or waivers from, provisions of our Code of Business Conduct and Ethics for Members of the Board and our Code of Business Conduct and our Finance Code of Conduct for our officers on our website as promptly as practicable, and consistent with the requirements of applicable U.S. Securities and Exchange Commission ("SEC") and Nasdaq Global Select Market ("Nasdaq") rules.</w:t>
      </w:r>
    </w:p>
    <w:p>
      <w:pPr>
        <w:pStyle w:val="TextBody"/>
        <w:bidi w:val="0"/>
        <w:spacing w:lineRule="auto" w:line="288" w:before="0" w:after="180"/>
        <w:ind w:left="0" w:right="0" w:hanging="180"/>
        <w:jc w:val="left"/>
        <w:rPr>
          <w:rFonts w:ascii="Arial;sans-serif" w:hAnsi="Arial;sans-serif"/>
          <w:b/>
          <w:color w:val="0066CC"/>
          <w:sz w:val="20"/>
        </w:rPr>
      </w:pPr>
      <w:r>
        <w:rPr>
          <w:rFonts w:ascii="Arial;sans-serif" w:hAnsi="Arial;sans-serif"/>
          <w:b/>
          <w:color w:val="0066CC"/>
          <w:sz w:val="20"/>
        </w:rPr>
        <w:t>Seasonality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revenues can be affected by various factors such as our clients’ demand patterns for our services, which include peak windows for benefit enrollment, new product launches by clients and busy retail and travel seasons.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6280"/>
                <wp:effectExtent l="0" t="0" r="0" b="0"/>
                <wp:wrapNone/>
                <wp:docPr id="13" name="Frame1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rFonts w:ascii="Arial;sans-serif" w:hAnsi="Arial;sans-serif"/>
          <w:b/>
          <w:color w:val="0066CC"/>
          <w:sz w:val="20"/>
        </w:rPr>
      </w:pPr>
      <w:r>
        <w:rPr>
          <w:rFonts w:ascii="Arial;sans-serif" w:hAnsi="Arial;sans-serif"/>
          <w:b/>
          <w:color w:val="0066CC"/>
          <w:sz w:val="20"/>
        </w:rPr>
        <w:t>Availability of Company Information</w:t>
      </w:r>
    </w:p>
    <w:p>
      <w:pPr>
        <w:pStyle w:val="TextBody"/>
        <w:bidi w:val="0"/>
        <w:spacing w:lineRule="auto" w:line="288" w:before="0" w:after="180"/>
        <w:jc w:val="left"/>
        <w:rPr/>
      </w:pPr>
      <w:r>
        <w:rPr>
          <w:rFonts w:ascii="Arial;sans-serif" w:hAnsi="Arial;sans-serif"/>
          <w:b w:val="false"/>
          <w:color w:val="000000"/>
          <w:sz w:val="20"/>
        </w:rPr>
        <w:t xml:space="preserve">Our internet address is </w:t>
      </w:r>
      <w:r>
        <w:rPr>
          <w:rFonts w:ascii="Arial;sans-serif" w:hAnsi="Arial;sans-serif"/>
          <w:b w:val="false"/>
          <w:color w:val="0563C1"/>
          <w:sz w:val="20"/>
        </w:rPr>
        <w:t>www.conduent.com</w:t>
      </w:r>
      <w:r>
        <w:rPr>
          <w:rFonts w:ascii="Arial;sans-serif" w:hAnsi="Arial;sans-serif"/>
          <w:b w:val="false"/>
          <w:color w:val="000000"/>
          <w:sz w:val="20"/>
        </w:rPr>
        <w:t xml:space="preserve">. Our Annual Report on Form 10-K, Quarterly Reports on Form 10-Q, Current Reports on Form 8-K, our Proxy Statements and any amendments to these reports and statements are found on the Investors section of our website. We make these documents available free of charge on our website as soon as reasonably practicable after we have filed them with, or furnished them to, the SEC.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SEC maintains an internet address (www.sec.gov) that contains reports, proxy and information statements, and other information regarding issuers that file electronically with the SEC. The content on any website referred to in this Form 10-K is not incorporated by reference in this Form 10-K unless expressly noted.</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Information about our Executive Officers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following is a list of the executive officers of Conduent as of February 19, 2026.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officer is elected to hold office until the meeting of the Board of Directors held on the day of the next annual meeting of shareholders, subject to the provisions of our by-laws. </w:t>
      </w:r>
    </w:p>
    <w:tbl>
      <w:tblPr>
        <w:tblW w:w="10205" w:type="dxa"/>
        <w:jc w:val="left"/>
        <w:tblInd w:w="0" w:type="dxa"/>
        <w:tblLayout w:type="fixed"/>
        <w:tblCellMar>
          <w:top w:w="28" w:type="dxa"/>
          <w:left w:w="28" w:type="dxa"/>
          <w:bottom w:w="28" w:type="dxa"/>
          <w:right w:w="28" w:type="dxa"/>
        </w:tblCellMar>
      </w:tblPr>
      <w:tblGrid>
        <w:gridCol w:w="584"/>
        <w:gridCol w:w="402"/>
        <w:gridCol w:w="407"/>
        <w:gridCol w:w="109"/>
        <w:gridCol w:w="109"/>
        <w:gridCol w:w="109"/>
        <w:gridCol w:w="145"/>
        <w:gridCol w:w="145"/>
        <w:gridCol w:w="146"/>
        <w:gridCol w:w="109"/>
        <w:gridCol w:w="109"/>
        <w:gridCol w:w="109"/>
        <w:gridCol w:w="1329"/>
        <w:gridCol w:w="1096"/>
        <w:gridCol w:w="1101"/>
        <w:gridCol w:w="109"/>
        <w:gridCol w:w="109"/>
        <w:gridCol w:w="109"/>
        <w:gridCol w:w="668"/>
        <w:gridCol w:w="668"/>
        <w:gridCol w:w="670"/>
        <w:gridCol w:w="109"/>
        <w:gridCol w:w="109"/>
        <w:gridCol w:w="109"/>
        <w:gridCol w:w="447"/>
        <w:gridCol w:w="447"/>
        <w:gridCol w:w="642"/>
      </w:tblGrid>
      <w:tr>
        <w:trPr/>
        <w:tc>
          <w:tcPr>
            <w:tcW w:w="58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Present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 Appointed to Present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Conduent Officer Since</w:t>
            </w:r>
          </w:p>
        </w:tc>
      </w:tr>
      <w:tr>
        <w:trPr/>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Harsha V. Agadi</w:t>
            </w:r>
            <w:r>
              <w:rPr>
                <w:rFonts w:ascii="Arial;sans-serif" w:hAnsi="Arial;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George Abate</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Chief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Adam Appleby</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Public Sector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Giles Goodburn</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Krawitz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Executive Vice President, General Counsel and Secretary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2019</w:t>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Anthony Marino</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Administrative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Prout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Information and Technology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2020</w:t>
            </w:r>
          </w:p>
        </w:tc>
      </w:tr>
    </w:tbl>
    <w:p>
      <w:pPr>
        <w:pStyle w:val="TextBody"/>
        <w:bidi w:val="0"/>
        <w:spacing w:lineRule="auto" w:line="288" w:before="0" w:after="120"/>
        <w:ind w:left="0" w:right="0" w:hanging="540"/>
        <w:jc w:val="left"/>
        <w:rPr/>
      </w:pPr>
      <w:r>
        <w:rPr>
          <w:rFonts w:ascii="Arial;sans-serif" w:hAnsi="Arial;sans-serif"/>
          <w:b w:val="false"/>
          <w:i/>
          <w:color w:val="000000"/>
          <w:sz w:val="12"/>
        </w:rPr>
        <w:t>_____________________________</w:t>
      </w:r>
      <w:r>
        <w:rPr>
          <w:color w:val="000000"/>
        </w:rPr>
        <w:t> </w:t>
      </w:r>
    </w:p>
    <w:p>
      <w:pPr>
        <w:pStyle w:val="TextBody"/>
        <w:bidi w:val="0"/>
        <w:spacing w:lineRule="auto" w:line="288"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Member of Conduent Board of Directors </w:t>
      </w:r>
    </w:p>
    <w:p>
      <w:pPr>
        <w:pStyle w:val="TextBody"/>
        <w:bidi w:val="0"/>
        <w:spacing w:lineRule="auto" w:line="288"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Officer or executive officer of Conduent or its subsidiaries for less than five years</w:t>
      </w:r>
    </w:p>
    <w:p>
      <w:pPr>
        <w:pStyle w:val="TextBody"/>
        <w:bidi w:val="0"/>
        <w:spacing w:before="0" w:after="0"/>
        <w:jc w:val="left"/>
        <w:rPr/>
      </w:pPr>
      <w:r>
        <w:rPr/>
      </w:r>
    </w:p>
    <w:p>
      <w:pPr>
        <w:pStyle w:val="TextBody"/>
        <w:bidi w:val="0"/>
        <w:spacing w:before="0" w:after="0"/>
        <w:ind w:left="0" w:right="0" w:hanging="225"/>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February 19, 2026, there are no family relationships among any of the executive officers named above and any of our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Agadi was appointed President and Chief Executive Officer in January 2026 after joining Conduent’s Board of Directors in May of 2025. Prior to this role, Mr. Agadi served as CEO and Chairman of GHS Holdings, LLC, an investment office, since 2000. Mr. Agadi served as President and CEO of Crawford &amp; Company (NYSE), a publicly listed independent claims management company, from 2015 until 2020. Prior to that, he served as Executive Chairman of Quiznos, LLC from February 2012 until August 2014, as Chairman and CEO of Friendly’s Ice Cream LLC from August 2010 until February 2012, and President and CEO of Church’s Chicken from December 2004 until December 2009. Mr. Agadi also currently serves as the non-executive Chairman of the Board of Flotek Industries, Inc. (NYSE), a publicly traded oil field service company. He also serves as Chairman of the Board of Transcend Cruises, a private company, a role he has held since 2022. Mr. Agadi also served on several public company boards in the past, including as compensation committee chair for Belmond Ltd., a worldwide hospitality and leisure company (from 2011-2019), and for Crawford &amp; Company (from 2010-2021). Mr. Agadi is also currently the chairman of the SKSVMA College of Engineering and Agadi Sunrise Hospital Private Limited in India. Mr. Agadi holds a Bachelor of Commerce from the University of Mumbai and an MBA from Duke University’s Fuqua School of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Abate has served as the Vice President – Chief Accounting Officer of the Company since August 2020 and was appointed Principal Accounting Officer in August 2024. In his current role, Mr. Abate oversees the Company’s accounting matters. He has held various accounting leadership roles of increasing responsibility at Conduent since 2017 and prior to that at Xerox Corporation, Fine Host Inc. and Waste Management Inc. Mr. Abate began his accounting career in the Assurance Practice of KPMG, LLP. Mr. Abate holds a Bachelor of Science in Accounting from Fairfield University.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16280"/>
                <wp:effectExtent l="0" t="0" r="0" b="0"/>
                <wp:wrapNone/>
                <wp:docPr id="14" name="Frame1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Appleby has served as the Executive Vice President, Public Sector Solutions of the Company since July 2024. Prior to that, Mr. Appleby served the Company as President – Transportation Solutions from August 2023 until July 2024, Chief Operating Officer – Transportation Solutions from October 2022 until August 2023, and as Chief Operating Officer – Commercial Solutions from August 2020 until October 2022. In his current role, Mr. Appleby oversees the Company’s portfolio of Public Sector Solutions including Government Healthcare, Eligibility and Enrollment, Payments and Child Support in the Government segment, as well as Road Usage Charging Solutions, Transit Solutions and Commercial Vehicles in the Transportation segment. Prior to joining Conduent, Mr. Appleby was SVP, Client Operation, Credit Union Solutions at Fiserv, Inc., a publicly listed financial technology company (“Fiserv”) (Nasdaq), from September 2018 until August 2020. Mr. Appleby earned his Bachelor of Science degree in Environmental Science and Systems Engineering from the U.S. Military Academy at West Point and he completed Leadership Development Programs at GE, Bank of America, Ally Financial and Fiserv.</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Goodburn was appointed as Chief Financial Officer of the Company in May 2025. Prior to his current role at Conduent, he served as Conduent’s Head of Investor Relations and Corporate FP&amp;A from March 2020 until May 2025. Prior to joining the Company, Mr. Goodburn served as CFO of a business segment and Vice President, Finance and Operations at Travelers. Prior to that, Mr. Goodburn held various leadership positions at GE Capital from 2001 until 2012, including as CFO of various business segments. Mr. Goodburn has global responsibility for all finance, treasury, investor relations, mergers and acquisitions, tax and audit at Conduent. Mr. Goodburn is a Chartered Global Management Accountant and a graduate of Kingston University in the UK, as well as a graduate of the GE Experienced Finance Leadership Program.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Krawitz has served as Executive Vice President, General Counsel and Secretary since November 2019. Mr. Krawitz is responsible for overseeing Conduent's global legal and enterprise risk functions, where he manages corporate governance, risk, ethics, privacy, contracting, government affairs, and all legal initiatives. Prior to joining Conduent, from June 2015 to November 2019, Mr. Krawitz was Executive Vice President, General Counsel and Corporate Secretary of insurance services firm York Risk Services Group, a portfolio company of Onex Corp. From 2014 to 2015, he was Chief Legal Officer of Veriteq Corp., a biotech company. From 1999 to 2014, Mr. Krawitz held leadership roles in public and private companies in the technology and finance sectors. Mr. Krawitz began his career at Fried Frank and earned his Bachelor of Arts in Economics and in Government from Cornell University and his Juris Doctor from Harvard Law School.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Marino joined Conduent in July 2025 as Chief Administrative Officer. Mr. Marino oversees key functions, including Human Resources, Marketing, Communications, and Procurement. Prior to Conduent, Mr. Marino was Chief Human Resources Officer for Fiserv from March 2015 to April 2025, Chief Human Resources Officer for the Guardian Life Insurance Company, an insurance company, from September 2014 to February 2015, Chief Human Resources Officer and General Manager for Bank of Tokyo Mitsubishi UFJ, a global financial services company, from January 2011 to September 2014, and Chief Human Resources Officer for Ally Financial Inc,, a bank holding company, from September 2007 to December 2010. Mr. Marino currently serves on the Board of Directors of Cypress Loan Servicing, LLC. He received his bachelor’s degree in business administration from Ohio University and recently received The Walter Center Legacy in Leadership Award.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Prout joined Conduent as Head of Information Technology in June of 2019. He was appointed Executive Vice President, Chief Information &amp; Technology Officer in September 2019. Prior to joining Conduent, between 2005 and 2019, Mr. Prout served as Chief Technology Officer of Fiserv, as well as held several IT leadership positions at Fiserv. Prior to Fiserv, he served as CIO of Cendian Corporation. Mr. Prout has also held various leadership positions at United Parcel Service. Mr. Prout earned his Bachelor's degree in business management and programming from Southern Illinois University, Carbondale.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6280"/>
                <wp:effectExtent l="0" t="0" r="0" b="0"/>
                <wp:wrapNone/>
                <wp:docPr id="15" name="Frame1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ITEM 1A. RISK FACTORS</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Business, Economic, Market and Operational Risks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government contracts are subject to appropriation of funds, termination rights, audits and investigations, which, if exercised, could negatively impact our reputation and reduce our ability to compete for new contracts.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significant portion of our revenues is derived from contracts with U.S. federal, state and local governments and their agencies, and some of our revenues are derived from contracts with foreign governments and their agencies. Government entities typically finance projects through appropriated funds. While these projects are often planned and executed as multi-year projects, government entities usually reserve the right to change the scope of or terminate these projects for lack of approved funding and/or at their convenience. Changes in government or political developments, including budget deficits, shortfalls or uncertainties, failures to enact appropriation legislation (e.g., a government "shut-down"), government spending reductions or other debt or funding constraints, have resulted in, and in the future could result in, lower governmental sales and our projects being reduced in price or scope or terminated altogether, which also could limit our recovery of incurred costs, reimbursable expenses and profits on work completed prior to the termination. Additionally, if the government discovers what it considers to be improper or illegal activities or contractual non-compliance (including improper billing or non-compliant performance of contract requirements), we may be subject to various civil and criminal penalties and administrative sanctions, which has occurred in the past and may in the future include termination of contracts, forfeiture of profits, suspension of payments, contractual service penalties, fines and suspensions or debarment from doing business with the government. Any resulting penalties or sanctions could materially adversely affect our results of operations and financial condition. Moreover, government contracts are generally subject to audits and investigations by government agencies. If the government finds that we inappropriately charged any costs to a contract, the costs are not reimbursable or, if already reimbursed, the cost must be refunded to the government. Further, the negative publicity that could arise from any such penalties, sanctions or findings in such audits or investigations could have an adverse effect on our reputation in the industry and reduce our ability to compete for new contracts and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The markets in which we operate are highly competitive, and we might not be able to compete effectively.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operate in a global marketplace in which competition in all areas of our portfolio is vigorous. Some of our competitors possess greater financial, marketing and sales resources, and larger geographic scope in certain parts of the world than we do, which, in turn, provides them with additional leverage in the competition for contracts. In certain niche, regional or metropolitan markets, we face smaller competitors with specialized capabilities who may be able to provide competing services with greater economic efficiency. Some of our competitors have more significant operations than we do in lower cost countries that can serve as a platform from which to provide services worldwide on terms that may be more favorable. Increased competition often results in corresponding pressure on prices and terms. There can be no assurance that we will succeed in providing competitively priced services at levels of service and quality that will enable us to maintain and grow our market share.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Additionally, we derive significant revenue from contracts awarded through competitive bidding processes, including renewals, which can impose substantial costs on us, and may limit the Company’s ability to negotiate certain contractual terms and conditions. Many of these contracts are extremely complex and require the investment of significant resources in order to prepare accurate bids and proposals. Competitive bidding imposes substantial costs and presents a number of risks, including: (i) the substantial cost and managerial time and effort that we spend to prepare bids and proposals for contracts that may or may not be awarded to us; (ii) the need to estimate accurately the resources and costs that will be required to implement and service any contracts we are awarded, sometimes in advance of the final determination of their full scope and design; (iii) the expense and delay that may arise if our competitors protest or challenge awards made to us pursuant to competitive bidding and the risk that such protests or challenges could result in the requirement to resubmit bids and in the termination, reduction or modification of the awarded contracts; and (iv) the opportunity cost of not bidding on and winning other contracts we might otherwise pursue. If our competitors protest or challenge an award made to us on a government contract, the costs to defend such an award may be significant and could involve subsequent litigation that could take years to resolve.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16280"/>
                <wp:effectExtent l="0" t="0" r="0" b="0"/>
                <wp:wrapNone/>
                <wp:docPr id="16" name="Frame1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ability to recover capital and other investments in connection with our contracts is subject to risk.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attract and retain large outsourcing contracts, we sometimes make significant capital and other investments to enable us to perform our services under those contracts, such as purchases of information technology equipment, facility costs, labor resources and costs incurred to develop and implement software. The net book value of certain assets recorded, including a portion of our intangible assets, could be impaired, and our results of operations and financial condition could be materially adversely affected in the event of the early termination of all or a part of such a contract or a reduction in volumes and services thereunder for reasons such as a customer’s or client’s merger or acquisition, divestiture of assets or businesses, business failure or deterioration or a customer’s or client’s exercise of contract termination rights.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business may be adversely affected by geopolitical events and geopolitical tensions, macroeconomic conditions, natural disasters and other factors that could directly impact certain of our employees, customers and vendors in countries or regions effected by such events and factors.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 global workforce and global customers. Our employees and customers in a particular country or region in the world may be impacted as a result of a variety of diversions, including: geopolitical events and geopolitical tensions, such as war, the threat of war, or terrorist activity (including the war in the Ukraine and the conflict in the Middle East); macroeconomic conditions, such as the level of inflation, economic activity and interest rates; natural disasters or the effects of climate change (such as drought, flooding, wildfires, increased storm severity, and sea level rise); power shortages or outages and major public health issues; and significant local, national or global events capturing the attention of a large part of the population. To date, while we do not believe our business, financial position or operations have been materially impacted by these factors, we continue to monitor world events closely. If any of these factors disrupt a country or region where we have a significant workforce (such as the U.S., India or the Philippines) or customers (such as the U.S. or Europe), or vendors, our business could be materially adversely affected.</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results of operations and financial condition may be materially adversely affected by conditions abroad, including local economics, political environments, fluctuating foreign currencies and shifting regulatory schemes.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Approximately 16% of our 2025 revenues was generated from operations outside the United States. In addition, we maintain significant operations outside the United States. Our results of operations and financial condition could be materially adversely affected by changes in foreign currency exchange rates, as well as by several other factors, including, without limitation, changes in economic conditions from country to country, changes in a country’s political conditions, trade controls and protection measures, financial sanctions, licensing requirements, local tax issues, capitalization and other related legal matters. If we are unable to effectively hedge these risks, our results of operations and financial condition could be materially adversely affected.</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rely to a significant extent on third-party providers, such as subcontractors, a relatively small number of primary software vendors, utility providers and network providers; if they cannot deliver or perform as expected or if our relationships with them are terminated or otherwise change, our results of operations and financial condition could be materially adversely affected.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ability to service our customers and clients and deliver and implement solutions depends to a large extent on third-party providers such as subcontractors, a relatively small number of primary software vendors, software application developers, utility providers and network providers meeting their obligations to us and our expectations in a timely, quality manner. Our results of operations and financial condition have been and in the future may be materially adversely affected and we might incur significant additional liabilities if any of our third-party providers (i) do not meet their service level obligations, (ii) do not meet our or our clients’ expectations, (iii) terminate or refuse to renew their relationships with us, or (iv) offer their products to us with less advantageous prices and other terms than previously offered.</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Failure to deliver on our contractual obligations properly and on time could materially adversely affect our results of operations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business model depends in large part on our ability to retain existing and attract new work from our base of existing clients, as well as on relationships we develop with our clients so that we can understand our clients’ needs and deliver solutions and services that are tailored to meet those needs. For our business to grow, we must successfully manage the provision of services under our contracts. If a client is not satisfied with the quality of 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6280"/>
                <wp:effectExtent l="0" t="0" r="0" b="0"/>
                <wp:wrapNone/>
                <wp:docPr id="17" name="Frame1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performed by us or a subcontractor, or with the type of services or solutions delivered, or if we or our subcontractors fail to perform in accordance with contract requirements, then we could incur additional costs to address the situation, the profitability of that work might be impaired and the client’s dissatisfaction with our services could damage our ability to obtain additional work from that client or obtain new work from other potential clients. Many of our contracts with non-government clients may be terminated by the client, without cause, upon specified advance notice. Accordingly, clients who are not satisfied might seek to terminate existing contracts prior to their scheduled expiration date, which may result in our inability to fully recover our up-front investments. In addition, clients could direct future business to our competitors. We could also trigger contractual credits to clients or a contractual default. Failure to properly transition new clients to our systems, properly budget transition costs or accurately estimate contract operational costs could result in delays in our contract performance, trigger service level penalties, impair fixed or intangible assets or result in contract profit margins that do not meet our expectations or our historical profit margins.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business is dependent on continued interest in outsourcing.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business and growth depend in large part on continued interest in outsourced business process services. Outsourcing means that an entity contracts a third-party, such as us, to provide business process services rather than perform such services in-house. There can be no assurance that this interest will continue, as organizations may elect to perform such services themselves and/or the business process outsourcing industry could move to an as-a-service model, thereby eliminating traditional business process outsourcing tasks. A significant change in this interest in outsourcing could materially adversely affect our results of operations and financial condition. Additionally, there can be no assurance that our cross-selling efforts will cause clients to purchase additional services from us or adopt a single-source outsourcing approach.</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may be subject to claims of infringement of third-party intellectual property rights which could adversely affect our results of operation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rely heavily on the use of intellectual property. We do not own all of the software that we use to run our business; instead, we license this software from a small number of primary vendors. If these vendors assert claims that we or our clients are infringing on their software or related intellectual property, we could incur substantial costs to defend these claims, which could materially adversely affect our results of operations and financial condition. In addition, if any of our vendors’ infringement claims are ultimately successful, our vendors could require us to (i) cease selling or using products or services that incorporate the challenged software or technology, (ii) obtain a license or additional licenses from our vendors or (iii) redesign our services which rely on the challenged software or technology. In addition, we may be exposed to claims for monetary damages. If we are unsuccessful in defending an infringement claim and our vendors require us to initiate any of the above actions, or we are required to pay monetary damages, then such actions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If we underestimate the scope of work or the costs entailed in performing our contracts, or if we do not fully perform our contracts, our results of operations and financial condition could be materially adversely affected.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stay competitive in our industry, we must keep pace with changing technologies and customer preferences. Many of our contracts require us to design, develop and implement new technological and operating systems for our customers. Many of these systems involve detailed and complex computer source code which must be created and integrated into a working system that meets contract specifications. The accounting for these contracts requires judgment relative to assessing risks, estimating costs to fulfill the contract and making assumptions for schedule and technical issues. To varying degrees, each contract type involves some risk that we could underestimate the costs and resources necessary to fulfill the contract. In each case, our failure to accurately estimate costs or the resources and technology needed to perform our contracts or to effectively manage and control our costs during the performance of our work could result, and in some instances has resulted, in reduced profits or in losses. In addition, many of our contracts contain complicated performance obligations, including, without limitation, designing and building new integrated computer systems. These contracts carry potential financial penalties or could result in financial damages or exposures if we fail to properly perform those obligations and have in the past resulted in and in the future could result in our results of operations and financial condition being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6280"/>
                <wp:effectExtent l="0" t="0" r="0" b="0"/>
                <wp:wrapNone/>
                <wp:docPr id="18" name="Frame1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The loss of key senior management or the failure to attract and retain necessary technical personnel and qualified subcontractors could materially adversely affect our results of operations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success depends, in part, upon key managerial and technical personnel, including our ability to attract and retain additional qualified personnel, as well as qualified subcontractors. The loss of certain key personnel, members of our executive team and other highly skilled employees, could materially adversely affect our results of operations and financial condition. There is no assurance that we can retain our key managerial personnel, or that we can attract similar employees, in the future. Our business strategy largely depends on the success of our recent CEO transition. On January 16, 2026, Clifford Skelton stepped down from his position as President and Chief Executive Officer, and the Company appointed Harsha V. Agadi, Chairman of the Board, as his successor. Any significant leadership change involves inherent risk and can be difficult to manage. Our new CEO is critical to executing on and achieving our business strategy, and our success depends, in large part, on the effectiveness of this transition. If our new CEO is unsuccessful at leading the Company and our management team, or is unable to successfully execute the Company’s strategy, our business may be harmed and our results of operations and financial condition may be adversely affected.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because we operate in intensely competitive markets, our success depends to a significant extent upon our ability to attract, retain and motivate highly skilled and qualified technical personnel and to subcontract with qualified, competent subcontractors. If we fail to attract, train and retain enough qualified engineers, technical staff and sales and marketing representatives, or if we are unable to contract with qualified, competent subcontractors, our results of operations and financial condition could be materially adversely affected. Experienced and capable personnel in the services industry remain in high demand, and there is continual competition for their talents. Our ability to renegotiate certain of our legacy third-party contracts which we view as unfavorable, or to improve the service levels we expect from these contracts and third-party providers, is key to our ability to timely, efficiently and profitably deliver our services to our customers. Additionally, we have increased and expect to continue to increase our hiring in geographic areas outside of the United States, which could subject us to increased geopolitical and exchange rate risk. The loss of any key technical employee, the loss of a key subcontractor relationship or our inability to renegotiate or obtain required service levels from legacy and other third-party providers,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 xml:space="preserve">If we fail to successfully develop new service offerings, including new technology components, and protect our intellectual property rights, we may be unable to retain current customers and gain new customers and our revenues would decline.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process of developing new service offerings, including new technology components, is inherently complex and uncertain. It requires accurate anticipation of customers’ changing needs and emerging technological trends. We must make long-term investments and commit significant resources before knowing whether these investments will eventually result in service offerings that achieve customer acceptance and generate the revenues required to provide desired returns. In addition, some of our service offerings rely on technologies developed by and licensed from third-parties. We may not be able to obtain or continue to obtain licenses and technologies from these third-parties at all or on reasonable terms, or such third-parties may demand cross-licenses to our intellectual property. It is also possible that our intellectual property rights could be challenged, invalidated or circumvented, allowing others to use our intellectual property to our competitive detriment. We also must ensure that all our service offerings comply with both existing and newly enacted regulatory requirements in the countries in which they are sold. If we fail to accurately anticipate and meet our customers’ needs through the development of new service offerings (including technology components) or if we fail to adequately protect our intellectual property rights or if our new service offerings are not widely accepted or if our current or future service offerings fail to meet applicable worldwide regulatory requirements, we could lose market share and customers to our competitors and that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The Company’s business, operating results and reputation may be negatively impacted by failures or delays in our efforts to modernize our information technology infrastructure and to consolidate to fewer data centers.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have experienced certain disruptions in our operations and service delivery performance issues because of some of our information technology infrastructure that is outdated and that needs to be enhanced and updated, which disruptions have adversely impacted client and delivery performance. As a result, we embarked on a long-term project to modernize a significant portion of our information technology infrastructure with new systems and processes and to consolidate our data centers. We have systematically consolidated the majority of our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6280"/>
                <wp:effectExtent l="0" t="0" r="0" b="0"/>
                <wp:wrapNone/>
                <wp:docPr id="19" name="Frame1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infrastructure into two primary data centers leading to increased processing speeds, redundancy and stability, and improved performance for our clients. There is a risk, however, that our modernization efforts and data center consolidations could materially and adversely disrupt our operations and our service delivery to customers, could result in contractual penalties or damage claims from customers, could occur over a period longer than planned, and could require greater than expected investment and other internal and external resources. It may also take longer to realize the intended favorable benefits from an enhanced technology infrastructure than we expected, or disruptions may continue to occur while we enhance this infrastructure. Future service disruptions could hinder our ability to attract new customers, cause us to incur legal liability, contractual penalties or issue service credits to our customers and cause us to lose current customers, each of which could have a material adverse effect on our business,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Expectations relating to environmental, social and governance considerations expose the Company to potential liabilities, increased costs, reputational harm, and other adverse effects on the Company’s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Although there has been a shift in U.S. federal policy under the current presidential administration, many governments, regulators, investors, associates, clients and other stakeholders have been and/or remain focused on environmental, social and governance considerations relating to businesses. In addition, the Company makes statements about its environmental, social and governance goals and initiatives through its corporate social responsibility report, its other non-financial reports, information provided on its website, press releases and other communications.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Responding to these environmental, social and governance considerations and implementation of these goals and initiatives involves risks and uncertainties, requires capital and operating investments, and depends in part on third-party performance, or data and changing regulatory schemes that are outside the Company’s control. The Company cannot guarantee that it will achieve its announced environmental, social and governance goals and initiatives. In addition, some stakeholders may disagree with the Company’s goals and initiatives. Any failure, or perceived failure, by the Company to achieve its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could materially adversely affect the Company’s business, ability to recruit and retain associates, reputation, results of operations, financial condition and stock price. In addition, complying or failing to comply with existing or future federal, state, local, and foreign legislation and regulations applicable to our environmental, social and governance goals and initiatives, which may conflict with one another, could cause us to incur additional compliance and operational costs or actions and suffer reputational harm, which could materially and adversely affect our business, financial condition and results of operations.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cannot guarantee that our stock repurchase program will enhance long-term stockholder value. Repurchases could increase the volatility of the price of our common stock and could have a negative impact on our available cash balance.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May 2025, our Board of Directors authorized a three-year stock repurchase program for up to $50 million of our common stock. Stock repurchases could have an impact on our common stock trading prices, increase the volatility of the price of our common stock, or reduce our available cash balance such that we will be required to seek financing to support our operations. There is no guarantee that the repurchase program, even if fully utilized, will enhance long-term stockholder value.</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 xml:space="preserve">Our use of artificial intelligence involves risks such as potential liability, regulatory issues, competition, and reputational damage.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Artificial intelligence (“AI”) technologies create specific risks that require tailored governance and review. Insufficient oversight could lead to legal liability, financial loss, and reputational harm. We use AI to sort, organize, analyze, and generate data for business purposes. AI encompasses machine learning, generative AI, and other data processing techniques. The utilization of AI, whether implemented directly by us or in collaboration with third parties, will necessitate ongoing investment in governance and security resources to help ensure our responsible use of AI and to safeguard against potential risks and vulnerabilities. As these technologies evolve, some services and tasks currently performed by our associates may be replaced by automation, including AI-enabled solutions, which could lead to reduced demand for our services and/or reduce the required headcount for us to provide services. The use of AI carries considerable risks, and we cannot guarantee the achievement of intended outcomes. While we aim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6280"/>
                <wp:effectExtent l="0" t="0" r="0" b="0"/>
                <wp:wrapNone/>
                <wp:docPr id="20" name="Frame2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develop and use AI responsibly and attempt to identify and mitigate ethical and legal issues presented by its use, we may be unsuccessful in identifying or resolving issues before they arise. As an evolving technology, AI may occasionally produce incomplete or misleading results. Despite training and risk management efforts, there is a possibility that employees might misuse AI, either intentionally or unintentionally. Should our AI generate suboptimal or contentious outcomes, or if public perception of AI shifts negatively due to perceived risks, we may encounter operational challenges, competitive disadvantages, legal liabilities, reputational harm, or other business impacts. AI-related legal and regulatory frameworks are evolving due to concerns about bias, discrimination, transparency, and security. The use of AI technologies involves issues associated with intellectual property, data privacy, consumer protection, competition, and equal opportunity, with potential for new regulations. Several jurisdictions where we operate are considering or have proposed or enacted legislation and policies regulating AI and non-personal data, such as the European Union’s AI Act and the U.S.’s Executive Orders and U.S. state laws, some of which may be conflicting. New or expanded AI laws could raise compliance costs and pose unpredictable risks, which could materially adversely affect our results of operations and financial condition.</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Legal, Compliance and Data Security Risks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are subject to laws of the United States and foreign jurisdictions relating to individually identifiable information and personal health information, and failure to comply with those laws, whether or not inadvertent, could subject us to legal actions and negatively impact our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receive, process, transmit and store information relating to identifiable individuals, both in our role as a service provider and as an employer. As a result, we are subject to numerous laws and regulations in the United States (both federal and state) and foreign laws and regulations designed to protect both individually identifiable information and personal health information, including the Health Insurance Portability and Accountability Act of 1996, as amended ("HIPAA"), and the regulations promulgated under HIPPA governing, among other things, the privacy, security and electronic transmission of individually identifiable health information, various state privacy laws, and the European Union General Data Protection Regulation ("GDPR"), which imposes stringent data protection requirements and significant penalties for non-compliance and has had a significant impact on how we process and handle certain data.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Additional laws of the United States (both federal and state) and foreign jurisdictions apply to our processing of individually identifiable information. These laws have been subject to frequent changes, and new legislation in this area may be enacted at any time. For example, the GDPR and the invalidation of the U.S.-EU Safe Harbor regime have required us to implement alternative mechanisms for some of our data flows from Europe to the United States to comply with applicable law. Changes to existing laws, the introduction of new laws in this area or our failure to comply with existing laws that are applicable to us may subject us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 any of which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are subject to laws of the United States and foreign jurisdictions relating to processing certain financial transactions, including payment card transactions and debit or credit card transactions, and failure to comply with those laws, whether or not inadvertent, could subject us to legal actions and materially adversely affect our results of operations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process, support and execute financial transactions, and disburse funds, on behalf of both government and commercial customers, often in partnership with financial institutions. This activity includes receiving debit and credit card information, processing payments for and due to our customers and disbursing funds on payment or debit cards to payees of our customers. As a result, we are subject to numerous laws and regulations in the United States (both federal and state) and in foreign jurisdictions, including the Electronic Fund Transfer Act, as amended, the Currency and Foreign Transactions Reporting Act of 1970 (commonly known as the "Bank Secrecy Act"), as amended, the Dodd-Frank Wall Street Reform and Consumer Protection Act of 2010 (including the so-called Durbin Amendment), as amended, the Gramm-Leach-Bliley Act (also known as the "Financial Modernization Act of 1999"), as amended, and the Uniting and Strengthening America by Providing Appropriate Tools Required to Intercept and Obstruct Terrorism Act of 2001 ("USA PATRIOT ACT"), as amended. Other United States (both federal and state) and foreign jurisdiction laws apply to our processing of certain financial transactions and related support services. These laws are subject to frequent changes, and new statutes and regulations in this area may be enacted at any time. Changes to existing laws, the introduction of new laws in this area or our failure to comply with existing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6280"/>
                <wp:effectExtent l="0" t="0" r="0" b="0"/>
                <wp:wrapNone/>
                <wp:docPr id="21" name="Frame2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that are applicable to us may subject us to, among other things, additional costs or changes to our business practices, liability for monetary damages, fines and civil and/or criminal prosecution, unfavorable publicity, restrictions on our ability to process and support financial transactions and allegations by our customers, partners and clients that we have not performed our contractual obligations. Any of these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data systems, information systems and network infrastructure have been, and may in the future be, subject to hacking or other cybersecurity threats and other service interruptions, which could expose us to liability, impair our reputation or temporarily render us unable to fulfill our service obligations under our contracts.</w:t>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As a leader in business process solutions, we leverage cloud computing, AI, machine learning and advanced analytics. We act as a trusted business partner in both front-office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to support our business process solutions, to deliver uninterrupted, secure service. As part of our business process solutions, we also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information relating to identifiable individuals, both in our role as a solution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 solutions, the integrity, security, accuracy and non-interruption of our systems and information technology and that of our third-party providers and our interfaces with our customers are extremely important to our business, operating results, growth, prospects and reputation.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in the past been, and remain, susceptible to breach of security systems which may result and has resulted in unauthorized access to our facilities and those of our customers and/or access to and exfiltration of the information we and our customers are trying to protect. Cybersecurity failure might be caused by computer hacking, compromised credentials, malware, computer viruses, worms, trojans, ransomware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Unauthorized access, hacking, malware, phishing, viruses, worms, trojans, ransomware and other “cyber-attacks” have become more prevalent, have occurred in our systems in the past, and may occur in our systems in the future. Our cyber practices and cybersecurity systems may prove to be inadequate and result in the disruption, failure, misappropriation or corruption of our network and information systems and it may not be possible for us to fully or timely know if or when such incidents arise, or the full business impact of any cybersecurity breach.</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 In addition, the increased use of employee-owned devices for communications as well as work-from-home arrangements, present additional operational risks to our information technology systems, including, but not limited to, increased risks of cyber-attacks.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have in the past experienced, and in the future could experience, an unauthorized party gaining physical access to one of our or one of our third-party service providers’ facilities or gain electronic access to our or one of our third-party service providers’ information systems. For example, on January 13, 2025, the Company experienced an operational disruption and learned that a threat actor gained unauthorized access to a limited portion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6280"/>
                <wp:effectExtent l="0" t="0" r="0" b="0"/>
                <wp:wrapNone/>
                <wp:docPr id="22" name="Frame2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Company’s environment and exfiltrated a set of files associated with a subset of the Company’s clients. For additional information, refer to Management's Discussion and Analysis of Financial Condition and Results of Operation – “Cyber Event” in Part II, Item 7 to this 10-K and Note 15 – Contingencies and Litigation to our Consolidated Financial Statements of Part II, Item 8 to this 10-K. This and any other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costs for contractual service level requirements or other financial impact experienced by customers,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security breaches have and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 In addition, our liability insurance, which includes cyber insurance, might not be sufficient in type or amount to cover us, or the carrier may decline to cover us, against claims related to security incidents, cyberattacks and other related incidents.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If we fail to meet industry data security standards, our ability to meet contractual obligations may be impaired and result in contractual damage or contract breach claims.</w:t>
      </w:r>
    </w:p>
    <w:p>
      <w:pPr>
        <w:pStyle w:val="TextBody"/>
        <w:bidi w:val="0"/>
        <w:spacing w:lineRule="auto" w:line="288" w:before="0" w:after="180"/>
        <w:jc w:val="left"/>
        <w:rPr/>
      </w:pPr>
      <w:r>
        <w:rPr>
          <w:rFonts w:ascii="Arial;sans-serif" w:hAnsi="Arial;sans-serif"/>
          <w:b w:val="false"/>
          <w:color w:val="000000"/>
          <w:sz w:val="20"/>
        </w:rPr>
        <w:t>In some of our services lines, we are contractually subject to industry data security standards.</w:t>
      </w:r>
      <w:r>
        <w:rPr>
          <w:color w:val="000000"/>
        </w:rPr>
        <w:t xml:space="preserve"> </w:t>
      </w:r>
      <w:r>
        <w:rPr>
          <w:rFonts w:ascii="Arial;sans-serif" w:hAnsi="Arial;sans-serif"/>
          <w:b w:val="false"/>
          <w:color w:val="000000"/>
          <w:sz w:val="20"/>
        </w:rPr>
        <w:t>These industry data security standards include Card Brand (Visa, Mastercard, American Express, Discover and JCB) operating rules, certification requirements and rules governing electronic funds transfers, including the Payment Card Industry Data Security Standard ("PCI DSS"), a data security standard applicable to companies that collect, store or transmit payment card data. Another industry standard is the Health Information Trust Alliance ("HITRUST") which applies to aspects of the healthcare industry in addition to other industries. In the future we may not be able to maintain compliance with PCI DSS, HITRUST and other applicable industry standards. Any failure to comply fully or materially with PCI DSS, HITRUST and other applicable industry standards now or at any point in the future may provide customers the right to terminate contracts with us or to enforce provisions obligating us to reimburse them for any penalties or costs incurred by them as a result of our non-compliance, or subject us to other fines, penalties, damages or civil liability, each of which could have a material adverse effect on our business, financial condition and results of operations.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results of operations and financial condition could be materially adversely affected by legal and regulatory matters.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potentially subject to various contingent liabilities that are not reflected on our balance sheet, including those arising as a result of being involved in a variety of claims, lawsuits, investigations and proceedings concerning: securities laws; governmental and non-governmental entity contracting, servicing and governmental entity procurement laws; intellectual property laws; environmental laws; employment laws; the Employee Retirement Income Security Act of 1974 ("ERISA"); cyber-security and data privacy laws; and other laws, regulations and contractual undertakings, as discussed under Note 15 – Contingencies and Litigation to the Consolidated Financial Statements. If developments in any of these matters cause a change in our determination as to an unfavorable outcome and result in the need to recognize a material accrual or materially increase an existing accrual, or if any of these matters result in an adverse judgment or are settled for significant amounts above any existing accruals, it could materially adversely affect our results of operations and financial condition in the period or periods in which such change in determination, judgment or settlement occurs. There can be no assurances as to the 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6280"/>
                <wp:effectExtent l="0" t="0" r="0" b="0"/>
                <wp:wrapNone/>
                <wp:docPr id="23" name="Frame2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outcome of any claim, lawsuit, investigation or proceeding. It is possible that a resolution of one or more such proceedings, through judgment, settlement or otherwise, could require us to make substantial payments to satisfy judgments, fines or penalties or settlement amounts, any of which could materially adversely affect our results of operations and financial condition. Additionally, the terms of dismissal, settlement, release or other resolution may permit certain claims to be reopened under certain conditions. Claims, lawsuits investigations and proceedings involving the Company could also result in reputational harm, criminal sanctions, consent decrees or orders preventing us from offering certain services, requiring a change in our business practices in costly ways or requiring development of non-infringing or otherwise altered products or technologies, or make it more difficult to obtain adequate insurance in the future. In addition, it can be very costly to defend litigation and these costs could materially adversely affect our results of operations and financial condition. Refer to Note 15 – Contingencies and Litigation to the Consolidated Financial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they prevail, the amount of our recovery.</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 xml:space="preserve">We have made and may continue to make divestitures, as well as acquisitions, investments and joint ventures, all of which involve numerous risks and uncertainties.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divested and may in the future divest certain assets or businesses, including businesses that are no longer a part of our ongoing strategic plan. Divestitures require a significant investment of time and resources and involve significant risks and uncertainties, including: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inability to find potential buyers on favorable terms;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to effectively transfer liabilities, contracts, facilities and employees to buyers;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requirements that we retain or indemnify buyers against certain liabilities and obligations;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possibility that we will become subject to third-party claims arising out of such divestiture;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challenges in identifying and separating the intellectual property, systems and data to be divested from the intellectual property, systems and data that we wish to retain;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inability to reduce fixed costs previously associated with the divested assets or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challenges in collecting the proceeds from any divestiture;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disruption of our ongoing business and distraction of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loss of key employees who leave us as a result of a divestiture;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if customers or partners of the divested business do not receive the same level of service from the new owners, or the new owners do not handle the customer data with the same level of care, our other businesses may be adversely affected, to the extent that these customers or partners also purchase other products offered by us or otherwise conduct business with our retained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Divestitures may result in losses on disposal or continued financial involvement in the divested business, including through indemnification, guarantee or other financial arrangements, for a period of time following the transaction, which would adversely affect our financial results. Refer to Note 4 – Divestitures to our Consolidated Financial Statements for additional information about our divestitures.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Additionally, we may selectively pursue strategic acquisitions, investments and joint ventures. We also may enter into relationships with other businesses to expand our products or our ability to provide services. Acquisitions, investments and joint ventures similarly pose a number of risks and potential disruptions that could adversely affect our reputation, operations or financial results, including: expansion into new markets and business ventures; the diversion of management’s attention to the acquisition and integration of acquired operations and personnel; being bound by acquired customer or vendor contracts with unfavorable terms; and potential adverse effects on a company’s operating results for various reasons, including, but not limited to, the following items: the inability to achieve financial targets; the inability to achieve certain integration expectations, operating goals, and synergies; costs incurred to exit current or acquired contracts or restructuring activities; costs incurred to service acquisition debt, if any; and the amortization or impairment of acquired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6280"/>
                <wp:effectExtent l="0" t="0" r="0" b="0"/>
                <wp:wrapNone/>
                <wp:docPr id="24" name="Frame2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Financial Risks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 xml:space="preserve">We have recorded significant goodwill impairment charges and may be required to record additional charges to future earnings if our goodwill or intangible assets become impaired.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required under generally accepted accounting principles to review our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or business segments. We may be required to record additional charges to earnings during the period in which any impairment of our goodwill or other intangible assets is determined which could adversely impact our results of operations. As of December 31, 2025, our goodwill balance, related exclusively to our Government segment, was $617 million, which represented 25.7% of total consolidated assets.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7 – Goodwill to our Consolidated Financial Statements for additional information about our goodwill impairments.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Our significant indebtedness could materially adversely affect our results of operations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and will continue to have a significant amount of debt and other obligations. Our substantial debt and other obligations could have important consequences.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example, it could (i) increase our vulnerability to general adverse economic and industry conditions; (ii) limit our ability to obtain additional financing for future working capital, capital expenditures, acquisitions and other general corporate requirements; (iii) require us to dedicate a substantial portion of our cash flows from operations to service debt and other obligations thereby reducing the availability of our cash flows from operations for other purposes; (iv) limit our flexibility in planning for, or reacting to, changes in our businesses and the industries in which we operate; (v) place us at a competitive disadvantage compared to our competitors that have less debt; and (vi) become due and payable upon a change in control. If new debt is added to our current debt levels, these related risks could increase.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ability to make payments on and to refinance our indebtedness,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The terms of our indebtedness may restrict our current and future operations, particularly our ability to incur debt that we may need to fund initiatives in response to changes in our business, the industries in which we operate, the economy and governmental regulations.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terms of our indebtedness include several restrictive covenants that impose significant operating and financial restrictions on us and our subsidiaries and limit our ability to engage in actions that may be in our long-term best interests. These may restrict our and our subsidiaries’ ability to take some or all the following actions: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incur or guarantee additional indebtedness or sell disqualified or preferred stock;</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pay dividends on, make distributions in respect of, repurchase or redeem capital stock;</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make investments or acquisitions;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sell, transfer or otherwise dispose of certain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create liens;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enter sale/leaseback transactions;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enter agreements restricting the ability to pay dividends or make other intercompany transfers;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consolidate, merge, sell or otherwise dispose of all or substantially all of our or our subsidiaries’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enter transactions with affiliates;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prepay, repurchase or redeem certain kinds of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6280"/>
                <wp:effectExtent l="0" t="0" r="0" b="0"/>
                <wp:wrapNone/>
                <wp:docPr id="25" name="Frame2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issue or sell stock of our subsidiaries; and/or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significantly change the nature of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a result of all these restrictions, we may be: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limited in how we conduct our business and pursue our strategy;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unable to raise additional debt financing to operate during general economic or business downturns; 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unable to compete effectively or to take advantage of new business opportunities.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breach of any of the restrictive covenants, if applicable, could result in an event of default under the terms of this indebtedness. If an event of default occurs, the lenders would have the right to accelerate the repayment of such debt and the event of default or acceleration may result in the acceleration of the repayment of any other of our debt to which a cross-default or cross-acceleration provision applies. Furthermore, under this indebtedness we have pledged our assets as collateral as security for our repayment obligations. If we were unable to repay any amount of this indebtedness when due and payable, the lenders could proceed against the collateral that secures this indebtedness. In the event our creditors accelerate the repayment of our borrowings, we may not have sufficient assets to repay such indebtedness, which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The failure to obtain or maintain a satisfactory credit rating and financial performance, or the requirement to post collateral for any of our business guarantees, could adversely affect our liquidity, capital position, borrowing costs, access to capital markets and our need or ability to post surety or performance bonds to support clients’ contracts.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Any future downgrades to our credit rating or perceived or actual weakness in our financial performance could negatively impact our ability to renew contracts with our existing clients and vendors, limit our ability to compete for new clients, result in increased premiums for surety or performance bonds and letters of credit to support our clients’ contracts, reduce our ability to obtain surety bonds, performance bonds and letters of credit and/or result in a requirement that we provide collateral to secure our surety or performance bonds and letters of credit.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These instruments are generally issued by insurance companies or other financial institutions and typically include provisions that allow the issuer, in its discretion, to require us to post collateral. Collateral demands may be based on factors outside our control—including the issuer’s internal risk assessments, changes in market conditions, or their evaluation of our financial position—and may occur with little or no advance notice. Any such requirement could exceed our available liquidity or require us to divert capital from other operational or strategic uses. If we are unable to satisfy a collateral demand, the issuer may take actions that could impair our ability to continue performing under the related contracts, which could harm our reputation, restrict our ability to bid on future work or result in financial penalties. Any significant collateral demand, individually or in the aggregate, could materially adversely affect our liquidity, financial condition and results of operations. Refer to Note 15 – Contingencies and Litigation to the Consolidated Financial Statements for additional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Further, certain of our commercial outsourcing contracts provide that, in the event our credit ratings are downgraded to specified levels, the client may elect to terminate its contract with us and either pay a reduced termination fee or, in some limited instances, no termination fee. Such a credit rating downgrade or perceived or actual weakness in our financial performance could adversely affect these client relationships.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There can be no assurance that we will be able to maintain our credit ratings or financial performance. Any additional actual or anticipated downgrades of our credit ratings, including any announcement that our ratings are under review for a downgrade, or perceived or actual weak financial performance may have a negative impact on our liquidity, capital position, access to capital markets and ability to obtain surety bonds, performance bonds and letters of credit sufficient to support our existing and future business needs, and may also increase the likelihood or magnitude of collateral demands under our business guarantees.</w:t>
      </w:r>
    </w:p>
    <w:p>
      <w:pPr>
        <w:pStyle w:val="TextBody"/>
        <w:bidi w:val="0"/>
        <w:spacing w:lineRule="auto" w:line="288" w:before="0" w:after="180"/>
        <w:jc w:val="both"/>
        <w:rPr>
          <w:rFonts w:ascii="Arial;sans-serif" w:hAnsi="Arial;sans-serif"/>
          <w:b/>
          <w:i/>
          <w:color w:val="0066CC"/>
          <w:sz w:val="20"/>
        </w:rPr>
      </w:pPr>
      <w:r>
        <w:rPr>
          <w:rFonts w:ascii="Arial;sans-serif" w:hAnsi="Arial;sans-serif"/>
          <w:b/>
          <w:i/>
          <w:color w:val="0066CC"/>
          <w:sz w:val="20"/>
        </w:rPr>
        <w:t>Our profitability is dependent upon our ability to obtain adequate pricing for our services and to improve our cost structure.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success depends on our ability to obtain adequate pricing for our services that will provide a reasonable return to our shareholders. Depending on competitive market factors, future prices we obtain for our services may decline from previous levels. If we are unable to obtain adequate pricing for our services, it could materially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6280"/>
                <wp:effectExtent l="0" t="0" r="0" b="0"/>
                <wp:wrapNone/>
                <wp:docPr id="26" name="Frame2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results of operations and financial condition. In addition, our contracts are increasingly requiring tighter timelines for implementation as well as more stringent service level metrics. This makes the bidding process for new contracts much more difficult and requires us to adequately consider these requirements in the pricing of our services.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meet the service requirements of our customers, which often includes 24/7 service, and to optimize our employee cost base, including our back-office support, we often locate our delivery service and back-office support centers in lower-cost locations, including several developing countries. Concentrating our centers in these locations presents several operational risks, many of which are beyond our control, including the risks of political instability, natural disasters, safety and security risks, labor disruptions, excessive employee turnover and rising labor rates. Additionally, a change in the political environment in the United States or the adoption and enforcement of legislation and regulations curbing the use of such centers outside of the United States could materially adversely affect our results of operations and financial condition. These risks could impair our ability to effectively provide services to our customers and keep our costs aligned to our associated revenues and market requirements.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ability to sustain and improve profit margins is dependent on a number of factors, including our ability to continue to improve the cost efficiency of our operations through such programs as robotic process automation, to absorb the level of pricing pressures on our services through cost improvements, our ability to hire and retain employees in the current global labor markets and to successfully complete information technology initiatives. If any of these factors adversely materialize or if we are unable to achieve and maintain productivity improvements through restructuring actions or information technology initiatives, our ability to offset labor cost inflation and competitive price pressures would be impaired, each of which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If we are unable to collect our receivables for billed or unbilled services, our results of operations and financial condition could be materially adversely affected.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profitability of certain of our large contracts depends on our ability to successfully obtain payment from our clients of the amounts they owe us for work performed. Actual losses on client balances could differ from current estimates and, as a result, may require adjustment of our receivables for unbilled services. Our receivables include long-term contracts. Over the course of a long-term contract, our customers’ financial condition may change such that their ability to pay their obligations, and our ability to collect our fees for services rendered, is adversely affected. Additionally, we may perform work for the federal, state and local governments, with respect to which we must file requests for equitable adjustment or claims with the proper agency to seek recovery in whole or in part, for out-of-scope work directed or caused by the government customer in support of its project, and the amounts of such recoveries may not meet our expectations or cover our costs. Timely collection of client balances also depends on our ability to complete our contractual commitments (such as our ability to achieve specified milestones in percentage-of-completion contracts) and bill and collect our contracted revenues. If we are unable to meet our contractual requirements, we might experience delays in collection of and/or be unable to collect our client balances, and if this occurs, our results of operations and financial condition could be adversely affected. In addition, if we experience an increase in the time to bill and collect for our services, our results of operations and financial condition could be materially adversely affected.</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A decline in revenues from or a loss or failure of significant clients could materially adversely affect our results of operations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results of operations and financial condition could be materially adversely affected by the loss or failure of significant clients or any significant reduction in revenue volumes from our significant clients, which has occurred in the past and could occur in the future. Some of our clients are in business sectors which have experienced significant financial difficulties or consolidation, and/or the reduction of volumes or their inability to make payments to us, as a result of, among other things, their merger or acquisition, divestiture of assets or businesses, contract expiration, nonrenewal or early termination (including termination for convenience) or business or financial failure or deterioration. Economic and political conditions could affect our clients’ businesses and the markets they serve. The loss of significant clients or a significant reduction in volume from our significant clients as a result of these or other reasons would materially adversely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6280"/>
                <wp:effectExtent l="0" t="0" r="0" b="0"/>
                <wp:wrapNone/>
                <wp:docPr id="27" name="Frame2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have non-recurring revenue, which subjects us to a risk that our revenues and cash flows from operations may fluctuate from period to period.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Revenue generated from our non-recurring services may fluctuate due to factors both within and outside of our control. Our mix of non-recurring and recurring revenues is impacted by acquisitions as well as growth in our non-recurring lines of business, as well as our strategic decisions to exit or reduce our services in particular service areas. There is less predictability and certainty in the timing and amount of revenues generated by our non-recurring services and, accordingly, our results of operations and financial condition could be materially adversely affected by the timing and amount of revenues generated from our non-recurring services.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Increases in the cost of voice and data services or significant interruptions in such services could materially adversely affect our results of operations and financial condition.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business is significantly dependent on voice and data services provided by various communication and data service providers around the world. Accordingly, any disruption of these services could materially adversely affect our results of operations and financial condition. Any inability to obtain voice or data services at favorable rates could materially adversely affect our results of operations and financial condition. Where possible, we have entered into long term contracts with various providers to have price certainty and avoid short term rate increases and fluctuations. There is no obligation for our vendors to renew their long-term contracts with us, or to offer the same or lower rates in the future, and such contracts are subject to termination or modification for various reasons outside of our control. A significant increase in the cost of voice or data services that is not recoverable through an increase in the price of our services could materially adversely affect our results of operations and financial condition. In addition, a number of our facilities are located in jurisdictions outside of the United States where the provision of utility services, including electricity and water, may not be consistently reliable, and an extended outage of utility or network services could materially adversely affect our results of operations and financial condition.</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are a holding company and, therefore, may not be able to receive dividends or other payments in needed amounts from our subsidiaries.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principal assets are the shares of capital stock and indebtedness of our subsidiaries. We rely on dividends, interest and other payments from these subsidiaries to meet our obligations for paying principal and interest on outstanding debt obligations, paying corporate expenses and, if determined by our Board of Directors, paying dividends to shareholders and repurchasing common shares. Certain of our subsidiaries are subject to regulatory requirements of the jurisdictions in which they operate or other restrictions that may limit the amounts that these subsidiaries can pay in dividends or other payments to us. No assurance can be given that there will not be further changes in law, regulatory actions or other circumstances that could restrict the ability of our subsidiaries to pay dividends to us. In addition, due to differences in tax rates, repatriation of funds from certain countries into the United States could have unfavorable tax ramifications for us.</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operate globally and changes in tax laws could adversely affect our results.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monitor U.S. and non-U.S. tax law changes that may adversely impact our overall tax costs. From time to time, proposals have been made and/or legislation has been introduced to change tax rates, as well as related tax laws, regulations or interpretations thereof, by various jurisdictions, or to limit tax treaty benefits which, if enacted or implemented, could materially increase our tax costs and/or our effective tax rate and could have a material adverse impact on our financial condition and results of operations. In addition, we are subject to the examination of our income tax returns by the United States Internal Revenue Service and other tax authorities around the world. We regularly assess the likelihood of adverse outcomes resulting from these examinations to determine the adequacy of its provision for income taxes. There can be no assurance that the outcomes from these examinations will not have an adverse effect on our provision for income taxes and cash tax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 xml:space="preserve">ITEM 1B. UNRESOLVED STAFF COMMENTS </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6280"/>
                <wp:effectExtent l="0" t="0" r="0" b="0"/>
                <wp:wrapNone/>
                <wp:docPr id="28" name="Frame2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ITEM 1C. CYBERSECURITY MATTERS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a leader in business process solutions, we leverage cloud computing, AI, machine learning, automation and advanced analytics, our systems and information technology, and that of our third-party providers, and our interfaces with our customers are critical to our business, operating results, growth, prospects and reputation.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act as a trusted business partner in providing both front-office and back-office platforms. As part of our business process outsourcing solutions, we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personal information relating to identifiable individuals. Additionally, we receive, process, and implement financial transactions and disburse funds on behalf of both commercial and government customers.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devote significant resources to cybersecurity and cybersecurity risk management processes to adapt to the changing cybersecurity landscape and to respond to emerging threats. We maintain a cybersecurity risk management program to assess, identify, manage, mitigate, and respond to material risks from cybersecurity threats to both our corporate information technology environment and customer-facing products. These processes are integrated into our overall Enterprise Risk Management (“ERM”) program, which is designed to strengthen our risk management capabilities by developing and implementing a governance structure, risk management framework, and processes that enable the identification, assessment, monitoring, and management of risks.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underlying controls of our cybersecurity risk management program are based upon industry standards for cybersecurity and information technology. Our corporate information technology environment aligns with the Center for Internet Security ("CIS") Critical Security Controls (“CSC”). Our systems that manage customer-facing products, where appropriate and contractually required, are certified/attested to applicable security standards, including, without limitation, National Institute of Standards and Technology ("NIST") (NIST Special Publication 800-53 rev 5 moderate baseline), Payment Card Industry Data Security Standard ("PCI-DSS"), Health Insurance Portability and Accountability Act ("HIPAA"), International Organization for Standardization ("ISO"), the International Electrotechnical Commission ("IEC") Standard (ISO/IEC 27001:2013 &amp; ISO 9001:2015), and Systems and Organization Controls ("SOC") 2 standards. Our policies and procedures concerning cybersecurity matters include processes to safeguard our information systems, monitor these systems, protect the confidentiality and integrity of our data, train and raise awareness of cybersecurity threats among employees, detect intrusions into our systems, and respond to cybersecurity incidents.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part of our overall risk management strategy, we leverage a defense in depth philosophy, which includes, but is not limited to, additional end-user training, layered technology defenses, identifying and protecting critical assets, strengthening monitoring and warning systems, and engaging industry and subject matter experts. We regularly test defenses by performing simulations and exercises at both a technical level and by reviewing our operational policies and procedures with third-party experts. At the management level, our cybersecurity team regularly monitors alerts and meets to discuss industry threats, trends, and remediation tactics. The cybersecurity team also regularly prepares a cyber update that includes metrics and compliance performance, incorporating data on cybersecurity threats and risks, which it uses to assess and refine Conduent's overall security posture. Furthermore, we receive cybersecurity alerts and threat intelligence from our peers, government agencies, information sharing and analysis centers and cybersecurity associations, as well as conduct periodic external penetration tests and gap testing to assess our processes and procedures and the ever-changing threat landscape. We have created and continually update, as required, a detailed incident response plan, which outlines the steps to be followed from incident detection to eradication, recovery and notification, and which we implement in the event of a cybersecurity incident.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also engage third parties and cybersecurity consultants on a regular basis to assess, test, and assist with the implementation of our risk management strategies, policies and procedures to enhance our detection, response and management of cybersecurity risks and compliance frameworks, including but not limited to, consultants who assist with risk assessment, third parties who assist with our PCI-DSS compliance assessments, and auditors who audit our systems to ensure adherence to the relevant standard under evaluation.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rely on a variety of security software, including cloud-based technology to scan and analyze for vulnerable software or misconfigurations, for our operations and our business processing solutions. These systems are either developed by us or licensed from or maintained by third-party providers. We assess key third-party cybersecurity controls through a cybersecurity questionnaire, require the implementation of certain security controls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6280"/>
                <wp:effectExtent l="0" t="0" r="0" b="0"/>
                <wp:wrapNone/>
                <wp:docPr id="29" name="Frame2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contracts where applicable, monitor the third party, and maintain the ability to discontinue our engagement with a key vendor if its cybersecurity posture fails to meet pre-established standards.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Board of Directors (the “Board”) maintains oversight responsibility for our ERM program. This oversight is facilitated primarily through the Risk Oversight Committee of the Board (the “Risk Committee”), which reviews the ERM program, related assessments and remediation activities for subsequent review by the Board. As part of its ERM oversight responsibilities, the Risk Committee is responsible for oversight of the Company’s cybersecurity risk management, including the Company’s material programs, policies and safeguards for information security, cybersecurity and data security. At least quarterly (and more frequently as required), the Risk Committee and Audit Committee meet with management, including the Chief Information Security Officer (the “CISO”), to discuss, assess and determine the allocation of resources to risk matters, including cybersecurity risks, which enables effective integration of risk practices into strategic planning and enterprise decision-making.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Risk Committee works with the CISO and the Company’s senior executives in reviewing the cybersecurity risks and strategy, provides guidance on the Company’s cybersecurity goals and objectives, and monitors the information it receives from management regarding the assessment and management of cybersecurity risk. The Risk Committee also conducts an annual review that includes a survey of enhancements to the Company’s defenses as well as management's progress in implementing the Company's cybersecurity strategic roadmap and compliance initiatives.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CISO, a Certified Information Systems Professional with over 15 years of technical and cybersecurity leadership in large multinational organizations, reports to our Executive Vice President, Chief Information Officer and is responsible for assessing, implementing, and managing the Company’s cybersecurity risk management program, informing senior management regarding the prevention, detection, mitigation and remediation of cybersecurity incidents, as well as supervising such efforts. The CISO approves cybersecurity policies and procedures, implementation of controls, monitoring and detection programs and employee training on cybersecurity risks. The CISO also reports cybersecurity risks and strategies directly to executive leadership. In addition, the Company has implemented an Incident Response Materiality Assessment Committee (“IRMAC”), which consists of members from the Senior Leadership Team and is responsible for assessing the materiality of a cybersecurity incident referred to it by the Cybersecurity Incident Response Team (“CSIRT”). Procedures exist to ensure the Risk Committee of the Board of Directors, and if appropriate, the full Board of Directors is notified about cybersecurity incidents being assessed by the IRMAC.</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noted above, we face a number of cybersecurity risks in connection with our business and, from time to time, experience or are subject to a variety of cybersecurity incidents that arise during the ordinary course of our business, such as the previously disclosed January 2025 Cyber Event (for additional information, refer to Management's Discussion and Analysis of Financial Condition and Results of Operation – “Cyber Event” in Part II, Item 7 to this 10-K and Note 15 – Contingencies and Litigation to our Consolidated Financial Statements of Part II, Item 8 to this 10-K). As of the date of this report, apart from the January 2025 Cyber Event (for which we maintain a liability on the Consolidated Balance Sheet for our expected remaining cash outlay), we do not believe that any risks from cybersecurity threats, including because of any known cybersecurity incidents, have materially affected, or are reasonably likely to materially affect, the Company. New information discovered after the date of this report concerning any known cybersecurity incidents that have occurred prior to the date of this report, however, could change our current belief and could result in a material adverse effect on our business strategy, results of operations, reputation or financial condition. In addition, future cybersecurity incidents could materially affect our strategy, results of operations, reputation or financial condition. See Item 1A. Risk Factors for additional information on how risks could materially affect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ITEM 2. PROPERTIES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lease and own numerous facilities worldwide with larger concentrations of space in Kentucky, New Jersey, Texas, Guatemala, India, the Philippines, Jamaica and the Netherlands. Our owned and leased facilities house general offices, sales offices, service locations, call centers and distribution centers. The size of our property portfolio as of December 31, 2025 was approximately 4.4 million square feet at an annual operating cost (lease costs and expenses) of approximately $110 million and was composed of 149 leased properties and 3 owned properties. We believe that our current facilities are suitable and adequate for our current business. Because of the interrelation of our business segments, each of the segments uses substantially all of these properties at least in part.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6280"/>
                <wp:effectExtent l="0" t="0" r="0" b="0"/>
                <wp:wrapNone/>
                <wp:docPr id="30" name="Frame3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aggressively pursued portfolio reduction opportunities through lease terminations, subleases and consolidation of properties. Partially offsetting these reductions, in 2025, we executed strategic portfolio expansions in India, the Philippines and key relocations in the United States. As a result, the portfolio net reduction was approximately 0.2 million square feet during the year ended December 31, 2025. We will continue efforts to optimize our workforce location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ITEM 3. LEGAL PROCEEDINGS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set forth under Note 15 – Contingencies and Litigation to the Consolidated Financial Statements in Part II, Item 8 to this 10-K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 xml:space="preserve">ITEM 4. MINE SAFETY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6280"/>
                <wp:effectExtent l="0" t="0" r="0" b="0"/>
                <wp:wrapNone/>
                <wp:docPr id="31" name="Frame3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66CC"/>
          <w:sz w:val="24"/>
        </w:rPr>
      </w:pPr>
      <w:r>
        <w:rPr>
          <w:rFonts w:ascii="Arial;sans-serif" w:hAnsi="Arial;sans-serif"/>
          <w:b/>
          <w:color w:val="0066CC"/>
          <w:sz w:val="24"/>
        </w:rPr>
        <w:t>ITEM 5. MARKET FOR THE REGISTRANT'S COMMON EQUITY, RELATED STOCKHOLDER MATTERS AND ISSUER PURCHASES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 xml:space="preserve">Stock Exchange Information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common stock of Conduent trades on Nasdaq under the ticker "CNDT".</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Common Shareholders of Record</w:t>
      </w:r>
    </w:p>
    <w:p>
      <w:pPr>
        <w:pStyle w:val="TextBody"/>
        <w:bidi w:val="0"/>
        <w:spacing w:lineRule="auto" w:line="288" w:before="0" w:after="180"/>
        <w:jc w:val="left"/>
        <w:rPr/>
      </w:pPr>
      <w:r>
        <w:rPr>
          <w:rFonts w:ascii="Arial;sans-serif" w:hAnsi="Arial;sans-serif"/>
          <w:b w:val="false"/>
          <w:color w:val="000000"/>
          <w:sz w:val="20"/>
          <w:shd w:fill="FFFFFF" w:val="clear"/>
        </w:rPr>
        <w:t>There w</w:t>
      </w:r>
      <w:r>
        <w:rPr>
          <w:rFonts w:ascii="Arial;sans-serif" w:hAnsi="Arial;sans-serif"/>
          <w:b w:val="false"/>
          <w:color w:val="000000"/>
          <w:sz w:val="20"/>
        </w:rPr>
        <w:t>ere 10,626 shareholders o</w:t>
      </w:r>
      <w:r>
        <w:rPr>
          <w:rFonts w:ascii="Arial;sans-serif" w:hAnsi="Arial;sans-serif"/>
          <w:b w:val="false"/>
          <w:color w:val="000000"/>
          <w:sz w:val="20"/>
          <w:shd w:fill="FFFFFF" w:val="clear"/>
        </w:rPr>
        <w:t xml:space="preserve">f record as of January 31, 2026.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Conduent Common Stock Dividends</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did not pay any dividends on our common stock in 2025. We intend to retain future earnings for use in the operation of our business and to fund future growth. We do not anticipate paying any dividends on our common stock for the foreseeable future. </w:t>
      </w:r>
    </w:p>
    <w:p>
      <w:pPr>
        <w:pStyle w:val="TextBody"/>
        <w:bidi w:val="0"/>
        <w:spacing w:lineRule="auto" w:line="288" w:before="0" w:after="60"/>
        <w:jc w:val="left"/>
        <w:rPr>
          <w:rFonts w:ascii="Arial;sans-serif" w:hAnsi="Arial;sans-serif"/>
          <w:b/>
          <w:color w:val="0066CC"/>
          <w:sz w:val="20"/>
        </w:rPr>
      </w:pPr>
      <w:r>
        <w:rPr>
          <w:rFonts w:ascii="Arial;sans-serif" w:hAnsi="Arial;sans-serif"/>
          <w:b/>
          <w:color w:val="0066CC"/>
          <w:sz w:val="20"/>
        </w:rPr>
        <w:t>Performance Graph</w:t>
      </w:r>
    </w:p>
    <w:p>
      <w:pPr>
        <w:pStyle w:val="TextBody"/>
        <w:bidi w:val="0"/>
        <w:spacing w:before="0" w:after="180"/>
        <w:jc w:val="left"/>
        <w:rPr/>
      </w:pPr>
      <w:r>
        <w:rPr/>
        <w:drawing>
          <wp:inline distT="0" distB="0" distL="0" distR="0">
            <wp:extent cx="6400800" cy="3400425"/>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6400800" cy="340042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Purchases of Equity Securities by the Issuer and Affiliated Purchasers</w:t>
      </w:r>
    </w:p>
    <w:p>
      <w:pPr>
        <w:pStyle w:val="TextBody"/>
        <w:bidi w:val="0"/>
        <w:spacing w:lineRule="auto" w:line="268" w:before="0" w:after="180"/>
        <w:jc w:val="both"/>
        <w:rPr>
          <w:rFonts w:ascii="Arial;sans-serif" w:hAnsi="Arial;sans-serif"/>
          <w:b w:val="false"/>
          <w:color w:val="000000"/>
          <w:sz w:val="20"/>
        </w:rPr>
      </w:pPr>
      <w:r>
        <w:rPr>
          <w:rFonts w:ascii="Arial;sans-serif" w:hAnsi="Arial;sans-serif"/>
          <w:b w:val="false"/>
          <w:color w:val="000000"/>
          <w:sz w:val="20"/>
        </w:rPr>
        <w:t>Share repurchase activity during the three months ended December 31, 2025 was as follows:</w:t>
      </w:r>
    </w:p>
    <w:tbl>
      <w:tblPr>
        <w:tblW w:w="10205" w:type="dxa"/>
        <w:jc w:val="left"/>
        <w:tblInd w:w="0" w:type="dxa"/>
        <w:tblLayout w:type="fixed"/>
        <w:tblCellMar>
          <w:top w:w="28" w:type="dxa"/>
          <w:left w:w="28" w:type="dxa"/>
          <w:bottom w:w="28" w:type="dxa"/>
          <w:right w:w="28" w:type="dxa"/>
        </w:tblCellMar>
      </w:tblPr>
      <w:tblGrid>
        <w:gridCol w:w="472"/>
        <w:gridCol w:w="306"/>
        <w:gridCol w:w="310"/>
        <w:gridCol w:w="109"/>
        <w:gridCol w:w="109"/>
        <w:gridCol w:w="109"/>
        <w:gridCol w:w="656"/>
        <w:gridCol w:w="489"/>
        <w:gridCol w:w="491"/>
        <w:gridCol w:w="109"/>
        <w:gridCol w:w="109"/>
        <w:gridCol w:w="109"/>
        <w:gridCol w:w="306"/>
        <w:gridCol w:w="728"/>
        <w:gridCol w:w="170"/>
        <w:gridCol w:w="109"/>
        <w:gridCol w:w="109"/>
        <w:gridCol w:w="109"/>
        <w:gridCol w:w="874"/>
        <w:gridCol w:w="738"/>
        <w:gridCol w:w="740"/>
        <w:gridCol w:w="109"/>
        <w:gridCol w:w="109"/>
        <w:gridCol w:w="109"/>
        <w:gridCol w:w="751"/>
        <w:gridCol w:w="1268"/>
        <w:gridCol w:w="598"/>
      </w:tblGrid>
      <w:tr>
        <w:trPr/>
        <w:tc>
          <w:tcPr>
            <w:tcW w:w="47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Number of Shares Purchased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a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Approximate Dollar Value of Shares that May Yet Be Purchased Under Plan (in millions)</w:t>
            </w:r>
          </w:p>
        </w:tc>
      </w:tr>
      <w:tr>
        <w:trPr/>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October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1,834,998 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1,834,998 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1-30,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1,834,998 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1,834,998 </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both"/>
        <w:rPr/>
      </w:pPr>
      <w:r>
        <w:rPr>
          <w:rFonts w:ascii="Arial;sans-serif" w:hAnsi="Arial;sans-serif"/>
          <w:b w:val="false"/>
          <w:color w:val="000000"/>
          <w:sz w:val="10"/>
        </w:rPr>
        <w:t>(1)    </w:t>
      </w:r>
      <w:r>
        <w:rPr>
          <w:rFonts w:ascii="Arial;sans-serif" w:hAnsi="Arial;sans-serif"/>
          <w:b w:val="false"/>
          <w:color w:val="000000"/>
          <w:sz w:val="16"/>
        </w:rPr>
        <w:t xml:space="preserve">On May 20, 2025, the Board of Directors authorized a three-year share repurchase program, granting approval for the Company to repurchase up to $50 million of its common stock from time to time as market and business conditions warrant, including through open market purchases or Rule 10b5-1 trading plans. </w:t>
      </w:r>
    </w:p>
    <w:p>
      <w:pPr>
        <w:pStyle w:val="TextBody"/>
        <w:bidi w:val="0"/>
        <w:spacing w:lineRule="auto" w:line="288" w:before="0" w:after="180"/>
        <w:ind w:left="0" w:right="0" w:hanging="270"/>
        <w:jc w:val="left"/>
        <w:rPr/>
      </w:pPr>
      <w:r>
        <w:rPr>
          <w:rFonts w:ascii="Arial;sans-serif" w:hAnsi="Arial;sans-serif"/>
          <w:b w:val="false"/>
          <w:color w:val="000000"/>
          <w:sz w:val="10"/>
        </w:rPr>
        <w:t>(2)    </w:t>
      </w:r>
      <w:r>
        <w:rPr>
          <w:rFonts w:ascii="Arial;sans-serif" w:hAnsi="Arial;sans-serif"/>
          <w:b w:val="false"/>
          <w:color w:val="000000"/>
          <w:sz w:val="16"/>
        </w:rPr>
        <w:t>Average share price includes transaction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6280"/>
                <wp:effectExtent l="0" t="0" r="0" b="0"/>
                <wp:wrapNone/>
                <wp:docPr id="33" name="Frame3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hanging="270"/>
        <w:jc w:val="both"/>
        <w:rPr>
          <w:rFonts w:ascii="Arial;sans-serif" w:hAnsi="Arial;sans-serif"/>
          <w:b/>
          <w:color w:val="0070C0"/>
          <w:sz w:val="20"/>
        </w:rPr>
      </w:pPr>
      <w:r>
        <w:rPr>
          <w:rFonts w:ascii="Arial;sans-serif" w:hAnsi="Arial;sans-serif"/>
          <w:b/>
          <w:color w:val="0070C0"/>
          <w:sz w:val="20"/>
        </w:rPr>
        <w:t>Securities Authorized for Issuance Under Existing Equity Compensation Plans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Information about securities authorized for issuance under existing equity compensation plans is incorporated by reference from Item 12—Security Ownership of Certain Beneficial Owners and Management and Related Stockholder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ITEM 7. MANAGEMENT'S DISCUSSION AND ANALYSIS OF FINANCIAL CONDITION AND RESULTS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Overview;</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Financial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Metrics;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Capital Resources and Liquidity;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Critical Accounting Estimates and Policies;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Recent Accounting Changes;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Non-GAAP Financial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MD&amp;A is provided as a supplement to, and should be read in conjunction with, our Consolidated Financial Statements and the accompanying notes in this Form 10-K for the year ended December 31, 2025. This MD&amp;A provides additional information about our operations, current developments, financial condition, cash flows and results of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year-over-year comparisons in this MD&amp;A are as of and for the years ended December 31, 2025 and 2024, unless stated otherwise. The discussion of 2023 items and related year-over-year comparisons as of and for the years ended December 31, 2024 and 2023 are found in Item 7 of Part II of our Form 10-K for the year ended December 31, 2024.</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Throughout the MD&amp;A, we refer to various notes to our Consolidated Financial Statements which appear in Item 8 of this Form 10-K, and the information contained in such notes is incorporated by reference into the MD&amp;A in the places where such references are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0"/>
          <w:u w:val="single"/>
        </w:rPr>
      </w:pPr>
      <w:r>
        <w:rPr>
          <w:rFonts w:ascii="Arial;sans-serif" w:hAnsi="Arial;sans-serif"/>
          <w:b/>
          <w:color w:val="0066CC"/>
          <w:sz w:val="20"/>
          <w:u w:val="single"/>
        </w:rPr>
        <w:t>Overview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51,000 associates, process expertise and advanced technologies, our solutions and services digitally transform our clients’ operations to enhance customer experiences, improve performance, increase efficiencies and reduce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Headquartered in Florham Park, New Jersey, we have operations in 24 countries as of December 31, 2025. In 2025, approximately 16% of our revenue was generated outside the U.S.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reportable segments correspond to how we organize and manage the business and are aligned to the industries in which our clients operate. These three segments are: </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 xml:space="preserve">Commercial </w:t>
      </w:r>
      <w:r>
        <w:rPr>
          <w:color w:val="000000"/>
        </w:rPr>
        <w:t>–</w:t>
      </w:r>
      <w:r>
        <w:rPr>
          <w:color w:val="0066CC"/>
        </w:rPr>
        <w:t xml:space="preserve"> </w:t>
      </w:r>
      <w:r>
        <w:rPr>
          <w:rFonts w:ascii="Arial;sans-serif" w:hAnsi="Arial;sans-serif"/>
          <w:b w:val="false"/>
          <w:color w:val="000000"/>
          <w:sz w:val="20"/>
        </w:rPr>
        <w:t>Our Commercial segment provides business process services that span our clients' business processes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enable revenue growth for our clients and deliver better experiences for their consumers and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6280"/>
                <wp:effectExtent l="0" t="0" r="0" b="0"/>
                <wp:wrapNone/>
                <wp:docPr id="34" name="Frame3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 xml:space="preserve">Government </w:t>
      </w:r>
      <w:r>
        <w:rPr>
          <w:color w:val="000000"/>
        </w:rPr>
        <w:t>–</w:t>
      </w:r>
      <w:r>
        <w:rPr>
          <w:color w:val="0066CC"/>
        </w:rPr>
        <w:t xml:space="preserve"> </w:t>
      </w:r>
      <w:r>
        <w:rPr>
          <w:rFonts w:ascii="Arial;sans-serif" w:hAnsi="Arial;sans-serif"/>
          <w:b w:val="false"/>
          <w:color w:val="000000"/>
          <w:sz w:val="20"/>
        </w:rPr>
        <w:t>Our Government segment provides government-centric services and solutions to U.S. federal, state, local and foreign governments for public assistance, healthcare programs and administration, transaction processing, eligibility and enrollment processing, payment services and case management. In this segment, we help governments respond to changing rules for eligibility and keep pace with increasing citizen expectations, modernize legacy technology systems, combat benefits fraud and adapt to an evolving regulatory environment.</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 xml:space="preserve">Transportation </w:t>
      </w:r>
      <w:r>
        <w:rPr>
          <w:color w:val="000000"/>
        </w:rPr>
        <w:t>–</w:t>
      </w:r>
      <w:r>
        <w:rPr>
          <w:color w:val="0066CC"/>
        </w:rPr>
        <w:t xml:space="preserve"> </w:t>
      </w:r>
      <w:r>
        <w:rPr>
          <w:rFonts w:ascii="Arial;sans-serif" w:hAnsi="Arial;sans-serif"/>
          <w:b w:val="false"/>
          <w:color w:val="000000"/>
          <w:sz w:val="20"/>
        </w:rPr>
        <w:t xml:space="preserve">Our Transportation segment provides government agencies and transportation authorities around the world with systems, support and revenue-generating solutions serving toll and fare collections as well as mobility and digital payments that help streamline operations and increase revenue to government and transportation agencies. With and expanded focus on sustainability and enhancing the quality of life for citizens and communities around the world, our solutions help reduce congestion and greenhouse emissions, while creating seamless travel experiences for consumers throughout transportation ecosystems. </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Executive Summary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emphasis on growth, quality, and efficiency, launched in 2020 and reinforced in our 2023 investor briefing, continued throughout 2025, the final year of our three-year plan. We executed against this strategy by focusing on targeted-growth areas within each business advancing the second phase of our portfolio rationalization strategy to improve our earnings profile and maintained a balanced capital allocation framework that included making internal investments in our solutions, pre-paying debt and repurchasing common shares.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expect this approach will continue positioning Conduent to become a more agile company with the potential for improved margins, stronger free cash flow, and a more resilient capital structure.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Significant 2025 Actions</w:t>
      </w:r>
    </w:p>
    <w:p>
      <w:pPr>
        <w:pStyle w:val="TextBody"/>
        <w:bidi w:val="0"/>
        <w:spacing w:lineRule="auto" w:line="288" w:before="0" w:after="180"/>
        <w:ind w:left="0" w:right="0" w:hanging="360"/>
        <w:jc w:val="left"/>
        <w:rPr/>
      </w:pPr>
      <w:r>
        <w:rPr>
          <w:color w:val="0066CC"/>
        </w:rPr>
        <w:t>•</w:t>
      </w:r>
      <w:r>
        <w:rPr>
          <w:rFonts w:ascii="Arial;sans-serif" w:hAnsi="Arial;sans-serif"/>
          <w:b/>
          <w:color w:val="0066CC"/>
          <w:sz w:val="20"/>
        </w:rPr>
        <w:t xml:space="preserve">Debt Refinancing </w:t>
      </w:r>
      <w:r>
        <w:rPr>
          <w:color w:val="000000"/>
        </w:rPr>
        <w:t xml:space="preserve">– </w:t>
      </w:r>
      <w:r>
        <w:rPr>
          <w:rFonts w:ascii="Arial;sans-serif" w:hAnsi="Arial;sans-serif"/>
          <w:b w:val="false"/>
          <w:color w:val="000000"/>
          <w:sz w:val="20"/>
        </w:rPr>
        <w:t>In 2025, we successfully completed refinancing of the Company's revolving credit facility and paid off the remaining $82 million balance of the Company's Senior Secured Term Loan A ("Term Loan A"). Refer to Note 10 – Debt in the Consolidated Financial Statements for additional information.</w:t>
      </w:r>
    </w:p>
    <w:p>
      <w:pPr>
        <w:pStyle w:val="TextBody"/>
        <w:bidi w:val="0"/>
        <w:spacing w:lineRule="auto" w:line="288" w:before="0" w:after="180"/>
        <w:ind w:left="0" w:right="0" w:hanging="360"/>
        <w:jc w:val="left"/>
        <w:rPr/>
      </w:pPr>
      <w:r>
        <w:rPr>
          <w:color w:val="0066CC"/>
        </w:rPr>
        <w:t>•</w:t>
      </w:r>
      <w:r>
        <w:rPr>
          <w:rFonts w:ascii="Arial;sans-serif" w:hAnsi="Arial;sans-serif"/>
          <w:b/>
          <w:color w:val="0066CC"/>
          <w:sz w:val="20"/>
        </w:rPr>
        <w:t>Share Repurchases</w:t>
      </w:r>
      <w:r>
        <w:rPr>
          <w:color w:val="0066CC"/>
        </w:rPr>
        <w:t xml:space="preserve"> </w:t>
      </w:r>
      <w:r>
        <w:rPr>
          <w:color w:val="000000"/>
        </w:rPr>
        <w:t xml:space="preserve">– </w:t>
      </w:r>
      <w:r>
        <w:rPr>
          <w:rFonts w:ascii="Arial;sans-serif" w:hAnsi="Arial;sans-serif"/>
          <w:b w:val="false"/>
          <w:color w:val="000000"/>
          <w:sz w:val="20"/>
        </w:rPr>
        <w:t>During the second, third and fourth quarters of 2025, we repurchased 9.2 million shares of our common stock for $25 million under the current $50 million Board-authorized share repurchase program.</w:t>
      </w:r>
    </w:p>
    <w:p>
      <w:pPr>
        <w:pStyle w:val="TextBody"/>
        <w:bidi w:val="0"/>
        <w:spacing w:lineRule="auto" w:line="288" w:before="0" w:after="180"/>
        <w:ind w:left="0" w:right="0" w:hanging="360"/>
        <w:jc w:val="left"/>
        <w:rPr/>
      </w:pPr>
      <w:r>
        <w:rPr>
          <w:color w:val="0066CC"/>
        </w:rPr>
        <w:t>•</w:t>
      </w:r>
      <w:r>
        <w:rPr>
          <w:rFonts w:ascii="Arial;sans-serif" w:hAnsi="Arial;sans-serif"/>
          <w:b/>
          <w:color w:val="0066CC"/>
          <w:sz w:val="20"/>
        </w:rPr>
        <w:t>Portfolio Rationalization</w:t>
      </w:r>
      <w:r>
        <w:rPr>
          <w:color w:val="0066CC"/>
        </w:rPr>
        <w:t xml:space="preserve"> </w:t>
      </w:r>
      <w:r>
        <w:rPr>
          <w:color w:val="000000"/>
        </w:rPr>
        <w:t xml:space="preserve">– </w:t>
      </w:r>
      <w:r>
        <w:rPr>
          <w:rFonts w:ascii="Arial;sans-serif" w:hAnsi="Arial;sans-serif"/>
          <w:b w:val="false"/>
          <w:color w:val="000000"/>
          <w:sz w:val="20"/>
        </w:rPr>
        <w:t>We started executing the second phase of our portfolio rationalization plans, prioritizing assets that are capital-intensive or have a negative impact on our earnings profile; and during 2025, we received the remaining cash proceeds that were tied to previously announced divestitures.</w:t>
      </w:r>
      <w:r>
        <w:rPr>
          <w:color w:val="0066CC"/>
        </w:rPr>
        <w:t xml:space="preserve"> </w:t>
      </w:r>
    </w:p>
    <w:p>
      <w:pPr>
        <w:pStyle w:val="TextBody"/>
        <w:bidi w:val="0"/>
        <w:spacing w:lineRule="auto" w:line="288" w:before="0" w:after="180"/>
        <w:ind w:left="0" w:right="0" w:hanging="360"/>
        <w:jc w:val="left"/>
        <w:rPr/>
      </w:pPr>
      <w:r>
        <w:rPr>
          <w:color w:val="0066CC"/>
        </w:rPr>
        <w:t>•</w:t>
      </w:r>
      <w:r>
        <w:rPr>
          <w:rFonts w:ascii="Arial;sans-serif" w:hAnsi="Arial;sans-serif"/>
          <w:b/>
          <w:color w:val="0066CC"/>
          <w:sz w:val="20"/>
        </w:rPr>
        <w:t>AI Experience Center</w:t>
      </w:r>
      <w:r>
        <w:rPr>
          <w:color w:val="0066CC"/>
        </w:rPr>
        <w:t xml:space="preserve"> </w:t>
      </w:r>
      <w:r>
        <w:rPr>
          <w:color w:val="000000"/>
        </w:rPr>
        <w:t xml:space="preserve">– </w:t>
      </w:r>
      <w:r>
        <w:rPr>
          <w:rFonts w:ascii="Arial;sans-serif" w:hAnsi="Arial;sans-serif"/>
          <w:b w:val="false"/>
          <w:color w:val="000000"/>
          <w:sz w:val="20"/>
        </w:rPr>
        <w:t>We launched the AI Experience Center to support client engagement and provide a structured environment for evaluating and demonstrating Conduent's AI-enabled capabilities.</w:t>
      </w:r>
      <w:r>
        <w:rPr>
          <w:color w:val="0066CC"/>
        </w:rPr>
        <w:t xml:space="preserve">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Significant 2024 Actions</w:t>
      </w:r>
    </w:p>
    <w:p>
      <w:pPr>
        <w:pStyle w:val="TextBody"/>
        <w:bidi w:val="0"/>
        <w:spacing w:lineRule="auto" w:line="288" w:before="0" w:after="180"/>
        <w:ind w:left="0" w:right="0" w:hanging="360"/>
        <w:jc w:val="left"/>
        <w:rPr/>
      </w:pPr>
      <w:r>
        <w:rPr>
          <w:color w:val="0066CC"/>
        </w:rPr>
        <w:t>•</w:t>
      </w:r>
      <w:r>
        <w:rPr>
          <w:rFonts w:ascii="Arial;sans-serif" w:hAnsi="Arial;sans-serif"/>
          <w:b/>
          <w:color w:val="0066CC"/>
          <w:sz w:val="20"/>
        </w:rPr>
        <w:t>Divestitures</w:t>
      </w:r>
      <w:r>
        <w:rPr>
          <w:color w:val="000000"/>
        </w:rPr>
        <w:t xml:space="preserve"> – </w:t>
      </w:r>
      <w:r>
        <w:rPr>
          <w:rFonts w:ascii="Arial;sans-serif" w:hAnsi="Arial;sans-serif"/>
          <w:b w:val="false"/>
          <w:color w:val="000000"/>
          <w:sz w:val="20"/>
        </w:rPr>
        <w:t xml:space="preserve">In 2024, we completed three divestitures as part of our portfolio rationalization strategy - the BenefitWallet Portfolio, the Curbside Management and Public Safety businesses and the Casualty Claims Solutions businesses. Refer to Note 4 – Divestitures in the Consolidated Financial Statements for additional information. </w:t>
      </w:r>
    </w:p>
    <w:p>
      <w:pPr>
        <w:pStyle w:val="TextBody"/>
        <w:bidi w:val="0"/>
        <w:spacing w:lineRule="auto" w:line="288" w:before="0" w:after="180"/>
        <w:ind w:left="0" w:right="0" w:hanging="360"/>
        <w:jc w:val="left"/>
        <w:rPr/>
      </w:pPr>
      <w:r>
        <w:rPr>
          <w:color w:val="0066CC"/>
        </w:rPr>
        <w:t>•</w:t>
      </w:r>
      <w:r>
        <w:rPr>
          <w:rFonts w:ascii="Arial;sans-serif" w:hAnsi="Arial;sans-serif"/>
          <w:b/>
          <w:color w:val="0066CC"/>
          <w:sz w:val="20"/>
        </w:rPr>
        <w:t>Debt Prepayment</w:t>
      </w:r>
      <w:r>
        <w:rPr>
          <w:color w:val="000000"/>
        </w:rPr>
        <w:t xml:space="preserve"> – </w:t>
      </w:r>
      <w:r>
        <w:rPr>
          <w:rFonts w:ascii="Arial;sans-serif" w:hAnsi="Arial;sans-serif"/>
          <w:b w:val="false"/>
          <w:color w:val="000000"/>
          <w:sz w:val="20"/>
        </w:rPr>
        <w:t xml:space="preserve">In 2024, we utilized a portion of the proceeds from the closing of our divestitures to voluntarily prepay all of the principal of the Term Loan B and a portion of the Term Loan A. </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Icahn Share Repurchase</w:t>
      </w:r>
      <w:r>
        <w:rPr>
          <w:color w:val="000000"/>
        </w:rPr>
        <w:t xml:space="preserve"> – </w:t>
      </w:r>
      <w:r>
        <w:rPr>
          <w:rFonts w:ascii="Arial;sans-serif" w:hAnsi="Arial;sans-serif"/>
          <w:b w:val="false"/>
          <w:color w:val="000000"/>
          <w:sz w:val="20"/>
        </w:rPr>
        <w:t>During the second quarter of 2024, we entered into a purchase agreement with Carl C. Icahn and certain of his affiliates pursuant to which we purchased their entire holdings or an aggregate of approximately 38 million shares of our common stock. We utilized a portion of the proceeds from the closing of our divestitures to fund the purchase.</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Share Repurchases</w:t>
      </w:r>
      <w:r>
        <w:rPr>
          <w:color w:val="000000"/>
        </w:rPr>
        <w:t xml:space="preserve"> – </w:t>
      </w:r>
      <w:r>
        <w:rPr>
          <w:rFonts w:ascii="Arial;sans-serif" w:hAnsi="Arial;sans-serif"/>
          <w:b w:val="false"/>
          <w:color w:val="000000"/>
          <w:sz w:val="20"/>
        </w:rPr>
        <w:t>In 2024, we completed our previously approved $75 million share repurchase program.</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Cyber Event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January 13, 2025, the Company experienced an operational disruption and learned that a threat actor gained unauthorized access to a limited portion of the Company’s environment (the "January 2025 Cyber Event").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6280"/>
                <wp:effectExtent l="0" t="0" r="0" b="0"/>
                <wp:wrapNone/>
                <wp:docPr id="35" name="Frame3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detection, the Company activated its cybersecurity response plan with the help of external cybersecurity experts to contain, assess, and remediate the incident. The Company restored the affected systems and returned to normal operations within days, and in some cases, hours. The disruption did not have a material impact to the Company’s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part of its ongoing investigation, the Company determined that the threat actor exfiltrated a set of files associated with a subset of the Company’s clients. Due to the complexity of the files, the Company engaged cybersecurity data mining experts to conduct a detailed analysis of the affected files to identify the personal information contained therein. This detailed analysis confirmed that the data sets contained a significant number of individuals’ personal information associated with our clients’ end-users. Upon completion of this time intensive data analysis, the Company notified impacted clients concerning their affected end-users. The Company is working with affected clients to determine next steps as required by federal and state law, including individual and regulatory notifications that began in October 2025 and are anticipated to be concluded by early 2026. The Company monitors the dark web regularly and has no evidence of any personal information associated with this event being released on the dark web. The Company has also notified federal law enforcement authorities of the incident.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While the Company did not experience material impacts to its operating environment or costs from the event itself, the Company recorded a $25 million non-recurring charge in the first quarter of 2025 related to the event based on the notification requirements described above. We have made cash disbursements of $17 million through December 31, 2025 and expect to make an additional $8 million of cash disbursements during the first half of 2026 related to these notification requirements. Any notification expense in excess of these amounts up to the coverage limit are anticipated to be covered by the cyber insurance policy that the Company maintains. The Company may experience costs beyond notification, but is not able to determine or predict whether the ultimate costs beyond notifications could exceed any applicable coverage limit. See also Note 15 – Contingencies and Litigation to our Consolidated Financial Statements of Part II, Item 8 to this 10-K.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It is possible that future risks and uncertainties resulting from the January 2025 Cyber Event, including those related to impacted data, litigation, reputational harm, and regulatory actions, could adversely affect the Company’s financial condition or results of operations. See also Part I, Item 1A (Risk Factors).</w:t>
      </w:r>
    </w:p>
    <w:p>
      <w:pPr>
        <w:pStyle w:val="TextBody"/>
        <w:bidi w:val="0"/>
        <w:spacing w:lineRule="auto" w:line="276" w:before="0" w:after="180"/>
        <w:jc w:val="left"/>
        <w:rPr>
          <w:rFonts w:ascii="Arial;sans-serif" w:hAnsi="Arial;sans-serif"/>
          <w:b/>
          <w:color w:val="1269BC"/>
          <w:sz w:val="20"/>
        </w:rPr>
      </w:pPr>
      <w:r>
        <w:rPr>
          <w:rFonts w:ascii="Arial;sans-serif" w:hAnsi="Arial;sans-serif"/>
          <w:b/>
          <w:color w:val="1269BC"/>
          <w:sz w:val="20"/>
        </w:rPr>
        <w:t>Macroeconomic and Geopolitical Uncertainty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Given the nature of our business and our global operations, the effects of global macroeconomic and geopolitical uncertainty could have a materially adverse effect on our business,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16280"/>
                <wp:effectExtent l="0" t="0" r="0" b="0"/>
                <wp:wrapNone/>
                <wp:docPr id="36" name="Frame3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color w:val="0066CC"/>
          <w:sz w:val="20"/>
          <w:u w:val="single"/>
        </w:rPr>
      </w:pPr>
      <w:r>
        <w:rPr>
          <w:rFonts w:ascii="Arial;sans-serif" w:hAnsi="Arial;sans-serif"/>
          <w:b/>
          <w:color w:val="0066CC"/>
          <w:sz w:val="20"/>
          <w:u w:val="single"/>
        </w:rPr>
        <w:t>Financial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section below provides a comparative discussion of our consolidated results of operations for the year ended December 31, 2025 and 2024. See Item 7. MD&amp;A – Financial Information in our Annual Report on Form 10-K for the year ended December 31, 2024, for a comparative discussion of our consolidated results of operations between 2024 and 2023.</w:t>
      </w:r>
    </w:p>
    <w:tbl>
      <w:tblPr>
        <w:tblW w:w="10205" w:type="dxa"/>
        <w:jc w:val="left"/>
        <w:tblInd w:w="0" w:type="dxa"/>
        <w:tblLayout w:type="fixed"/>
        <w:tblCellMar>
          <w:top w:w="28" w:type="dxa"/>
          <w:left w:w="28" w:type="dxa"/>
          <w:bottom w:w="28" w:type="dxa"/>
          <w:right w:w="28" w:type="dxa"/>
        </w:tblCellMar>
      </w:tblPr>
      <w:tblGrid>
        <w:gridCol w:w="1929"/>
        <w:gridCol w:w="1673"/>
        <w:gridCol w:w="1718"/>
        <w:gridCol w:w="109"/>
        <w:gridCol w:w="109"/>
        <w:gridCol w:w="109"/>
        <w:gridCol w:w="196"/>
        <w:gridCol w:w="556"/>
        <w:gridCol w:w="109"/>
        <w:gridCol w:w="109"/>
        <w:gridCol w:w="109"/>
        <w:gridCol w:w="109"/>
        <w:gridCol w:w="196"/>
        <w:gridCol w:w="556"/>
        <w:gridCol w:w="109"/>
        <w:gridCol w:w="109"/>
        <w:gridCol w:w="109"/>
        <w:gridCol w:w="109"/>
        <w:gridCol w:w="214"/>
        <w:gridCol w:w="494"/>
        <w:gridCol w:w="120"/>
        <w:gridCol w:w="109"/>
        <w:gridCol w:w="109"/>
        <w:gridCol w:w="109"/>
        <w:gridCol w:w="246"/>
        <w:gridCol w:w="246"/>
        <w:gridCol w:w="535"/>
      </w:tblGrid>
      <w:tr>
        <w:trPr/>
        <w:tc>
          <w:tcPr>
            <w:tcW w:w="192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vs. 2024</w:t>
            </w:r>
          </w:p>
        </w:tc>
      </w:tr>
      <w:tr>
        <w:trPr/>
        <w:tc>
          <w:tcPr>
            <w:tcW w:w="5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u w:val="single"/>
              </w:rPr>
            </w:pPr>
            <w:r>
              <w:rPr>
                <w:rFonts w:ascii="Arial;sans-serif" w:hAnsi="Arial;sans-serif"/>
                <w:b w:val="false"/>
                <w:color w:val="000000"/>
                <w:sz w:val="12"/>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 xml:space="preserve">Revenue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Revenue for 2025 decreased 9%, compared to the prior year, approximately 57% of which was due to the impact of the BenefitWallet Transfer and the sales of the Curbside Management and Public Safety Solutions and Casualty Claims Solutions businesses. In addition to the divestitures impact, lost business and lower volumes contributed to the decrease and were partially offset by new business ramp, higher equipment sales and positive impacts from a contract amendment with a customer in the Transportation segment. </w:t>
      </w:r>
    </w:p>
    <w:p>
      <w:pPr>
        <w:pStyle w:val="TextBody"/>
        <w:bidi w:val="0"/>
        <w:spacing w:lineRule="auto" w:line="268" w:before="0" w:after="180"/>
        <w:jc w:val="left"/>
        <w:rPr>
          <w:rFonts w:ascii="Arial;sans-serif" w:hAnsi="Arial;sans-serif"/>
          <w:b/>
          <w:color w:val="0066CC"/>
          <w:sz w:val="20"/>
        </w:rPr>
      </w:pPr>
      <w:r>
        <w:rPr>
          <w:rFonts w:ascii="Arial;sans-serif" w:hAnsi="Arial;sans-serif"/>
          <w:b/>
          <w:color w:val="0066CC"/>
          <w:sz w:val="20"/>
        </w:rPr>
        <w:t>Cost of Services (excluding 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Cost of services for 2025 decreased 9%, compared to the prior year, primarily due to the impact of the BenefitWallet Transfer and the sales of the Curbside Management and Public Safety Solutions and Casualty Claims Solutions businesses. In addition to the divestitures impact, lower expenses on lower revenues and continued cost optimization initiatives across segments contributed to the decline.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Selling, General and Administrative ("SG&amp;A") (excluding 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SG&amp;A for 2025 decreased 9%, compared to the prior year, primarily driven by a $9 million benefit from the recovery of legal costs from one of our insurance carriers related to the previously disclosed State of Texas matter that settled in February 2019 as well as cost efficiencies in our corporate functions. These were partially offset by $25 million of direct response costs related to the January 2025 Cyber Event.</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Depreciation and Amortization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Depreciation and amortization for 2025 decreased 5% compared to the prior year, primarily due to the sale of the Curbside Management and Public Safety Solutions and Casualty Claims Solutions businesses. This decrease was partially offset by increased amortization of deferred contract costs related to new projects that went live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6280"/>
                <wp:effectExtent l="0" t="0" r="0" b="0"/>
                <wp:wrapNone/>
                <wp:docPr id="37" name="Frame3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Restructuring and Related Costs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W w:w="5528" w:type="dxa"/>
        <w:jc w:val="left"/>
        <w:tblInd w:w="0" w:type="dxa"/>
        <w:tblLayout w:type="fixed"/>
        <w:tblCellMar>
          <w:top w:w="28" w:type="dxa"/>
          <w:left w:w="28" w:type="dxa"/>
          <w:bottom w:w="28" w:type="dxa"/>
          <w:right w:w="28" w:type="dxa"/>
        </w:tblCellMar>
      </w:tblPr>
      <w:tblGrid>
        <w:gridCol w:w="1128"/>
        <w:gridCol w:w="994"/>
        <w:gridCol w:w="998"/>
        <w:gridCol w:w="109"/>
        <w:gridCol w:w="109"/>
        <w:gridCol w:w="109"/>
        <w:gridCol w:w="248"/>
        <w:gridCol w:w="419"/>
        <w:gridCol w:w="138"/>
        <w:gridCol w:w="138"/>
        <w:gridCol w:w="138"/>
        <w:gridCol w:w="138"/>
        <w:gridCol w:w="248"/>
        <w:gridCol w:w="419"/>
        <w:gridCol w:w="195"/>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headcount in whole 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Termination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Reduction in headcount</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76"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(1)Relates to approximate headcount reductions worldwide associated with Severance and related costs.</w:t>
      </w:r>
    </w:p>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Refer to Note 8 – Restructuring Programs and Related Costs to the Consolidated Financial Statements for additional information regarding our restructuring programs.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Interest Expense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Interest expense represents interest on long-term debt and the amortization of debt issuance costs. The decrease in Interest expense for 2025, compared to the prior year, was primarily due to the 2024 voluntary prepayments of the entire Term Loan B balance outstanding and a portion of the Term Loan A balance with proceeds from divestitures. The remaining Term Loan A balance was repaid at the execution of Amendment No. 3 to the Credit Facility. Refer to Note 10 – Debt to the Consolidated Financial Statements for additional information.</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Goodwill Impairment</w:t>
      </w:r>
    </w:p>
    <w:p>
      <w:pPr>
        <w:pStyle w:val="TextBody"/>
        <w:bidi w:val="0"/>
        <w:spacing w:lineRule="auto" w:line="288" w:before="0" w:after="180"/>
        <w:jc w:val="left"/>
        <w:rPr/>
      </w:pPr>
      <w:r>
        <w:rPr>
          <w:rFonts w:ascii="Arial;sans-serif" w:hAnsi="Arial;sans-serif"/>
          <w:b w:val="false"/>
          <w:color w:val="000000"/>
          <w:sz w:val="20"/>
        </w:rPr>
        <w:t>The goodwill impairment for 2024 is related to the write-down of the Transportation reporting unit's goodwill arising from the annual goodwill impairment test. Refer to Note 7 – Goodwill</w:t>
      </w:r>
      <w:r>
        <w:rPr>
          <w:color w:val="000000"/>
        </w:rPr>
        <w:t xml:space="preserve"> </w:t>
      </w:r>
      <w:r>
        <w:rPr>
          <w:rFonts w:ascii="Arial;sans-serif" w:hAnsi="Arial;sans-serif"/>
          <w:b w:val="false"/>
          <w:color w:val="000000"/>
          <w:sz w:val="20"/>
        </w:rPr>
        <w:t>to the Consolidated Financial Statements for additional information on this impairment.</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(Gain) Loss on Divestitures and Transaction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2024 divestitures resulted in gains of $721 million. Additionally, we recorded a $3 million gain adjustment related to a prior year divestiture following the partial settlement of the Skyview matter. (Gain) loss on divestitures and transaction costs, net also includes professional fees and other costs associated with both consummated and non-consummated transactions totaling $9 million and $28 million in 2025 and 2024, respectively. Refer to Note 4 – Divestitures and Note 15 – Contingencies and Litigation to the Consolidated Financial Statements for additional information on these matters.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Litigation Settlements (Recoveries), Net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Litigation settlements (recoveries), net for 2025 and 2024 were not material. Refer to Note 15 – Contingencies and Litigation to the Consolidated Financial Statements for additional information on these matters.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Other (Income) Expenses, Net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Other (income) expenses, net for 2025 and 2024 primarily include interest income on cash investments, accounts receivable factoring fees and foreign currency transaction losses (gains). In 2025, interest income on invested cash was lower due to lower available cash and foreign currency transaction losses were higher due to unfavorable movements in foreign exchange rates, primarily the weakening of the U.S. dollar against certain foreign currencies during the year. In 2024, Other (income) expenses, net also included interest income of $8 million related to the partial settlement of the Skyview matter. Refer to Note 15 – Contingencies and Litigation in the Consolidated Financial Statements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16280"/>
                <wp:effectExtent l="0" t="0" r="0" b="0"/>
                <wp:wrapNone/>
                <wp:docPr id="38" name="Frame3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Income Taxes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2025 effective tax rate was (6.1)%, compared to 15.5% for 2024. The 2025 rate was lower than the U.S. statutory rate of 21% primarily due to valuation allowances, geographic mix of income and discrete taxes. The 2024 rate was lower than the U.S. statutory rate of 21%, primarily due to favorable permanent differences from an internal reorganization and outside basis on a stock sale partially offset by non-deductible Transportation reporting unit goodwill impairment, tax reserves and geographic mix of income.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Excluding the impact of amortization, restructuring, divestitures, transaction costs, reserves for the Direct response costs - cyber event, valuation allowances and discrete tax items, the normalized effective tax rate for 2025 was 25.4%. The normalized effective tax rate for 2024 was 21.2% excluding the impact of the internal reorganization, divestitures, goodwill impairment, amortization of intangible assets, restructuring costs and certain discrete tax items. The 2025 rate is higher than the 2024 rate due to increased estimated tax credits and geographic mix of income.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July 4, 2025, the One Big Beautiful Bill Act ("OBBBA") was signed into law in the U.S. The legislation contains certain provisions related to the full expensing of U.S. research and development costs and other depreciable property. The legislation also includes changes to the determination of the amount of U.S. interest expense that is deductible for U.S. tax purposes. The acceleration of deductions as a result of anticipated elections the Company will make for the current year following the OBBBA has increased current year net operating loss ("NOL"). The NOL has created a deferred tax asset that required a valuation allowance for U.S. GAAP purposes in 2025. The NOL can be carried forward indefinitely.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2021, the Organization for Economic Cooperation and Development released model rules for a 15% global minimum tax, known as Pillar Two. This alternative minimum tax is treated as a period cost beginning in 2024 and does not have a material impact on the Company's financial results of operations for the current period. The Company continues to monitor legislative developments, as well as additional guidance from countries that have enacted legislation.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Arial;sans-serif" w:hAnsi="Arial;sans-serif"/>
          <w:b/>
          <w:color w:val="0066CC"/>
          <w:sz w:val="20"/>
        </w:rPr>
        <w:t>Operations Review of Segments</w:t>
      </w:r>
      <w:r>
        <w:rPr>
          <w:color w:val="0066CC"/>
        </w:rPr>
        <w:t xml:space="preserve">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financial performance is based on Segment Profit (Loss) for the following three segments: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Commercial,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Government, and</w:t>
      </w:r>
      <w:r>
        <w:rPr>
          <w:color w:val="000000"/>
        </w:rPr>
        <w:t xml:space="preserv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Transportation.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Divestitures include our BenefitWallet Portfolio and our Casualty Claims Solutions businesses (both of which were reclassified from our Commercial segment in 2024) and our Curbside Management and Public Safety Solutions businesses (which was reclassified from our Transportation segment in 2024).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Unallocated Costs includes IT infrastructure costs that are shared by multiple reportable segments, enterprise application costs and certain corporate overhead expenses not directly attributable or allocated to our reportable segments.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section below provides a comparative discussion of our financial performance by segment between the years ended December 31, 2025 and 2024. See Item 7. MD&amp;A - Operations Review of Segments in our Annual Report on Form 10-K for the year ended December 31, 2024 for a comparative discussion of our financial performance by segment between the years ended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6280"/>
                <wp:effectExtent l="0" t="0" r="0" b="0"/>
                <wp:wrapNone/>
                <wp:docPr id="39" name="Frame3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66CC"/>
          <w:sz w:val="20"/>
        </w:rPr>
      </w:pPr>
      <w:r>
        <w:rPr>
          <w:rFonts w:ascii="Arial;sans-serif" w:hAnsi="Arial;sans-serif"/>
          <w:b/>
          <w:color w:val="0066CC"/>
          <w:sz w:val="20"/>
        </w:rPr>
        <w:t>Segment Performance Review</w:t>
      </w:r>
    </w:p>
    <w:tbl>
      <w:tblPr>
        <w:tblW w:w="10205" w:type="dxa"/>
        <w:jc w:val="left"/>
        <w:tblInd w:w="0" w:type="dxa"/>
        <w:tblLayout w:type="fixed"/>
        <w:tblCellMar>
          <w:top w:w="28" w:type="dxa"/>
          <w:left w:w="28" w:type="dxa"/>
          <w:bottom w:w="28" w:type="dxa"/>
          <w:right w:w="28" w:type="dxa"/>
        </w:tblCellMar>
      </w:tblPr>
      <w:tblGrid>
        <w:gridCol w:w="650"/>
        <w:gridCol w:w="196"/>
        <w:gridCol w:w="198"/>
        <w:gridCol w:w="109"/>
        <w:gridCol w:w="109"/>
        <w:gridCol w:w="109"/>
        <w:gridCol w:w="196"/>
        <w:gridCol w:w="556"/>
        <w:gridCol w:w="256"/>
        <w:gridCol w:w="109"/>
        <w:gridCol w:w="109"/>
        <w:gridCol w:w="109"/>
        <w:gridCol w:w="229"/>
        <w:gridCol w:w="492"/>
        <w:gridCol w:w="300"/>
        <w:gridCol w:w="109"/>
        <w:gridCol w:w="109"/>
        <w:gridCol w:w="109"/>
        <w:gridCol w:w="262"/>
        <w:gridCol w:w="564"/>
        <w:gridCol w:w="345"/>
        <w:gridCol w:w="109"/>
        <w:gridCol w:w="109"/>
        <w:gridCol w:w="109"/>
        <w:gridCol w:w="219"/>
        <w:gridCol w:w="470"/>
        <w:gridCol w:w="287"/>
        <w:gridCol w:w="109"/>
        <w:gridCol w:w="970"/>
        <w:gridCol w:w="109"/>
        <w:gridCol w:w="109"/>
        <w:gridCol w:w="109"/>
        <w:gridCol w:w="196"/>
        <w:gridCol w:w="437"/>
        <w:gridCol w:w="256"/>
        <w:gridCol w:w="109"/>
        <w:gridCol w:w="109"/>
        <w:gridCol w:w="109"/>
        <w:gridCol w:w="196"/>
        <w:gridCol w:w="556"/>
        <w:gridCol w:w="303"/>
      </w:tblGrid>
      <w:tr>
        <w:trPr/>
        <w:tc>
          <w:tcPr>
            <w:tcW w:w="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Transportation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Divestitures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Unallocated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382" w:type="dxa"/>
            <w:gridSpan w:val="6"/>
            <w:tcBorders/>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6"/>
            <w:tcBorders/>
          </w:tcPr>
          <w:p>
            <w:pPr>
              <w:pStyle w:val="TableContents"/>
              <w:bidi w:val="0"/>
              <w:spacing w:before="0" w:after="283"/>
              <w:jc w:val="left"/>
              <w:rPr>
                <w:sz w:val="4"/>
                <w:szCs w:val="4"/>
              </w:rPr>
            </w:pPr>
            <w:r>
              <w:rPr>
                <w:sz w:val="4"/>
                <w:szCs w:val="4"/>
              </w:rPr>
            </w:r>
          </w:p>
        </w:tc>
      </w:tr>
      <w:tr>
        <w:trPr/>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 Margin</w:t>
            </w:r>
            <w:r>
              <w:rPr>
                <w:rFonts w:ascii="Arial;sans-serif" w:hAnsi="Arial;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 Margin</w:t>
            </w:r>
            <w:r>
              <w:rPr>
                <w:rFonts w:ascii="Arial;sans-serif" w:hAnsi="Arial;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Refer to "Non-GAAP Financial Measures" section for an explanation of the non-GAAP financial measure. </w:t>
      </w:r>
    </w:p>
    <w:p>
      <w:pPr>
        <w:pStyle w:val="TextBody"/>
        <w:bidi w:val="0"/>
        <w:spacing w:lineRule="auto" w:line="276"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Adjusted EBITDA Margin is calculated as Adjusted EBITDA divided by Total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4"/>
        <w:gridCol w:w="2403"/>
        <w:gridCol w:w="2424"/>
        <w:gridCol w:w="109"/>
        <w:gridCol w:w="109"/>
        <w:gridCol w:w="109"/>
        <w:gridCol w:w="214"/>
        <w:gridCol w:w="540"/>
        <w:gridCol w:w="118"/>
        <w:gridCol w:w="118"/>
        <w:gridCol w:w="118"/>
        <w:gridCol w:w="118"/>
        <w:gridCol w:w="214"/>
        <w:gridCol w:w="460"/>
        <w:gridCol w:w="118"/>
        <w:gridCol w:w="109"/>
        <w:gridCol w:w="160"/>
      </w:tblGrid>
      <w:tr>
        <w:trPr/>
        <w:tc>
          <w:tcPr>
            <w:tcW w:w="2764"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c>
          <w:tcPr>
            <w:tcW w:w="269" w:type="dxa"/>
            <w:gridSpan w:val="2"/>
            <w:tcBorders/>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and Segment Profit (Loss) Reconciliation to 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adjustments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Pre-Tax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2024 amount represents a termination for convenience fee related to the termination of Convergint as a subcontractor for our State of Victoria contract and is reported in Cost of Services on the Consolidated Statements of Income.</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Commercial Segment</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 xml:space="preserve">Revenue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Commercial segment revenue for 2025 decreased by 6%, compared to the prior year, driven by contract losses and lower volumes, partially offset by new business ramps and multi-year licensing agreements with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6280"/>
                <wp:effectExtent l="0" t="0" r="0" b="0"/>
                <wp:wrapNone/>
                <wp:docPr id="40" name="Frame3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 xml:space="preserve">Segment Profit and Adjusted EBITDA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Commercial segment profit and Adjusted EBITDA for 2025 decreased compared to the prior year primarily due to the revenue drivers noted above and higher fixed technology overhead, partially offset by cost efficiencies and the impact of lower depreciation due to the prior year write-off of internal use software and fully amortized assets.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Government Segment </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 xml:space="preserve">Revenue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segment revenue for 2025 decreased, compared to the prior year, primarily due to contract losses, lower volumes and the impacts from a U.S. federal government shutdown during the fourth quarter of 2025, as well as the completion or extension of several implementations. These declines were partially offset by ramp of new business.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 xml:space="preserve">Segment Profit and Adjusted EBITDA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segment profit, Adjusted EBITDA and Adjusted EBITDA margin for 2025 increased compared to the prior year. Government segment Adjusted EBITDA margin increased by 270 basis points compared to the prior year, primarily due to cost efficiencies and lower expenses resulting from AI-enabled fraud prevention activities in our Government Services business.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Transportation Segment </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 xml:space="preserve">Revenue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Transportation revenue for 2025 increased compared to the prior year, primarily driven by a contract amendment with a Transit Solutions customer, increased volumes and favorable exchange rate movements. These increases were partially offset by the non-retained portion of a Road Usage Charging contract, and lower activity across certain smaller projects.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Segment Profit and Adjusted EBITDA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Transportation segment profit and Adjusted EBITDA for 2025 increased compared to the prior year due to the revenue drivers mentioned above and the absence of costs to transition the non-retained portion of a Road Usage Charging contract.</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Divestitures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Revenue, Segment Profit (Loss) and Adjusted EBITDA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decrease in revenue, segment profit and Adjusted EBITDA for 2025 as compared to the prior year was due to the transfer of the BenefitWallet Portfolio and the sales of the Curbside Management and Public Safety Solutions businesses and Casualty Claims Solutions businesses in 2024.</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Unallocated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Unallocated Costs for 2025 decreased compared to the prior year primarily due to a $9 million recovery of legal costs from one of our insurance carriers related to the previously disclosed State of Texas matter that settled in February 2019, as well as cost efficiencies in our corporate functions. These factors were partially offset by $25 million of direct response costs related to the January 2025 Cyber Event and increase in medical expenses resulting from higher claims costs.</w:t>
      </w:r>
    </w:p>
    <w:p>
      <w:pPr>
        <w:pStyle w:val="TextBody"/>
        <w:bidi w:val="0"/>
        <w:spacing w:lineRule="auto" w:line="288" w:before="0" w:after="180"/>
        <w:jc w:val="left"/>
        <w:rPr>
          <w:rFonts w:ascii="Arial;sans-serif" w:hAnsi="Arial;sans-serif"/>
          <w:b/>
          <w:color w:val="0066CC"/>
          <w:sz w:val="20"/>
          <w:u w:val="single"/>
        </w:rPr>
      </w:pPr>
      <w:r>
        <w:rPr>
          <w:rFonts w:ascii="Arial;sans-serif" w:hAnsi="Arial;sans-serif"/>
          <w:b/>
          <w:color w:val="0066CC"/>
          <w:sz w:val="20"/>
          <w:u w:val="single"/>
        </w:rPr>
        <w:t>Metrics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 The metrics for all periods presented below have been recast to remove the activity related to the BenefitWallet Portfolio, the Casualty Claims Solutions business and the Curbside Management and Public Safety Solutions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6280"/>
                <wp:effectExtent l="0" t="0" r="0" b="0"/>
                <wp:wrapNone/>
                <wp:docPr id="41" name="Frame4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Signings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 </w:t>
      </w:r>
    </w:p>
    <w:p>
      <w:pPr>
        <w:pStyle w:val="TextBody"/>
        <w:bidi w:val="0"/>
        <w:spacing w:lineRule="auto" w:line="237" w:before="0" w:after="180"/>
        <w:jc w:val="left"/>
        <w:rPr>
          <w:rFonts w:ascii="Arial;sans-serif" w:hAnsi="Arial;sans-serif"/>
          <w:b w:val="false"/>
          <w:color w:val="000000"/>
          <w:sz w:val="20"/>
        </w:rPr>
      </w:pPr>
      <w:r>
        <w:rPr>
          <w:rFonts w:ascii="Arial;sans-serif" w:hAnsi="Arial;sans-serif"/>
          <w:b w:val="false"/>
          <w:color w:val="000000"/>
          <w:sz w:val="20"/>
        </w:rPr>
        <w:t>Signing information for the years ended December 31, 2025 and 2024 is as follows:</w:t>
      </w:r>
    </w:p>
    <w:tbl>
      <w:tblPr>
        <w:tblW w:w="10045" w:type="dxa"/>
        <w:jc w:val="left"/>
        <w:tblInd w:w="0" w:type="dxa"/>
        <w:tblLayout w:type="fixed"/>
        <w:tblCellMar>
          <w:top w:w="28" w:type="dxa"/>
          <w:left w:w="28" w:type="dxa"/>
          <w:bottom w:w="28" w:type="dxa"/>
          <w:right w:w="28" w:type="dxa"/>
        </w:tblCellMar>
      </w:tblPr>
      <w:tblGrid>
        <w:gridCol w:w="1751"/>
        <w:gridCol w:w="1531"/>
        <w:gridCol w:w="1548"/>
        <w:gridCol w:w="109"/>
        <w:gridCol w:w="109"/>
        <w:gridCol w:w="109"/>
        <w:gridCol w:w="218"/>
        <w:gridCol w:w="638"/>
        <w:gridCol w:w="113"/>
        <w:gridCol w:w="113"/>
        <w:gridCol w:w="113"/>
        <w:gridCol w:w="113"/>
        <w:gridCol w:w="218"/>
        <w:gridCol w:w="638"/>
        <w:gridCol w:w="113"/>
        <w:gridCol w:w="109"/>
        <w:gridCol w:w="109"/>
        <w:gridCol w:w="109"/>
        <w:gridCol w:w="241"/>
        <w:gridCol w:w="550"/>
        <w:gridCol w:w="125"/>
        <w:gridCol w:w="109"/>
        <w:gridCol w:w="109"/>
        <w:gridCol w:w="109"/>
        <w:gridCol w:w="218"/>
        <w:gridCol w:w="218"/>
        <w:gridCol w:w="605"/>
      </w:tblGrid>
      <w:tr>
        <w:trPr/>
        <w:tc>
          <w:tcPr>
            <w:tcW w:w="175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 vs. 2024</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business ACV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business TCV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Renewals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Signings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New business annual recurring revenue (ARR) signings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New business non-recurring revenue (NRR) signings</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(1)Recurring revenue signings are for new business contracts longer than one year.</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(2)Non-recurring revenue signings are for contacts shorter than one year.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total new business pipeline at the end of December 31, 2025 and 2024 was $3.2 billion and $3.1 billion, respectively. Total new business pipeline is defined as total new business ACV pipeline of deals at or beyond the qualified prospect stage. Beginning in the first quarter of 2025, we transitioned our measure of sales pipeline from TCV to ACV to align with our primary sales metric and have recast all prior period comparatives to reflect this change. This extends past the next twelve-month period to include total pipeline, excluding the impact of divested business as required. New business pipeline levels were stable year over year and were not a primary driver of period-over-period revenue or Net ARR performance.</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Net ARR Activity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ARR Activity is a metric that is defined as Projected Annual Recurring Revenue ("ARR")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non-recurring revenue signings. This metric is not indicative of any specific 12-month timeframe. Net ARR results during the year, including in the second, third and fourth quarters, were primarily influenced by the cadence of renewals and client losses, rather than new-business performance.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Net ARR Activity metric for the trailing twelve months for each of the prior five quarters was as follows:</w:t>
      </w:r>
    </w:p>
    <w:tbl>
      <w:tblPr>
        <w:tblW w:w="3760" w:type="dxa"/>
        <w:jc w:val="left"/>
        <w:tblInd w:w="0" w:type="dxa"/>
        <w:tblLayout w:type="fixed"/>
        <w:tblCellMar>
          <w:top w:w="28" w:type="dxa"/>
          <w:left w:w="28" w:type="dxa"/>
          <w:bottom w:w="28" w:type="dxa"/>
          <w:right w:w="28" w:type="dxa"/>
        </w:tblCellMar>
      </w:tblPr>
      <w:tblGrid>
        <w:gridCol w:w="576"/>
        <w:gridCol w:w="504"/>
        <w:gridCol w:w="509"/>
        <w:gridCol w:w="109"/>
        <w:gridCol w:w="109"/>
        <w:gridCol w:w="109"/>
        <w:gridCol w:w="543"/>
        <w:gridCol w:w="875"/>
        <w:gridCol w:w="426"/>
      </w:tblGrid>
      <w:tr>
        <w:trPr/>
        <w:tc>
          <w:tcPr>
            <w:tcW w:w="57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ARR activity metric</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16280"/>
                <wp:effectExtent l="0" t="0" r="0" b="0"/>
                <wp:wrapNone/>
                <wp:docPr id="42" name="Frame4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0"/>
          <w:u w:val="single"/>
        </w:rPr>
      </w:pPr>
      <w:r>
        <w:rPr>
          <w:rFonts w:ascii="Arial;sans-serif" w:hAnsi="Arial;sans-serif"/>
          <w:b/>
          <w:color w:val="0066CC"/>
          <w:sz w:val="20"/>
          <w:u w:val="single"/>
        </w:rPr>
        <w:t>Capital Resources and Liquidity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of December 31, 2025 and 2024, total cash and cash equivalents were $233 million (of which approximately $115 million was cash in foreign locations) and $366 million (of which approximately $140 million was cash in foreign locations), respectively. We also have a $357 million Revolving Credit Facility (reducing to $187 million in October 2026) for our various cash needs, of which $109 million has been utilized for borrowings and $25 million has been utilized for letters of credit as of December 31, 2025. The amount of borrowings outstanding under the Revolving Credit Facility at each quarter-end may be limited by our leverage covenant. In January 2026, the Company borrowed an additional $25 million under the Revolving Credit Facility for working capital purposes.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December 31, 2025, there was a total of $520 million of outstanding borrowings under our Senior Notes, none of which was due within one year. Additionally, as of December 31, 2025, we had $22 million of finance lease and other debt due within one year. We have the ability and intent to refinance the amount outstanding under our Revolving Credit Facility on a long-term basis; therefore all amounts outstanding as of December 31, 2025 are classified as long-term on our Consolidated Balance Sheets. Refer to Note 10 – Debt to the Consolidated Financial Statements for additional information regarding our debt.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provide financial flexibility and finance certain investments and projects, we may continue to utilize external financing arrangements. However, we believe that our cash on hand, projected cash flow from operations, sound balance sheet and our Revolving Credit Facility will continue to provide sufficient financial resources to meet our expected business obligations for at least the next twelve months.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Cash Flow Analysis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summarizes our cash flows for the two years ended December 31, 2025, as reported in our Consolidated Statements of Cash Flows in the accompanying Consolidated Financial Statements:</w:t>
      </w:r>
    </w:p>
    <w:tbl>
      <w:tblPr>
        <w:tblW w:w="7312" w:type="dxa"/>
        <w:jc w:val="left"/>
        <w:tblInd w:w="0" w:type="dxa"/>
        <w:tblLayout w:type="fixed"/>
        <w:tblCellMar>
          <w:top w:w="28" w:type="dxa"/>
          <w:left w:w="28" w:type="dxa"/>
          <w:bottom w:w="28" w:type="dxa"/>
          <w:right w:w="28" w:type="dxa"/>
        </w:tblCellMar>
      </w:tblPr>
      <w:tblGrid>
        <w:gridCol w:w="1364"/>
        <w:gridCol w:w="1194"/>
        <w:gridCol w:w="1206"/>
        <w:gridCol w:w="228"/>
        <w:gridCol w:w="473"/>
        <w:gridCol w:w="127"/>
        <w:gridCol w:w="127"/>
        <w:gridCol w:w="127"/>
        <w:gridCol w:w="127"/>
        <w:gridCol w:w="228"/>
        <w:gridCol w:w="473"/>
        <w:gridCol w:w="127"/>
        <w:gridCol w:w="109"/>
        <w:gridCol w:w="109"/>
        <w:gridCol w:w="109"/>
        <w:gridCol w:w="307"/>
        <w:gridCol w:w="636"/>
        <w:gridCol w:w="241"/>
      </w:tblGrid>
      <w:tr>
        <w:trPr/>
        <w:tc>
          <w:tcPr>
            <w:tcW w:w="136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vs. 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Operating Activities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net increase in cash flow used in operating activities of $23 million was primarily related to unfavorable working capital changes and cash outflows related to the January 2025 Cyber Event, partially offset by lower cash tax outflows and lower net interest payments.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Investing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decrease in cash provided by investing activities of $823 million was primarily due to the proceeds from our divestitures of $830 million and proceeds from the settlement of the Skyview matter related to notes receivable of $21 million in 2024. In addition, there was a planned increase in capital spending in the current year of $25 million. The 2025 period includes $50 million of cash received related to the non-interest-bearing note from the Curbside Disposal Group divestiture.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Financing Activities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decrease in cash used in financing activities was mainly driven by the $642 million early repayment of Term Loan B and Term Loan A in 2024 utilizing funds received from our divestitures. In addition, in 2024 $132 million was utilized to purchase all the common shares owned by the Icahn Parties. The 2025 period includes a $25 million drawdown on our revolving line of credit for working capital purposes.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Sales of Accounts Receivable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net impact from the sales of accounts receivable on net cash provided by (used in) operating activities for the years ended December 31, 2025, 2024 and 2023 was $(18) million, $7 million and $(4) million, respectively. The net impact from the sales of accounts receivable represents the difference between current and prior year fourth quarter accounts receivable sales adjusted for the effects of collections prior to the end of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16280"/>
                <wp:effectExtent l="0" t="0" r="0" b="0"/>
                <wp:wrapNone/>
                <wp:docPr id="43" name="Frame4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Financial Instruments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11 – Financial Instruments to the Consolidated Financial Statements for additional information.</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Material Cash Requirements from Contractual Obligations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our balances of cash and cash equivalents, which totaled $233 million as of December 31, 2025, along with cash generated by operations and amounts available for borrowing under our Revolving Credit Facility, will be sufficient to satisfy our cash requirements over the next 12 months and beyond.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December 31, 2025, our material cash requirements include the following contractual and other obligations.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December 31, 2025, we had total outstanding debt, including finance leases, with floating and fixed rates totaling $691 million, of which $22 million was due within 12 months. Future interest payments associated with this debt, which has maturities through 2029, are forecast to be $162 million, of which $44 million is due within 12 months. Refer to Note 10 – Debt to the Consolidated Financial Statements for additional information.</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the ordinary course of business, we enter operating lease arrangements for certain equipment and facilities. As of December 31, 2025, total fixed lease payables were $182 million, of which $61 million was due within 12 months. Refer to Note 6 – Leases to the Consolidated Financial Statements for additional information.</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Estimated Purchase Commitments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committed to purchasing certain materials and services to support our operations. The total of these commitments was $603 million as of December 31, 2025, of which $202 million is due within the next 12 months.</w:t>
      </w:r>
    </w:p>
    <w:p>
      <w:pPr>
        <w:pStyle w:val="TextBody"/>
        <w:bidi w:val="0"/>
        <w:spacing w:lineRule="auto" w:line="288" w:before="0" w:after="180"/>
        <w:jc w:val="left"/>
        <w:rPr/>
      </w:pPr>
      <w:r>
        <w:rPr>
          <w:rFonts w:ascii="Arial;sans-serif" w:hAnsi="Arial;sans-serif"/>
          <w:b/>
          <w:color w:val="0066CC"/>
          <w:sz w:val="20"/>
        </w:rPr>
        <w:t>Other Contingencies and Commitments</w:t>
      </w:r>
      <w:r>
        <w:rPr>
          <w:color w:val="FF66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more fully discussed in Note 15 – Contingencies and Litigation to the Consolidated Financial Statements, we are involved in a variety of claims, lawsuits, investigations and proceedings concerning: securities law; governmental entity contracting, servicing and procurement law; intellectual property law; employment law; the Employee Retirement Income Security Act ("ERISA"); data privacy and cybersecurity laws; and other laws and regulations. In addition, guarantees, indemnifications and claims may arise during the ordinary course of business from relationships with suppliers and customers. Nonperformance under a contract including a guarantee, indemnification or claim could trigger an obligation of the Company.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 Refer to Note 15 – Contingencies and Litigation to the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6280"/>
                <wp:effectExtent l="0" t="0" r="0" b="0"/>
                <wp:wrapNone/>
                <wp:docPr id="44" name="Frame4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 xml:space="preserve">Off-Balance Sheet Arrangements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December 31, 2025, we do not believe we have any off-balance sheet arrangements that have, or are reasonably likely to have, a material current or future effect on financial condition, changes in financial condition, revenues or expenses, results of operations, liquidity, capital expenditures or capital resources.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refer to the preceding discussion of the Company's contractual cash obligations and other commercial commitments and Note 15 – Contingencies and Litigation to the Consolidated Financial Statements for additional information regarding contingencies, guarantees and indemnifications.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0"/>
          <w:u w:val="single"/>
        </w:rPr>
      </w:pPr>
      <w:r>
        <w:rPr>
          <w:rFonts w:ascii="Arial;sans-serif" w:hAnsi="Arial;sans-serif"/>
          <w:b/>
          <w:color w:val="0066CC"/>
          <w:sz w:val="20"/>
          <w:u w:val="single"/>
        </w:rPr>
        <w:t>Critical Accounting Estimates and Policies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accounting principles generally accepted in the United States of America ("U.S. GAAP") requires us to make estimates and assumptions in certain circumstances that affect amounts reported in the accompanying Consolidated Financial Statements and notes thereto. In preparing our Consolidated Financial Statements, we have made our best estimates and judgments of certain amounts included in the Consolidated Financial Statements giving due consideration to materiality. However, application of these accounting policies involves the exercise of judgment and use of assumptions as to future uncertainties and, as a result, actual results could differ from these estimates. Senior management has discussed the development and selection of critical accounting policies, estimates and related disclosures included herein with the Audit Committee of the Board of Directors. We consider these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 the impact of these different estimates on our operations. In certain instances,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Specific risks associated with these critical accounting policies are discussed in MD&amp;A, where such policies affect our reported and expected financial results. For a detailed discussion of the application of these and other accounting policies, refer to Note 1 – Basis of Presentation and Summary of Significant Accounting Policies to the Consolidated Financial Statements.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Revenue Recognition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Refer to Note 1 – Basis of Presentation and Summary of Significant Accounting Policies and Note 2 – Revenue to the Consolidated Financial Statements for additional information regarding our revenue recognition policies.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Goodwill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Goodwill is not amortized but rather tested for impairment annually, or more frequently if an event or circumstance indicates that impairment may have been incurred. Events or circumstances that might indicate an interim evaluation is warranted include, among other things, unexpected adverse business conditions, macro and reporting unit specific economic factors, supply costs, unanticipated adverse events or conditions impacting revenues, cash flows or profitability, unanticipated competitive activities and acts by governments and courts. Refer to Note 1 – Basis of Presentation and Summary of Significant Accounting Policies and Note 7 – Goodwill to the Consolidated Financial Statements for additional information regarding our goodwill policies.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Application of the interim and annual goodwill impairment test requires judgment, including the identification of reporting units, assignment of assets and liabilities to reporting units, assignment of goodwill to reporting units and the assessment of the fair value of each reporting unit. We currently have three reporting units which correlate to our three reportable segments: Commercial, Government and Transportation.</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Annual Goodwill Impairment Evaluation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annual quantitative impairment test of goodwill was performed as of October 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6280"/>
                <wp:effectExtent l="0" t="0" r="0" b="0"/>
                <wp:wrapNone/>
                <wp:docPr id="45" name="Frame4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Goodwill is tested for impairment using a qualitative assessment and/or a quantitative assessment. In our quantitative assessment, we estimate the fair value of each reporting unit by weighting the results from the Income Approach (discounted cash flow methodology) and Market Approach. The Income Approach utilizes a discounted cash flow analysis based upon the forecasted future business results of its reporting units. The Market Approach utilizes the guideline public company method. These valuation approaches require significant judgment and consider several factors that include, but are not limited to, expected future cash flows, growth rates and discount rates and comparable multiples from publicly traded companies in our industry. In addition, we are required to make certain assumptions and estimates regarding the current economic environment, industry factors and the future profitability of our businesses.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When performing our discounted cash flow analysis for each reporting unit, we incorporate the use of projected financial information and discount rates that are developed using market participant-based assumptions. The cash-flow projections are based on three-year financial forecasts developed by management that include revenue and expense projections, restructuring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these assumptions are appropriate and reflect our forecasted long-term business model and consider our historical results as well as the current economic environment and markets that we serve. The most significant assumptions used in the goodwill analysis relate to discount rates and long-term organic growth rates.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Based on our quantitative assessments, we concluded that the fair value of our Government reporting unit exceeded its carrying value and, accordingly, we did not record any goodwill impairment charge as a result of our annual quantitative impairment test of goodwill for this reporting unit. If we used different assumptions for discount rates or long-term organic growth rates in this annual assessment, our calculated fair values of our Government reporting unit could be higher or lower which could result in a goodwill impairment. </w:t>
      </w:r>
    </w:p>
    <w:p>
      <w:pPr>
        <w:pStyle w:val="TextBody"/>
        <w:bidi w:val="0"/>
        <w:spacing w:lineRule="auto" w:line="288" w:before="0" w:after="180"/>
        <w:jc w:val="left"/>
        <w:rPr/>
      </w:pPr>
      <w:r>
        <w:rPr>
          <w:rFonts w:ascii="Arial;sans-serif" w:hAnsi="Arial;sans-serif"/>
          <w:b/>
          <w:color w:val="0066CC"/>
          <w:sz w:val="20"/>
        </w:rPr>
        <w:t>Income Taxes</w:t>
      </w:r>
      <w:r>
        <w:rPr>
          <w:color w:val="0000FF"/>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subject to income taxes in the United States and numerous foreign jurisdictions. The determination of our provision for income taxes requires significant judgment, the use of estimates and the interpretation and application of complex tax laws. Our provision is based on nonrecurring events as well as recurring factors, including the taxation of foreign income. In addition, our provision will change based on discrete or other nonrecurring events such as audit settlements, tax law changes, changes in valuation allowances and other factors, that may not be predictable. In the event there is a significant unusual or one-time item recognized in our operating results, the taxes attributable to that item would be separately calculated and recorded at the same time as the unusual or one-time item.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Gross deferred tax assets of $310 million and $241 million had valuation allowances of $151 million and $95 million at December 31, 2025 and 2024, respectively.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subject to ongoing tax examinations and assessments in various jurisdictions. Accordingly, we may incur additional tax expense based upon our assessment of the more-likely-than-not outcomes of such matters. In addition, when applicable, we adjust previously recorded tax expense to reflect examination results. Our ongoing assessments of the more-likely-than-not outcomes of examinations and related tax positions require judgment and can materially increase or decrease our effective tax rate, as well as impact our operating results. Unrecognized tax benefits were $19 million, $19 million and $10 million at December 31, 2025, 2024 and 2023, respectively.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Refer to Note 14 – Income Taxes to the Consolidated Financial Statements for additional information regarding deferred income taxes and unrecognized tax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16280"/>
                <wp:effectExtent l="0" t="0" r="0" b="0"/>
                <wp:wrapNone/>
                <wp:docPr id="46" name="Frame4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color w:val="0066CC"/>
          <w:sz w:val="20"/>
        </w:rPr>
        <w:t>Loss Contingencies</w:t>
      </w:r>
      <w:r>
        <w:rPr>
          <w:color w:val="0000FF"/>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currently involved in various claims and legal proceedings. At least quarterly, we review the status of each significant matter and assess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we accrue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estimates. These revisions in the estimates of the potential liabilities could have a material impact on the results of operations and financial position. Our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Refer to Note 15 – Contingencies and Litigation to the Consolidated Financial Statements for additional information regarding loss contingencies. </w:t>
      </w:r>
    </w:p>
    <w:p>
      <w:pPr>
        <w:pStyle w:val="TextBody"/>
        <w:bidi w:val="0"/>
        <w:spacing w:lineRule="auto" w:line="288" w:before="0" w:after="180"/>
        <w:jc w:val="left"/>
        <w:rPr>
          <w:rFonts w:ascii="Arial;sans-serif" w:hAnsi="Arial;sans-serif"/>
          <w:b/>
          <w:color w:val="0066CC"/>
          <w:sz w:val="20"/>
          <w:u w:val="single"/>
        </w:rPr>
      </w:pPr>
      <w:r>
        <w:rPr>
          <w:rFonts w:ascii="Arial;sans-serif" w:hAnsi="Arial;sans-serif"/>
          <w:b/>
          <w:color w:val="0066CC"/>
          <w:sz w:val="20"/>
          <w:u w:val="single"/>
        </w:rPr>
        <w:t>Recent Accounting Changes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 1 – Basis of Presentation and Summary of Significant Accounting Policies for information on accounting standards adopted during the current year, as well as recently issued accounting standards not yet required to be adopted and the expected impact of the adoption of these accounting standards. To the extent we believe the adoption of new accounting standards has had or will have a material impact on our consolidated results of operations, financial condition or liquidity, we also discuss the impact in the applicable section(s) of this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0"/>
          <w:u w:val="single"/>
        </w:rPr>
      </w:pPr>
      <w:r>
        <w:rPr>
          <w:rFonts w:ascii="Arial;sans-serif" w:hAnsi="Arial;sans-serif"/>
          <w:b/>
          <w:color w:val="0066CC"/>
          <w:sz w:val="20"/>
          <w:u w:val="single"/>
        </w:rPr>
        <w:t>Non-GAAP Financial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report our financial results in accordance with U.S. GAAP. In addition, within this Form 10-K Part II Item 7 we have discussed our financial results using non-GAAP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reconciliation of the non-GAAP financial measures Adjusted EBITDA and Adjusted EBITDA Margin to the most directly comparable financial measures calculated and presented in accordance with U.S. GAAP are provided in the Segment Performance Review above.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Adjusted EBITDA and Adjusted EBITDA Margin</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16280"/>
                <wp:effectExtent l="0" t="0" r="0" b="0"/>
                <wp:wrapNone/>
                <wp:docPr id="47" name="Frame4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Margin is Adjusted EBITDA divided by revenue. Adjusted EBITDA represents income (loss) before interest, income taxes, depreciation and amortization and contract inducement amortization adjusted for the following items: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Amortization of acquired intangible assets. The amortization of acquired intangible assets is driven by acquisition activity, which can vary in size, nature and timing as compared to other companies within our industry and from period to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Restructuring and related costs. Restructuring and related costs include restructuring and asset impairment charges as well as costs associated with our strategic transformation program.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Goodwill impairment. This represents goodwill impairment charges arising from annual or interim goodwill testing.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(Gain) loss on divestitures and transaction costs. Represents (gain) loss on divested businesses and transaction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Litigation settlements (recoveries), net represents settlements or recoveries for various matters subject to litigation.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Loss on extinguishment of debt. This represents write-off of debt issuance costs related to prepayments of debt.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Direct response costs - cyber event. This represents costs related to investigating, remediating and responding to the January 2025 Cyber Event.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Other charges (credits). This includes Other (income) expenses, net on the Consolidated Statements of Income (loss) and other adjustments.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16280"/>
                <wp:effectExtent l="0" t="0" r="0" b="0"/>
                <wp:wrapNone/>
                <wp:docPr id="48" name="Frame4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1080"/>
        <w:jc w:val="left"/>
        <w:rPr>
          <w:rFonts w:ascii="Arial;sans-serif" w:hAnsi="Arial;sans-serif"/>
          <w:b/>
          <w:color w:val="0066CC"/>
          <w:sz w:val="24"/>
        </w:rPr>
      </w:pPr>
      <w:r>
        <w:rPr>
          <w:rFonts w:ascii="Arial;sans-serif" w:hAnsi="Arial;sans-serif"/>
          <w:b/>
          <w:color w:val="0066CC"/>
          <w:sz w:val="24"/>
        </w:rPr>
        <w:t>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Market Risk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Recent market events have not caused us to materially modify or change our financial risk management strategies with respect to our exposures to foreign currency risk. Refer to Note 11 – Financial Instruments to the Consolidated Financial Statements for additional discussion on our financial risk management.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Foreign Exchange Risk Management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Assuming a 10% appreciation or depreciation in foreign currency exchange rates from the quoted foreign currency exchange rates at December 31, 2025, the potential change in the fair value of foreign currency-denominated assets and liabilities in each entity would not be significant because all material currency asset and liability exposures were economically hedged as of December 31, 2025. A 10% appreciation or depreciation of the U.S. Dollar against all currencies from the quoted foreign currency exchange rates at December 31, 2025 would have an impact on our cumulative translation adjustment portion of equity of approximately $39 million. The net amount invested in foreign subsidiaries and affiliates, primarily in the U.K. and Europe, and translated into U.S. Dollars using the year-end exchange rates, was approximately $393 million at December 31, 2025.</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Interest Rate Risk Management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consolidated weighted-average interest rates related to our total debt for 2025 approximated 6.20% for the Senior Notes and 8.13% for finance lease obligations. As of December 31, 2025, we had $109 million of borrowings outstanding under our Revolving Credit Facility, with a weighted average interest rate of 6.58%. As of December 31, 2025, $109 million of our total debt of $691 million carried variable interest rates. The fair values of our fixed rate financial instruments are sensitive to changes in interest rates and at December 31, 2025, a 10% increase in market interest rates would decrease the fair values of such financial instruments by approximately $15 million. A 10% decrease in market interest rates would increase the fair values of such financial instruments by approximately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16280"/>
                <wp:effectExtent l="0" t="0" r="0" b="0"/>
                <wp:wrapNone/>
                <wp:docPr id="49" name="Frame4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ITEM 8. FINANCIAL STATEMENTS AND SUPPLEMENTARY DATA</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the Board of Directors and Shareholders of Conduent Incorporated</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Opinions on the Financial Statements and Internal Control over Financial Reporting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Conduent Incorporated and its subsidiaries (the "Company") as of December 31, 2025 and 2024, and the related consolidated statements of income (loss), of comprehensive income (loss), of shareholders' equity and of cash flows for each of the three years in the period ended December 31, 2025, including the related notes and schedule of valuation and qualifying accounts for each of the three years in the period ended December 31, 2025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Basis for Opinions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Definition and Limitations of Internal Control over Financial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16280"/>
                <wp:effectExtent l="0" t="0" r="0" b="0"/>
                <wp:wrapNone/>
                <wp:docPr id="50" name="Frame4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Critical Audit Matters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Revenue Recognition for Certain 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described in Notes 1 and 2 to the consolidated financial statements, the Company’s total revenue was $3,042 million for the year ended December 31, 2025, of which a significant portion relates to certain revenue. Typically, the Company’s contracts include performance obligation(s) to stand-ready on a daily or monthly basis to provide services to the customers. Under a stand-ready obligation, the evaluation of the nature of the Company’s performance obligation is focused on each time increment rather than the underlying activities. Accordingly, the promise to stand-ready is accounted for as a single-series performance obligation. Once management determines the performance obligations, management determines the transaction price, which is based on fixed and/or variable consideration. The Company typically satisfies its performance obligations over time as the services are provided. A time-elapsed output method is used to measure progress because the nature of the Company’s promise is a stand-ready service and efforts are expended evenly throughout the period.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principal consideration for our determination that performing procedures relating to revenue recognition for certain revenue is a critical audit matter is a high degree of auditor effort in performing procedures and evaluating audit evidence related to the Company’s revenue recognition for certain revenue.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revenue recognized, on a sample basis, by (a) obtaining and inspecting source documents, such as contracts, invoices, evidence of satisfaction of performance obligations, and where applicable, cash receipts, (b) where applicable, confirming services provided with the customer when payment has not been received for invoices, and (c) recalculating revenue recognized and (ii) confirming, on a sample basis, outstanding customer invoice balances as of December 31, 2025 and for confirmations not returned, and for invoices which have been paid, obtaining and inspecting subsequent cash receipts, or for invoices not yet paid, obtaining and inspecting source documents, such as contracts, invoices, and where applicable, evidence of satisfaction of performance obligations.</w:t>
      </w: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PricewaterhouseCoopers LLP</w:t>
      </w:r>
    </w:p>
    <w:tbl>
      <w:tblPr>
        <w:tblW w:w="1965" w:type="dxa"/>
        <w:jc w:val="left"/>
        <w:tblInd w:w="0" w:type="dxa"/>
        <w:tblLayout w:type="fixed"/>
        <w:tblCellMar>
          <w:top w:w="28" w:type="dxa"/>
          <w:left w:w="28" w:type="dxa"/>
          <w:bottom w:w="28" w:type="dxa"/>
          <w:right w:w="28" w:type="dxa"/>
        </w:tblCellMar>
      </w:tblPr>
      <w:tblGrid>
        <w:gridCol w:w="629"/>
        <w:gridCol w:w="551"/>
        <w:gridCol w:w="785"/>
      </w:tblGrid>
      <w:tr>
        <w:trPr/>
        <w:tc>
          <w:tcPr>
            <w:tcW w:w="62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New York</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19, 2026</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have served as the Company’s auditor since</w:t>
      </w:r>
      <w:r>
        <w:rPr>
          <w:color w:val="FF0000"/>
        </w:rPr>
        <w:t xml:space="preserve"> </w:t>
      </w:r>
      <w:r>
        <w:rPr>
          <w:rFonts w:ascii="Arial;sans-serif" w:hAnsi="Arial;sans-serif"/>
          <w:b w:val="false"/>
          <w:color w:val="000000"/>
          <w:sz w:val="20"/>
        </w:rPr>
        <w:t>2016.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16280"/>
                <wp:effectExtent l="0" t="0" r="0" b="0"/>
                <wp:wrapNone/>
                <wp:docPr id="51" name="Frame5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REPORTS OF MANAGEMENT</w:t>
      </w:r>
    </w:p>
    <w:p>
      <w:pPr>
        <w:pStyle w:val="TextBody"/>
        <w:bidi w:val="0"/>
        <w:spacing w:lineRule="auto" w:line="288" w:before="180" w:after="283"/>
        <w:jc w:val="left"/>
        <w:rPr>
          <w:rFonts w:ascii="Arial;sans-serif" w:hAnsi="Arial;sans-serif"/>
          <w:b/>
          <w:i/>
          <w:color w:val="0066CC"/>
          <w:sz w:val="20"/>
        </w:rPr>
      </w:pPr>
      <w:r>
        <w:rPr>
          <w:rFonts w:ascii="Arial;sans-serif" w:hAnsi="Arial;sans-serif"/>
          <w:b/>
          <w:i/>
          <w:color w:val="0066CC"/>
          <w:sz w:val="20"/>
        </w:rPr>
        <w:t xml:space="preserve">Management's Responsibility for Financial Statements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free access to the Audit Committee.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821" w:type="dxa"/>
        <w:jc w:val="left"/>
        <w:tblInd w:w="0" w:type="dxa"/>
        <w:tblLayout w:type="fixed"/>
        <w:tblCellMar>
          <w:top w:w="28" w:type="dxa"/>
          <w:left w:w="28" w:type="dxa"/>
          <w:bottom w:w="28" w:type="dxa"/>
          <w:right w:w="28" w:type="dxa"/>
        </w:tblCellMar>
      </w:tblPr>
      <w:tblGrid>
        <w:gridCol w:w="1071"/>
        <w:gridCol w:w="939"/>
        <w:gridCol w:w="945"/>
        <w:gridCol w:w="109"/>
        <w:gridCol w:w="109"/>
        <w:gridCol w:w="109"/>
        <w:gridCol w:w="1034"/>
        <w:gridCol w:w="1034"/>
        <w:gridCol w:w="1471"/>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HARSHA V. AGADI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GILES GOODBURN</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Executive Vice President and Chief Financial Officer</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GEORGE ABATE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Vice President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16280"/>
                <wp:effectExtent l="0" t="0" r="0" b="0"/>
                <wp:wrapNone/>
                <wp:docPr id="52" name="Frame5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 xml:space="preserve">CONSOLIDATED STATEMENTS OF INCOME (LOSS) </w:t>
      </w:r>
    </w:p>
    <w:tbl>
      <w:tblPr>
        <w:tblW w:w="9218" w:type="dxa"/>
        <w:jc w:val="left"/>
        <w:tblInd w:w="0" w:type="dxa"/>
        <w:tblLayout w:type="fixed"/>
        <w:tblCellMar>
          <w:top w:w="28" w:type="dxa"/>
          <w:left w:w="28" w:type="dxa"/>
          <w:bottom w:w="28" w:type="dxa"/>
          <w:right w:w="28" w:type="dxa"/>
        </w:tblCellMar>
      </w:tblPr>
      <w:tblGrid>
        <w:gridCol w:w="2026"/>
        <w:gridCol w:w="1788"/>
        <w:gridCol w:w="1795"/>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202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16280"/>
                <wp:effectExtent l="0" t="0" r="0" b="0"/>
                <wp:wrapNone/>
                <wp:docPr id="53" name="Frame5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CONSOLIDATED STATEMENTS OF COMPREHENSIVE INCOME (LOSS)</w:t>
      </w:r>
    </w:p>
    <w:tbl>
      <w:tblPr>
        <w:tblW w:w="6879" w:type="dxa"/>
        <w:jc w:val="center"/>
        <w:tblInd w:w="0" w:type="dxa"/>
        <w:tblLayout w:type="fixed"/>
        <w:tblCellMar>
          <w:top w:w="28" w:type="dxa"/>
          <w:left w:w="28" w:type="dxa"/>
          <w:bottom w:w="28" w:type="dxa"/>
          <w:right w:w="28" w:type="dxa"/>
        </w:tblCellMar>
      </w:tblPr>
      <w:tblGrid>
        <w:gridCol w:w="1280"/>
        <w:gridCol w:w="1119"/>
        <w:gridCol w:w="1126"/>
        <w:gridCol w:w="109"/>
        <w:gridCol w:w="109"/>
        <w:gridCol w:w="109"/>
        <w:gridCol w:w="196"/>
        <w:gridCol w:w="496"/>
        <w:gridCol w:w="109"/>
        <w:gridCol w:w="109"/>
        <w:gridCol w:w="109"/>
        <w:gridCol w:w="109"/>
        <w:gridCol w:w="196"/>
        <w:gridCol w:w="421"/>
        <w:gridCol w:w="109"/>
        <w:gridCol w:w="109"/>
        <w:gridCol w:w="109"/>
        <w:gridCol w:w="109"/>
        <w:gridCol w:w="196"/>
        <w:gridCol w:w="49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benefit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(1)All amounts are net of tax. Tax effects were immaterial. Refer to Note 18 – Other Comprehensive Income (Loss) for information about pre-tax amounts.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16280"/>
                <wp:effectExtent l="0" t="0" r="0" b="0"/>
                <wp:wrapNone/>
                <wp:docPr id="54" name="Frame5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 xml:space="preserve">CONSOLIDATED BALANCE SHEETS </w:t>
      </w:r>
    </w:p>
    <w:tbl>
      <w:tblPr>
        <w:tblW w:w="7625" w:type="dxa"/>
        <w:jc w:val="left"/>
        <w:tblInd w:w="0" w:type="dxa"/>
        <w:tblLayout w:type="fixed"/>
        <w:tblCellMar>
          <w:top w:w="28" w:type="dxa"/>
          <w:left w:w="28" w:type="dxa"/>
          <w:bottom w:w="28" w:type="dxa"/>
          <w:right w:w="28" w:type="dxa"/>
        </w:tblCellMar>
      </w:tblPr>
      <w:tblGrid>
        <w:gridCol w:w="1883"/>
        <w:gridCol w:w="1657"/>
        <w:gridCol w:w="1664"/>
        <w:gridCol w:w="109"/>
        <w:gridCol w:w="109"/>
        <w:gridCol w:w="109"/>
        <w:gridCol w:w="196"/>
        <w:gridCol w:w="556"/>
        <w:gridCol w:w="109"/>
        <w:gridCol w:w="109"/>
        <w:gridCol w:w="109"/>
        <w:gridCol w:w="109"/>
        <w:gridCol w:w="196"/>
        <w:gridCol w:w="556"/>
        <w:gridCol w:w="154"/>
      </w:tblGrid>
      <w:tr>
        <w:trPr/>
        <w:tc>
          <w:tcPr>
            <w:tcW w:w="188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share data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Contingencies (See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Conduent Inc.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series A convertible preferred stock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16280"/>
                <wp:effectExtent l="0" t="0" r="0" b="0"/>
                <wp:wrapNone/>
                <wp:docPr id="55" name="Frame5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CONSOLIDATED STATEMENTS OF CASH FLOWS</w:t>
      </w:r>
    </w:p>
    <w:tbl>
      <w:tblPr>
        <w:tblW w:w="9339" w:type="dxa"/>
        <w:jc w:val="left"/>
        <w:tblInd w:w="0" w:type="dxa"/>
        <w:tblLayout w:type="fixed"/>
        <w:tblCellMar>
          <w:top w:w="28" w:type="dxa"/>
          <w:left w:w="28" w:type="dxa"/>
          <w:bottom w:w="28" w:type="dxa"/>
          <w:right w:w="28" w:type="dxa"/>
        </w:tblCellMar>
      </w:tblPr>
      <w:tblGrid>
        <w:gridCol w:w="2170"/>
        <w:gridCol w:w="1894"/>
        <w:gridCol w:w="1921"/>
        <w:gridCol w:w="109"/>
        <w:gridCol w:w="109"/>
        <w:gridCol w:w="109"/>
        <w:gridCol w:w="196"/>
        <w:gridCol w:w="496"/>
        <w:gridCol w:w="109"/>
        <w:gridCol w:w="109"/>
        <w:gridCol w:w="109"/>
        <w:gridCol w:w="109"/>
        <w:gridCol w:w="196"/>
        <w:gridCol w:w="421"/>
        <w:gridCol w:w="109"/>
        <w:gridCol w:w="109"/>
        <w:gridCol w:w="109"/>
        <w:gridCol w:w="109"/>
        <w:gridCol w:w="196"/>
        <w:gridCol w:w="496"/>
        <w:gridCol w:w="154"/>
      </w:tblGrid>
      <w:tr>
        <w:trPr/>
        <w:tc>
          <w:tcPr>
            <w:tcW w:w="217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Adjustments required to reconcile net loss to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inducement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sales of 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and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and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income tax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internal 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issuance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 payment on 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for settlement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contribution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Cash, Cash Equivalents and Restricted Cash at End of period</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4"/>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(1)Includes $10 million, $11 million and $21 million of restricted cash as of the years ended December 31, 2025, 2024 and 2023, respectively, that was included in Other current assets on their respective Consolidated Balance Sheets.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16280"/>
                <wp:effectExtent l="0" t="0" r="0" b="0"/>
                <wp:wrapNone/>
                <wp:docPr id="56" name="Frame5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CONSOLIDATED STATEMENTS OF SHAREHOLDERS' EQUITY</w:t>
      </w:r>
    </w:p>
    <w:tbl>
      <w:tblPr>
        <w:tblW w:w="10205" w:type="dxa"/>
        <w:jc w:val="left"/>
        <w:tblInd w:w="0" w:type="dxa"/>
        <w:tblLayout w:type="fixed"/>
        <w:tblCellMar>
          <w:top w:w="28" w:type="dxa"/>
          <w:left w:w="28" w:type="dxa"/>
          <w:bottom w:w="28" w:type="dxa"/>
          <w:right w:w="28" w:type="dxa"/>
        </w:tblCellMar>
      </w:tblPr>
      <w:tblGrid>
        <w:gridCol w:w="795"/>
        <w:gridCol w:w="574"/>
        <w:gridCol w:w="558"/>
        <w:gridCol w:w="296"/>
        <w:gridCol w:w="371"/>
        <w:gridCol w:w="180"/>
        <w:gridCol w:w="109"/>
        <w:gridCol w:w="109"/>
        <w:gridCol w:w="109"/>
        <w:gridCol w:w="227"/>
        <w:gridCol w:w="522"/>
        <w:gridCol w:w="136"/>
        <w:gridCol w:w="109"/>
        <w:gridCol w:w="109"/>
        <w:gridCol w:w="109"/>
        <w:gridCol w:w="181"/>
        <w:gridCol w:w="496"/>
        <w:gridCol w:w="109"/>
        <w:gridCol w:w="109"/>
        <w:gridCol w:w="109"/>
        <w:gridCol w:w="109"/>
        <w:gridCol w:w="181"/>
        <w:gridCol w:w="520"/>
        <w:gridCol w:w="109"/>
        <w:gridCol w:w="109"/>
        <w:gridCol w:w="109"/>
        <w:gridCol w:w="109"/>
        <w:gridCol w:w="181"/>
        <w:gridCol w:w="400"/>
        <w:gridCol w:w="109"/>
        <w:gridCol w:w="109"/>
        <w:gridCol w:w="109"/>
        <w:gridCol w:w="109"/>
        <w:gridCol w:w="338"/>
        <w:gridCol w:w="759"/>
        <w:gridCol w:w="205"/>
        <w:gridCol w:w="109"/>
        <w:gridCol w:w="109"/>
        <w:gridCol w:w="109"/>
        <w:gridCol w:w="252"/>
        <w:gridCol w:w="524"/>
        <w:gridCol w:w="220"/>
      </w:tblGrid>
      <w:tr>
        <w:trPr/>
        <w:tc>
          <w:tcPr>
            <w:tcW w:w="79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2022</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 - preferred stock, $80/per share</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Contribution from noncontrolling interest</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2023</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 - preferred stock, $80/per share</w:t>
            </w:r>
          </w:p>
        </w:tc>
        <w:tc>
          <w:tcPr>
            <w:tcW w:w="6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Contribution from noncontrolling interest</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2024</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 - preferred stock, $80/per share</w:t>
            </w:r>
          </w:p>
        </w:tc>
        <w:tc>
          <w:tcPr>
            <w:tcW w:w="6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Buyback of noncontrolling interest</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2025</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4"/>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(1)AOCL - Accumulated other comprehensive loss.</w:t>
      </w:r>
    </w:p>
    <w:p>
      <w:pPr>
        <w:pStyle w:val="TextBody"/>
        <w:bidi w:val="0"/>
        <w:spacing w:before="60" w:after="283"/>
        <w:jc w:val="left"/>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16280"/>
                <wp:effectExtent l="0" t="0" r="0" b="0"/>
                <wp:wrapNone/>
                <wp:docPr id="57" name="Frame5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NOTES TO CONSOLIDATED FINANCIAL STATEMENTS</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Note 1 – Basis of Presentation and Summary of Significant Accounting Policies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References herein to “we,” “us,” “our,” the “Company” and “Conduent” refer to Conduent Incorporated and its consolidated subsidiaries unless the context suggests otherwise.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Description of Business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("AI"), machine learning, automation and advanced analytics to deliver mission-critical solutions. Through a dedicated global team of approximately 51,000 associates, as well as process expertise and advanced technologies, Conduent's solutions and services digitally transform its clients’ operations to enhance customer experiences, improve performance, increase efficiencies and reduce costs.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Basis of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Consolidated Financial Statements included the historical basis of assets, liabilities, revenues and expenses of the individual businesses of the Company, including joint ventures and partnerships over which the Company has a controlling financial interest. The Company has prepared the Consolidated Financial Statements in accordance with accounting principles generally accepted in the United States of America ("U.S. GAAP") and pursuant to the rules and regulations of the SEC. Certain reclassifications have been made to prior years' amounts to conform to the current year presentation. All intercompany transactions and balances have been eliminated.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was not material to the year ending December 31, 2023.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evaluated subsequent events through February 19,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common stock of Conduent trades on the Nasdaq Global Select Market ("Nasdaq") under the ticker "CNDT".</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Use of Estimates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prepared the Consolidated Financial Statements using financial information available at the time of preparation, which requires it to make estimates and assumptions that affect the amounts reported. The Company's most significant estimates pertain to valuation of goodwill, contingencies and litigation and income taxes. These estimates are based on management's best knowledge of current events, historical experience, and on various other assumptions that are believed to be reasonable under the circumstances. As a result, actual results may be different from these estimates. </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New Accounting Standards</w:t>
      </w:r>
    </w:p>
    <w:p>
      <w:pPr>
        <w:pStyle w:val="TextBody"/>
        <w:bidi w:val="0"/>
        <w:spacing w:lineRule="auto" w:line="288" w:before="0" w:after="180"/>
        <w:jc w:val="left"/>
        <w:rPr/>
      </w:pPr>
      <w:r>
        <w:rPr>
          <w:rFonts w:ascii="Arial;sans-serif" w:hAnsi="Arial;sans-serif"/>
          <w:b/>
          <w:color w:val="000000"/>
          <w:sz w:val="20"/>
        </w:rPr>
        <w:t>Disaggregation of Income Statement Expenses:</w:t>
      </w:r>
      <w:r>
        <w:rPr>
          <w:color w:val="000000"/>
        </w:rPr>
        <w:t xml:space="preserve"> </w:t>
      </w:r>
      <w:r>
        <w:rPr>
          <w:rFonts w:ascii="Arial;sans-serif" w:hAnsi="Arial;sans-serif"/>
          <w:b w:val="false"/>
          <w:color w:val="000000"/>
          <w:sz w:val="20"/>
        </w:rPr>
        <w:t xml:space="preserve">In November 2024, the Financial Accounting Standards Board ("FASB") issued final guidance designed to enhance financial 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16280"/>
                <wp:effectExtent l="0" t="0" r="0" b="0"/>
                <wp:wrapNone/>
                <wp:docPr id="58" name="Frame5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color w:val="000000"/>
          <w:sz w:val="20"/>
        </w:rPr>
        <w:t>Internal-use Software</w:t>
      </w:r>
      <w:r>
        <w:rPr>
          <w:rFonts w:ascii="Times New Roman;serif" w:hAnsi="Times New Roman;serif"/>
          <w:b/>
          <w:color w:val="000000"/>
          <w:sz w:val="20"/>
        </w:rPr>
        <w:t>:</w:t>
      </w:r>
      <w:r>
        <w:rPr>
          <w:color w:val="000000"/>
        </w:rPr>
        <w:t xml:space="preserve"> </w:t>
      </w:r>
      <w:r>
        <w:rPr>
          <w:rFonts w:ascii="Arial;sans-serif" w:hAnsi="Arial;sans-serif"/>
          <w:b w:val="false"/>
          <w:color w:val="000000"/>
          <w:sz w:val="20"/>
        </w:rPr>
        <w:t>In September 2025, the FASB issued final guidance designed to modernize the accounting for software costs that are accounted for as "internal-use software." This new guidance removes all previous references to project stages. It requires capitalization of software costs when (i) management has authorized and committed to funding the software project and (ii) it is probable that the project will be completed and the software will be used to perform the function intended. The new guidance is effective for annual and interim periods beginning after December 15, 2027. Early adoption is permitted as of the beginning of an annual reporting period. The Company is currently evaluating the impact that this new standard will have on its Consolidated Financial Statements.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Recently Adopted Accounting Standards</w:t>
      </w:r>
    </w:p>
    <w:p>
      <w:pPr>
        <w:pStyle w:val="TextBody"/>
        <w:bidi w:val="0"/>
        <w:spacing w:lineRule="auto" w:line="288" w:before="0" w:after="180"/>
        <w:jc w:val="left"/>
        <w:rPr/>
      </w:pPr>
      <w:r>
        <w:rPr>
          <w:rFonts w:ascii="Arial;sans-serif" w:hAnsi="Arial;sans-serif"/>
          <w:b/>
          <w:color w:val="000000"/>
          <w:sz w:val="20"/>
        </w:rPr>
        <w:t>Income Taxes:</w:t>
      </w:r>
      <w:r>
        <w:rPr>
          <w:color w:val="000000"/>
        </w:rPr>
        <w:t xml:space="preserve"> </w:t>
      </w:r>
      <w:r>
        <w:rPr>
          <w:rFonts w:ascii="Arial;sans-serif" w:hAnsi="Arial;sans-serif"/>
          <w:b w:val="false"/>
          <w:color w:val="000000"/>
          <w:sz w:val="20"/>
        </w:rPr>
        <w:t xml:space="preserve">In December 2023, the FASB issued final guidance designed to improve income tax disclosures, particularly disclosures 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As allowed by the guidance, the Company adopted this guidance prospectively effective January 1, 2025. As the guidance is disclosure related, adoption did not have any impact on the Company's Consolidated Financial Statements. The required disclosure is included in Note 14 – Income Taxes. </w:t>
      </w:r>
    </w:p>
    <w:p>
      <w:pPr>
        <w:pStyle w:val="TextBody"/>
        <w:bidi w:val="0"/>
        <w:spacing w:lineRule="auto" w:line="288" w:before="0" w:after="180"/>
        <w:jc w:val="left"/>
        <w:rPr>
          <w:rFonts w:ascii="Arial;sans-serif" w:hAnsi="Arial;sans-serif"/>
          <w:b/>
          <w:color w:val="1269BD"/>
          <w:sz w:val="20"/>
        </w:rPr>
      </w:pPr>
      <w:r>
        <w:rPr>
          <w:rFonts w:ascii="Arial;sans-serif" w:hAnsi="Arial;sans-serif"/>
          <w:b/>
          <w:color w:val="1269BD"/>
          <w:sz w:val="20"/>
        </w:rPr>
        <w:t>Summary of Accounting Policies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Cash and Cash Equivalents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Cash and cash equivalents consist of cash on hand, including money market funds and investments with original maturities of three months or less.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Restricted cash is primarily comprised of cash collected on accounts receivable that have been factored but not yet remitted to third-party institutions. The Company includes restricted cash in Other current assets and the corresponding liability is included in Other current liabilities in its Consolidated Balance Sheets.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Accounts Receivable, Net and Receivable Sales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Credit risk has not historically been significant to the Company's business due to the nature of its customers, which are state and federal governments, public sector, and large commercial corporations. The Company believes that the credit risk associated with its receivables is limited due to the creditworthiness of its customers. Allowances for credit losses were less than $1.0 million at December 31, 2025 or 2024.</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enters into factoring agreements in the normal course of business as part of our cash and liquidity management, to sell certain accounts receivable without recourse to third-party financial institutions. These transactions are treated as a sale and are accounted for as a reduction in accounts receivable because the agreement transfers effective control over, and risk related to, the receivables to the buyers. Cash proceeds from this arrangement are included in cash flow from operating activities in the Consolidated Statements of Cash Flows. In 2025, 2024 and 2023, the Company sold certain accounts receivable and derecognized the corresponding receivable balance. Accounts receivable sales for the years ended December 31, 2025 and 2024 were $875 million and $624 million, respectively.</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Assets/Liabilities Held for Sale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classifies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16280"/>
                <wp:effectExtent l="0" t="0" r="0" b="0"/>
                <wp:wrapNone/>
                <wp:docPr id="59" name="Frame5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4 – Divestitures to the Consolidated Financial Statements for additional information.</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Land, Buildings and Equipment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Land, buildings and equipment are recorded at cost. Buildings and equipment are depreciated over their estimated useful lives. Leasehold improvements are depreciated over the shorter of the lease term or the estimated useful life. Significant improvements are capitalized and maintenance and repairs are expensed when incurred.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Refer to Note 5 – Land, Buildings, Equipment and Software, Net for further discussion.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Internal Use and Product Software</w:t>
      </w:r>
    </w:p>
    <w:p>
      <w:pPr>
        <w:pStyle w:val="TextBody"/>
        <w:bidi w:val="0"/>
        <w:spacing w:lineRule="auto" w:line="288" w:before="0" w:after="180"/>
        <w:jc w:val="left"/>
        <w:rPr/>
      </w:pPr>
      <w:r>
        <w:rPr>
          <w:rFonts w:ascii="Arial;sans-serif" w:hAnsi="Arial;sans-serif"/>
          <w:b/>
          <w:color w:val="000000"/>
          <w:sz w:val="20"/>
        </w:rPr>
        <w:t>Internal Use Software:</w:t>
      </w:r>
      <w:r>
        <w:rPr>
          <w:color w:val="000000"/>
        </w:rPr>
        <w:t xml:space="preserve"> </w:t>
      </w:r>
      <w:r>
        <w:rPr>
          <w:rFonts w:ascii="Arial;sans-serif" w:hAnsi="Arial;sans-serif"/>
          <w:b w:val="false"/>
          <w:color w:val="000000"/>
          <w:sz w:val="20"/>
        </w:rPr>
        <w:t>The Company capitalizes direct costs associated with developing, purchasing or otherwise acquiring software for internal use and amortizes these costs on a straight-line basis over the estimated useful life of the software, beginning when the software is implemented. Costs for upgrades and enhancements that will not result in additional functionality are expensed as incurred. Amounts paid for Internal Use Software are included in Cash Flows from Investing Activities.</w:t>
      </w:r>
    </w:p>
    <w:p>
      <w:pPr>
        <w:pStyle w:val="TextBody"/>
        <w:bidi w:val="0"/>
        <w:spacing w:lineRule="auto" w:line="288" w:before="0" w:after="180"/>
        <w:jc w:val="left"/>
        <w:rPr/>
      </w:pPr>
      <w:r>
        <w:rPr>
          <w:rFonts w:ascii="Arial;sans-serif" w:hAnsi="Arial;sans-serif"/>
          <w:b/>
          <w:color w:val="000000"/>
          <w:sz w:val="20"/>
        </w:rPr>
        <w:t>Produc</w:t>
      </w:r>
      <w:r>
        <w:rPr>
          <w:rFonts w:ascii="Arial;sans-serif" w:hAnsi="Arial;sans-serif"/>
          <w:b/>
          <w:color w:val="333333"/>
          <w:sz w:val="20"/>
        </w:rPr>
        <w:t>t Software</w:t>
      </w:r>
      <w:r>
        <w:rPr>
          <w:rFonts w:ascii="Arial;sans-serif" w:hAnsi="Arial;sans-serif"/>
          <w:b w:val="false"/>
          <w:color w:val="000000"/>
          <w:sz w:val="20"/>
        </w:rPr>
        <w:t>: The Company expenses product software costs to Research and development prior to technological feasibility. Upon reaching technological feasibility, certain costs related to the development of software solutions to be sold to its customers are capitalized. These costs are amortized on a straight-line basis over the estimated economic life of the software. Amounts paid for Product Software are included in Cash Flows from Operating activities. The Company performs annual reviews to ensure that unamortized Product Software costs remain recoverable from estimated future operating profits (net realizable value). Costs to support or service licensed software are charged to Costs of services as incurred.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Internal use and Product software are included in Other long-term assets on the Company's Consolidated Balance Sheets. Refer to Note 5 – Land, Buildings, Equipment and Software, Net and Note 9 – Supplementary Financial Information for further information.</w:t>
      </w:r>
    </w:p>
    <w:p>
      <w:pPr>
        <w:pStyle w:val="TextBody"/>
        <w:bidi w:val="0"/>
        <w:spacing w:lineRule="auto" w:line="288" w:before="0" w:after="180"/>
        <w:jc w:val="left"/>
        <w:rPr>
          <w:rFonts w:ascii="Arial;sans-serif" w:hAnsi="Arial;sans-serif"/>
          <w:b/>
          <w:color w:val="1269BD"/>
          <w:sz w:val="20"/>
        </w:rPr>
      </w:pPr>
      <w:r>
        <w:rPr>
          <w:rFonts w:ascii="Arial;sans-serif" w:hAnsi="Arial;sans-serif"/>
          <w:b/>
          <w:color w:val="1269BD"/>
          <w:sz w:val="20"/>
        </w:rPr>
        <w:t>Leases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determines if an arrangement is a lease at the inception of the contract and whether that lease meets the classification criteria of a finance or operating lease. The Company has operating and finance leases for real estate and equipment. Operating leases are included in Operating lease right of use ("ROU") assets, Other current liabilities, and Operating lease liabilities in the Company's Consolidated Balance Sheets. Finance leases are included in Land, buildings and equipment, net, Current portion of long-term debt, and Long-term debt in the Company's Consolidated Balance Sheets.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ROU assets represent the Company's right to use an underlying asset for the lease term and lease liabilities represent the Company's obligation to make lease payments arising from the lease. ROU assets and liabilities are recognized at the commencement date based on the net present value of lease payments over the lease term using the Company’s incremental borrowing rates as the Company's leases generally do not provide an implicit rate. The incremental borrowing rate represents an estimate of the interest rate that the Company would incur at lease commencement to borrow an amount equal to the lease payments on a collateralized basis over the term of a lease within a particular currency environment.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lease terms may include options to extend or terminate the lease when it is reasonably certain that the Company will exercise that option based on economic factors. The Company recognizes operating fixed lease expense and finance lease depreciation on a straight-line basis over the lease term. Variable lease expense is recognized in the period in which the obligation for those payments is incurred. Leases with an initial term of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16280"/>
                <wp:effectExtent l="0" t="0" r="0" b="0"/>
                <wp:wrapNone/>
                <wp:docPr id="60" name="Frame5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year or less are expensed on a straight-line basis over the lease term. The Company accounts for lease and non-lease components separately for its equipment leases, based on the estimated standalone price of each component, and combines lease and non-lease components for its real estate leases.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6 – Leases for further information.</w:t>
      </w:r>
    </w:p>
    <w:p>
      <w:pPr>
        <w:pStyle w:val="TextBody"/>
        <w:bidi w:val="0"/>
        <w:spacing w:lineRule="auto" w:line="288" w:before="0" w:after="180"/>
        <w:jc w:val="left"/>
        <w:rPr>
          <w:rFonts w:ascii="Arial;sans-serif" w:hAnsi="Arial;sans-serif"/>
          <w:b/>
          <w:color w:val="1269BD"/>
          <w:sz w:val="20"/>
        </w:rPr>
      </w:pPr>
      <w:r>
        <w:rPr>
          <w:rFonts w:ascii="Arial;sans-serif" w:hAnsi="Arial;sans-serif"/>
          <w:b/>
          <w:color w:val="1269BD"/>
          <w:sz w:val="20"/>
        </w:rPr>
        <w:t>Contingencies and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is currently involved in various claims and legal proceedings. At least quarterly, it reviews the status of each significant matter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potential liabilities could have a material impact on the results of operations and financial position. The Company's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15 – Contingencies and Litigation to the Consolidated Financial Statements for additional information regarding loss contingencies.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Goodwill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tests goodwill for impairment annually as of October 1st, or more frequently if an event or change in circumstances indicate the asset may be impaired. Impairment testing for goodwill is performed at the reporting unit level using a qualitative and/or quantitative assessment. For the quantitative assessment, the Company determines the fair value of its reporting units utilizing a combination of both an Income Approach and a Market Approach. The Income Approach applies a discounted cash flow analysis based on forecasted future business results of the reporting units. The Market Approach utilizes the guideline public company method. These valuation approaches require significant judgment and consider several factors that include, but are not limited to, expected future cash flows, growth rates and discount rates and comparable multiples from publicly traded companies in our industry. In addition, the Company is required to make certain assumptions and estimates regarding the current economic environment, industry factors and the future profitability of its businesses.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When performing its discounted cash flow analysis for each reporting unit, the Company incorporates the use of projected financial information and discount rates that are developed using market participant-based assumptions. The cash-flow projections are based on three-year financial forecasts developed by management that include revenue and expense projections, restructuring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believes these assumptions are appropriate and reflect its forecasted long-term business model and considers its historical results as well as the current economic environment and markets that the Company serves. The most significant assumptions used in the goodwill analysis relate to discount rates and long-term organic growth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16280"/>
                <wp:effectExtent l="0" t="0" r="0" b="0"/>
                <wp:wrapNone/>
                <wp:docPr id="61" name="Frame6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Refer to Note 7 – Goodwill for further information.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Impairment of Long-Lived Assets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reviews the recoverability of its long-lived assets, including buildings, equipment, internal use software, product software, right-of-use assets and other intangible assets, when events or changes in circumstances occur that indicate that the carrying value of the asset may not be recoverable. The assessment of possible impairment is based on the Company's ability to recover the carrying value of the asset from the expected future cash flows (undiscounted and without interest charges) of the related operations. If these cash flows are less than the carrying value of such asset, an impairment loss is recognized for the difference between estimated fair value and carrying value. The Company's primary measure of fair value is based on forecasted cash flows.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Income Taxes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accounts for income taxes under the asset and liability method. Deferred tax assets and liabilities are based on differences between U.S. GAAP reporting and tax bases of assets or liabilities and based on current tax laws, regulations and rates.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recognition of deferred tax assets requires an assessment to determine the realization of such assets. Management establishes valuation allowances on deferred tax assets when it is determined “more-likely-than-not” that some portion or all the deferred tax assets may not be realized. Management considers positive and negative evidence in evaluating the ability of the Company to realize its deferred tax assets, including its historical results and forecasts of future ability to realize its deferred tax assets, including projected future taxable income, the expected timing of the reversals of existing temporary differences and tax planning strategies.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is subject to ongoing tax examinations and assessments in various jurisdictions. The Company has unrecognized tax benefits for uncertain tax positions. The Company follows U.S. GAAP which prescribes a recognition threshold and measurement attribute for the financial statement recognition and measurement of a tax position taken or expected to be taken in a tax return. The Company's ongoing assessments of the more-likely-than-not outcomes of the examinations and related tax positions require judgment and can materially increase or decrease its effective tax rate, as well as impact its operating results.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December 22, 2017, the U.S. enacted the Tax Cuts and Jobs Act ("Tax Reform"). The Tax Reform includes a tax on global intangible low-taxed income (“GILTI”), which imposes a U.S. tax on certain income earned by the Company’s foreign subsidiaries. The Company elected to treat the tax on GILTI as a period cost when incurred and therefore, no deferred taxes for GILTI were recognized for the year ended December 31,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14 – Income Taxes for further discussion.</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Share Repurchase Program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May 16, 2023, the Board of Directors authorized a share repurchase program, granting approval for the Company to repurchase up to $75 million of its common stock over the next three years (the "2023 Repurchase Plan"). This 2023 Repurchase Plan was completed in September 2024.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On May 20, 2025, the Board of Directors authorized a new share repurchase program, granting approval for the Company to repurchase up to $50 million of its common stock over the next three years (the "2025 Repurchase Plan").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had or has the discretion to repurchase shares periodically through open market transactions and may include Rule 10b5-1 trading plans under both the 2023 Repurchase Plan and the 2025 Repurchase Plan. </w:t>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Neither the 2023 Repurchase Plan nor the 2025 Repurchase Plan obligated the Company to acquire a specific number of shares and both programs were or can be modified, suspended or discontinued at any time at the Company’s discretion without prior notice.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holds repurchased shares of common stock as treasury stock. The Company accounts for treasury stock under the cost method and includes treasury stock as a component of shareholders' equity. The Company accrues the cost of repurchased shares and excludes such shares from the calculation of basic and diluted earnings per share, as of the trade date. The Company recognized a liability for share repurchases which had not settled and for which cash had not been paid in Other current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16280"/>
                <wp:effectExtent l="0" t="0" r="0" b="0"/>
                <wp:wrapNone/>
                <wp:docPr id="62" name="Frame6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Noncontrolling Interest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Consolidated Financial Statements include the historical basis of assets, liabilities, revenues and expenses of the individual businesses of the Company, including joint ventures over which the Company has a controlling financial interest. Control is based on ownership interest. The ownership interest held by an owner other than the Company in a less than wholly owned subsidiary is classified as a non-controlling interest. Net income (loss) is allocated to the noncontrolling interest based on ownership interest.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May 2023, the Company signed a new customer contract with the State of Victoria, Australia to provide the next generation of the state's public transport ticketing system. As a result, the Company and Convergint Australia Pty Ltd (“Convergint”) entered into a shareholder agreement to form Conduent Victoria Ticketing System Pty Ltd (“Conduent Victoria”). The Company held an 80% equity investment in Conduent Victoria and the remaining 20% was owned by Convergint. During 2025, the Company repurchased the interest held by the minority partner for $5 million and Conduent Victoria became a wholly-owned subsidiary of the Company.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Prior to its repurchase by the Company, noncontrolling interest in Conduent Victoria was not material to the Company's Consolidated Statements of Income (Loss) or Consolidated Statements of Comprehensive Income (Loss) for any of the periods presented. Therefore, the Company did not present any separate disclosures for such noncontrolling interest in those statements.</w:t>
      </w:r>
    </w:p>
    <w:p>
      <w:pPr>
        <w:pStyle w:val="TextBody"/>
        <w:bidi w:val="0"/>
        <w:spacing w:lineRule="auto" w:line="288" w:before="0" w:after="180"/>
        <w:jc w:val="left"/>
        <w:rPr/>
      </w:pPr>
      <w:r>
        <w:rPr>
          <w:rFonts w:ascii="Arial;sans-serif" w:hAnsi="Arial;sans-serif"/>
          <w:b/>
          <w:color w:val="0066CC"/>
          <w:sz w:val="20"/>
        </w:rPr>
        <w:t>Foreign Currency Translation</w:t>
      </w:r>
      <w:r>
        <w:rPr>
          <w:color w:val="0000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U.S. Dollar is used as the functional currency for certain foreign subsidiaries that conduct their business in U.S. Dollars. A combination of current and historical exchange rates is used in re-measuring the local currency transactions of these subsidiaries and the resulting exchange adjustments are recorded in Currency (gains) and losses within Other (income) expenses, net together with other foreign currency re-measurements.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Stock-based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Stock-based compensation expense for stock-based awards which include restricted stock units (RSUs) and performance stock units (“PSUs") is based on the grant date fair value of those awards. Stock-based compensation expense is recognized for RSUs as shares vest over the requisite service period. Vesting of PSUs is contingent on meeting performance targets. If the minimum performance targets are not met, no compensation cost is recognized and any recognized compensation cost is reversed.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17 – Shareholders’ Equity for further information.</w:t>
      </w:r>
    </w:p>
    <w:p>
      <w:pPr>
        <w:pStyle w:val="TextBody"/>
        <w:bidi w:val="0"/>
        <w:spacing w:lineRule="auto" w:line="288" w:before="0" w:after="180"/>
        <w:jc w:val="left"/>
        <w:rPr/>
      </w:pPr>
      <w:r>
        <w:rPr>
          <w:rFonts w:ascii="Arial;sans-serif" w:hAnsi="Arial;sans-serif"/>
          <w:b/>
          <w:color w:val="0066CC"/>
          <w:sz w:val="20"/>
        </w:rPr>
        <w:t>Revenue Recognition</w:t>
      </w:r>
      <w:r>
        <w:rPr>
          <w:color w:val="0000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recognizes revenue when control of the promised goods or services is transferred to its customers, in an amount that reflects the consideration that the Company expects to receive in exchange for those goods or services.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contracts with customers often include promises to transfer multiple products and services to a customer. Determining whether products and services are considered distinct performance obligations that should be accounted for separately, versus together, may require judgment. Typically, the Company’s contracts include performance obligation(s) to stand-ready on a daily or monthly basis to provide services to the customers. Under a stand-ready obligation, the evaluation of the nature of our performance obligation is focused on each time increment rather than the underlying activities. Accordingly, the promise to stand-ready is accounted for as a single-series performance obligation.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Once the Company determines the performance obligations, the Company determines the transaction price, which is based on fixed and/or variable consideration. Typical forms of variable consideration include variable pricing based on the number of transactions processed or usage-based pricing arrangements. Variable consideration is also present in the form of volume discounts, tiered and declining pricing, penalties for service level agreements, performance bonuses and credits. In circumstances where the Company meets certain requirements to allocate variable consideration to a distinct service within a series of related services, it allocates variable consideration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16280"/>
                <wp:effectExtent l="0" t="0" r="0" b="0"/>
                <wp:wrapNone/>
                <wp:docPr id="63" name="Frame6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each distinct period of service within the series. In limited circumstances, if the Company does not meet those requirements, it includes an estimate of variable consideration in the transaction price to the extent it is probable that a significant reversal of cumulative revenue recognized will not occur when the uncertainty is resolved. For contracts with multiple performance obligations, the transaction price is allocated to separate performance obligations on a relative standalone selling price basis. The Company generally determines standalone selling prices based on the prices charged to customers or by using expected cost plus a reasonable margin.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typically satisfies its performance obligations over time as the services are provided. A time-elapsed output method is used to measure progress because the nature of the Company’s promise is a stand-ready service and efforts are expended evenly throughout the period. In limited circumstances, such as contracts for implementation or development projects, the Company also uses a cost-to-cost based input method. The Company has determined that the above methods provide a faithful depiction of the transfer of services to the customer.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Estimates of revenue expected to be recognized in future periods exclude unexercised customer options to purchase additional services that do not represent material rights to the customer. Customer options that do not represent a material right are only accounted for when the customer exercises its option to purchase additional goods or services. The Company recognizes revenue for non-refundable upfront implementation fees on a straight-line basis over the period between the initiation of the services through the end of the contract term.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When more than one party is involved in providing services to a customer, the Company evaluates whether it is the principal, and reports revenue on a gross basis, or an agent, and reports revenue on a net basis. In this assessment, the Company considers the following: if it obtains control of the specified services before they are transferred to the customer; is primarily responsible for fulfillment and inventory risk; and has discretion in establishing price.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reports revenue net of any revenue-based taxes assessed by governmental authorities that are imposed on and concurrent with specific revenue-producing transactions. The primary revenue-based taxes are sales tax and value-added tax ("VAT").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payment terms vary by type of services offered. The time between invoicing and when payment is due is not significant. For certain services and customer types, the Company requires payment before services are rendered.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From time to time, the Company's contracts are modified to account for additions or changes to existing performance obligations. The Company's contract modifications related to stand-ready performance obligations are generally accounted for prospectively.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2 – Revenue for further discussion.</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Costs to Obtain and Fulfill a Contract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capitalizes commission expenses paid to internal sales personnel that are incremental costs related to obtaining customer contracts. These costs are recorded as Deferred contract costs, net. The judgments made in determining the costs to be capitalized include whether the commissions are incremental and directly related to a successful acquisition of a customer contract. Capitalized costs are amortized within Depreciation and amortization over the term of the contract or the estimated life of the customer relationship if renewals are expected and the renewal commission is not commensurate with the initial commission. Sales commissions are expensed as incurred if the amortization period is one year or less. In addition, the Company may provide inducement payments to secure customer contracts. These inducement payments are capitalized and amortized as a reduction of revenue over the term of the customer contract.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also capitalizes costs incurred to fulfill its contracts that (i) relate directly to the contract, (ii) are expected to generate resources that will be used to satisfy the Company’s performance obligation under the contract and (iii) are expected to be recovered through revenue generated under the contract. These costs primarily consist of set-up and transition activities and are included in Deferred contract costs, net. Contract fulfillment costs are amortized within Depreciation and amortization on a systematic basis over the expected period of benefit as the Company satisfies its performance obligations by transferring services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16280"/>
                <wp:effectExtent l="0" t="0" r="0" b="0"/>
                <wp:wrapNone/>
                <wp:docPr id="64" name="Frame6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Deferred contract costs are reviewed for recoverability annually or whenever an event occurs that indicates that the capitalized contract costs may no longer be recoverable.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2 – Revenue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2 – Revenue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Disaggregation of 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contracts with customers are broadly similar in nature throughout the Company's major service offerings. The following is a description of the major service offerings:</w:t>
      </w:r>
    </w:p>
    <w:p>
      <w:pPr>
        <w:pStyle w:val="TextBody"/>
        <w:bidi w:val="0"/>
        <w:spacing w:lineRule="auto" w:line="288" w:before="0" w:after="180"/>
        <w:jc w:val="left"/>
        <w:rPr/>
      </w:pPr>
      <w:r>
        <w:rPr>
          <w:rFonts w:ascii="Arial;sans-serif" w:hAnsi="Arial;sans-serif"/>
          <w:b/>
          <w:color w:val="3051F2"/>
          <w:sz w:val="20"/>
        </w:rPr>
        <w:t>Customer Experience Management:</w:t>
      </w:r>
      <w:r>
        <w:rPr>
          <w:color w:val="000000"/>
        </w:rPr>
        <w:t xml:space="preserve"> </w:t>
      </w:r>
      <w:r>
        <w:rPr>
          <w:rFonts w:ascii="Arial;sans-serif" w:hAnsi="Arial;sans-serif"/>
          <w:b w:val="false"/>
          <w:color w:val="000000"/>
          <w:sz w:val="20"/>
        </w:rPr>
        <w:t>The Company delivers a full range of customer contact services including customer care, technical support, loyalty management, and outbound and inbound sales, handling many complex interactions and representing the brands of its clients. The Company creates better experiences across the customer lifecycle through a variety of channels including chat, email, voice and virtual agent to help customers where and how they want to engage. Through omni-channel communications, automation and analytics, as well as labor efficiencies, the Company helps its clients drive revenue growth, enable scale, and gain cost reductions and other operational efficiencies. The Company serves marquee clients across multiple sectors, including the financial services, healthcare and life sciences, logistics, technology, telecom, travel and hospitality sectors, helping to resolve complex issues for their customers with empathy and effectiveness.</w:t>
      </w:r>
    </w:p>
    <w:p>
      <w:pPr>
        <w:pStyle w:val="TextBody"/>
        <w:bidi w:val="0"/>
        <w:spacing w:lineRule="auto" w:line="288" w:before="0" w:after="180"/>
        <w:jc w:val="left"/>
        <w:rPr/>
      </w:pPr>
      <w:r>
        <w:rPr>
          <w:rFonts w:ascii="Arial;sans-serif" w:hAnsi="Arial;sans-serif"/>
          <w:b/>
          <w:color w:val="3051F2"/>
          <w:sz w:val="20"/>
        </w:rPr>
        <w:t>Business Process as a Service ("BPaaS"):</w:t>
      </w:r>
      <w:r>
        <w:rPr>
          <w:color w:val="000000"/>
        </w:rPr>
        <w:t xml:space="preserve"> </w:t>
      </w:r>
      <w:r>
        <w:rPr>
          <w:rFonts w:ascii="Arial;sans-serif" w:hAnsi="Arial;sans-serif"/>
          <w:b w:val="false"/>
          <w:color w:val="000000"/>
          <w:sz w:val="20"/>
        </w:rPr>
        <w:t>The Company helps its clients digitally transform business processes and drive efficiency, automation and scale across essential business functions. The Company streamlines client operations through its deep industry experience, understanding of its clients’ needs and the latest technology solutions to reduce costs, improve security, performance and accuracy, and enable revenue growth, while enhancing the end-user experience. The Company's portfolio of BPaaS solutions spans payment integrity, finance, accounting, and procurement, human capital, legal and compliance, and bank and lending.</w:t>
      </w:r>
    </w:p>
    <w:p>
      <w:pPr>
        <w:pStyle w:val="TextBody"/>
        <w:bidi w:val="0"/>
        <w:spacing w:lineRule="auto" w:line="288" w:before="0" w:after="180"/>
        <w:jc w:val="left"/>
        <w:rPr/>
      </w:pPr>
      <w:r>
        <w:rPr>
          <w:rFonts w:ascii="Arial;sans-serif" w:hAnsi="Arial;sans-serif"/>
          <w:b/>
          <w:color w:val="3051F2"/>
          <w:sz w:val="20"/>
        </w:rPr>
        <w:t>Integrated Digital Solutions:</w:t>
      </w:r>
      <w:r>
        <w:rPr>
          <w:color w:val="000000"/>
        </w:rPr>
        <w:t xml:space="preserve"> </w:t>
      </w:r>
      <w:r>
        <w:rPr>
          <w:rFonts w:ascii="Arial;sans-serif" w:hAnsi="Arial;sans-serif"/>
          <w:b w:val="false"/>
          <w:color w:val="000000"/>
          <w:sz w:val="20"/>
        </w:rPr>
        <w:t>The Company drives efficiencies for clients with more digitized processes across the customer and document lifecycle through automation, data analytics and AI-powered solutions. This helps to shorten decision-making time on items like claims and applications while lowering costs, reducing manual effort, improving data accuracy, providing omnichannel communications and enhancing the overall customer experience. The Company's solutions span: document and claims processing; health plan administration; scanning and digitization of mailrooms, data and documents; omnichannel digital and physical communications, including print and mail and solutions focused specifically in the pharmaceutical and banking industries.</w:t>
      </w:r>
    </w:p>
    <w:p>
      <w:pPr>
        <w:pStyle w:val="TextBody"/>
        <w:bidi w:val="0"/>
        <w:spacing w:lineRule="auto" w:line="288" w:before="0" w:after="180"/>
        <w:jc w:val="left"/>
        <w:rPr/>
      </w:pPr>
      <w:r>
        <w:rPr>
          <w:rFonts w:ascii="Arial;sans-serif" w:hAnsi="Arial;sans-serif"/>
          <w:b/>
          <w:color w:val="3051F2"/>
          <w:sz w:val="20"/>
        </w:rPr>
        <w:t>Government Healthcare Solutions:</w:t>
      </w:r>
      <w:r>
        <w:rPr>
          <w:color w:val="000000"/>
        </w:rPr>
        <w:t xml:space="preserve"> </w:t>
      </w:r>
      <w:r>
        <w:rPr>
          <w:rFonts w:ascii="Arial;sans-serif" w:hAnsi="Arial;sans-serif"/>
          <w:b w:val="false"/>
          <w:color w:val="000000"/>
          <w:sz w:val="20"/>
        </w:rPr>
        <w:t>The Company provides program administration solutions for government healthcare programs with a range of innovative solutions such as Medicaid management, provider services, Medicaid business intelligence, pharmacy benefits management, eligibility and enrollment support, customer contact services, application processing, premium billing, and case management solutions.</w:t>
      </w:r>
    </w:p>
    <w:p>
      <w:pPr>
        <w:pStyle w:val="TextBody"/>
        <w:bidi w:val="0"/>
        <w:spacing w:lineRule="auto" w:line="288" w:before="0" w:after="180"/>
        <w:jc w:val="left"/>
        <w:rPr/>
      </w:pPr>
      <w:r>
        <w:rPr>
          <w:rFonts w:ascii="Arial;sans-serif" w:hAnsi="Arial;sans-serif"/>
          <w:b/>
          <w:color w:val="3051F2"/>
          <w:sz w:val="20"/>
        </w:rPr>
        <w:t>Government Services Solutions:</w:t>
      </w:r>
      <w:r>
        <w:rPr>
          <w:color w:val="000000"/>
        </w:rPr>
        <w:t xml:space="preserve"> </w:t>
      </w:r>
      <w:r>
        <w:rPr>
          <w:rFonts w:ascii="Arial;sans-serif" w:hAnsi="Arial;sans-serif"/>
          <w:b w:val="false"/>
          <w:color w:val="000000"/>
          <w:sz w:val="20"/>
        </w:rPr>
        <w:t xml:space="preserve">The Company is a leader in government payment disbursements for federally sponsored programs including benefit card programs and payment card programs. Benefit card programs are closed loop solutions that support Supplemental Nutrition Assistance Program, Temporary Assistance for Needy Families and Women, Infants and Children. Payment card programs are open loop solutions that support child support and Unemployment Insurance. The Company also offers a broad set of child support services predominately to State Disbursement Units, including processing and distributing payments, child support payment cards, childcare credentialing and case management, among others, to help states comply with federal standards. </w:t>
      </w:r>
    </w:p>
    <w:p>
      <w:pPr>
        <w:pStyle w:val="TextBody"/>
        <w:bidi w:val="0"/>
        <w:spacing w:lineRule="auto" w:line="288" w:before="0" w:after="180"/>
        <w:jc w:val="left"/>
        <w:rPr/>
      </w:pPr>
      <w:r>
        <w:rPr>
          <w:rFonts w:ascii="Arial;sans-serif" w:hAnsi="Arial;sans-serif"/>
          <w:b/>
          <w:color w:val="3051F2"/>
          <w:sz w:val="20"/>
        </w:rPr>
        <w:t xml:space="preserve">Road Usage Charging and Management Services: </w:t>
      </w:r>
      <w:r>
        <w:rPr>
          <w:rFonts w:ascii="Arial;sans-serif" w:hAnsi="Arial;sans-serif"/>
          <w:b w:val="false"/>
          <w:color w:val="000000"/>
          <w:sz w:val="20"/>
        </w:rPr>
        <w:t xml:space="preserve">The Company's electronic tolling, urban congestion management and mileage-based user solutions help its clients accurately assess and collect payments millions of times every day to generate revenue for infrastructure improvements. The Company's solutions include vehicle passenger detection systems, electronic toll collection, automated license plate recognition and congestion management solutions. </w:t>
      </w:r>
    </w:p>
    <w:p>
      <w:pPr>
        <w:pStyle w:val="TextBody"/>
        <w:bidi w:val="0"/>
        <w:spacing w:lineRule="auto" w:line="288" w:before="0" w:after="180"/>
        <w:jc w:val="left"/>
        <w:rPr/>
      </w:pPr>
      <w:r>
        <w:rPr>
          <w:rFonts w:ascii="Arial;sans-serif" w:hAnsi="Arial;sans-serif"/>
          <w:b/>
          <w:color w:val="3051F2"/>
          <w:sz w:val="20"/>
        </w:rPr>
        <w:t>Transit Solutions:</w:t>
      </w:r>
      <w:r>
        <w:rPr>
          <w:color w:val="000000"/>
        </w:rPr>
        <w:t xml:space="preserve"> </w:t>
      </w:r>
      <w:r>
        <w:rPr>
          <w:rFonts w:ascii="Arial;sans-serif" w:hAnsi="Arial;sans-serif"/>
          <w:b w:val="false"/>
          <w:color w:val="000000"/>
          <w:sz w:val="20"/>
        </w:rPr>
        <w:t xml:space="preserve">For train, bus, subway, metro and other transit travelers, the Company helps make journeys more personalized and convenient while increasing fare collections for authorities and agencies. The Company combines fare collection, account-based ticketing and intelligent mobility to provide clients with the added efficiency of a single point of management for all transit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16280"/>
                <wp:effectExtent l="0" t="0" r="0" b="0"/>
                <wp:wrapNone/>
                <wp:docPr id="65" name="Frame6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color w:val="3051F2"/>
          <w:sz w:val="20"/>
        </w:rPr>
        <w:t>Commercial Vehicles:</w:t>
      </w:r>
      <w:r>
        <w:rPr>
          <w:color w:val="000000"/>
        </w:rPr>
        <w:t xml:space="preserve"> </w:t>
      </w:r>
      <w:r>
        <w:rPr>
          <w:rFonts w:ascii="Arial;sans-serif" w:hAnsi="Arial;sans-serif"/>
          <w:b w:val="false"/>
          <w:color w:val="000000"/>
          <w:sz w:val="20"/>
        </w:rPr>
        <w:t>The Company provides computer-aided dispatch/automatic vehicle location technology to help clients manage their fleet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2025, the Company updated the presentation of disaggregated revenue by major service offering within the Commercial segment. This change had no impact on disaggregated revenue by reportable segment or the timing of revenue recognition. All prior periods presented have been revised to reflect this 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about disaggregated revenue by major service offering and reportable segment and the timing of revenue recognition. Refer to Note 3 – Segment Reporting for additional information on the Company's reportable segments. </w:t>
      </w:r>
    </w:p>
    <w:tbl>
      <w:tblPr>
        <w:tblW w:w="7193" w:type="dxa"/>
        <w:jc w:val="center"/>
        <w:tblInd w:w="0" w:type="dxa"/>
        <w:tblLayout w:type="fixed"/>
        <w:tblCellMar>
          <w:top w:w="28" w:type="dxa"/>
          <w:left w:w="28" w:type="dxa"/>
          <w:bottom w:w="28" w:type="dxa"/>
          <w:right w:w="28" w:type="dxa"/>
        </w:tblCellMar>
      </w:tblPr>
      <w:tblGrid>
        <w:gridCol w:w="1298"/>
        <w:gridCol w:w="1132"/>
        <w:gridCol w:w="1154"/>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Experience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BPaaS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Integrated Digital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Healthcare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Services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Road Usage Charging &amp; Management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Transit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information about significant movements in contract assets (current and long-term):</w:t>
      </w:r>
    </w:p>
    <w:tbl>
      <w:tblPr>
        <w:tblW w:w="7897" w:type="dxa"/>
        <w:jc w:val="center"/>
        <w:tblInd w:w="0" w:type="dxa"/>
        <w:tblLayout w:type="fixed"/>
        <w:tblCellMar>
          <w:top w:w="28" w:type="dxa"/>
          <w:left w:w="28" w:type="dxa"/>
          <w:bottom w:w="28" w:type="dxa"/>
          <w:right w:w="28" w:type="dxa"/>
        </w:tblCellMar>
      </w:tblPr>
      <w:tblGrid>
        <w:gridCol w:w="1487"/>
        <w:gridCol w:w="1298"/>
        <w:gridCol w:w="1324"/>
        <w:gridCol w:w="109"/>
        <w:gridCol w:w="109"/>
        <w:gridCol w:w="109"/>
        <w:gridCol w:w="417"/>
        <w:gridCol w:w="896"/>
        <w:gridCol w:w="232"/>
        <w:gridCol w:w="109"/>
        <w:gridCol w:w="109"/>
        <w:gridCol w:w="109"/>
        <w:gridCol w:w="402"/>
        <w:gridCol w:w="868"/>
        <w:gridCol w:w="319"/>
      </w:tblGrid>
      <w:tr>
        <w:trPr/>
        <w:tc>
          <w:tcPr>
            <w:tcW w:w="148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contract assets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Billed and transferred to Accounts receivable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balance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w:t>
      </w:r>
    </w:p>
    <w:p>
      <w:pPr>
        <w:pStyle w:val="TextBody"/>
        <w:bidi w:val="0"/>
        <w:spacing w:lineRule="auto" w:line="288" w:before="0" w:after="18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Of which $6 million and $3 million are included in Other long-term assets as of December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16280"/>
                <wp:effectExtent l="0" t="0" r="0" b="0"/>
                <wp:wrapNone/>
                <wp:docPr id="66" name="Frame6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provides information about significant movements in contract liability balances (current and long-term):</w:t>
      </w:r>
    </w:p>
    <w:tbl>
      <w:tblPr>
        <w:tblW w:w="7613" w:type="dxa"/>
        <w:jc w:val="center"/>
        <w:tblInd w:w="0" w:type="dxa"/>
        <w:tblLayout w:type="fixed"/>
        <w:tblCellMar>
          <w:top w:w="28" w:type="dxa"/>
          <w:left w:w="28" w:type="dxa"/>
          <w:bottom w:w="28" w:type="dxa"/>
          <w:right w:w="28" w:type="dxa"/>
        </w:tblCellMar>
      </w:tblPr>
      <w:tblGrid>
        <w:gridCol w:w="1384"/>
        <w:gridCol w:w="1208"/>
        <w:gridCol w:w="1233"/>
        <w:gridCol w:w="109"/>
        <w:gridCol w:w="109"/>
        <w:gridCol w:w="109"/>
        <w:gridCol w:w="417"/>
        <w:gridCol w:w="896"/>
        <w:gridCol w:w="232"/>
        <w:gridCol w:w="109"/>
        <w:gridCol w:w="109"/>
        <w:gridCol w:w="109"/>
        <w:gridCol w:w="402"/>
        <w:gridCol w:w="868"/>
        <w:gridCol w:w="319"/>
      </w:tblGrid>
      <w:tr>
        <w:trPr/>
        <w:tc>
          <w:tcPr>
            <w:tcW w:w="138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deferral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Revenue recognized related to deferral of income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balance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w:t>
      </w:r>
    </w:p>
    <w:p>
      <w:pPr>
        <w:pStyle w:val="TextBody"/>
        <w:bidi w:val="0"/>
        <w:spacing w:lineRule="auto" w:line="288" w:before="0" w:after="6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Of which $94 million and $92 million were recognized during the years ended December 31, 2025 and 2024, respectively, that related to the Company's contract liabilities as of December 31, 2024 and 2023, respectively. </w:t>
      </w:r>
    </w:p>
    <w:p>
      <w:pPr>
        <w:pStyle w:val="TextBody"/>
        <w:bidi w:val="0"/>
        <w:spacing w:lineRule="auto" w:line="288" w:before="0" w:after="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xml:space="preserve">Of which $69 million and $52 million are included in Long-term contract liabilities as of December 31, 2025 and 2024, respectively.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Transaction Price Allocated to the Remaining Performance Obligations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Estimated revenue expected to be recognized in the future related to performance obligations that are unsatisfied or partially satisfied at December 31, 2025, was approximately $1.3 billion. The Company expects to recognize approximately 75% of this revenue over the next 2 years and the remainder thereafter.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Costs to Obtain and Fulfill a Contract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shows the net book value of the capitalized costs to obtain and fulfill a contract:</w:t>
      </w:r>
    </w:p>
    <w:tbl>
      <w:tblPr>
        <w:tblW w:w="5783" w:type="dxa"/>
        <w:jc w:val="left"/>
        <w:tblInd w:w="0" w:type="dxa"/>
        <w:tblLayout w:type="fixed"/>
        <w:tblCellMar>
          <w:top w:w="28" w:type="dxa"/>
          <w:left w:w="28" w:type="dxa"/>
          <w:bottom w:w="28" w:type="dxa"/>
          <w:right w:w="28" w:type="dxa"/>
        </w:tblCellMar>
      </w:tblPr>
      <w:tblGrid>
        <w:gridCol w:w="724"/>
        <w:gridCol w:w="633"/>
        <w:gridCol w:w="638"/>
        <w:gridCol w:w="109"/>
        <w:gridCol w:w="109"/>
        <w:gridCol w:w="109"/>
        <w:gridCol w:w="475"/>
        <w:gridCol w:w="804"/>
        <w:gridCol w:w="266"/>
        <w:gridCol w:w="109"/>
        <w:gridCol w:w="109"/>
        <w:gridCol w:w="109"/>
        <w:gridCol w:w="456"/>
        <w:gridCol w:w="772"/>
        <w:gridCol w:w="361"/>
      </w:tblGrid>
      <w:tr>
        <w:trPr/>
        <w:tc>
          <w:tcPr>
            <w:tcW w:w="7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to obtain a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to fulfill a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The amortization of costs incurred to obtain and fulfill a contract, excluding contract inducements, for the years ended December 31, 2025, 2024 and 2023 were $53 million, $40 million and $40 million, respectively. The balances at December 31, 2025 and 2024 are expected to be amortized over a weighted average remaining life of approximately 4 and 3 years, respectively.</w:t>
      </w:r>
    </w:p>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The expected amortization expense for the next five years and thereafter for the costs to obtain and fulfill a contract is as follows (in millions):</w:t>
      </w:r>
    </w:p>
    <w:tbl>
      <w:tblPr>
        <w:tblW w:w="5656" w:type="dxa"/>
        <w:jc w:val="center"/>
        <w:tblInd w:w="0" w:type="dxa"/>
        <w:tblLayout w:type="fixed"/>
        <w:tblCellMar>
          <w:top w:w="28" w:type="dxa"/>
          <w:left w:w="28" w:type="dxa"/>
          <w:bottom w:w="28" w:type="dxa"/>
          <w:right w:w="28" w:type="dxa"/>
        </w:tblCellMar>
      </w:tblPr>
      <w:tblGrid>
        <w:gridCol w:w="211"/>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241"/>
        <w:gridCol w:w="109"/>
        <w:gridCol w:w="109"/>
        <w:gridCol w:w="109"/>
        <w:gridCol w:w="109"/>
        <w:gridCol w:w="263"/>
        <w:gridCol w:w="445"/>
        <w:gridCol w:w="208"/>
      </w:tblGrid>
      <w:tr>
        <w:trPr/>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Thereafter</w:t>
            </w:r>
          </w:p>
        </w:tc>
      </w:tr>
      <w:tr>
        <w:trPr/>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The net book value of contract inducement costs was $5 million and $8 million as of December 31, 2025 and 2024, respectively. The net book value of costs to obtain and fulfill a contract are referred to as Deferred contract costs, net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Note 3 – Segment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Divestitures includes the results of the Company's BenefitWallet Portfolio, Curbside Management and Public Safety Solutions businesses and Casualty Claims business, each of which was divested in 2024. Refer to Note 4 – Divestitures for additional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CODM evaluates the Company's financial performance based on Segment profit (loss) for its three reportable segments - Commercial, Government and Transportation.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16280"/>
                <wp:effectExtent l="0" t="0" r="0" b="0"/>
                <wp:wrapNone/>
                <wp:docPr id="67" name="Frame6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CODM does not evaluate operating segments using discrete asset information as a significant portion of the assets is managed at the total company level.</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Commercial:</w:t>
      </w:r>
      <w:r>
        <w:rPr>
          <w:color w:val="000000"/>
        </w:rPr>
        <w:t xml:space="preserve"> </w:t>
      </w:r>
      <w:r>
        <w:rPr>
          <w:rFonts w:ascii="Arial;sans-serif" w:hAnsi="Arial;sans-serif"/>
          <w:b w:val="false"/>
          <w:color w:val="000000"/>
          <w:sz w:val="20"/>
        </w:rPr>
        <w:t>The Commercial segment provides business process services that span its clients' businesses end-to-end from the front-office to the back-office for a variety of commercial industries. These solutions are both cross-industry and industry-specific in nature.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 xml:space="preserve">Government: </w:t>
      </w:r>
      <w:r>
        <w:rPr>
          <w:rFonts w:ascii="Arial;sans-serif" w:hAnsi="Arial;sans-serif"/>
          <w:b w:val="false"/>
          <w:color w:val="000000"/>
          <w:sz w:val="20"/>
        </w:rPr>
        <w:t>The Government segment provides government-centric business process services and solutions to U.S. federal, state, local and foreign governments for public assistance, healthcare program administration, transaction processing, eligibility and enrollment processing, payment services and case management. In this segment, the Company helps governments respond to changing rules for eligibility and keep pace with increasing citizen expectations, modernize legacy technology systems, combat benefits fraud and adapt to an evolving regulatory environment.</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 xml:space="preserve">Transportation: </w:t>
      </w:r>
      <w:r>
        <w:rPr>
          <w:rFonts w:ascii="Arial;sans-serif" w:hAnsi="Arial;sans-serif"/>
          <w:b w:val="false"/>
          <w:color w:val="000000"/>
          <w:sz w:val="20"/>
        </w:rPr>
        <w:t>The Transportation segment provides government agencies and transportation authorities around the world with 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the Company's solutions help reduce congestion and greenhouse emissions, while creating seamless travel experiences for consumers throughout transportation ecosystems.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16280"/>
                <wp:effectExtent l="0" t="0" r="0" b="0"/>
                <wp:wrapNone/>
                <wp:docPr id="68" name="Frame6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revenues, expenses and segment profit (loss) for the Company's reportable segments:</w:t>
      </w:r>
    </w:p>
    <w:tbl>
      <w:tblPr>
        <w:tblW w:w="8773" w:type="dxa"/>
        <w:jc w:val="left"/>
        <w:tblInd w:w="0" w:type="dxa"/>
        <w:tblLayout w:type="fixed"/>
        <w:tblCellMar>
          <w:top w:w="28" w:type="dxa"/>
          <w:left w:w="28" w:type="dxa"/>
          <w:bottom w:w="28" w:type="dxa"/>
          <w:right w:w="28" w:type="dxa"/>
        </w:tblCellMar>
      </w:tblPr>
      <w:tblGrid>
        <w:gridCol w:w="1072"/>
        <w:gridCol w:w="935"/>
        <w:gridCol w:w="948"/>
        <w:gridCol w:w="109"/>
        <w:gridCol w:w="109"/>
        <w:gridCol w:w="109"/>
        <w:gridCol w:w="222"/>
        <w:gridCol w:w="630"/>
        <w:gridCol w:w="124"/>
        <w:gridCol w:w="109"/>
        <w:gridCol w:w="109"/>
        <w:gridCol w:w="109"/>
        <w:gridCol w:w="232"/>
        <w:gridCol w:w="659"/>
        <w:gridCol w:w="130"/>
        <w:gridCol w:w="109"/>
        <w:gridCol w:w="109"/>
        <w:gridCol w:w="109"/>
        <w:gridCol w:w="316"/>
        <w:gridCol w:w="679"/>
        <w:gridCol w:w="176"/>
        <w:gridCol w:w="109"/>
        <w:gridCol w:w="109"/>
        <w:gridCol w:w="109"/>
        <w:gridCol w:w="109"/>
        <w:gridCol w:w="109"/>
        <w:gridCol w:w="109"/>
        <w:gridCol w:w="109"/>
        <w:gridCol w:w="196"/>
        <w:gridCol w:w="556"/>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w:t>
            </w:r>
            <w:r>
              <w:rPr>
                <w:rFonts w:ascii="Arial;sans-serif" w:hAnsi="Arial;sans-serif"/>
                <w:b w:val="false"/>
                <w:color w:val="000000"/>
                <w:sz w:val="10"/>
              </w:rPr>
              <w:t>(1)</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60"/>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Total excludes Divestitures and Unallocated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16280"/>
                <wp:effectExtent l="0" t="0" r="0" b="0"/>
                <wp:wrapNone/>
                <wp:docPr id="69" name="Frame6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 operating expense shown above is primarily comprised of third-party legal fees and other miscellaneous expenses.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 reconciliation of Segment profit (loss) to Income (loss) before income taxes:</w:t>
      </w:r>
    </w:p>
    <w:tbl>
      <w:tblPr>
        <w:tblW w:w="7329" w:type="dxa"/>
        <w:jc w:val="left"/>
        <w:tblInd w:w="0" w:type="dxa"/>
        <w:tblLayout w:type="fixed"/>
        <w:tblCellMar>
          <w:top w:w="28" w:type="dxa"/>
          <w:left w:w="28" w:type="dxa"/>
          <w:bottom w:w="28" w:type="dxa"/>
          <w:right w:w="28" w:type="dxa"/>
        </w:tblCellMar>
      </w:tblPr>
      <w:tblGrid>
        <w:gridCol w:w="1441"/>
        <w:gridCol w:w="1261"/>
        <w:gridCol w:w="1273"/>
        <w:gridCol w:w="109"/>
        <w:gridCol w:w="109"/>
        <w:gridCol w:w="109"/>
        <w:gridCol w:w="196"/>
        <w:gridCol w:w="496"/>
        <w:gridCol w:w="109"/>
        <w:gridCol w:w="109"/>
        <w:gridCol w:w="109"/>
        <w:gridCol w:w="109"/>
        <w:gridCol w:w="196"/>
        <w:gridCol w:w="421"/>
        <w:gridCol w:w="109"/>
        <w:gridCol w:w="109"/>
        <w:gridCol w:w="109"/>
        <w:gridCol w:w="109"/>
        <w:gridCol w:w="196"/>
        <w:gridCol w:w="49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Divestitures profit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Unallocated costs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60"/>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Divestitures profit is Income (loss) before income taxes.</w:t>
      </w:r>
    </w:p>
    <w:p>
      <w:pPr>
        <w:pStyle w:val="TextBody"/>
        <w:bidi w:val="0"/>
        <w:spacing w:lineRule="auto" w:line="288" w:before="0" w:after="180"/>
        <w:ind w:left="0" w:right="0" w:hanging="360"/>
        <w:jc w:val="left"/>
        <w:rPr/>
      </w:pPr>
      <w:r>
        <w:rPr>
          <w:rFonts w:ascii="Arial;sans-serif" w:hAnsi="Arial;sans-serif"/>
          <w:b w:val="false"/>
          <w:i/>
          <w:color w:val="000000"/>
          <w:sz w:val="10"/>
        </w:rPr>
        <w:t>(2)    </w:t>
      </w:r>
      <w:r>
        <w:rPr>
          <w:rFonts w:ascii="Arial;sans-serif" w:hAnsi="Arial;sans-serif"/>
          <w:b w:val="false"/>
          <w:i/>
          <w:color w:val="000000"/>
          <w:sz w:val="16"/>
        </w:rPr>
        <w:t>Unallocated Costs includes IT infrastructure costs that are shared by multiple reportable segments, enterprise application costs and certain corporate overhead expenses not directly attributable or allocated to the reportable segments.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2 – Revenue for additional information on disaggregated revenues of the reportable segments.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 sales to an individual customer accounted for more than 10% of revenue for the years ended December 31, 2025, 2024 or 2023. Geographic area data is based upon the location of the subsidiary reporting the revenue or long-lived assets and is as follows for each of the years ended December 31:</w:t>
      </w:r>
    </w:p>
    <w:tbl>
      <w:tblPr>
        <w:tblW w:w="8955" w:type="dxa"/>
        <w:jc w:val="left"/>
        <w:tblInd w:w="0" w:type="dxa"/>
        <w:tblLayout w:type="fixed"/>
        <w:tblCellMar>
          <w:top w:w="28" w:type="dxa"/>
          <w:left w:w="28" w:type="dxa"/>
          <w:bottom w:w="28" w:type="dxa"/>
          <w:right w:w="28" w:type="dxa"/>
        </w:tblCellMar>
      </w:tblPr>
      <w:tblGrid>
        <w:gridCol w:w="1175"/>
        <w:gridCol w:w="1027"/>
        <w:gridCol w:w="1038"/>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Long-Lived Assets </w:t>
            </w:r>
            <w:r>
              <w:rPr>
                <w:rFonts w:ascii="Arial;sans-serif" w:hAnsi="Arial;sans-serif"/>
                <w:b w:val="false"/>
                <w:color w:val="000000"/>
                <w:sz w:val="10"/>
              </w:rPr>
              <w:t xml:space="preserve">(1)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areas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 and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(1)Long-lived assets are comprised of (i) Land, buildings and equipment, net, (ii) Internal use software, net, (iii) Product software, net and (iv) Operating lease right-of-use assets.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Note 4 – Divestitures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Divestiture of Casualty Claims Solutions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September 1, 2024, the Company completed the sale of its Casualty Claims Solutions business (collectively referred to as the "Casualty Disposal Group") to MedRisk. The Company received $224 million of cash consideration for this divestiture. In 2024, the Company recorded a gain on the sale of $194 million, which is recorded in Gain (loss) on divestitures and transaction costs, net. Additionally, the Company recorded $33 million of income tax expense related to this divestiture. The revenue generated by the Casualty Disposal Group was $100 million and $146 million for the years ended December 31, 2024 and 2023, respectively.</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Divestiture of Curbside Management and Public Safety Solutions Businesses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April 30, 2024, Conduent completed the sale of its Curbside Management and Public Safety Solutions businesses (collectively referred to as the "Curbside Disposal Group") to Modaxo, a division of Constellation Software Inc. The Company received $181 million of cash consideration and a $50 million non-interest bearing note payable to the Company that was due and paid on April 30, 2025. Additionally, the Company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16280"/>
                <wp:effectExtent l="0" t="0" r="0" b="0"/>
                <wp:wrapNone/>
                <wp:docPr id="70" name="Frame6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reimbursement for payments made by the Company related to finance lease liabilities and related costs and the reimbursement for the purchase of certain equipment made by the Company on the buyer's behalf. In 2024, the Company recorded a gain on the sale of $103 million, which is recorded in Gain (loss) on divestitures and transaction costs, net. The Company recorded $28 million of income tax expense in connection with the divestiture. The revenue generated by the Curbside Disposal Group was $50 million and $137 million for the years ended December 31, 2024 and 2023, respectively.</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Transfer of BenefitWallet Portfolio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September 2023, the Company entered into a Custodial Transfer and Asset Purchase Agreement to transfer its BenefitWallet health savings account and medical savings account portfolio (collectively, the "BenefitWallet Portfolio") to HealthEquity, Inc. The transfer of the BenefitWallet Portfolio closed in multiple tranches from March to May 2024 and the Company received aggregate cash consideration of $425 million as the tranches closed. The Company recorded a gain on the transfer of $425 million, which is recorded in Gain (loss) on divestitures and transaction costs, net. The Company recorded $102 million of income tax expense in connection with the transfer of the BenefitWallet Portfolio. The revenue generated by the BenefitWallet Portfolio was $30 million and $118 million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5 - Land, Buildings, Equipment and Software, Net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Land, buildings and equipment, net was as follows:</w:t>
      </w:r>
    </w:p>
    <w:tbl>
      <w:tblPr>
        <w:tblW w:w="7172" w:type="dxa"/>
        <w:jc w:val="left"/>
        <w:tblInd w:w="0" w:type="dxa"/>
        <w:tblLayout w:type="fixed"/>
        <w:tblCellMar>
          <w:top w:w="28" w:type="dxa"/>
          <w:left w:w="28" w:type="dxa"/>
          <w:bottom w:w="28" w:type="dxa"/>
          <w:right w:w="28" w:type="dxa"/>
        </w:tblCellMar>
      </w:tblPr>
      <w:tblGrid>
        <w:gridCol w:w="1060"/>
        <w:gridCol w:w="927"/>
        <w:gridCol w:w="938"/>
        <w:gridCol w:w="109"/>
        <w:gridCol w:w="109"/>
        <w:gridCol w:w="109"/>
        <w:gridCol w:w="589"/>
        <w:gridCol w:w="589"/>
        <w:gridCol w:w="591"/>
        <w:gridCol w:w="109"/>
        <w:gridCol w:w="109"/>
        <w:gridCol w:w="109"/>
        <w:gridCol w:w="196"/>
        <w:gridCol w:w="421"/>
        <w:gridCol w:w="109"/>
        <w:gridCol w:w="109"/>
        <w:gridCol w:w="109"/>
        <w:gridCol w:w="109"/>
        <w:gridCol w:w="196"/>
        <w:gridCol w:w="4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and building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25 to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other equipment and office furniture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 to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Depreciation expense for the years ended December 31, 2025, 2024 and 2023 was $73 million, $80 million and $102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16280"/>
                <wp:effectExtent l="0" t="0" r="0" b="0"/>
                <wp:wrapNone/>
                <wp:docPr id="71" name="Frame7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Internal Use and Product Software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Internal use and Product software are included in Other long-term assets on the Company's Consolidated Balance Sheets. Additions to Internal use and Product software as well as year-end balances for these assets were as follows:</w:t>
      </w:r>
    </w:p>
    <w:tbl>
      <w:tblPr>
        <w:tblW w:w="4584" w:type="dxa"/>
        <w:jc w:val="left"/>
        <w:tblInd w:w="0" w:type="dxa"/>
        <w:tblLayout w:type="fixed"/>
        <w:tblCellMar>
          <w:top w:w="28" w:type="dxa"/>
          <w:left w:w="28" w:type="dxa"/>
          <w:bottom w:w="28" w:type="dxa"/>
          <w:right w:w="28" w:type="dxa"/>
        </w:tblCellMar>
      </w:tblPr>
      <w:tblGrid>
        <w:gridCol w:w="599"/>
        <w:gridCol w:w="524"/>
        <w:gridCol w:w="527"/>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Additions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 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85" w:type="dxa"/>
        <w:jc w:val="left"/>
        <w:tblInd w:w="0" w:type="dxa"/>
        <w:tblLayout w:type="fixed"/>
        <w:tblCellMar>
          <w:top w:w="28" w:type="dxa"/>
          <w:left w:w="28" w:type="dxa"/>
          <w:bottom w:w="28" w:type="dxa"/>
          <w:right w:w="28" w:type="dxa"/>
        </w:tblCellMar>
      </w:tblPr>
      <w:tblGrid>
        <w:gridCol w:w="811"/>
        <w:gridCol w:w="709"/>
        <w:gridCol w:w="714"/>
        <w:gridCol w:w="109"/>
        <w:gridCol w:w="109"/>
        <w:gridCol w:w="109"/>
        <w:gridCol w:w="196"/>
        <w:gridCol w:w="421"/>
        <w:gridCol w:w="109"/>
        <w:gridCol w:w="109"/>
        <w:gridCol w:w="109"/>
        <w:gridCol w:w="109"/>
        <w:gridCol w:w="196"/>
        <w:gridCol w:w="421"/>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 use software,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Internal use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software,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Product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useful lives of the Company's Internal use software and enhancements range from one to five years. Product software is amortized over the shorter of: (i) four years; (ii) the expected economic life of the product; or (iii) the term of the associated customer contract. Amortization expense for Internal use and Product software for the years ended December 31, 2025, 2024 and 2023 was $67 million, $79 million and $114 million, respectively. The 2023 amount includes the write-off of capitalized software costs totaling $25 million, stemming from management’s decision to abandon an internal use software project and a decision by a customer to not implement a product software 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6 - Leases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entered non-cancelable operating and finance leases primarily for office space and equipment with lease terms that range from less than one year to 11 years.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lease costs were as follows:</w:t>
      </w:r>
    </w:p>
    <w:tbl>
      <w:tblPr>
        <w:tblW w:w="5618" w:type="dxa"/>
        <w:jc w:val="left"/>
        <w:tblInd w:w="0" w:type="dxa"/>
        <w:tblLayout w:type="fixed"/>
        <w:tblCellMar>
          <w:top w:w="28" w:type="dxa"/>
          <w:left w:w="28" w:type="dxa"/>
          <w:bottom w:w="28" w:type="dxa"/>
          <w:right w:w="28" w:type="dxa"/>
        </w:tblCellMar>
      </w:tblPr>
      <w:tblGrid>
        <w:gridCol w:w="942"/>
        <w:gridCol w:w="823"/>
        <w:gridCol w:w="829"/>
        <w:gridCol w:w="109"/>
        <w:gridCol w:w="109"/>
        <w:gridCol w:w="109"/>
        <w:gridCol w:w="196"/>
        <w:gridCol w:w="331"/>
        <w:gridCol w:w="109"/>
        <w:gridCol w:w="109"/>
        <w:gridCol w:w="109"/>
        <w:gridCol w:w="109"/>
        <w:gridCol w:w="196"/>
        <w:gridCol w:w="331"/>
        <w:gridCol w:w="109"/>
        <w:gridCol w:w="109"/>
        <w:gridCol w:w="109"/>
        <w:gridCol w:w="109"/>
        <w:gridCol w:w="196"/>
        <w:gridCol w:w="421"/>
        <w:gridCol w:w="154"/>
      </w:tblGrid>
      <w:tr>
        <w:trPr/>
        <w:tc>
          <w:tcPr>
            <w:tcW w:w="94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Finance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Variable lease costs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(1)Primarily related to taxes, insurance and common area and other maintenance costs for real estate leases.</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16280"/>
                <wp:effectExtent l="0" t="0" r="0" b="0"/>
                <wp:wrapNone/>
                <wp:docPr id="72" name="Frame7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cash flow information related to leases was as follows:</w:t>
      </w:r>
    </w:p>
    <w:tbl>
      <w:tblPr>
        <w:tblW w:w="10205" w:type="dxa"/>
        <w:jc w:val="center"/>
        <w:tblInd w:w="0" w:type="dxa"/>
        <w:tblLayout w:type="fixed"/>
        <w:tblCellMar>
          <w:top w:w="28" w:type="dxa"/>
          <w:left w:w="28" w:type="dxa"/>
          <w:bottom w:w="28" w:type="dxa"/>
          <w:right w:w="28" w:type="dxa"/>
        </w:tblCellMar>
      </w:tblPr>
      <w:tblGrid>
        <w:gridCol w:w="2634"/>
        <w:gridCol w:w="2298"/>
        <w:gridCol w:w="2337"/>
        <w:gridCol w:w="109"/>
        <w:gridCol w:w="109"/>
        <w:gridCol w:w="109"/>
        <w:gridCol w:w="196"/>
        <w:gridCol w:w="331"/>
        <w:gridCol w:w="109"/>
        <w:gridCol w:w="109"/>
        <w:gridCol w:w="109"/>
        <w:gridCol w:w="109"/>
        <w:gridCol w:w="196"/>
        <w:gridCol w:w="331"/>
        <w:gridCol w:w="109"/>
        <w:gridCol w:w="109"/>
        <w:gridCol w:w="109"/>
        <w:gridCol w:w="109"/>
        <w:gridCol w:w="196"/>
        <w:gridCol w:w="331"/>
        <w:gridCol w:w="156"/>
      </w:tblGrid>
      <w:tr>
        <w:trPr/>
        <w:tc>
          <w:tcPr>
            <w:tcW w:w="263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the amounts included in the measurement of lease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cash flow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non-cash information on right of use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balance sheet information related to leases was as follows:</w:t>
      </w:r>
    </w:p>
    <w:tbl>
      <w:tblPr>
        <w:tblW w:w="4851" w:type="dxa"/>
        <w:jc w:val="left"/>
        <w:tblInd w:w="0" w:type="dxa"/>
        <w:tblLayout w:type="fixed"/>
        <w:tblCellMar>
          <w:top w:w="28" w:type="dxa"/>
          <w:left w:w="28" w:type="dxa"/>
          <w:bottom w:w="28" w:type="dxa"/>
          <w:right w:w="28" w:type="dxa"/>
        </w:tblCellMar>
      </w:tblPr>
      <w:tblGrid>
        <w:gridCol w:w="976"/>
        <w:gridCol w:w="854"/>
        <w:gridCol w:w="870"/>
        <w:gridCol w:w="109"/>
        <w:gridCol w:w="109"/>
        <w:gridCol w:w="109"/>
        <w:gridCol w:w="196"/>
        <w:gridCol w:w="421"/>
        <w:gridCol w:w="109"/>
        <w:gridCol w:w="109"/>
        <w:gridCol w:w="109"/>
        <w:gridCol w:w="109"/>
        <w:gridCol w:w="196"/>
        <w:gridCol w:w="42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weighted average discount rates and weighted average remaining lease terms for operating and finance leases as of December 31, 2025 and 2024 were as follows:</w:t>
      </w:r>
    </w:p>
    <w:tbl>
      <w:tblPr>
        <w:tblW w:w="10205" w:type="dxa"/>
        <w:jc w:val="left"/>
        <w:tblInd w:w="0" w:type="dxa"/>
        <w:tblLayout w:type="fixed"/>
        <w:tblCellMar>
          <w:top w:w="28" w:type="dxa"/>
          <w:left w:w="28" w:type="dxa"/>
          <w:bottom w:w="28" w:type="dxa"/>
          <w:right w:w="28" w:type="dxa"/>
        </w:tblCellMar>
      </w:tblPr>
      <w:tblGrid>
        <w:gridCol w:w="1342"/>
        <w:gridCol w:w="1178"/>
        <w:gridCol w:w="1187"/>
        <w:gridCol w:w="320"/>
        <w:gridCol w:w="320"/>
        <w:gridCol w:w="760"/>
        <w:gridCol w:w="131"/>
        <w:gridCol w:w="131"/>
        <w:gridCol w:w="131"/>
        <w:gridCol w:w="289"/>
        <w:gridCol w:w="289"/>
        <w:gridCol w:w="687"/>
        <w:gridCol w:w="109"/>
        <w:gridCol w:w="109"/>
        <w:gridCol w:w="109"/>
        <w:gridCol w:w="320"/>
        <w:gridCol w:w="320"/>
        <w:gridCol w:w="760"/>
        <w:gridCol w:w="130"/>
        <w:gridCol w:w="130"/>
        <w:gridCol w:w="130"/>
        <w:gridCol w:w="275"/>
        <w:gridCol w:w="274"/>
        <w:gridCol w:w="77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Leases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Leases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Finance Leases</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rates</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(in years)</w:t>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16280"/>
                <wp:effectExtent l="0" t="0" r="0" b="0"/>
                <wp:wrapNone/>
                <wp:docPr id="73" name="Frame7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Maturities of operating and finance lease liabilities as of December 31, 2025 were as follows:</w:t>
      </w:r>
    </w:p>
    <w:tbl>
      <w:tblPr>
        <w:tblW w:w="7462" w:type="dxa"/>
        <w:jc w:val="center"/>
        <w:tblInd w:w="0" w:type="dxa"/>
        <w:tblLayout w:type="fixed"/>
        <w:tblCellMar>
          <w:top w:w="28" w:type="dxa"/>
          <w:left w:w="28" w:type="dxa"/>
          <w:bottom w:w="28" w:type="dxa"/>
          <w:right w:w="28" w:type="dxa"/>
        </w:tblCellMar>
      </w:tblPr>
      <w:tblGrid>
        <w:gridCol w:w="978"/>
        <w:gridCol w:w="852"/>
        <w:gridCol w:w="869"/>
        <w:gridCol w:w="109"/>
        <w:gridCol w:w="109"/>
        <w:gridCol w:w="109"/>
        <w:gridCol w:w="567"/>
        <w:gridCol w:w="1216"/>
        <w:gridCol w:w="317"/>
        <w:gridCol w:w="109"/>
        <w:gridCol w:w="109"/>
        <w:gridCol w:w="109"/>
        <w:gridCol w:w="578"/>
        <w:gridCol w:w="975"/>
        <w:gridCol w:w="456"/>
      </w:tblGrid>
      <w:tr>
        <w:trPr/>
        <w:tc>
          <w:tcPr>
            <w:tcW w:w="97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Lease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Finance Lease Payments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December 31, 2025, the Company entered into additional operating lease agreements for equipment for $6 million, real estate for $19 million and finance leases for equipment for $16 million which have not commenced and have not been recognized on the Company's Consolidated Balance Sheets. These leases are expected to commence in 2026 and 2027 with average lease terms of 4, 9 and 5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7 - Goodwill</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Goodwill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changes in the carrying amount of goodwill, by reportable segment:</w:t>
      </w:r>
    </w:p>
    <w:tbl>
      <w:tblPr>
        <w:tblW w:w="7841" w:type="dxa"/>
        <w:jc w:val="left"/>
        <w:tblInd w:w="0" w:type="dxa"/>
        <w:tblLayout w:type="fixed"/>
        <w:tblCellMar>
          <w:top w:w="28" w:type="dxa"/>
          <w:left w:w="28" w:type="dxa"/>
          <w:bottom w:w="28" w:type="dxa"/>
          <w:right w:w="28" w:type="dxa"/>
        </w:tblCellMar>
      </w:tblPr>
      <w:tblGrid>
        <w:gridCol w:w="891"/>
        <w:gridCol w:w="780"/>
        <w:gridCol w:w="788"/>
        <w:gridCol w:w="109"/>
        <w:gridCol w:w="109"/>
        <w:gridCol w:w="109"/>
        <w:gridCol w:w="222"/>
        <w:gridCol w:w="630"/>
        <w:gridCol w:w="124"/>
        <w:gridCol w:w="109"/>
        <w:gridCol w:w="109"/>
        <w:gridCol w:w="109"/>
        <w:gridCol w:w="232"/>
        <w:gridCol w:w="659"/>
        <w:gridCol w:w="130"/>
        <w:gridCol w:w="109"/>
        <w:gridCol w:w="109"/>
        <w:gridCol w:w="109"/>
        <w:gridCol w:w="316"/>
        <w:gridCol w:w="679"/>
        <w:gridCol w:w="176"/>
        <w:gridCol w:w="109"/>
        <w:gridCol w:w="109"/>
        <w:gridCol w:w="109"/>
        <w:gridCol w:w="196"/>
        <w:gridCol w:w="55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Transportation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2025 Impairment Testing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performed its annual goodwill impairment test as of October 1, 2025 for the Government reporting unit. This testing did not identify any goodwill impairment for the Government reporting unit and, accordingly, no impairment charge was recorded.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2024 Impairment Testing and Impairment Charge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part of its 2024 annual goodwill impairment testing, the Company identified a $28 million goodwill impairment for the Transportation reporting unit, which was primarily due to a reduction in projected cash flows from new customer contract signings and increased delivery costs. This represented a full impairment of goodwill for the Transportation reporting unit.</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2023 Impairment Charge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September 2023, the Company entered into a Custodial Transfer and Asset Purchase Agreement (the "Purchase Agreement") to transfer its BenefitWallet Portfolio, which was reported within the Company’s Commercial segment. Since the Purchase Agreement did not represent a disposition of a business, no goodwill was allocated to the BenefitWallet Portfolio related to this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16280"/>
                <wp:effectExtent l="0" t="0" r="0" b="0"/>
                <wp:wrapNone/>
                <wp:docPr id="74" name="Frame7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Consequently, the Purchase Agreement was identified as a triggering event for the Commercial reporting unit that required the Company to evaluate goodwill for impairment. This evaluation resulted in a full impairment of the Commercial reporting unit's goodwill, totaling $287 million. The impairment charge was primarily driven by the Purchase Agreement and was recognized in the third quarter of 2023.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fair values of the goodwill impairment charge were estimated based on a determination of the implied fair value of goodwill, leveraging the results from the Income Approach and Market Approach, and are designated as level 3 of the fair value hierarchy.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connection with the Commercial reporting unit impairment assessment, the Company first performed a recoverability assessment of long-lived assets and concluded that such assets were not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8 – Restructuring Programs and Related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Although the current program is substantially complete, management continues to evaluate the Company's businesses, and in the future, there may be additional provisions for new plan initiatives and/or changes in previously recorded estimates as payments are made, or actions are completed. Costs associated with restructuring are generally recognized when it has been determined that a liability has been incurred, upon communication to the affected employees or exit from the leased facility.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 summary of the Company's restructuring program activity in the table below for years ended December 31, 2025 and 2024 includes: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Severance and related costs - employee termination costs, which include severance, retraining and other related contractual benefits;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Contract termination and other costs - incremental, non-recurring costs related to the consolidation of the Company's data centers, costs associated with bringing certain technology functions in-house, costs related to the discontinuation of software service contracts and non-lease costs associated with exited lease facilities;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Asset impairments - non-cash impairments of operating lease right-of-use ("ROU") assets and associated leasehold improvements related to the reduction of the Company's real estate footprint.</w:t>
      </w:r>
    </w:p>
    <w:tbl>
      <w:tblPr>
        <w:tblW w:w="10205" w:type="dxa"/>
        <w:jc w:val="left"/>
        <w:tblInd w:w="0" w:type="dxa"/>
        <w:tblLayout w:type="fixed"/>
        <w:tblCellMar>
          <w:top w:w="28" w:type="dxa"/>
          <w:left w:w="28" w:type="dxa"/>
          <w:bottom w:w="28" w:type="dxa"/>
          <w:right w:w="28" w:type="dxa"/>
        </w:tblCellMar>
      </w:tblPr>
      <w:tblGrid>
        <w:gridCol w:w="895"/>
        <w:gridCol w:w="783"/>
        <w:gridCol w:w="787"/>
        <w:gridCol w:w="109"/>
        <w:gridCol w:w="109"/>
        <w:gridCol w:w="109"/>
        <w:gridCol w:w="602"/>
        <w:gridCol w:w="1018"/>
        <w:gridCol w:w="339"/>
        <w:gridCol w:w="109"/>
        <w:gridCol w:w="109"/>
        <w:gridCol w:w="109"/>
        <w:gridCol w:w="870"/>
        <w:gridCol w:w="1072"/>
        <w:gridCol w:w="488"/>
        <w:gridCol w:w="109"/>
        <w:gridCol w:w="109"/>
        <w:gridCol w:w="109"/>
        <w:gridCol w:w="374"/>
        <w:gridCol w:w="775"/>
        <w:gridCol w:w="208"/>
        <w:gridCol w:w="109"/>
        <w:gridCol w:w="109"/>
        <w:gridCol w:w="109"/>
        <w:gridCol w:w="196"/>
        <w:gridCol w:w="331"/>
        <w:gridCol w:w="159"/>
      </w:tblGrid>
      <w:tr>
        <w:trPr/>
        <w:tc>
          <w:tcPr>
            <w:tcW w:w="8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Net Current Period Charges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Net Current Period Charges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180"/>
        <w:ind w:left="0" w:right="0" w:hanging="360"/>
        <w:jc w:val="left"/>
        <w:rPr>
          <w:rFonts w:ascii="Arial;sans-serif" w:hAnsi="Arial;sans-serif"/>
          <w:b w:val="false"/>
          <w:i/>
          <w:color w:val="000000"/>
          <w:sz w:val="16"/>
        </w:rPr>
      </w:pPr>
      <w:r>
        <w:rPr>
          <w:rFonts w:ascii="Arial;sans-serif" w:hAnsi="Arial;sans-serif"/>
          <w:b w:val="false"/>
          <w:i/>
          <w:color w:val="000000"/>
          <w:sz w:val="16"/>
        </w:rPr>
        <w:t>(1)Represents amounts recognized within the Consolidated Statements of Income (Loss) for the years shown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restructuring and related costs are allocated to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16280"/>
                <wp:effectExtent l="0" t="0" r="0" b="0"/>
                <wp:wrapNone/>
                <wp:docPr id="75" name="Frame7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9 – Supplementary Financial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Other assets and Other liabilities were as follows:</w:t>
      </w:r>
    </w:p>
    <w:tbl>
      <w:tblPr>
        <w:tblW w:w="6065" w:type="dxa"/>
        <w:jc w:val="center"/>
        <w:tblInd w:w="0" w:type="dxa"/>
        <w:tblLayout w:type="fixed"/>
        <w:tblCellMar>
          <w:top w:w="28" w:type="dxa"/>
          <w:left w:w="28" w:type="dxa"/>
          <w:bottom w:w="28" w:type="dxa"/>
          <w:right w:w="28" w:type="dxa"/>
        </w:tblCellMar>
      </w:tblPr>
      <w:tblGrid>
        <w:gridCol w:w="1420"/>
        <w:gridCol w:w="1241"/>
        <w:gridCol w:w="1253"/>
        <w:gridCol w:w="109"/>
        <w:gridCol w:w="109"/>
        <w:gridCol w:w="109"/>
        <w:gridCol w:w="196"/>
        <w:gridCol w:w="421"/>
        <w:gridCol w:w="109"/>
        <w:gridCol w:w="109"/>
        <w:gridCol w:w="109"/>
        <w:gridCol w:w="109"/>
        <w:gridCol w:w="196"/>
        <w:gridCol w:w="421"/>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Value-added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receivables from buyers of divested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 to vendors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related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 use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10 – Debt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classifies its debt based on the contractual maturity dates of the underlying debt instruments. The Company defers costs associated with debt issuance over the applicable term. These costs are amortized as interest expense in the Consolidated Statements of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16280"/>
                <wp:effectExtent l="0" t="0" r="0" b="0"/>
                <wp:wrapNone/>
                <wp:docPr id="76" name="Frame7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Long-term debt was as follows:</w:t>
      </w:r>
    </w:p>
    <w:tbl>
      <w:tblPr>
        <w:tblW w:w="10205" w:type="dxa"/>
        <w:jc w:val="center"/>
        <w:tblInd w:w="0" w:type="dxa"/>
        <w:tblLayout w:type="fixed"/>
        <w:tblCellMar>
          <w:top w:w="28" w:type="dxa"/>
          <w:left w:w="28" w:type="dxa"/>
          <w:bottom w:w="28" w:type="dxa"/>
          <w:right w:w="28" w:type="dxa"/>
        </w:tblCellMar>
      </w:tblPr>
      <w:tblGrid>
        <w:gridCol w:w="1276"/>
        <w:gridCol w:w="1107"/>
        <w:gridCol w:w="1115"/>
        <w:gridCol w:w="109"/>
        <w:gridCol w:w="109"/>
        <w:gridCol w:w="109"/>
        <w:gridCol w:w="970"/>
        <w:gridCol w:w="970"/>
        <w:gridCol w:w="2285"/>
        <w:gridCol w:w="109"/>
        <w:gridCol w:w="109"/>
        <w:gridCol w:w="109"/>
        <w:gridCol w:w="196"/>
        <w:gridCol w:w="421"/>
        <w:gridCol w:w="109"/>
        <w:gridCol w:w="109"/>
        <w:gridCol w:w="109"/>
        <w:gridCol w:w="109"/>
        <w:gridCol w:w="196"/>
        <w:gridCol w:w="421"/>
        <w:gridCol w:w="158"/>
      </w:tblGrid>
      <w:tr>
        <w:trPr/>
        <w:tc>
          <w:tcPr>
            <w:tcW w:w="12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3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Weighted Average Interest Rates at December 31, 2025</w:t>
            </w:r>
            <w:r>
              <w:rPr>
                <w:rFonts w:ascii="Arial;sans-serif" w:hAnsi="Arial;sans-serif"/>
                <w:b w:val="false"/>
                <w:color w:val="000000"/>
                <w:sz w:val="10"/>
              </w:rPr>
              <w:t>(1)</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2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A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2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3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3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3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2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2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Principal Debt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 and unamortized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____________</w:t>
      </w:r>
    </w:p>
    <w:p>
      <w:pPr>
        <w:pStyle w:val="TextBody"/>
        <w:bidi w:val="0"/>
        <w:spacing w:lineRule="auto" w:line="288" w:before="0" w:after="0"/>
        <w:ind w:left="0" w:right="0" w:hanging="315"/>
        <w:jc w:val="left"/>
        <w:rPr>
          <w:rFonts w:ascii="Arial;sans-serif" w:hAnsi="Arial;sans-serif"/>
          <w:b w:val="false"/>
          <w:i/>
          <w:color w:val="000000"/>
          <w:sz w:val="16"/>
        </w:rPr>
      </w:pPr>
      <w:r>
        <w:rPr>
          <w:rFonts w:ascii="Arial;sans-serif" w:hAnsi="Arial;sans-serif"/>
          <w:b w:val="false"/>
          <w:i/>
          <w:color w:val="000000"/>
          <w:sz w:val="16"/>
        </w:rPr>
        <w:t>(1)Represents weighted average effective interest rate which includes the effect of discounts and debt issuance costs on issued debt.</w:t>
      </w:r>
    </w:p>
    <w:p>
      <w:pPr>
        <w:pStyle w:val="TextBody"/>
        <w:bidi w:val="0"/>
        <w:spacing w:before="0" w:after="0"/>
        <w:ind w:left="0" w:right="0" w:hanging="45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At December 31, 2025, the Company was in compliance with all debt covenants related to the borrowings in the table above.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Scheduled principal payments due on long-term debt for the next five years (in millions) were as follows:</w:t>
      </w:r>
    </w:p>
    <w:tbl>
      <w:tblPr>
        <w:tblW w:w="7107" w:type="dxa"/>
        <w:jc w:val="center"/>
        <w:tblInd w:w="0" w:type="dxa"/>
        <w:tblLayout w:type="fixed"/>
        <w:tblCellMar>
          <w:top w:w="28" w:type="dxa"/>
          <w:left w:w="28" w:type="dxa"/>
          <w:bottom w:w="28" w:type="dxa"/>
          <w:right w:w="28" w:type="dxa"/>
        </w:tblCellMar>
      </w:tblPr>
      <w:tblGrid>
        <w:gridCol w:w="211"/>
        <w:gridCol w:w="331"/>
        <w:gridCol w:w="109"/>
        <w:gridCol w:w="109"/>
        <w:gridCol w:w="109"/>
        <w:gridCol w:w="109"/>
        <w:gridCol w:w="196"/>
        <w:gridCol w:w="331"/>
        <w:gridCol w:w="109"/>
        <w:gridCol w:w="109"/>
        <w:gridCol w:w="109"/>
        <w:gridCol w:w="109"/>
        <w:gridCol w:w="196"/>
        <w:gridCol w:w="421"/>
        <w:gridCol w:w="109"/>
        <w:gridCol w:w="109"/>
        <w:gridCol w:w="109"/>
        <w:gridCol w:w="109"/>
        <w:gridCol w:w="196"/>
        <w:gridCol w:w="421"/>
        <w:gridCol w:w="109"/>
        <w:gridCol w:w="109"/>
        <w:gridCol w:w="109"/>
        <w:gridCol w:w="109"/>
        <w:gridCol w:w="196"/>
        <w:gridCol w:w="241"/>
        <w:gridCol w:w="109"/>
        <w:gridCol w:w="109"/>
        <w:gridCol w:w="109"/>
        <w:gridCol w:w="109"/>
        <w:gridCol w:w="240"/>
        <w:gridCol w:w="497"/>
        <w:gridCol w:w="134"/>
        <w:gridCol w:w="109"/>
        <w:gridCol w:w="109"/>
        <w:gridCol w:w="109"/>
        <w:gridCol w:w="109"/>
        <w:gridCol w:w="109"/>
        <w:gridCol w:w="196"/>
        <w:gridCol w:w="421"/>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w:t>
            </w:r>
          </w:p>
        </w:tc>
      </w:tr>
      <w:tr>
        <w:trPr/>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2021 Credit Facilities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15, 2021, the Company refinanced its previously outstanding credit facilities by entering into a new senior secured credit agreement among the Company, its subsidiaries Conduent Business Services, LLC ("CBS"), Conduent State &amp; Local Solutions, Inc. ("CSLS") and Affiliated Computer Services International B.V., the lenders party thereto and Bank of America, N.A., as the administrative agent ("Credit Agreement"). The Credit Agreement contains senior secured credit facilities ("Senior Credit Facilities") consisting of:</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(i)    Senior Secured Term Loan A ("Term Loan A") with an aggregate principal amount of $265 million, which was paid off in connection with the "2025 Credit Agreement" described below;</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(ii)    Senior Secured Term Loan B ("Term Loan B") with an aggregate principal amount of $515 million, the previously outstanding balance of which was paid off in 2024; and</w:t>
      </w:r>
    </w:p>
    <w:p>
      <w:pPr>
        <w:pStyle w:val="TextBody"/>
        <w:bidi w:val="0"/>
        <w:spacing w:lineRule="auto" w:line="288" w:before="0" w:after="180"/>
        <w:ind w:left="0" w:right="0" w:hanging="540"/>
        <w:jc w:val="left"/>
        <w:rPr>
          <w:rFonts w:ascii="Arial;sans-serif" w:hAnsi="Arial;sans-serif"/>
          <w:b w:val="false"/>
          <w:color w:val="000000"/>
          <w:sz w:val="20"/>
        </w:rPr>
      </w:pPr>
      <w:r>
        <w:rPr>
          <w:rFonts w:ascii="Arial;sans-serif" w:hAnsi="Arial;sans-serif"/>
          <w:b w:val="false"/>
          <w:color w:val="000000"/>
          <w:sz w:val="20"/>
        </w:rPr>
        <w:t xml:space="preserve">(iii)    Senior Revolving Credit Facility maturing in 2026, which was amended and replaced by the "2025 Credit Agreement" described below. </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Senior Notes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Concurrent with the Credit Agreement, on October 15, 2021, CBS and CSLS (collectively, the "Issuers") issued 6.00% fixed rate senior notes due 2029 ("Senior Notes"). The Senior Notes are guaranteed on a senior secured basis by the Company and existing and future material direct and indirect wholly owned domestic subsidiaries of CBS that guaranteed the obligations under the Senior Credit Facilities.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Interest is payable semi-annually. Prior to November 1, 2024, the Issuers could redeem the Senior Notes, in whole or in part, at a price equal to the principal amount of the Senior Notes, plus a make-whole premium plus accrued and unpaid interest. The Issuers can redeem the Senior Notes, in whole or in part, at any time on or after November 1, 2024, at the redemption prices specified in the Indenture governing the Senior Notes, plus accrued and unpaid interest, if any, up to but excluding the redemption date. In addition, the Company may be required to make an offer to purchase the notes upon the sale of certain assets and upon a change of control. No Senior Notes were redeemed in 2025 or 2024.</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2025 Credit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August 26, 2025, the Company (as the parent guarantor), the Borrowers, the other guarantors party thereto, the Administrative Agent and the lenders and letter of credit issuers party thereto, entered into an amendment to the 2021 Credit Agreement (“Amendment No. 3” and the 2021 Credit Agreement as amended by Amendment No. 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16280"/>
                <wp:effectExtent l="0" t="0" r="0" b="0"/>
                <wp:wrapNone/>
                <wp:docPr id="77" name="Frame7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color w:val="000000"/>
        </w:rPr>
      </w:pPr>
      <w:r>
        <w:rPr>
          <w:color w:val="000000"/>
        </w:rPr>
        <w:t>“</w:t>
      </w:r>
      <w:r>
        <w:rPr>
          <w:rFonts w:ascii="Arial;sans-serif" w:hAnsi="Arial;sans-serif"/>
          <w:b w:val="false"/>
          <w:color w:val="000000"/>
          <w:sz w:val="20"/>
        </w:rPr>
        <w:t xml:space="preserve">2025 Credit Agreement”) to amend the terms of the 2021 Credit Agreement, to, among other things, (i) prepay in full the Term Loan A outstanding under the 2021 Credit Agreement utilizing funds from the Revolving Credit Facility (as defined below), (ii) reduce the amount of the revolving credit facility to $357 million, of which $187 million will mature on August 26, 2028 and the remaining $170 million will continue to mature on October 15, 2026 (as amended, the “Revolving Credit Facility”), (iii) add a new performance letter of credit facility in the amount of approximately $93 million (the “Performance Letter of Credit Facility” and together with the Revolving Credit Facility, the “2025 Credit Facilities”), which will mature on August 26, 2028 and (iv) make certain other changes to the 2021 Credit Agreement as set forth in Amendment No. 3.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Borrowers may voluntarily repay outstanding loans under the 2025 Credit Facilities at any time without premium or penalty, other than customary breakage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Borrowings under the Revolving Credit Facility bear interest, at the Company's option, at a rate per annum equal to an applicable margin over a base rate or a Secured Overnight Financing Rate ("SOFR"), depending on the type of loan. The applicable margin for the Revolving Credit Facility for SOFR loans range from 1.75% to 3.00% per annum, depending on certain leverage ratios and for base rate loans range from 0.75% to 2.00% per annum.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to paying interest on outstanding principal under the Revolving Credit Facility, the Company is required to pay a commitment fee ranging from 0.30% to 0.55% per annum to the lenders in respect of unutilized commitments thereunder.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Issuances of letters of credit under the Performance Letter of Credit Facility bear interest at a rate per annum equal to an applicable margin. The applicable margin for the Performance Letter of Credit Facility ranges from 1.05% to 1.80% per annum, depending on certain leverage ratios.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to paying fees on outstanding principal under the Performance Letter of Credit Facility, the Company is required to pay a commitment fee ranging from 0.30% to 0.55% per annum to the performance letter of credit issuers in respect of unutilized commitments thereunder.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All obligations under the 2025 Credit Agreement are unconditionally guaranteed by the Company, CBS and CSLS, and the existing and future direct and indirect wholly owned domestic restricted subsidiaries of CBS (subject to certain exceptions). All obligations under the 2025 Credit Agreement are secured, subject to certain exceptions, by a first-priority pledge of substantially all assets of CBS and the subsidiary guarantors, and all of the capital stock of CBS and each of CBS' wholly owned material restricted subsidiaries directly held by CBS and CSLS or a subsidiary guarantor.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2025 Credit Agreement contains certain customary affirmative and negative covenants, restrictions, prepayment terms and events of default. It requires the consolidated first lien net leverage ratio to not exceed 4.50 to 1.00 and a fixed charge coverage ratio of greater than or equal to 2.50 to 1.00. If an event of default occurs, the lenders under the 2025 Credit Facilities will be entitled to take various actions, including the acceleration of amounts due under the 2025 Credit Agreement and all actions permitted to be taken by secured creditors under applicable law.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December 31, 2025, the Company had $109 million outstanding borrowings under its Revolving Credit Facility. The Company utilized $25 million of the Revolving Credit Facility to issue letters of credit as of December 31, 2025. Additionally, the Company utilized $81 million of the Performance Letter of Credit Facility to issue performance letters of credit as of December 31, 2025. The remaining unused capacity, reflecting total borrowing facility size minus outstanding borrowings and letters of credit, under the Revolving Credit Facility and the Performance Letter of Credit Facility was $223 million and $12 million, respectively, as of December 31,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connection with the voluntary repayment of the Term Loan A, the Company wrote-off related debt issuance costs of $1 million, which is included in Loss on extinguishment of debt in the Condensed Consolidated Statements of Income (Loss) for the year ended December 31, 2025. In connection with voluntary prepayments of the Term Loan B made in 2024, the Company wrote-off related debt issuance costs of $6 million, which is included in Loss on extinguishment of debt in the Consolidated Statements of Income (Loss) for the year ended December 31, 2024.</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Interest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Interest paid on short-term and long-term debt amounted to $46 million, $72 million and $106 million for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16280"/>
                <wp:effectExtent l="0" t="0" r="0" b="0"/>
                <wp:wrapNone/>
                <wp:docPr id="78" name="Frame7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Interest expense and interest income were as follows: </w:t>
      </w:r>
    </w:p>
    <w:tbl>
      <w:tblPr>
        <w:tblW w:w="4434"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96"/>
        <w:gridCol w:w="331"/>
        <w:gridCol w:w="109"/>
        <w:gridCol w:w="109"/>
        <w:gridCol w:w="109"/>
        <w:gridCol w:w="109"/>
        <w:gridCol w:w="196"/>
        <w:gridCol w:w="331"/>
        <w:gridCol w:w="109"/>
        <w:gridCol w:w="109"/>
        <w:gridCol w:w="109"/>
        <w:gridCol w:w="109"/>
        <w:gridCol w:w="196"/>
        <w:gridCol w:w="421"/>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expense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w:t>
      </w:r>
    </w:p>
    <w:p>
      <w:pPr>
        <w:pStyle w:val="TextBody"/>
        <w:bidi w:val="0"/>
        <w:spacing w:lineRule="auto" w:line="288" w:before="0" w:after="180"/>
        <w:ind w:left="0" w:right="0" w:hanging="315"/>
        <w:jc w:val="left"/>
        <w:rPr>
          <w:rFonts w:ascii="Arial;sans-serif" w:hAnsi="Arial;sans-serif"/>
          <w:b w:val="false"/>
          <w:i/>
          <w:color w:val="000000"/>
          <w:sz w:val="16"/>
        </w:rPr>
      </w:pPr>
      <w:r>
        <w:rPr>
          <w:rFonts w:ascii="Arial;sans-serif" w:hAnsi="Arial;sans-serif"/>
          <w:b w:val="false"/>
          <w:i/>
          <w:color w:val="000000"/>
          <w:sz w:val="16"/>
        </w:rPr>
        <w:t>(1)Included in Other (income) expenses, net on the Consolidated Statements of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11 – Financial Instruments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is exposed to market risk from changes in foreign currency exchange rates and interest rates, which could affect operating results, financial position and cash flows. The Company manages its exposure to these market risks through regular operating and financing activities and, when appropriate, using derivative financial instruments. These derivative financial instruments are utilized to hedge economic exposures, as well as to reduce earnings and cash flow volatility resulting from shifts in market rates. The Company enters limited types of derivative contracts to manage foreign currency exposures that it hedges. The primary foreign currency market exposures include the Philippine Peso and Indian Rupee. The fair market values of all the Company's derivative contracts change with fluctuations in interest rates 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derivative activities are reflected as cash flows from operating activities.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does not believe there is significant risk of loss in the event of non-performance by the counterparty associated with its derivative instruments because these transactions are executed with a major financial institution. Further, the Company's policy is to deal only with counterparties having a minimum investment grade or better credit rating. Credit risk is managed through the continuous monitoring of exposures to such counterparties.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Summary of Foreign Exchange Hedging Positions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December 31, 2025 and 2024, the Company had outstanding forward exchange with gross notional values of $163 million and $203 million, respectively. At December 31, 2025, approximately 71% of these contracts mature within three months, 11% in three to six months, 14% in six to twelve months and 4% in greater than 12 months.</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The following is a summary of the primary hedging positions and corresponding fair values:</w:t>
      </w:r>
    </w:p>
    <w:tbl>
      <w:tblPr>
        <w:tblW w:w="7273" w:type="dxa"/>
        <w:jc w:val="left"/>
        <w:tblInd w:w="0" w:type="dxa"/>
        <w:tblLayout w:type="fixed"/>
        <w:tblCellMar>
          <w:top w:w="28" w:type="dxa"/>
          <w:left w:w="28" w:type="dxa"/>
          <w:bottom w:w="28" w:type="dxa"/>
          <w:right w:w="28" w:type="dxa"/>
        </w:tblCellMar>
      </w:tblPr>
      <w:tblGrid>
        <w:gridCol w:w="990"/>
        <w:gridCol w:w="863"/>
        <w:gridCol w:w="877"/>
        <w:gridCol w:w="109"/>
        <w:gridCol w:w="109"/>
        <w:gridCol w:w="109"/>
        <w:gridCol w:w="196"/>
        <w:gridCol w:w="421"/>
        <w:gridCol w:w="109"/>
        <w:gridCol w:w="109"/>
        <w:gridCol w:w="109"/>
        <w:gridCol w:w="109"/>
        <w:gridCol w:w="303"/>
        <w:gridCol w:w="396"/>
        <w:gridCol w:w="170"/>
        <w:gridCol w:w="109"/>
        <w:gridCol w:w="109"/>
        <w:gridCol w:w="109"/>
        <w:gridCol w:w="196"/>
        <w:gridCol w:w="421"/>
        <w:gridCol w:w="109"/>
        <w:gridCol w:w="109"/>
        <w:gridCol w:w="109"/>
        <w:gridCol w:w="109"/>
        <w:gridCol w:w="295"/>
        <w:gridCol w:w="386"/>
        <w:gridCol w:w="233"/>
      </w:tblGrid>
      <w:tr>
        <w:trPr/>
        <w:tc>
          <w:tcPr>
            <w:tcW w:w="99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w:t>
              <w:br/>
              <w:t>Notional</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Fair Value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Asset</w:t>
            </w:r>
          </w:p>
          <w:p>
            <w:pPr>
              <w:pStyle w:val="TableContents"/>
              <w:bidi w:val="0"/>
              <w:spacing w:lineRule="auto" w:line="240" w:before="0" w:after="0"/>
              <w:jc w:val="center"/>
              <w:rPr/>
            </w:pPr>
            <w:r>
              <w:rPr>
                <w:rFonts w:ascii="Arial;sans-serif" w:hAnsi="Arial;sans-serif"/>
                <w:b w:val="false"/>
                <w:color w:val="000000"/>
                <w:sz w:val="16"/>
              </w:rPr>
              <w:t>(Liability)</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w:t>
              <w:br/>
              <w:t>Notional</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Fair Value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Asset</w:t>
            </w:r>
          </w:p>
          <w:p>
            <w:pPr>
              <w:pStyle w:val="TableContents"/>
              <w:bidi w:val="0"/>
              <w:spacing w:lineRule="auto" w:line="240" w:before="0" w:after="0"/>
              <w:jc w:val="center"/>
              <w:rPr/>
            </w:pPr>
            <w:r>
              <w:rPr>
                <w:rFonts w:ascii="Arial;sans-serif" w:hAnsi="Arial;sans-serif"/>
                <w:b w:val="false"/>
                <w:color w:val="000000"/>
                <w:sz w:val="16"/>
              </w:rPr>
              <w:t>(Liability)</w:t>
            </w:r>
            <w:r>
              <w:rPr>
                <w:rFonts w:ascii="Arial;sans-serif" w:hAnsi="Arial;sans-serif"/>
                <w:b w:val="false"/>
                <w:color w:val="000000"/>
                <w:sz w:val="10"/>
              </w:rPr>
              <w:t>(1)</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Currencies Hedged (Buy/Sell)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Philippine Peso/U.S.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Indian Rupee/U.S.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Euro/U.S.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Mexican Peso/U.S.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Foreign Exchange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540"/>
        <w:jc w:val="left"/>
        <w:rPr>
          <w:rFonts w:ascii="Arial;sans-serif" w:hAnsi="Arial;sans-serif"/>
          <w:b w:val="false"/>
          <w:i/>
          <w:color w:val="000000"/>
          <w:sz w:val="16"/>
        </w:rPr>
      </w:pPr>
      <w:r>
        <w:rPr>
          <w:rFonts w:ascii="Arial;sans-serif" w:hAnsi="Arial;sans-serif"/>
          <w:b w:val="false"/>
          <w:i/>
          <w:color w:val="000000"/>
          <w:sz w:val="16"/>
        </w:rPr>
        <w:t>(1)Represents the net receivable (payable) amount included in the Consolidated Balance Sheets.</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Note 12 – Fair Value of Financial Assets and Liabilities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Level 1: Fair value is determined using an unadjusted quoted price in an active market for identical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16280"/>
                <wp:effectExtent l="0" t="0" r="0" b="0"/>
                <wp:wrapNone/>
                <wp:docPr id="79" name="Frame7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2: Fair value is estimated using inputs other than quoted prices included within Level 1 that are observable, either directly or indirectly.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Level 3: Fair value is estimated using unobservable inputs that are significant to the fair value of the assets or liabilities. </w:t>
      </w:r>
    </w:p>
    <w:p>
      <w:pPr>
        <w:pStyle w:val="TextBody"/>
        <w:bidi w:val="0"/>
        <w:spacing w:lineRule="auto" w:line="288" w:before="0" w:after="180"/>
        <w:jc w:val="both"/>
        <w:rPr>
          <w:rFonts w:ascii="Arial;sans-serif" w:hAnsi="Arial;sans-serif"/>
          <w:b/>
          <w:color w:val="1269BC"/>
          <w:sz w:val="20"/>
        </w:rPr>
      </w:pPr>
      <w:r>
        <w:rPr>
          <w:rFonts w:ascii="Arial;sans-serif" w:hAnsi="Arial;sans-serif"/>
          <w:b/>
          <w:color w:val="1269BC"/>
          <w:sz w:val="20"/>
        </w:rPr>
        <w:t>Summary of Financial Assets and Liabilities Accounted for at Fair Value on a Recurring Basis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represents assets and liabilities measured at fair value on a recurring basis. The basis for the measurement at fair value in all cases was Level 2. </w:t>
      </w:r>
    </w:p>
    <w:tbl>
      <w:tblPr>
        <w:tblW w:w="6666" w:type="dxa"/>
        <w:jc w:val="left"/>
        <w:tblInd w:w="0" w:type="dxa"/>
        <w:tblLayout w:type="fixed"/>
        <w:tblCellMar>
          <w:top w:w="28" w:type="dxa"/>
          <w:left w:w="28" w:type="dxa"/>
          <w:bottom w:w="28" w:type="dxa"/>
          <w:right w:w="28" w:type="dxa"/>
        </w:tblCellMar>
      </w:tblPr>
      <w:tblGrid>
        <w:gridCol w:w="1210"/>
        <w:gridCol w:w="831"/>
        <w:gridCol w:w="838"/>
        <w:gridCol w:w="109"/>
        <w:gridCol w:w="109"/>
        <w:gridCol w:w="109"/>
        <w:gridCol w:w="425"/>
        <w:gridCol w:w="882"/>
        <w:gridCol w:w="237"/>
        <w:gridCol w:w="109"/>
        <w:gridCol w:w="109"/>
        <w:gridCol w:w="109"/>
        <w:gridCol w:w="411"/>
        <w:gridCol w:w="852"/>
        <w:gridCol w:w="326"/>
      </w:tblGrid>
      <w:tr>
        <w:trPr/>
        <w:tc>
          <w:tcPr>
            <w:tcW w:w="121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Arial;sans-serif" w:hAnsi="Arial;sans-serif"/>
          <w:b/>
          <w:color w:val="1269BC"/>
          <w:sz w:val="20"/>
        </w:rPr>
      </w:pPr>
      <w:r>
        <w:rPr>
          <w:rFonts w:ascii="Arial;sans-serif" w:hAnsi="Arial;sans-serif"/>
          <w:b/>
          <w:color w:val="1269BC"/>
          <w:sz w:val="20"/>
        </w:rPr>
        <w:t>Summary of Other Financial Assets and Liabilities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estimated fair values of other financial assets and liabilities were as follows:</w:t>
      </w:r>
    </w:p>
    <w:tbl>
      <w:tblPr>
        <w:tblW w:w="5179" w:type="dxa"/>
        <w:jc w:val="left"/>
        <w:tblInd w:w="0" w:type="dxa"/>
        <w:tblLayout w:type="fixed"/>
        <w:tblCellMar>
          <w:top w:w="28" w:type="dxa"/>
          <w:left w:w="28" w:type="dxa"/>
          <w:bottom w:w="28" w:type="dxa"/>
          <w:right w:w="28" w:type="dxa"/>
        </w:tblCellMar>
      </w:tblPr>
      <w:tblGrid>
        <w:gridCol w:w="445"/>
        <w:gridCol w:w="388"/>
        <w:gridCol w:w="396"/>
        <w:gridCol w:w="198"/>
        <w:gridCol w:w="426"/>
        <w:gridCol w:w="112"/>
        <w:gridCol w:w="109"/>
        <w:gridCol w:w="109"/>
        <w:gridCol w:w="109"/>
        <w:gridCol w:w="196"/>
        <w:gridCol w:w="421"/>
        <w:gridCol w:w="109"/>
        <w:gridCol w:w="109"/>
        <w:gridCol w:w="109"/>
        <w:gridCol w:w="109"/>
        <w:gridCol w:w="198"/>
        <w:gridCol w:w="426"/>
        <w:gridCol w:w="112"/>
        <w:gridCol w:w="109"/>
        <w:gridCol w:w="109"/>
        <w:gridCol w:w="109"/>
        <w:gridCol w:w="196"/>
        <w:gridCol w:w="421"/>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w:t>
              <w:br/>
              <w:t>Value</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fair value amounts for Cash and cash equivalents, Restricted cash, Accounts receivable, net and Short-term debt approximate carrying amounts due to the short-term maturities of these instruments. </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fair value of Long-term debt was estimated using quoted market prices for identical or similar instruments (Level 2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13 – Employee Benefit Plans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Defined Benefit Plans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remaining benefit obligations and plan assets at December 31, 2025 were $13 million and $0 million, respectively. The Company's benefit obligations and plan assets at December 31, 2024 were $13 million and $0 million, respectively.</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Defined Contribution Plans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 has post-retirement savings and investment plans in several countries, including the U.S., U.K. and Canada. In many instances, employees from those defined benefit pension plans that have been amended to freeze future service accruals were transitioned to an enhanced defined contribution plan. In these plans employees are allowed to contribute a portion of their salaries and bonuses to the plans, and the Company matches a portion of the employee contributions.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 recorded expenses related to its defined contribution plans of $6 million in 2025, $5 million in 2024 and $11 million in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16280"/>
                <wp:effectExtent l="0" t="0" r="0" b="0"/>
                <wp:wrapNone/>
                <wp:docPr id="80" name="Frame7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14 - Income Taxes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Income (loss) before income taxes from continuing operations was as follows: </w:t>
      </w:r>
    </w:p>
    <w:tbl>
      <w:tblPr>
        <w:tblW w:w="6203" w:type="dxa"/>
        <w:jc w:val="center"/>
        <w:tblInd w:w="0" w:type="dxa"/>
        <w:tblLayout w:type="fixed"/>
        <w:tblCellMar>
          <w:top w:w="28" w:type="dxa"/>
          <w:left w:w="28" w:type="dxa"/>
          <w:bottom w:w="28" w:type="dxa"/>
          <w:right w:w="28" w:type="dxa"/>
        </w:tblCellMar>
      </w:tblPr>
      <w:tblGrid>
        <w:gridCol w:w="1034"/>
        <w:gridCol w:w="902"/>
        <w:gridCol w:w="913"/>
        <w:gridCol w:w="109"/>
        <w:gridCol w:w="109"/>
        <w:gridCol w:w="109"/>
        <w:gridCol w:w="196"/>
        <w:gridCol w:w="496"/>
        <w:gridCol w:w="109"/>
        <w:gridCol w:w="109"/>
        <w:gridCol w:w="109"/>
        <w:gridCol w:w="109"/>
        <w:gridCol w:w="196"/>
        <w:gridCol w:w="421"/>
        <w:gridCol w:w="109"/>
        <w:gridCol w:w="109"/>
        <w:gridCol w:w="109"/>
        <w:gridCol w:w="109"/>
        <w:gridCol w:w="196"/>
        <w:gridCol w:w="496"/>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Domestic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Provision (benefit) for income taxes were as follows:</w:t>
      </w:r>
    </w:p>
    <w:tbl>
      <w:tblPr>
        <w:tblW w:w="5064" w:type="dxa"/>
        <w:jc w:val="left"/>
        <w:tblInd w:w="0" w:type="dxa"/>
        <w:tblLayout w:type="fixed"/>
        <w:tblCellMar>
          <w:top w:w="28" w:type="dxa"/>
          <w:left w:w="28" w:type="dxa"/>
          <w:bottom w:w="28" w:type="dxa"/>
          <w:right w:w="28" w:type="dxa"/>
        </w:tblCellMar>
      </w:tblPr>
      <w:tblGrid>
        <w:gridCol w:w="747"/>
        <w:gridCol w:w="651"/>
        <w:gridCol w:w="657"/>
        <w:gridCol w:w="109"/>
        <w:gridCol w:w="109"/>
        <w:gridCol w:w="109"/>
        <w:gridCol w:w="196"/>
        <w:gridCol w:w="331"/>
        <w:gridCol w:w="109"/>
        <w:gridCol w:w="109"/>
        <w:gridCol w:w="109"/>
        <w:gridCol w:w="109"/>
        <w:gridCol w:w="196"/>
        <w:gridCol w:w="331"/>
        <w:gridCol w:w="109"/>
        <w:gridCol w:w="109"/>
        <w:gridCol w:w="109"/>
        <w:gridCol w:w="109"/>
        <w:gridCol w:w="196"/>
        <w:gridCol w:w="406"/>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Federal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Foreign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State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16280"/>
                <wp:effectExtent l="0" t="0" r="0" b="0"/>
                <wp:wrapNone/>
                <wp:docPr id="81" name="Frame8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allowed by the guidance, the Company has prospectively adopted the new accounting guidance on income taxes concerning effective tax rate reconciliations described in Note 1 – Basis of Presentation and Summary of Significant Accounting Policies for the year ended December 31, 2025. The reconciliation of the U.S. federal statutory income tax rate to the consolidated effective income tax rate for the year ended December 31, 2025 was as follows: </w:t>
      </w:r>
    </w:p>
    <w:tbl>
      <w:tblPr>
        <w:tblW w:w="7025" w:type="dxa"/>
        <w:jc w:val="center"/>
        <w:tblInd w:w="0" w:type="dxa"/>
        <w:tblLayout w:type="fixed"/>
        <w:tblCellMar>
          <w:top w:w="28" w:type="dxa"/>
          <w:left w:w="28" w:type="dxa"/>
          <w:bottom w:w="28" w:type="dxa"/>
          <w:right w:w="28" w:type="dxa"/>
        </w:tblCellMar>
      </w:tblPr>
      <w:tblGrid>
        <w:gridCol w:w="1456"/>
        <w:gridCol w:w="1276"/>
        <w:gridCol w:w="1287"/>
        <w:gridCol w:w="109"/>
        <w:gridCol w:w="109"/>
        <w:gridCol w:w="109"/>
        <w:gridCol w:w="313"/>
        <w:gridCol w:w="649"/>
        <w:gridCol w:w="174"/>
        <w:gridCol w:w="174"/>
        <w:gridCol w:w="174"/>
        <w:gridCol w:w="174"/>
        <w:gridCol w:w="269"/>
        <w:gridCol w:w="271"/>
        <w:gridCol w:w="481"/>
      </w:tblGrid>
      <w:tr>
        <w:trPr/>
        <w:tc>
          <w:tcPr>
            <w:tcW w:w="14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 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State and local income taxes, net of federal benefit</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India and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US/India BAPA transfer pricing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to provision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or not specified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 opportunity tax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Provision and 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pPr>
      <w:r>
        <w:rPr>
          <w:color w:val="000000"/>
        </w:rPr>
        <w:t> </w:t>
      </w:r>
      <w:r>
        <w:rPr>
          <w:rFonts w:ascii="Arial;sans-serif" w:hAnsi="Arial;sans-serif"/>
          <w:b w:val="false"/>
          <w:i/>
          <w:color w:val="000000"/>
          <w:sz w:val="12"/>
        </w:rPr>
        <w:t>_______________</w:t>
      </w:r>
    </w:p>
    <w:p>
      <w:pPr>
        <w:pStyle w:val="TextBody"/>
        <w:bidi w:val="0"/>
        <w:spacing w:lineRule="auto" w:line="288" w:before="0" w:after="120"/>
        <w:ind w:left="0" w:right="0" w:hanging="720"/>
        <w:jc w:val="left"/>
        <w:rPr>
          <w:rFonts w:ascii="Arial;sans-serif" w:hAnsi="Arial;sans-serif"/>
          <w:b w:val="false"/>
          <w:i/>
          <w:color w:val="000000"/>
          <w:sz w:val="16"/>
        </w:rPr>
      </w:pPr>
      <w:r>
        <w:rPr>
          <w:rFonts w:ascii="Arial;sans-serif" w:hAnsi="Arial;sans-serif"/>
          <w:b w:val="false"/>
          <w:i/>
          <w:color w:val="000000"/>
          <w:sz w:val="16"/>
        </w:rPr>
        <w:t>(1)    State taxes in Texas and New York made up the majority (greater than 50%) of the tax effect in this category.</w:t>
      </w:r>
    </w:p>
    <w:p>
      <w:pPr>
        <w:pStyle w:val="TextBody"/>
        <w:bidi w:val="0"/>
        <w:spacing w:lineRule="auto" w:line="288" w:before="0" w:after="180"/>
        <w:ind w:left="0" w:right="0" w:hanging="720"/>
        <w:jc w:val="left"/>
        <w:rPr>
          <w:rFonts w:ascii="Arial;sans-serif" w:hAnsi="Arial;sans-serif"/>
          <w:b w:val="false"/>
          <w:i/>
          <w:color w:val="000000"/>
          <w:sz w:val="16"/>
        </w:rPr>
      </w:pPr>
      <w:r>
        <w:rPr>
          <w:rFonts w:ascii="Arial;sans-serif" w:hAnsi="Arial;sans-serif"/>
          <w:b w:val="false"/>
          <w:i/>
          <w:color w:val="000000"/>
          <w:sz w:val="16"/>
        </w:rPr>
        <w:t>(2)    In 2025, the "Other" line includes immaterial reconciling items. As such, the Company believes it is appropriate for these items to remain in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16280"/>
                <wp:effectExtent l="0" t="0" r="0" b="0"/>
                <wp:wrapNone/>
                <wp:docPr id="82" name="Frame8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reconciliation of the U.S. federal statutory income tax rate to the consolidated effective income tax rate for the years ended December 31, 2024 and 2023 was as follows: </w:t>
      </w:r>
    </w:p>
    <w:tbl>
      <w:tblPr>
        <w:tblW w:w="7797" w:type="dxa"/>
        <w:jc w:val="left"/>
        <w:tblInd w:w="0" w:type="dxa"/>
        <w:tblLayout w:type="fixed"/>
        <w:tblCellMar>
          <w:top w:w="28" w:type="dxa"/>
          <w:left w:w="28" w:type="dxa"/>
          <w:bottom w:w="28" w:type="dxa"/>
          <w:right w:w="28" w:type="dxa"/>
        </w:tblCellMar>
      </w:tblPr>
      <w:tblGrid>
        <w:gridCol w:w="1806"/>
        <w:gridCol w:w="1591"/>
        <w:gridCol w:w="1598"/>
        <w:gridCol w:w="109"/>
        <w:gridCol w:w="109"/>
        <w:gridCol w:w="109"/>
        <w:gridCol w:w="269"/>
        <w:gridCol w:w="271"/>
        <w:gridCol w:w="404"/>
        <w:gridCol w:w="172"/>
        <w:gridCol w:w="172"/>
        <w:gridCol w:w="172"/>
        <w:gridCol w:w="269"/>
        <w:gridCol w:w="271"/>
        <w:gridCol w:w="475"/>
      </w:tblGrid>
      <w:tr>
        <w:trPr/>
        <w:tc>
          <w:tcPr>
            <w:tcW w:w="180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Nondeductible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taxes,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Tax-exempt income, credits and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Foreign rate differential adjusted for U.S. taxation of foreign profits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Impairments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and other 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pPr>
      <w:r>
        <w:rPr>
          <w:color w:val="000000"/>
        </w:rPr>
        <w:t> </w:t>
      </w:r>
      <w:r>
        <w:rPr>
          <w:rFonts w:ascii="Arial;sans-serif" w:hAnsi="Arial;sans-serif"/>
          <w:b w:val="false"/>
          <w:i/>
          <w:color w:val="000000"/>
          <w:sz w:val="12"/>
        </w:rPr>
        <w:t>_______________</w:t>
      </w:r>
    </w:p>
    <w:p>
      <w:pPr>
        <w:pStyle w:val="TextBody"/>
        <w:bidi w:val="0"/>
        <w:spacing w:lineRule="auto" w:line="288" w:before="0" w:after="0"/>
        <w:ind w:left="0" w:right="0" w:hanging="720"/>
        <w:jc w:val="left"/>
        <w:rPr>
          <w:rFonts w:ascii="Arial;sans-serif" w:hAnsi="Arial;sans-serif"/>
          <w:b w:val="false"/>
          <w:i/>
          <w:color w:val="000000"/>
          <w:sz w:val="16"/>
        </w:rPr>
      </w:pPr>
      <w:r>
        <w:rPr>
          <w:rFonts w:ascii="Arial;sans-serif" w:hAnsi="Arial;sans-serif"/>
          <w:b w:val="false"/>
          <w:i/>
          <w:color w:val="000000"/>
          <w:sz w:val="16"/>
        </w:rPr>
        <w:t xml:space="preserve">(1)    The “Foreign rate differential adjusted for U.S. taxation of foreign profits” includes the U.S. tax, net of foreign tax credits, associated with actual and deemed repatriations of earnings from our non-U.S. subsidiaries. </w:t>
      </w:r>
    </w:p>
    <w:p>
      <w:pPr>
        <w:pStyle w:val="TextBody"/>
        <w:bidi w:val="0"/>
        <w:spacing w:lineRule="auto" w:line="288" w:before="0" w:after="0"/>
        <w:ind w:left="0" w:right="0" w:hanging="720"/>
        <w:jc w:val="left"/>
        <w:rPr>
          <w:rFonts w:ascii="Arial;sans-serif" w:hAnsi="Arial;sans-serif"/>
          <w:b w:val="false"/>
          <w:i/>
          <w:color w:val="000000"/>
          <w:sz w:val="16"/>
        </w:rPr>
      </w:pPr>
      <w:r>
        <w:rPr>
          <w:rFonts w:ascii="Arial;sans-serif" w:hAnsi="Arial;sans-serif"/>
          <w:b w:val="false"/>
          <w:i/>
          <w:color w:val="000000"/>
          <w:sz w:val="16"/>
        </w:rPr>
        <w:t>(2)    Impairment represents adjustments for the non-deductible component of goodwill in 2024 and 2023.</w:t>
      </w:r>
    </w:p>
    <w:p>
      <w:pPr>
        <w:pStyle w:val="TextBody"/>
        <w:bidi w:val="0"/>
        <w:spacing w:lineRule="auto" w:line="288" w:before="0" w:after="180"/>
        <w:ind w:left="0" w:right="0" w:hanging="720"/>
        <w:jc w:val="left"/>
        <w:rPr>
          <w:rFonts w:ascii="Arial;sans-serif" w:hAnsi="Arial;sans-serif"/>
          <w:b w:val="false"/>
          <w:i/>
          <w:color w:val="000000"/>
          <w:sz w:val="16"/>
        </w:rPr>
      </w:pPr>
      <w:r>
        <w:rPr>
          <w:rFonts w:ascii="Arial;sans-serif" w:hAnsi="Arial;sans-serif"/>
          <w:b w:val="false"/>
          <w:i/>
          <w:color w:val="000000"/>
          <w:sz w:val="16"/>
        </w:rPr>
        <w:t>(3)    In 2024 and 2023, the "Other" line includes immaterial reconciling items. As such, the Company believes it is appropriate for these items to remain in "Other".</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has prospectively adopted the new accounting guidance on income taxes concerning income taxes paid by jurisdiction described in Note 1 – Basis of Presentation and Summary of Significant Accounting Policies for the year ended December 31, 2025. The schedule of net cash paid (refunds received) for income tax by jurisdiction during the year ended December 31, 2025 was as follows: </w:t>
      </w:r>
    </w:p>
    <w:tbl>
      <w:tblPr>
        <w:tblW w:w="6687" w:type="dxa"/>
        <w:jc w:val="left"/>
        <w:tblInd w:w="0" w:type="dxa"/>
        <w:tblLayout w:type="fixed"/>
        <w:tblCellMar>
          <w:top w:w="28" w:type="dxa"/>
          <w:left w:w="28" w:type="dxa"/>
          <w:bottom w:w="28" w:type="dxa"/>
          <w:right w:w="28" w:type="dxa"/>
        </w:tblCellMar>
      </w:tblPr>
      <w:tblGrid>
        <w:gridCol w:w="1403"/>
        <w:gridCol w:w="1228"/>
        <w:gridCol w:w="1239"/>
        <w:gridCol w:w="109"/>
        <w:gridCol w:w="109"/>
        <w:gridCol w:w="109"/>
        <w:gridCol w:w="715"/>
        <w:gridCol w:w="1210"/>
        <w:gridCol w:w="565"/>
      </w:tblGrid>
      <w:tr>
        <w:trPr/>
        <w:tc>
          <w:tcPr>
            <w:tcW w:w="140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state and local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paid (refunds received)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a consolidated basis, the Company paid $44 million and $18 million in combined income taxes to federal, foreign and state jurisdictions during the years ended December 31, 2024 and 2023, respectively. </w:t>
      </w:r>
    </w:p>
    <w:p>
      <w:pPr>
        <w:pStyle w:val="TextBody"/>
        <w:bidi w:val="0"/>
        <w:spacing w:lineRule="auto" w:line="288" w:before="0" w:after="180"/>
        <w:jc w:val="left"/>
        <w:rPr/>
      </w:pPr>
      <w:r>
        <w:rPr>
          <w:rFonts w:ascii="Arial;sans-serif" w:hAnsi="Arial;sans-serif"/>
          <w:b/>
          <w:color w:val="0066CC"/>
          <w:sz w:val="20"/>
        </w:rPr>
        <w:t>Unrecognized Tax Benefits and Audit Resolutions</w:t>
      </w:r>
      <w:r>
        <w:rPr>
          <w:color w:val="FF99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recognizes tax liabilities when, despite its belief that its tax return positions are supportable, the Company believes that certain positions may not be fully sustained upon review by tax authorities. Each period the Company assesses uncertain tax positions for recognition, measurement and effective settlement. Benefits from uncertain tax positions are measured at the largest amount of benefit that is greater than 50 percent likely of being realized upon settlement. Where the Company has determined that its tax return filing position does not satisfy the more-likely-than-not recognition threshold, the Company has recorded no tax benefits.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is also subject to ongoing tax examinations in numerous jurisdictions due to the extensive geographical scope of its operations. The Company's ongoing assessments of the more-likely-than-not outcomes of the examinations and related tax positions require judgment and can increase or decrease the Company's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16280"/>
                <wp:effectExtent l="0" t="0" r="0" b="0"/>
                <wp:wrapNone/>
                <wp:docPr id="83" name="Frame8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tax rate, as well as impact its operating results. The specific timing of when the resolution of each tax position will be reached is uncertain.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the fourth quarter of 2024, the Company implemented an internal reorganization in which it sold a portion of its top tier foreign holding company to a lower tier subsidiary. This transaction and a subsequent tax election to treat the holding company as a partnership resulted in recognition of a built-in capital loss for tax purposes that offset capital gains from divestitures, resulting in net tax savings of $59 million. The determination of the tax characteristic of this transaction requires management to make judgments about the application of tax laws and regulations. The United States Internal Revenue Service could determine a different tax treatment that would have an adverse impact on the Company.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December 31, 2025, the Company had $19 million of unrecognized tax benefits that, if recognized, would impact the Company's effective tax rate. Of this amount, $17 million is related to the valuation of the Company's foreign operations used in the calculation of the loss on the internal reorganization mentioned above.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 reconciliation of the beginning and ending amount of unrecognized tax benefits was as follows: </w:t>
      </w:r>
    </w:p>
    <w:tbl>
      <w:tblPr>
        <w:tblW w:w="6128" w:type="dxa"/>
        <w:jc w:val="left"/>
        <w:tblInd w:w="0" w:type="dxa"/>
        <w:tblLayout w:type="fixed"/>
        <w:tblCellMar>
          <w:top w:w="28" w:type="dxa"/>
          <w:left w:w="28" w:type="dxa"/>
          <w:bottom w:w="28" w:type="dxa"/>
          <w:right w:w="28" w:type="dxa"/>
        </w:tblCellMar>
      </w:tblPr>
      <w:tblGrid>
        <w:gridCol w:w="1158"/>
        <w:gridCol w:w="1013"/>
        <w:gridCol w:w="1023"/>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related to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related to prior years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Reductions related to prior years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Settlements with taxing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Lapse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maintains offsetting benefits from other jurisdictions of $1 million, $2 million and $1 million, at December 31, 2025, 2024 and 2023, respectively. The Company recognized interest and penalties accrued on unrecognized tax benefits within income tax expense. The Company had $1 million, $1 million and $2 million accrued for the payment of interest and penalties associated with unrecognized tax benefits at December 31, 2025, 2024 and 2023, respectively. We are subject to federal income tax examinations in the U.S. and to income tax examinations in various states and foreign jurisdictions. In the U.S., the Company is no longer subject to U.S. federal income tax examinations for years before 2022. With limited exceptions, as of December 31, 2025, we are no longer subject to state, local or foreign examinations by tax authorities for years before 2021.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Deferred Income Taxes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is indefinitely reinvested in the undistributed earnings of its foreign subsidiaries with respect to the U.S. These foreign subsidiaries have aggregate cumulative undistributed earnings of $60 million as of December 31, 2025. For years after 2017, current tax law allows for certain earnings to be repatriated free from U.S. Federal taxes. However, the repatriation of earnings could give rise to additional tax liabilities. The Company has not provided for these liabilities. The Company has also not provided for deferred taxes on outside basis differences in its investments in its foreign subsidiaries. A determination of the unrecognized deferred taxes related to these other components of the Company's outside basis differences is not practicable. The Company has provided for deferred taxes with respect to certain unremitted earnings of foreign subsidiaries that are not indefinitely reinvested between foreign subsidiaries outside of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16280"/>
                <wp:effectExtent l="0" t="0" r="0" b="0"/>
                <wp:wrapNone/>
                <wp:docPr id="84" name="Frame8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tax effects of temporary differences that give rise to significant portions of the deferred taxes were as follows: </w:t>
      </w:r>
    </w:p>
    <w:tbl>
      <w:tblPr>
        <w:tblW w:w="5930" w:type="dxa"/>
        <w:jc w:val="center"/>
        <w:tblInd w:w="0" w:type="dxa"/>
        <w:tblLayout w:type="fixed"/>
        <w:tblCellMar>
          <w:top w:w="28" w:type="dxa"/>
          <w:left w:w="28" w:type="dxa"/>
          <w:bottom w:w="28" w:type="dxa"/>
          <w:right w:w="28" w:type="dxa"/>
        </w:tblCellMar>
      </w:tblPr>
      <w:tblGrid>
        <w:gridCol w:w="1370"/>
        <w:gridCol w:w="1198"/>
        <w:gridCol w:w="1211"/>
        <w:gridCol w:w="109"/>
        <w:gridCol w:w="109"/>
        <w:gridCol w:w="109"/>
        <w:gridCol w:w="196"/>
        <w:gridCol w:w="421"/>
        <w:gridCol w:w="109"/>
        <w:gridCol w:w="109"/>
        <w:gridCol w:w="109"/>
        <w:gridCol w:w="109"/>
        <w:gridCol w:w="196"/>
        <w:gridCol w:w="421"/>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losses and capital loss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reserves, accruals and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research and experimentation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related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and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Deferred Tax Assets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2025 and 2024 was an increase of $56 million and a decrease of $5 million, respectively. The valuation allowance relates primarily to certain net operating loss carryforwards, tax credit carryforwards and deductible temporary differences for which the Company has concluded it is more-likely-than-not that these items will not be realized in the ordinary course of operations.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Although realization is not assured, the Company has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December 31, 2025, the Company had tax credit carryforwards of $5 million available to offset future income taxes, which will expire between 2027 and 2043, if not utilized.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Company's worldwide net operating loss carryforwards ("NOLs") as of December 31, 2025 and 2024:</w:t>
      </w:r>
    </w:p>
    <w:tbl>
      <w:tblPr>
        <w:tblW w:w="6479" w:type="dxa"/>
        <w:jc w:val="left"/>
        <w:tblInd w:w="0" w:type="dxa"/>
        <w:tblLayout w:type="fixed"/>
        <w:tblCellMar>
          <w:top w:w="28" w:type="dxa"/>
          <w:left w:w="28" w:type="dxa"/>
          <w:bottom w:w="28" w:type="dxa"/>
          <w:right w:w="28" w:type="dxa"/>
        </w:tblCellMar>
      </w:tblPr>
      <w:tblGrid>
        <w:gridCol w:w="533"/>
        <w:gridCol w:w="466"/>
        <w:gridCol w:w="471"/>
        <w:gridCol w:w="109"/>
        <w:gridCol w:w="109"/>
        <w:gridCol w:w="109"/>
        <w:gridCol w:w="196"/>
        <w:gridCol w:w="556"/>
        <w:gridCol w:w="109"/>
        <w:gridCol w:w="109"/>
        <w:gridCol w:w="109"/>
        <w:gridCol w:w="109"/>
        <w:gridCol w:w="279"/>
        <w:gridCol w:w="600"/>
        <w:gridCol w:w="155"/>
        <w:gridCol w:w="109"/>
        <w:gridCol w:w="109"/>
        <w:gridCol w:w="109"/>
        <w:gridCol w:w="196"/>
        <w:gridCol w:w="421"/>
        <w:gridCol w:w="109"/>
        <w:gridCol w:w="109"/>
        <w:gridCol w:w="109"/>
        <w:gridCol w:w="109"/>
        <w:gridCol w:w="280"/>
        <w:gridCol w:w="580"/>
        <w:gridCol w:w="220"/>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Tax Effected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Tax Effected</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NOLs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State NOLs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NOLs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16280"/>
                <wp:effectExtent l="0" t="0" r="0" b="0"/>
                <wp:wrapNone/>
                <wp:docPr id="85" name="Frame8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$1,156 million of gross net operating loss carryforwards for income tax purposes including $640 million that will expire between 2026 and 2045, if not utilized, and $516 million available to offset future taxable income indefinitely. The Company had $8 million of foreign capital losses available to offset future capital gains income indefinitely. The Company does not expect to receive a tax benefit for the majority of the NOLs presented above, as valuation allowances have been recorded against most of the state and foreign NOLs and capital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15 – Contingencies and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December 31, 2025.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2025, the Company had accrued its estimate of liability incurred under its indemnification arrangements and guarantees. </w:t>
      </w:r>
    </w:p>
    <w:p>
      <w:pPr>
        <w:pStyle w:val="TextBody"/>
        <w:bidi w:val="0"/>
        <w:spacing w:lineRule="auto" w:line="288" w:before="0" w:after="180"/>
        <w:jc w:val="left"/>
        <w:rPr>
          <w:rFonts w:ascii="Arial;sans-serif" w:hAnsi="Arial;sans-serif"/>
          <w:b/>
          <w:color w:val="0066CC"/>
          <w:sz w:val="22"/>
        </w:rPr>
      </w:pPr>
      <w:r>
        <w:rPr>
          <w:rFonts w:ascii="Arial;sans-serif" w:hAnsi="Arial;sans-serif"/>
          <w:b/>
          <w:color w:val="0066CC"/>
          <w:sz w:val="22"/>
        </w:rPr>
        <w:t>Litigation Against the Company</w:t>
      </w:r>
    </w:p>
    <w:p>
      <w:pPr>
        <w:pStyle w:val="TextBody"/>
        <w:bidi w:val="0"/>
        <w:spacing w:lineRule="auto" w:line="288" w:before="0" w:after="180"/>
        <w:jc w:val="left"/>
        <w:rPr/>
      </w:pPr>
      <w:r>
        <w:rPr>
          <w:rFonts w:ascii="Arial;sans-serif" w:hAnsi="Arial;sans-serif"/>
          <w:b/>
          <w:i/>
          <w:color w:val="1269BC"/>
          <w:sz w:val="20"/>
          <w:u w:val="single"/>
        </w:rPr>
        <w:t xml:space="preserve">Skyview Capital LLC and Continuum Global Solutions, LLC v. Conduent Business Services, LLC: </w:t>
      </w:r>
      <w:r>
        <w:rPr>
          <w:rFonts w:ascii="Arial;sans-serif" w:hAnsi="Arial;sans-serif"/>
          <w:b w:val="false"/>
          <w:color w:val="000000"/>
          <w:sz w:val="20"/>
        </w:rPr>
        <w:t xml:space="preserve">On February 3, 2020, plaintiffs Skyview Capital LLC and Continuum Global Solutions LLC (collectively "Skyview") filed a lawsuit in the Supreme Court of the State of New York, County of New York against Conduent Business Services, LLC ("CBS"), a wholly-owned subsidiary of the Company. The lawsuit relates to the sale of a portion of CBS's select standalone customer care call center business to plaintiffs, which sale closed in February 2019. Under the terms of the sale agreement, CBS received approximately $23 million of promissory notes from plaintiffs (the "Notes"). The lawsuit alleges various causes of action in connection with the acquisition, including: indemnification for breaches of representations and warranties; indemnification for breaches of covenants; and fraud. Plaintiffs alleged that their obligation to mitigate damages and their contractual right of set-off permitted them to withhold and deduct from any amounts that are owed to CBS under the Notes, and plaintiffs sought a judgment that they had no obligation to pay the Notes. On August 20, 2020, CBS filed counterclaims against Skyview seeking the outstanding balance on the Notes, the amounts owed for operating certain Jamaica-based call centers on plaintiffs' behalf pending closing (the "Jamaica Deferred Closing"), other obligations under a transition services agreement and its amendments (the "TSAs"), and late rent payment obligations. CBS also moved to dismiss Skyview’s claims in 2020. In May 2021, the court denied the motion to dismiss and allowed Skyview's claims to proceed. Fact and expert discovery concluded and the parties filed summary judgment motions in July 2023. On December 8, 2023, the court rendered its decision on the parties’ cross-motions for summary judgment, finding there were certain material issues of fact that required trial on Skyview's fraud claim, and also entering partial summary judgment for each side. On January 5, 2024, CBS filed a notice of appeal with the New York Supreme Court, Appellate Division, First Department ("Appellate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16280"/>
                <wp:effectExtent l="0" t="0" r="0" b="0"/>
                <wp:wrapNone/>
                <wp:docPr id="86" name="Frame8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Division") with respect to the portion of the ruling that did not grant CBS's summary judgment motion in its entirety and that granted certain limited relief in favor of Skyview. On January 23, 2024, Skyview filed its own notice of appeal, challenging the decision granting summary judgment on certain of CBS’s counterclaims.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July 2024, Skyview informed CBS of its intention to sell a portion of its call center business. The parties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September 24, 2024, Skyview and the buyer announced a signed and binding asset purchase agreement. Following regulatory review, the transaction closed in December 2024, at which point Skyview paid CBS approximately $33 million, representing all outstanding principal and interest due on the Notes and reimbursement of certain litigation costs. As a result, CBS dismissed its two counterclaims related to the Notes.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May 2025, the Appellate Division heard arguments on the parties’ 2024 cross-appeals and issued a ruling in June 2025, finding predominantly in CBS’s favor. Specifically, the Appellate Division reversed the trial court’s denial of summary judgment as to Skyview’s fraud claim and dismissed such claim in its entirety (along with Skyview’s request for punitive damages). In addition, the Appellate Division reversed the grant of summary judgment to Skyview on its breach of contract claim, finding there to be issues of fact for trial. No trial date has yet been set. With respect to CBS’s counterclaims, the Appellate Division (i) affirmed the grant of summary judgment on the counterclaims concerning the TSAs and late rent payment amounts and (ii) instructed the trial court to adjudicate the final amount owed by Skyview to CBS on the Jamaica Deferred Closing counterclaim. The Appellate Division further found that the maximum amount that Skyview would have been entitled to set off against its liability on the Notes was $5 million (the contractual indemnification limit set forth in the sale agreement).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trial court accordingly entered judgment on the TSA and late rent payment counterclaims on June 23, 2025, with final entry by the County Clerk on August 20, 2025.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July 3, 2025, Skyview filed a motion to reargue the Appellate Division’s decision and, alternatively, for leave to appeal to the New York Court of Appeals. This motion was denied on September 4, 2025. Conduent is in the process of seeking to collect on the outstanding judgment and will continue to pursue the amount owed by Skyview to CBS on the Jamaica Deferred Closing counterclaim. No trial date has yet been set.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CBS continues to deny all of plaintiffs' allegations, believes that it has strong defenses to all plaintiffs’ claims, and will continue to defend the litigation vigorously. The Company is not able to determine or predict the ultimate outcome of this proceeding or reasonably provide an estimate or range of estimates of the possible outcome or loss, if any, in excess of currently recorded reserves.</w:t>
      </w:r>
    </w:p>
    <w:p>
      <w:pPr>
        <w:pStyle w:val="TextBody"/>
        <w:bidi w:val="0"/>
        <w:spacing w:lineRule="auto" w:line="288" w:before="0" w:after="180"/>
        <w:jc w:val="left"/>
        <w:rPr>
          <w:rFonts w:ascii="Arial;sans-serif" w:hAnsi="Arial;sans-serif"/>
          <w:b/>
          <w:i/>
          <w:color w:val="1269BC"/>
          <w:sz w:val="20"/>
          <w:u w:val="single"/>
        </w:rPr>
      </w:pPr>
      <w:r>
        <w:rPr>
          <w:rFonts w:ascii="Arial;sans-serif" w:hAnsi="Arial;sans-serif"/>
          <w:b/>
          <w:i/>
          <w:color w:val="1269BC"/>
          <w:sz w:val="20"/>
          <w:u w:val="single"/>
        </w:rPr>
        <w:t>In re: Conduent Business Services Data Breach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and CBS (collectively, “Conduent”) are parties to several lawsuits in the U.S. asserted by or on behalf of individuals who allegedly received a notification letter that their personal information may have been affected by the January 2025 Cyber Event. Most of these lawsuits have been consolidated into one single action in the U.S. District Court, District of New Jersey. Conduent continues to work on consolidating these lawsuits and responding accordingly. Conduent denies plaintiffs' allegations, believes that it has strong defenses to plaintiffs’ claims, and will continue to defend the litigations vigorously. The Company is not able to determine or predict the ultimate outcome of this proceeding or reasonably provide an estimate or range of estimates of the possible outcome or loss, if any.</w:t>
      </w:r>
    </w:p>
    <w:p>
      <w:pPr>
        <w:pStyle w:val="TextBody"/>
        <w:bidi w:val="0"/>
        <w:spacing w:lineRule="auto" w:line="288" w:before="0" w:after="180"/>
        <w:jc w:val="left"/>
        <w:rPr>
          <w:rFonts w:ascii="Arial;sans-serif" w:hAnsi="Arial;sans-serif"/>
          <w:b/>
          <w:color w:val="0066CC"/>
          <w:sz w:val="22"/>
        </w:rPr>
      </w:pPr>
      <w:r>
        <w:rPr>
          <w:rFonts w:ascii="Arial;sans-serif" w:hAnsi="Arial;sans-serif"/>
          <w:b/>
          <w:color w:val="0066CC"/>
          <w:sz w:val="22"/>
        </w:rPr>
        <w:t>Guarantees and Indemnifications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Indemnifications Provided as Part of Contracts and Agreements</w:t>
      </w:r>
    </w:p>
    <w:p>
      <w:pPr>
        <w:pStyle w:val="TextBody"/>
        <w:bidi w:val="0"/>
        <w:spacing w:lineRule="auto" w:line="288" w:before="0" w:after="180"/>
        <w:jc w:val="left"/>
        <w:rPr>
          <w:rFonts w:ascii="Arial;sans-serif" w:hAnsi="Arial;sans-serif"/>
          <w:b/>
          <w:i/>
          <w:color w:val="0066CC"/>
          <w:sz w:val="20"/>
          <w:u w:val="single"/>
        </w:rPr>
      </w:pPr>
      <w:r>
        <w:rPr>
          <w:rFonts w:ascii="Arial;sans-serif" w:hAnsi="Arial;sans-serif"/>
          <w:b/>
          <w:i/>
          <w:color w:val="0066CC"/>
          <w:sz w:val="20"/>
          <w:u w:val="single"/>
        </w:rPr>
        <w:t xml:space="preserve">Acquisitions/Divestitures: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has indemnified, subject to certain deductibles and limits, the purchasers of businesses or divested assets for the occurrence of specified events under certain of its divestiture agreements. In addition, the Company customarily agrees to hold the other party harmless against losses arising from a breach of representations and covenants, including such matters as adequate title to assets sold, intellectual property rights and certain income taxes arising prior to the date of acquisition. Where appropriate, an obligation for such indemnifications is recorded as a liability at the time of the acquisition or divestiture. Since the obligated amounts of these types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16280"/>
                <wp:effectExtent l="0" t="0" r="0" b="0"/>
                <wp:wrapNone/>
                <wp:docPr id="87" name="Frame8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indemnifications are often not explicitly stated or are contingent on the occurrence of future events, the overall maximum amount, or range of amount of the obligation under such indemnifications cannot be reasonably estimated. Other than obligations recorded as liabilities at the time of divestiture, the Company has not historically made significant payments for these indemnifications. Additionally, under certain of the Company's acquisition agreements, it has provided for additional consideration to be paid to the sellers if established financial targets are achieved within specific timeframes post-closing. The Company has recognized liabilities for these contingent obligations based on an estimate of the fair value of these contingencies at the time of acquisition. Contingent obligations related to indemnifications arising from divestitures and contingent consideration provided for by acquisitions are not expected to be material to the Company's financial position, results of operations or cash flows.</w:t>
      </w:r>
    </w:p>
    <w:p>
      <w:pPr>
        <w:pStyle w:val="TextBody"/>
        <w:bidi w:val="0"/>
        <w:spacing w:lineRule="auto" w:line="288" w:before="0" w:after="180"/>
        <w:jc w:val="left"/>
        <w:rPr/>
      </w:pPr>
      <w:r>
        <w:rPr>
          <w:rFonts w:ascii="Arial;sans-serif" w:hAnsi="Arial;sans-serif"/>
          <w:b/>
          <w:i/>
          <w:color w:val="0066CC"/>
          <w:sz w:val="20"/>
          <w:u w:val="single"/>
        </w:rPr>
        <w:t>Other Agreements:</w:t>
      </w:r>
      <w:r>
        <w:rPr>
          <w:color w:val="000000"/>
        </w:rPr>
        <w:t xml:space="preserve">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Company is also party to the following types of agreements pursuant to which it may be obligated to indemnify the other party with respect to certain matters: </w:t>
      </w:r>
    </w:p>
    <w:p>
      <w:pPr>
        <w:pStyle w:val="TextBody"/>
        <w:bidi w:val="0"/>
        <w:spacing w:lineRule="auto" w:line="288" w:before="90" w:after="60"/>
        <w:ind w:left="0" w:right="0" w:hanging="360"/>
        <w:jc w:val="left"/>
        <w:rPr/>
      </w:pPr>
      <w:r>
        <w:rPr>
          <w:color w:val="000000"/>
        </w:rPr>
        <w:t>•</w:t>
      </w:r>
      <w:r>
        <w:rPr>
          <w:rFonts w:ascii="Arial;sans-serif" w:hAnsi="Arial;sans-serif"/>
          <w:b w:val="false"/>
          <w:color w:val="000000"/>
          <w:sz w:val="20"/>
        </w:rPr>
        <w:t xml:space="preserve">Guarantees on behalf of the Company's subsidiaries with respect to real estate leases. These lease guarantees may remain in effect after the sale of the subsidiary. </w:t>
      </w:r>
    </w:p>
    <w:p>
      <w:pPr>
        <w:pStyle w:val="TextBody"/>
        <w:bidi w:val="0"/>
        <w:spacing w:lineRule="auto" w:line="288" w:before="0" w:after="60"/>
        <w:ind w:left="0" w:right="0" w:hanging="315"/>
        <w:jc w:val="left"/>
        <w:rPr/>
      </w:pPr>
      <w:r>
        <w:rPr>
          <w:color w:val="000000"/>
        </w:rPr>
        <w:t>•</w:t>
      </w:r>
      <w:r>
        <w:rPr>
          <w:rFonts w:ascii="Arial;sans-serif" w:hAnsi="Arial;sans-serif"/>
          <w:b w:val="false"/>
          <w:color w:val="000000"/>
          <w:sz w:val="20"/>
        </w:rPr>
        <w:t xml:space="preserve">Agreements to indemnify various service providers, trustees and bank agents from any third-party claims related to their performance on the Company's behalf, except for claims that result from the third-party's own willful misconduct or gross negligence. </w:t>
      </w:r>
    </w:p>
    <w:p>
      <w:pPr>
        <w:pStyle w:val="TextBody"/>
        <w:bidi w:val="0"/>
        <w:spacing w:lineRule="auto" w:line="288" w:before="0" w:after="180"/>
        <w:ind w:left="0" w:right="0" w:hanging="315"/>
        <w:jc w:val="left"/>
        <w:rPr/>
      </w:pPr>
      <w:r>
        <w:rPr>
          <w:color w:val="000000"/>
        </w:rPr>
        <w:t>•</w:t>
      </w:r>
      <w:r>
        <w:rPr>
          <w:rFonts w:ascii="Arial;sans-serif" w:hAnsi="Arial;sans-serif"/>
          <w:b w:val="false"/>
          <w:color w:val="000000"/>
          <w:sz w:val="20"/>
        </w:rPr>
        <w:t xml:space="preserve">Guarantees of the Company's performance in certain services contracts to its customers and indirectly the performance of third parties with whom the Company has subcontracted for their services. This includes indemnifications to customers for losses that may be sustained because of the Company's performance of services at a customer's location.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each of these circumstances, payment is conditioned on the other party making a claim pursuant to the procedures specified in the particular contract and such procedures also typically allow the Company to challenge the other party's claims. In the case of lease guarantees, the Company may contest the liabilities asserted under the lease. Further, obligations under these agreements and guarantees may be limited in terms of time and/or amount, and in some instances, the Company may have recourse against third parties for certain payments it made.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Intellectual Property Indemnifications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does not own all of the software that it uses to run its business. Instead, the Company licenses this software from a small number of primary vendors. The Company indemnifies certain software providers against claims that may arise as a result of the Company's use or its subsidiaries', customers' or resellers' use of their software in the Company's services and solutions. These indemnities usually do not include limits on the claims, provided the claim is made pursuant to the procedures required in the services contract.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Indemnification of Officers and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corporate by-laws require that, except to the extent expressly prohibited by law, the Company must indemnify its officers and directors against judgments, fines, penalties and amounts paid in settlement and reasonable expenses, including attorneys' fees, incurred in connection with civil or criminal action or proceedings or any appeal, as it relates to their services to the Company and its subsidiaries. Although the by-laws provide no limit on the amount of indemnification, the Company may have recourse against its insurance carriers for certain payments made by the Company. However, certain indemnification payments may not be covered under the Company's directors' and officers' insurance coverage. The Company also indemnifies certain fiduciaries of its employee benefit plans for liabilities incurred in their service as fiduciary whether or not they are officers of the Company. Finally, in connection with the Company's acquisition of businesses, it may become contractually obligated to indemnify certain former and current directors, officers and employees of those businesses in accordance with pre-acquisition by-laws or indemnification agreements or applicable state law.</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Other Contingencies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Certain contracts, primarily in the Company's Government and Transportation segments, require the Company to provide a surety bond or a letter of credit as a guarantee of performance. As of December 31, 2025, the Company had $555 million of outstanding surety bonds issued to secure its performance of contractual obligations with its clients and $130 million of outstanding letters of credit issued to secure the Company's performance of contractual obligations to its clients as well as other corporate obligations. In general, the Company would only be liable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16280"/>
                <wp:effectExtent l="0" t="0" r="0" b="0"/>
                <wp:wrapNone/>
                <wp:docPr id="88" name="Frame8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16 - Preferred Stock</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Series A Preferred Stock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connection with the December 31, 2016 separation from the Company's former parent company (the "Separation"), the Company issued 120,000 shares of Series A convertible perpetual preferred stock with an aggregate liquidation preference of $120 million and an initial fair value of $142 million. The Series A convertible preferred stock pays quarterly cash dividends at a rate of 8% per year ($9.6 million per year). Each share of the Series A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the closing price of the Company's common stock exceeds 137% of the initial conversion price for 20 out of 30 trading days, the Company has the right to cause any or all of the Series A convertible preferred stock to be converted into shares of common stock at the then applicable conversion rate. The Series A convertible preferred stock is also convertible, at the option of the holder, upon a change in control, at the applicable conversion rate plus an additional number of shares determined by reference to the price paid for the Company's common stock upon such change in control. In addition, upon the occurrence of certain fundamental change events, including a change in control or the delisting of Conduent's common stock, the holder of Series A convertible preferred stock has the right to require the Company to redeem any or all of the Series A convertible preferred stock in cash at a redemption price per share equal to the liquidation preference and any accrued and unpaid dividends to, but not including, the redemption date. As a result of the contingent redemption feature, the Series A convertible preferred stock is classified as temporary equity and reflected separately from permanent equity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17 – Shareholders’ Equity</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Preferred Stock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December 31, 2025, the Company had one class of preferred stock outstanding. Refer to Note 16 – Preferred Stock for further information. The Company is authorized to issue approximately 100 million shares of convertible preferred stock at $0.01 par value per share.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Common Stock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1 billion authorized shares of common stock at $0.01 par value per share. At December 31, 2025, 19.5 million shares were reserved for issuance under the Company's incentive compensation plans and 5.4 million shares were reserved for conversion of the Series A convertible preferred stock.</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Stock Compensation Plans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Certain of the Company's employees participate in a long-term incentive plan. The Company's long-term incentive plan authorizes the issuance of restricted stock units / shares and performance stock units / share to employees. Stock-based compensation expense includes expense based on the awards and terms previously granted to the employees.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Stock-based compensation expense was as follows:</w:t>
      </w:r>
    </w:p>
    <w:tbl>
      <w:tblPr>
        <w:tblW w:w="6338" w:type="dxa"/>
        <w:jc w:val="center"/>
        <w:tblInd w:w="0" w:type="dxa"/>
        <w:tblLayout w:type="fixed"/>
        <w:tblCellMar>
          <w:top w:w="28" w:type="dxa"/>
          <w:left w:w="28" w:type="dxa"/>
          <w:bottom w:w="28" w:type="dxa"/>
          <w:right w:w="28" w:type="dxa"/>
        </w:tblCellMar>
      </w:tblPr>
      <w:tblGrid>
        <w:gridCol w:w="1232"/>
        <w:gridCol w:w="1080"/>
        <w:gridCol w:w="1092"/>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 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recognized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80"/>
        <w:jc w:val="left"/>
        <w:rPr/>
      </w:pPr>
      <w:r>
        <w:rPr>
          <w:rFonts w:ascii="Arial;sans-serif" w:hAnsi="Arial;sans-serif"/>
          <w:b/>
          <w:color w:val="0066CC"/>
          <w:sz w:val="20"/>
        </w:rPr>
        <w:t>Restricted Stock Units / Shares ("RSUs"):</w:t>
      </w:r>
      <w:r>
        <w:rPr>
          <w:color w:val="FF9900"/>
        </w:rPr>
        <w:t xml:space="preserve"> </w:t>
      </w:r>
      <w:r>
        <w:rPr>
          <w:rFonts w:ascii="Arial;sans-serif" w:hAnsi="Arial;sans-serif"/>
          <w:b w:val="false"/>
          <w:color w:val="000000"/>
          <w:sz w:val="20"/>
        </w:rPr>
        <w:t>Compensation expense is based upon the grant date market price. The compensation expense is recorded over the vesting period based on management's estimate of the number of shares expected to vest. The Company’s RSU awards typically vest in three separate and equal tranches over a 2.75 year period. Each tranche vests annually, at December 31, following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16280"/>
                <wp:effectExtent l="0" t="0" r="0" b="0"/>
                <wp:wrapNone/>
                <wp:docPr id="89" name="Frame8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2025, the Company issued 287,000 Deferred Stock Units ("DSU") to non-employee members of the Board of Directors. DSU awards typically vest in accordance with certain service conditions. </w:t>
      </w:r>
    </w:p>
    <w:p>
      <w:pPr>
        <w:pStyle w:val="TextBody"/>
        <w:bidi w:val="0"/>
        <w:spacing w:lineRule="auto" w:line="288" w:before="0" w:after="180"/>
        <w:jc w:val="left"/>
        <w:rPr/>
      </w:pPr>
      <w:r>
        <w:rPr>
          <w:rFonts w:ascii="Arial;sans-serif" w:hAnsi="Arial;sans-serif"/>
          <w:b/>
          <w:color w:val="0066CC"/>
          <w:sz w:val="20"/>
        </w:rPr>
        <w:t>Performance Stock Units / Shares ("PSUs"):</w:t>
      </w:r>
      <w:r>
        <w:rPr>
          <w:color w:val="000000"/>
        </w:rPr>
        <w:t xml:space="preserve"> </w:t>
      </w:r>
      <w:r>
        <w:rPr>
          <w:rFonts w:ascii="Arial;sans-serif" w:hAnsi="Arial;sans-serif"/>
          <w:b w:val="false"/>
          <w:color w:val="000000"/>
          <w:sz w:val="20"/>
        </w:rPr>
        <w:t>The Company has granted PSUs under various scenarios including: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PSUs that vest contingent upon its achievement of certain specified financial performance criteria that are averaged over a three-year period. If the three-year actual results exceed the stated targets, then the plan participants have the potential to earn additional shares of common stock, which cannot exceed 50% and 100% of the original grant for the awards granted in 2024 and 2023, respectively. The fair value of these PSUs is based upon the market price of Conduent's common stock on the date of the grant. Compensation expense is recognized over the vesting period, which is 2.75 years from the date of grant, based on management's estimate of the number of shares expected to vest. If the stated targets are not met, any recognized compensation cost would be reversed.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PSUs that vest contingent upon the increase of Conduent’s stock price to certain levels over a 2.75 years period from the date of grant. The number of shares eligible to vest may be adjusted upward or downward by 50% based on total shareholder return, which measures the Company’s stock performance relative to the stock performance of the Company’s proxy peers over the measurement period. These PSUs also have a service requirement that must be met for them to vest. The fair value of these PSUs is based upon a Monte Carlo simulation, which uses assumptions about the risk free rate and volatility of the Company's stock price at the date of grant. Compensation expense is recognized over the vesting period based on management's estimate of the number of shares expected to vest. The PSUs granted in 2022 were canceled at December 31, 2024 as the performance measures were not met.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 2025, for certain senior executives, the Company changed its Annual Performance Incentive Plan (“APIP”) cash incentive by awarding a portion of the incentive in PSUs. These shares vest contingent upon: (i) the achievement of the specified 2025 APIP financial performance criteria, and (ii) the meeting of service criteria. The plan participants cannot earn additional shares if APIP performance achievement exceeds 100% of the stated targets. Rather, any overachievement is paid in cash. The fair value of these PSUs is based upon the market price of Conduent’s common stock on the date of the grant, June 1, 2025. Compensation expense is recognized over the vesting period, which is 22 months from the date of grant, based on management’s estimate of the number of shares expected to vest.</w:t>
      </w:r>
    </w:p>
    <w:p>
      <w:pPr>
        <w:pStyle w:val="TextBody"/>
        <w:bidi w:val="0"/>
        <w:spacing w:lineRule="auto" w:line="288" w:before="0" w:after="0"/>
        <w:ind w:left="0" w:right="0" w:hanging="450"/>
        <w:jc w:val="left"/>
        <w:rPr>
          <w:rFonts w:ascii="Arial;sans-serif" w:hAnsi="Arial;sans-serif"/>
          <w:b/>
          <w:color w:val="0066CC"/>
          <w:sz w:val="22"/>
        </w:rPr>
      </w:pPr>
      <w:r>
        <w:rPr>
          <w:rFonts w:ascii="Arial;sans-serif" w:hAnsi="Arial;sans-serif"/>
          <w:b/>
          <w:color w:val="0066CC"/>
          <w:sz w:val="22"/>
        </w:rPr>
        <w:t>Summary of Stock-based Compensation Activity</w:t>
      </w:r>
    </w:p>
    <w:tbl>
      <w:tblPr>
        <w:tblW w:w="10205" w:type="dxa"/>
        <w:jc w:val="center"/>
        <w:tblInd w:w="0" w:type="dxa"/>
        <w:tblLayout w:type="fixed"/>
        <w:tblCellMar>
          <w:top w:w="28" w:type="dxa"/>
          <w:left w:w="28" w:type="dxa"/>
          <w:bottom w:w="28" w:type="dxa"/>
          <w:right w:w="28" w:type="dxa"/>
        </w:tblCellMar>
      </w:tblPr>
      <w:tblGrid>
        <w:gridCol w:w="835"/>
        <w:gridCol w:w="654"/>
        <w:gridCol w:w="656"/>
        <w:gridCol w:w="109"/>
        <w:gridCol w:w="109"/>
        <w:gridCol w:w="109"/>
        <w:gridCol w:w="322"/>
        <w:gridCol w:w="324"/>
        <w:gridCol w:w="211"/>
        <w:gridCol w:w="109"/>
        <w:gridCol w:w="109"/>
        <w:gridCol w:w="109"/>
        <w:gridCol w:w="301"/>
        <w:gridCol w:w="716"/>
        <w:gridCol w:w="169"/>
        <w:gridCol w:w="109"/>
        <w:gridCol w:w="109"/>
        <w:gridCol w:w="109"/>
        <w:gridCol w:w="303"/>
        <w:gridCol w:w="304"/>
        <w:gridCol w:w="211"/>
        <w:gridCol w:w="109"/>
        <w:gridCol w:w="109"/>
        <w:gridCol w:w="109"/>
        <w:gridCol w:w="301"/>
        <w:gridCol w:w="716"/>
        <w:gridCol w:w="169"/>
        <w:gridCol w:w="109"/>
        <w:gridCol w:w="109"/>
        <w:gridCol w:w="109"/>
        <w:gridCol w:w="303"/>
        <w:gridCol w:w="304"/>
        <w:gridCol w:w="211"/>
        <w:gridCol w:w="109"/>
        <w:gridCol w:w="109"/>
        <w:gridCol w:w="109"/>
        <w:gridCol w:w="295"/>
        <w:gridCol w:w="702"/>
        <w:gridCol w:w="236"/>
      </w:tblGrid>
      <w:tr>
        <w:trPr/>
        <w:tc>
          <w:tcPr>
            <w:tcW w:w="83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w:t>
              <w:br/>
              <w:t>Average Grant</w:t>
              <w:br/>
              <w:t>Date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w:t>
              <w:br/>
              <w:t>Average Grant</w:t>
              <w:br/>
              <w:t>Date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w:t>
              <w:br/>
              <w:t>Average Grant</w:t>
              <w:br/>
              <w:t>Date Fair</w:t>
              <w:br/>
              <w:t>Value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Restricted Stock Units /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Performance Stock Units /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16280"/>
                <wp:effectExtent l="0" t="0" r="0" b="0"/>
                <wp:wrapNone/>
                <wp:docPr id="90" name="Frame8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total unrecognized compensation cost related to non-vested stock-based awards at December 31, 2025 was as follows (in millions):</w:t>
      </w:r>
    </w:p>
    <w:tbl>
      <w:tblPr>
        <w:tblW w:w="9593" w:type="dxa"/>
        <w:jc w:val="left"/>
        <w:tblInd w:w="0" w:type="dxa"/>
        <w:tblLayout w:type="fixed"/>
        <w:tblCellMar>
          <w:top w:w="28" w:type="dxa"/>
          <w:left w:w="28" w:type="dxa"/>
          <w:bottom w:w="28" w:type="dxa"/>
          <w:right w:w="28" w:type="dxa"/>
        </w:tblCellMar>
      </w:tblPr>
      <w:tblGrid>
        <w:gridCol w:w="944"/>
        <w:gridCol w:w="827"/>
        <w:gridCol w:w="839"/>
        <w:gridCol w:w="109"/>
        <w:gridCol w:w="109"/>
        <w:gridCol w:w="109"/>
        <w:gridCol w:w="683"/>
        <w:gridCol w:w="1154"/>
        <w:gridCol w:w="382"/>
        <w:gridCol w:w="109"/>
        <w:gridCol w:w="109"/>
        <w:gridCol w:w="109"/>
        <w:gridCol w:w="1202"/>
        <w:gridCol w:w="1202"/>
        <w:gridCol w:w="1706"/>
      </w:tblGrid>
      <w:tr>
        <w:trPr/>
        <w:tc>
          <w:tcPr>
            <w:tcW w:w="9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Unrecognized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Remaining Weighted-Average Expense Period (Years)</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 /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aggregate intrinsic value of outstanding RSUs and PSUs awards were as follows (in millions):</w:t>
      </w:r>
    </w:p>
    <w:tbl>
      <w:tblPr>
        <w:tblW w:w="4526" w:type="dxa"/>
        <w:jc w:val="center"/>
        <w:tblInd w:w="0" w:type="dxa"/>
        <w:tblLayout w:type="fixed"/>
        <w:tblCellMar>
          <w:top w:w="28" w:type="dxa"/>
          <w:left w:w="28" w:type="dxa"/>
          <w:bottom w:w="28" w:type="dxa"/>
          <w:right w:w="28" w:type="dxa"/>
        </w:tblCellMar>
      </w:tblPr>
      <w:tblGrid>
        <w:gridCol w:w="944"/>
        <w:gridCol w:w="827"/>
        <w:gridCol w:w="839"/>
        <w:gridCol w:w="109"/>
        <w:gridCol w:w="109"/>
        <w:gridCol w:w="109"/>
        <w:gridCol w:w="526"/>
        <w:gridCol w:w="647"/>
        <w:gridCol w:w="416"/>
      </w:tblGrid>
      <w:tr>
        <w:trPr/>
        <w:tc>
          <w:tcPr>
            <w:tcW w:w="9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 /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total intrinsic value and actual tax benefit realized for vested stock-based awards were as follows:</w:t>
      </w:r>
    </w:p>
    <w:tbl>
      <w:tblPr>
        <w:tblW w:w="10273" w:type="dxa"/>
        <w:jc w:val="center"/>
        <w:tblInd w:w="0" w:type="dxa"/>
        <w:tblLayout w:type="fixed"/>
        <w:tblCellMar>
          <w:top w:w="28" w:type="dxa"/>
          <w:left w:w="28" w:type="dxa"/>
          <w:bottom w:w="28" w:type="dxa"/>
          <w:right w:w="28" w:type="dxa"/>
        </w:tblCellMar>
      </w:tblPr>
      <w:tblGrid>
        <w:gridCol w:w="532"/>
        <w:gridCol w:w="295"/>
        <w:gridCol w:w="239"/>
        <w:gridCol w:w="109"/>
        <w:gridCol w:w="109"/>
        <w:gridCol w:w="109"/>
        <w:gridCol w:w="242"/>
        <w:gridCol w:w="298"/>
        <w:gridCol w:w="136"/>
        <w:gridCol w:w="109"/>
        <w:gridCol w:w="109"/>
        <w:gridCol w:w="109"/>
        <w:gridCol w:w="219"/>
        <w:gridCol w:w="454"/>
        <w:gridCol w:w="123"/>
        <w:gridCol w:w="109"/>
        <w:gridCol w:w="109"/>
        <w:gridCol w:w="109"/>
        <w:gridCol w:w="215"/>
        <w:gridCol w:w="265"/>
        <w:gridCol w:w="121"/>
        <w:gridCol w:w="109"/>
        <w:gridCol w:w="109"/>
        <w:gridCol w:w="109"/>
        <w:gridCol w:w="208"/>
        <w:gridCol w:w="351"/>
        <w:gridCol w:w="117"/>
        <w:gridCol w:w="109"/>
        <w:gridCol w:w="109"/>
        <w:gridCol w:w="109"/>
        <w:gridCol w:w="219"/>
        <w:gridCol w:w="454"/>
        <w:gridCol w:w="123"/>
        <w:gridCol w:w="109"/>
        <w:gridCol w:w="109"/>
        <w:gridCol w:w="109"/>
        <w:gridCol w:w="215"/>
        <w:gridCol w:w="265"/>
        <w:gridCol w:w="121"/>
        <w:gridCol w:w="109"/>
        <w:gridCol w:w="109"/>
        <w:gridCol w:w="109"/>
        <w:gridCol w:w="208"/>
        <w:gridCol w:w="351"/>
        <w:gridCol w:w="117"/>
        <w:gridCol w:w="109"/>
        <w:gridCol w:w="109"/>
        <w:gridCol w:w="109"/>
        <w:gridCol w:w="219"/>
        <w:gridCol w:w="454"/>
        <w:gridCol w:w="123"/>
        <w:gridCol w:w="109"/>
        <w:gridCol w:w="109"/>
        <w:gridCol w:w="109"/>
        <w:gridCol w:w="214"/>
        <w:gridCol w:w="263"/>
        <w:gridCol w:w="169"/>
      </w:tblGrid>
      <w:tr>
        <w:trPr/>
        <w:tc>
          <w:tcPr>
            <w:tcW w:w="53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2023</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Intrinsic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 Received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Intrinsic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 Received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Intrinsic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 Received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Tax Benefit</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 /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18 – Other Comprehensive Income (Loss)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Comprehensive Income (Loss) is comprised of the following:</w:t>
      </w:r>
    </w:p>
    <w:tbl>
      <w:tblPr>
        <w:tblW w:w="10205" w:type="dxa"/>
        <w:jc w:val="center"/>
        <w:tblInd w:w="0" w:type="dxa"/>
        <w:tblLayout w:type="fixed"/>
        <w:tblCellMar>
          <w:top w:w="28" w:type="dxa"/>
          <w:left w:w="28" w:type="dxa"/>
          <w:bottom w:w="28" w:type="dxa"/>
          <w:right w:w="28" w:type="dxa"/>
        </w:tblCellMar>
      </w:tblPr>
      <w:tblGrid>
        <w:gridCol w:w="1383"/>
        <w:gridCol w:w="1160"/>
        <w:gridCol w:w="1174"/>
        <w:gridCol w:w="109"/>
        <w:gridCol w:w="109"/>
        <w:gridCol w:w="109"/>
        <w:gridCol w:w="199"/>
        <w:gridCol w:w="336"/>
        <w:gridCol w:w="111"/>
        <w:gridCol w:w="109"/>
        <w:gridCol w:w="109"/>
        <w:gridCol w:w="109"/>
        <w:gridCol w:w="255"/>
        <w:gridCol w:w="431"/>
        <w:gridCol w:w="141"/>
        <w:gridCol w:w="109"/>
        <w:gridCol w:w="109"/>
        <w:gridCol w:w="109"/>
        <w:gridCol w:w="196"/>
        <w:gridCol w:w="395"/>
        <w:gridCol w:w="109"/>
        <w:gridCol w:w="109"/>
        <w:gridCol w:w="109"/>
        <w:gridCol w:w="109"/>
        <w:gridCol w:w="232"/>
        <w:gridCol w:w="470"/>
        <w:gridCol w:w="128"/>
        <w:gridCol w:w="109"/>
        <w:gridCol w:w="109"/>
        <w:gridCol w:w="109"/>
        <w:gridCol w:w="199"/>
        <w:gridCol w:w="336"/>
        <w:gridCol w:w="111"/>
        <w:gridCol w:w="109"/>
        <w:gridCol w:w="109"/>
        <w:gridCol w:w="109"/>
        <w:gridCol w:w="251"/>
        <w:gridCol w:w="424"/>
        <w:gridCol w:w="202"/>
      </w:tblGrid>
      <w:tr>
        <w:trPr/>
        <w:tc>
          <w:tcPr>
            <w:tcW w:w="138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3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3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Defined Benefit Plans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actuarial/prior service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Defined Benefit Plans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Accumulated Other Comprehensive Loss ("AOCL")</w:t>
      </w:r>
    </w:p>
    <w:p>
      <w:pPr>
        <w:pStyle w:val="TextBody"/>
        <w:bidi w:val="0"/>
        <w:spacing w:lineRule="auto" w:line="288" w:before="0" w:after="180"/>
        <w:jc w:val="left"/>
        <w:rPr/>
      </w:pPr>
      <w:r>
        <w:rPr>
          <w:rFonts w:ascii="Arial;sans-serif" w:hAnsi="Arial;sans-serif"/>
          <w:b w:val="false"/>
          <w:color w:val="000000"/>
          <w:sz w:val="20"/>
        </w:rPr>
        <w:t>Below are the balances and changes in AOCL</w:t>
      </w:r>
      <w:r>
        <w:rPr>
          <w:rFonts w:ascii="Arial;sans-serif" w:hAnsi="Arial;sans-serif"/>
          <w:b w:val="false"/>
          <w:color w:val="000000"/>
          <w:sz w:val="13"/>
        </w:rPr>
        <w:t>(1)</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16280"/>
                <wp:effectExtent l="0" t="0" r="0" b="0"/>
                <wp:wrapNone/>
                <wp:docPr id="91" name="Frame9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7"/>
        <w:gridCol w:w="903"/>
        <w:gridCol w:w="915"/>
        <w:gridCol w:w="109"/>
        <w:gridCol w:w="109"/>
        <w:gridCol w:w="109"/>
        <w:gridCol w:w="469"/>
        <w:gridCol w:w="1042"/>
        <w:gridCol w:w="262"/>
        <w:gridCol w:w="109"/>
        <w:gridCol w:w="109"/>
        <w:gridCol w:w="109"/>
        <w:gridCol w:w="496"/>
        <w:gridCol w:w="1028"/>
        <w:gridCol w:w="277"/>
        <w:gridCol w:w="109"/>
        <w:gridCol w:w="109"/>
        <w:gridCol w:w="109"/>
        <w:gridCol w:w="523"/>
        <w:gridCol w:w="644"/>
        <w:gridCol w:w="291"/>
        <w:gridCol w:w="109"/>
        <w:gridCol w:w="109"/>
        <w:gridCol w:w="109"/>
        <w:gridCol w:w="196"/>
        <w:gridCol w:w="465"/>
        <w:gridCol w:w="159"/>
      </w:tblGrid>
      <w:tr>
        <w:trPr/>
        <w:tc>
          <w:tcPr>
            <w:tcW w:w="12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2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w:t>
      </w:r>
    </w:p>
    <w:p>
      <w:pPr>
        <w:pStyle w:val="TextBody"/>
        <w:bidi w:val="0"/>
        <w:spacing w:lineRule="auto" w:line="288" w:before="60" w:after="180"/>
        <w:ind w:left="0" w:right="0" w:hanging="360"/>
        <w:jc w:val="left"/>
        <w:rPr>
          <w:rFonts w:ascii="Arial;sans-serif" w:hAnsi="Arial;sans-serif"/>
          <w:b w:val="false"/>
          <w:i/>
          <w:color w:val="000000"/>
          <w:sz w:val="16"/>
        </w:rPr>
      </w:pPr>
      <w:r>
        <w:rPr>
          <w:rFonts w:ascii="Arial;sans-serif" w:hAnsi="Arial;sans-serif"/>
          <w:b w:val="false"/>
          <w:i/>
          <w:color w:val="000000"/>
          <w:sz w:val="16"/>
        </w:rPr>
        <w:t>(1)All amounts are net of tax. Tax effects were immaterial.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Note 19 – Earnings (Loss) per Share</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Company did not declare any common stock dividends in the periods presented.</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computation of basic and diluted loss per share of common stock: </w:t>
      </w:r>
    </w:p>
    <w:tbl>
      <w:tblPr>
        <w:tblW w:w="10205" w:type="dxa"/>
        <w:jc w:val="left"/>
        <w:tblInd w:w="0" w:type="dxa"/>
        <w:tblLayout w:type="fixed"/>
        <w:tblCellMar>
          <w:top w:w="28" w:type="dxa"/>
          <w:left w:w="28" w:type="dxa"/>
          <w:bottom w:w="28" w:type="dxa"/>
          <w:right w:w="28" w:type="dxa"/>
        </w:tblCellMar>
      </w:tblPr>
      <w:tblGrid>
        <w:gridCol w:w="2107"/>
        <w:gridCol w:w="1674"/>
        <w:gridCol w:w="1681"/>
        <w:gridCol w:w="144"/>
        <w:gridCol w:w="144"/>
        <w:gridCol w:w="144"/>
        <w:gridCol w:w="260"/>
        <w:gridCol w:w="720"/>
        <w:gridCol w:w="144"/>
        <w:gridCol w:w="144"/>
        <w:gridCol w:w="144"/>
        <w:gridCol w:w="144"/>
        <w:gridCol w:w="288"/>
        <w:gridCol w:w="691"/>
        <w:gridCol w:w="144"/>
        <w:gridCol w:w="144"/>
        <w:gridCol w:w="144"/>
        <w:gridCol w:w="144"/>
        <w:gridCol w:w="260"/>
        <w:gridCol w:w="720"/>
        <w:gridCol w:w="220"/>
      </w:tblGrid>
      <w:tr>
        <w:trPr/>
        <w:tc>
          <w:tcPr>
            <w:tcW w:w="210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5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 Shares in thousands)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Net Earnings (Loss) per Share: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 Preferred Stock</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 Available to Common Shareholders - Basic</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Net Earnings (Loss) per Share: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 Preferred Stock</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 Available to Common Shareholders - Diluted</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 Basic</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216,779 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Shares Issuable with Respect to:</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Units / Shares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3,224</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 Convertible Preferred Stock</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 Diluted</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158,422 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216,779 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 (Loss) per Share: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securities were not included in the computation of diluted earnings per share as they were either contingently issuable shares or shares that if included would have been anti-dilutive (shares in thousands):</w:t>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shares/units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 Convertible preferred stock</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Anti-Dilutive and Contingently Issuable Securities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743" w:type="dxa"/>
            <w:gridSpan w:val="18"/>
            <w:tcBorders/>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46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16280"/>
                <wp:effectExtent l="0" t="0" r="0" b="0"/>
                <wp:wrapNone/>
                <wp:docPr id="92" name="Frame9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Note 20 – Related Party Transactions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the normal course of business, the Company provided services to, and purchased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Consolidated Statements of Income (Loss).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Xerox Corporation ("Xerox") was historically classified as a related party due to significant shares of both Xerox and the Company being held by entities controlled by one individual. As of September 28, 2023, Xerox was no longer considered a related party due to the disposition of all Xerox stock by these entities and, therefore, the Company does not consider transactions with Xerox after that date to be transactions with related parties.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Transactions with related parties were as follows:</w:t>
      </w:r>
    </w:p>
    <w:tbl>
      <w:tblPr>
        <w:tblW w:w="5454" w:type="dxa"/>
        <w:jc w:val="left"/>
        <w:tblInd w:w="0" w:type="dxa"/>
        <w:tblLayout w:type="fixed"/>
        <w:tblCellMar>
          <w:top w:w="28" w:type="dxa"/>
          <w:left w:w="28" w:type="dxa"/>
          <w:bottom w:w="28" w:type="dxa"/>
          <w:right w:w="28" w:type="dxa"/>
        </w:tblCellMar>
      </w:tblPr>
      <w:tblGrid>
        <w:gridCol w:w="858"/>
        <w:gridCol w:w="752"/>
        <w:gridCol w:w="760"/>
        <w:gridCol w:w="109"/>
        <w:gridCol w:w="109"/>
        <w:gridCol w:w="109"/>
        <w:gridCol w:w="196"/>
        <w:gridCol w:w="406"/>
        <w:gridCol w:w="109"/>
        <w:gridCol w:w="109"/>
        <w:gridCol w:w="109"/>
        <w:gridCol w:w="109"/>
        <w:gridCol w:w="196"/>
        <w:gridCol w:w="406"/>
        <w:gridCol w:w="109"/>
        <w:gridCol w:w="109"/>
        <w:gridCol w:w="109"/>
        <w:gridCol w:w="109"/>
        <w:gridCol w:w="196"/>
        <w:gridCol w:w="33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had no receivable or payable balances with related party entities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16280"/>
                <wp:effectExtent l="0" t="0" r="0" b="0"/>
                <wp:wrapNone/>
                <wp:docPr id="93" name="Frame9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 xml:space="preserve">ITEM 9. CHANGES IN AND DISAGREEMENTS WITH ACCOUNTANTS ON ACCOUNTING AND FINANCIAL DISCLOSURE </w:t>
      </w:r>
    </w:p>
    <w:p>
      <w:pPr>
        <w:pStyle w:val="TextBody"/>
        <w:bidi w:val="0"/>
        <w:spacing w:lineRule="auto" w:line="288" w:before="90" w:after="180"/>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ITEM 9A. CONTROLS AND PROCEDURES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Management's Responsibility for Financial Statements </w:t>
      </w:r>
    </w:p>
    <w:p>
      <w:pPr>
        <w:pStyle w:val="TextBody"/>
        <w:bidi w:val="0"/>
        <w:spacing w:lineRule="auto" w:line="288" w:before="90" w:after="180"/>
        <w:jc w:val="left"/>
        <w:rPr>
          <w:rFonts w:ascii="Arial;sans-serif" w:hAnsi="Arial;sans-serif"/>
          <w:b w:val="false"/>
          <w:color w:val="000000"/>
          <w:sz w:val="20"/>
        </w:rPr>
      </w:pPr>
      <w:r>
        <w:rPr>
          <w:rFonts w:ascii="Arial;sans-serif" w:hAnsi="Arial;sans-serif"/>
          <w:b w:val="false"/>
          <w:color w:val="000000"/>
          <w:sz w:val="20"/>
        </w:rPr>
        <w:t xml:space="preserve">Management is responsible for the integrity and objectivity of all information presented in this Annual Report on Form 10-K.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access to the Audit Committee.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Disclosure Controls and Procedures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management evaluated, with the participation of our principal executive officer and principal financial officer, the effectiveness of our disclosure controls and procedures, as defined in Rules 13a-15(e) and 15d-15(e) under the Securities Exchange Act of 1934, as amended, as of December 31, 2025, the end of the period covered by this Annual Report on Form 10-K. Based on this evaluation, our principal executive officer and principal financial officer have concluded that, as of the end of the period covered by this Annual Report on Form 10-K,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Conduent Incorporated,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Management's Report on Internal Control over Financial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Management is responsible for establishing and maintaining adequate internal control over financial reporting, as such term is defined in Rules 13a-15(f) and 15d-15(f) promulgated under the Securities Exchange Act of 1934, as amended. Under the supervision and with the participation of our management, including our principal executive officer, principal financial officer and principal accounting officer, we have conducted an evaluation of the effectiveness of our internal control over financial reporting based on the framework in "Internal Control - Integrated Framework" (2013) issued by the Committee of Sponsoring Organizations of the Treadway Commission.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Based on the above evaluation, management concluded that our internal control over financial reporting was effective as of December 31,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effectiveness of our internal control over financial reporting as of December 31, 2025 has been audited by PricewaterhouseCoopers LLP, an independent registered public accounting firm, as stated in their report which appears in Part II, Item 8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16280"/>
                <wp:effectExtent l="0" t="0" r="0" b="0"/>
                <wp:wrapNone/>
                <wp:docPr id="94" name="Frame9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Changes in Internal Control over Financial Reporting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connection with the evaluation required by paragraph (d) of Rule 13a-15 under the Exchange Act, there was no change identified in our internal control over financial reporting that occurred during the last fiscal quarter ended December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 xml:space="preserve">ITEM 9B. OTHER INFORMATION </w:t>
      </w:r>
    </w:p>
    <w:p>
      <w:pPr>
        <w:pStyle w:val="TextBody"/>
        <w:bidi w:val="0"/>
        <w:spacing w:lineRule="auto" w:line="268" w:before="0" w:after="180"/>
        <w:jc w:val="left"/>
        <w:rPr>
          <w:rFonts w:ascii="Arial;sans-serif" w:hAnsi="Arial;sans-serif"/>
          <w:b/>
          <w:color w:val="0066CC"/>
          <w:sz w:val="20"/>
        </w:rPr>
      </w:pPr>
      <w:r>
        <w:rPr>
          <w:rFonts w:ascii="Arial;sans-serif" w:hAnsi="Arial;sans-serif"/>
          <w:b/>
          <w:color w:val="0066CC"/>
          <w:sz w:val="20"/>
        </w:rPr>
        <w:t>10b5-1 Plans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three months ended December 31,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ITEM 9C. DISCLOSURE REGARDING FOREIGN JURISDICTIONS THAT PREVENT INSPECTIONS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ITEM 10. DIRECTORS, EXECUTIVE OFFICERS AND CORPORATE GOVERNANCE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information regarding our executive officers required by Item 10 of Part III is set forth in Item 1 of Part I "Business–Information About Our Executive Officers." The information regarding directors is incorporated herein by reference to the section entitled “Proposal 1 - Election of Directors” in our definitive Proxy Statement to be filed pursuant to Regulation 14A of the Securities Exchange Act of 1934, as amended, for our 2026 Annual Meeting of Stockholders (the "2026 Proxy Statement"). The 2026 Proxy Statement is expected to be filed within 120 days after the end of our fiscal year ended December 31, 2025.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If applicable, the information regarding compliance with Section 16(a) of the Securities and Exchange Act of 1934 is incorporated herein by reference to the section entitled “Delinquent Section 16(a) Reports" of our 2026 Proxy Statement.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information required by this Item regarding the Audit Committee, its members and the Audit Committee financial experts is incorporated by reference herein from the subsection entitled “Committee Functions, Membership and Meetings” in the section entitled “Board of Directors and Board Committees” in our 2026 Proxy Statement.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required by this Item regarding our insider trading policy is incorporated by reference herein from the subsection entitled "Trading, Hedging and Pledging" in our 2026 Proxy Statement.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adopted a code of ethics applicable to our principal executive officer, principal financial officer and principal accounting officer (the "Finance Code of Conduct"). The Finance Code of Conduct can be found on our website at: https://www.conduent.com/corporate-governance/ethics-and-compliance/. Information concerning our Finance Code of Conduct can be found under "Corporate Governance" in our 2026 Proxy Statement and is incorporated here by reference. The reference to our website address does not constitute incorporation by reference of any of the information contained on the website, and such information is not a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16280"/>
                <wp:effectExtent l="0" t="0" r="0" b="0"/>
                <wp:wrapNone/>
                <wp:docPr id="95" name="Frame9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 xml:space="preserve">ITEM 11. EXECUTIVE COMPENSATION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required by this Item included under the following captions in our 2026 Proxy Statement is incorporated herein by reference: “Compensation Discussion and Analysis” (including the “Summary Compensation Table”, “Grants of Plan-Based Awards in 2025”, “Outstanding Equity Awards at 2025 Fiscal Year-End”, “Option Exercises and Stock Vested in 2025”, “Potential Payments upon Termination or Change in Control”, and “Compensation Committee Report” subsections), “Annual Director Compensation” and “Compensation Committee Interlocks and Insider Participation”. The information included under the heading “Compensation Committee Report” in our 2026 Proxy Statement is incorporated herein by reference; however, this information shall not be deemed to be “soliciting material” or to be “filed” with the SEC or subject to Regulation 14A or 14C, or to the liabilities of Section 18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rPr>
      </w:pPr>
      <w:r>
        <w:rPr>
          <w:rFonts w:ascii="Arial;sans-serif" w:hAnsi="Arial;sans-serif"/>
          <w:b/>
          <w:color w:val="0066CC"/>
          <w:sz w:val="24"/>
        </w:rPr>
        <w:t>ITEM 12. SECURITY OWNERSHIP OF CERTAIN BENEFICIAL OWNERS AND MANAGEMENT AND RELATED STOCKHOLDER MATTERS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required by this Item is incorporated herein by reference to the subsections entitled "Securities Ownership," and “Equity Compensation Plan Information” in our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 xml:space="preserve">ITEM 13. CERTAIN RELATIONSHIPS, RELATED TRANSACTIONS AND DIRECTOR INDEPENDENCE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required by this Item is incorporated herein by reference to the subsection entitled “Certain Relationships and Related Person Transactions” in our 2026 Proxy Statement. The information regarding director independence is incorporated herein by reference to the subsections entitled “Corporate Governance” and “Director Independence” in the section entitled “Proposal 1 - Election of Directors”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 xml:space="preserve">ITEM 14. PRINCIPAL ACCOUNTANT FEES AND SERVICES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herein by reference to the section entitled “Proposal 2 - Ratification of Appointment of Independent Registered Public Accounting Firm” in our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6CC"/>
          <w:sz w:val="24"/>
        </w:rPr>
      </w:pPr>
      <w:r>
        <w:rPr>
          <w:rFonts w:ascii="Arial;sans-serif" w:hAnsi="Arial;sans-serif"/>
          <w:b/>
          <w:color w:val="0066CC"/>
          <w:sz w:val="24"/>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(a)        </w:t>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1.Index to Financial Statements filed as part of this report:</w:t>
      </w:r>
    </w:p>
    <w:p>
      <w:pPr>
        <w:pStyle w:val="TextBody"/>
        <w:bidi w:val="0"/>
        <w:spacing w:before="0" w:after="0"/>
        <w:ind w:left="0" w:right="0" w:hanging="810"/>
        <w:jc w:val="left"/>
        <w:rPr/>
      </w:pPr>
      <w:r>
        <w:rPr/>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Report of Independent Registered Public Accounting Firm (PCAOB ID: 238);</w:t>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Consolidated Statements of Income (Loss) for each of the years in the three-year period ended December 31, 2025;</w:t>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Consolidated Statements of Comprehensive Income (Loss) for each of the years in the three-year period ended December 31, 2025;</w:t>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Consolidated Balance Sheets as of December 31, 2025 and 2024;</w:t>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Consolidated Statements of Cash Flows for each of the years in the three-year period ended December 31, 2025;</w:t>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Consolidated Statements of Shareholders' Equity for each of the years in the three-year period ended December 31, 2025;</w:t>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Notes to the Consolidated Financial Statements; and</w:t>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All other schedules are omitted as they are not applicable, or the information required is included in the financial statements or notes thereto.</w:t>
      </w:r>
    </w:p>
    <w:p>
      <w:pPr>
        <w:pStyle w:val="TextBody"/>
        <w:bidi w:val="0"/>
        <w:spacing w:before="0" w:after="0"/>
        <w:ind w:left="0" w:right="0" w:hanging="90"/>
        <w:jc w:val="left"/>
        <w:rPr/>
      </w:pPr>
      <w:r>
        <w:rPr/>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2.Financial Statement Schedules:</w:t>
      </w:r>
    </w:p>
    <w:p>
      <w:pPr>
        <w:pStyle w:val="TextBody"/>
        <w:bidi w:val="0"/>
        <w:spacing w:before="0" w:after="0"/>
        <w:ind w:left="0" w:right="0" w:hanging="810"/>
        <w:jc w:val="left"/>
        <w:rPr/>
      </w:pPr>
      <w:r>
        <w:rPr/>
      </w:r>
    </w:p>
    <w:p>
      <w:pPr>
        <w:pStyle w:val="TextBody"/>
        <w:bidi w:val="0"/>
        <w:spacing w:lineRule="auto" w:line="288" w:before="0" w:after="0"/>
        <w:ind w:left="0" w:right="0" w:hanging="450"/>
        <w:jc w:val="left"/>
        <w:rPr/>
      </w:pPr>
      <w:r>
        <w:rPr>
          <w:color w:val="000000"/>
        </w:rPr>
        <w:t>▪</w:t>
      </w:r>
      <w:r>
        <w:rPr>
          <w:rFonts w:ascii="Arial;sans-serif" w:hAnsi="Arial;sans-serif"/>
          <w:b w:val="false"/>
          <w:color w:val="000000"/>
          <w:sz w:val="20"/>
        </w:rPr>
        <w:t>Schedule II–Valuation and Qualifying Accounts for each of the three years in the period ended December 31, 2025.</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16280"/>
                <wp:effectExtent l="0" t="0" r="0" b="0"/>
                <wp:wrapNone/>
                <wp:docPr id="96" name="Frame9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 xml:space="preserve">3.The exhibits filed herewith are set forth in the exhibit Index included herein.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Management contracts or compensatory plans or arrangements listed that are applicable to the executive officers named in the Summary Compensation Table which appears in the Registrant's 2026 Proxy Statement or to our directors are preceded by an asterisk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SCHEDULE II</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Valuation and Qualifying Accounts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 allowances or recoveries for credit losses were recorded for the three years ended December 31, 2025. Activity in tax valuation allowances for the three years ended December 31, 2025 is shown below:</w:t>
      </w:r>
    </w:p>
    <w:tbl>
      <w:tblPr>
        <w:tblW w:w="10205" w:type="dxa"/>
        <w:jc w:val="left"/>
        <w:tblInd w:w="0" w:type="dxa"/>
        <w:tblLayout w:type="fixed"/>
        <w:tblCellMar>
          <w:top w:w="28" w:type="dxa"/>
          <w:left w:w="28" w:type="dxa"/>
          <w:bottom w:w="28" w:type="dxa"/>
          <w:right w:w="28" w:type="dxa"/>
        </w:tblCellMar>
      </w:tblPr>
      <w:tblGrid>
        <w:gridCol w:w="256"/>
        <w:gridCol w:w="222"/>
        <w:gridCol w:w="222"/>
        <w:gridCol w:w="402"/>
        <w:gridCol w:w="369"/>
        <w:gridCol w:w="234"/>
        <w:gridCol w:w="109"/>
        <w:gridCol w:w="109"/>
        <w:gridCol w:w="109"/>
        <w:gridCol w:w="375"/>
        <w:gridCol w:w="375"/>
        <w:gridCol w:w="376"/>
        <w:gridCol w:w="109"/>
        <w:gridCol w:w="109"/>
        <w:gridCol w:w="109"/>
        <w:gridCol w:w="325"/>
        <w:gridCol w:w="325"/>
        <w:gridCol w:w="326"/>
        <w:gridCol w:w="109"/>
        <w:gridCol w:w="109"/>
        <w:gridCol w:w="109"/>
        <w:gridCol w:w="709"/>
        <w:gridCol w:w="709"/>
        <w:gridCol w:w="711"/>
        <w:gridCol w:w="109"/>
        <w:gridCol w:w="109"/>
        <w:gridCol w:w="109"/>
        <w:gridCol w:w="570"/>
        <w:gridCol w:w="570"/>
        <w:gridCol w:w="571"/>
        <w:gridCol w:w="109"/>
        <w:gridCol w:w="109"/>
        <w:gridCol w:w="109"/>
        <w:gridCol w:w="268"/>
        <w:gridCol w:w="268"/>
        <w:gridCol w:w="387"/>
      </w:tblGrid>
      <w:tr>
        <w:trPr/>
        <w:tc>
          <w:tcPr>
            <w:tcW w:w="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7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Balance</w:t>
              <w:br/>
              <w:t>at beginning</w:t>
              <w:br/>
              <w:t>of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Additions</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charged to</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Amounts (credited) charged to other income statement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Deductions and other,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Balance</w:t>
              <w:br/>
              <w:t>at end</w:t>
              <w:br/>
              <w:t>of period </w:t>
            </w:r>
          </w:p>
        </w:tc>
      </w:tr>
      <w:tr>
        <w:trPr/>
        <w:tc>
          <w:tcPr>
            <w:tcW w:w="7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tcPr>
          <w:p>
            <w:pPr>
              <w:pStyle w:val="TableContents"/>
              <w:bidi w:val="0"/>
              <w:spacing w:before="0" w:after="283"/>
              <w:jc w:val="left"/>
              <w:rPr>
                <w:sz w:val="4"/>
                <w:szCs w:val="4"/>
              </w:rPr>
            </w:pPr>
            <w:r>
              <w:rPr>
                <w:sz w:val="4"/>
                <w:szCs w:val="4"/>
              </w:rPr>
            </w:r>
          </w:p>
        </w:tc>
      </w:tr>
      <w:tr>
        <w:trPr/>
        <w:tc>
          <w:tcPr>
            <w:tcW w:w="7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7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7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7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Tax Valuation Allowance</w:t>
            </w:r>
            <w:r>
              <w:rPr>
                <w:rFonts w:ascii="Arial;sans-serif" w:hAnsi="Arial;sans-serif"/>
                <w:b/>
                <w:color w:val="000000"/>
                <w:sz w:val="12"/>
              </w:rPr>
              <w:t>(1)</w:t>
            </w: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__________</w:t>
      </w:r>
    </w:p>
    <w:p>
      <w:pPr>
        <w:pStyle w:val="TextBody"/>
        <w:bidi w:val="0"/>
        <w:spacing w:lineRule="auto" w:line="288" w:before="0" w:after="180"/>
        <w:ind w:left="0" w:right="0" w:hanging="180"/>
        <w:jc w:val="left"/>
        <w:rPr/>
      </w:pPr>
      <w:r>
        <w:rPr>
          <w:rFonts w:ascii="Arial;sans-serif" w:hAnsi="Arial;sans-serif"/>
          <w:b w:val="false"/>
          <w:i/>
          <w:color w:val="000000"/>
          <w:sz w:val="10"/>
        </w:rPr>
        <w:t>(1)</w:t>
      </w:r>
      <w:r>
        <w:rPr>
          <w:rFonts w:ascii="Arial;sans-serif" w:hAnsi="Arial;sans-serif"/>
          <w:b w:val="false"/>
          <w:i/>
          <w:color w:val="000000"/>
          <w:sz w:val="16"/>
        </w:rPr>
        <w:t>Tax valuation allowances are primarily related to certain net operating loss carryforwards, tax credit carryforwards and deductible temporary differences for which we have concluded it is more-likely-than-not that these items will not be realized in the ordinary course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6CC"/>
          <w:sz w:val="24"/>
        </w:rPr>
      </w:pPr>
      <w:r>
        <w:rPr>
          <w:rFonts w:ascii="Arial;sans-serif" w:hAnsi="Arial;sans-serif"/>
          <w:b/>
          <w:color w:val="0066CC"/>
          <w:sz w:val="24"/>
        </w:rPr>
        <w:t>ITEM 16. FORM 10-K 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16280"/>
                <wp:effectExtent l="0" t="0" r="0" b="0"/>
                <wp:wrapNone/>
                <wp:docPr id="97" name="Frame9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66CC"/>
          <w:sz w:val="24"/>
        </w:rPr>
      </w:pPr>
      <w:r>
        <w:rPr>
          <w:rFonts w:ascii="Arial;sans-serif" w:hAnsi="Arial;sans-serif"/>
          <w:b/>
          <w:color w:val="0066CC"/>
          <w:sz w:val="24"/>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7"/>
        <w:gridCol w:w="225"/>
        <w:gridCol w:w="226"/>
        <w:gridCol w:w="109"/>
        <w:gridCol w:w="109"/>
        <w:gridCol w:w="109"/>
        <w:gridCol w:w="1723"/>
        <w:gridCol w:w="1562"/>
        <w:gridCol w:w="1577"/>
        <w:gridCol w:w="109"/>
        <w:gridCol w:w="109"/>
        <w:gridCol w:w="109"/>
        <w:gridCol w:w="263"/>
        <w:gridCol w:w="263"/>
        <w:gridCol w:w="264"/>
        <w:gridCol w:w="109"/>
        <w:gridCol w:w="109"/>
        <w:gridCol w:w="109"/>
        <w:gridCol w:w="277"/>
        <w:gridCol w:w="277"/>
        <w:gridCol w:w="281"/>
        <w:gridCol w:w="113"/>
        <w:gridCol w:w="113"/>
        <w:gridCol w:w="113"/>
        <w:gridCol w:w="231"/>
        <w:gridCol w:w="231"/>
        <w:gridCol w:w="232"/>
        <w:gridCol w:w="113"/>
        <w:gridCol w:w="113"/>
        <w:gridCol w:w="113"/>
        <w:gridCol w:w="190"/>
        <w:gridCol w:w="190"/>
        <w:gridCol w:w="277"/>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Incorporated by Reference</w:t>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Exhibit No.</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Filing Date</w:t>
            </w:r>
          </w:p>
        </w:tc>
      </w:tr>
      <w:tr>
        <w:trPr/>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Custodial Transfer and Purchase Agreement, between Conduent Business Services, LLC and HealthEquity, Inc., dated as of September 18,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9/19/2023</w:t>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First Amendment to Custodial Transfer and Purchase Agreement, between Conduent Business Services, LLC and HealthEquity, Inc., dated as of March 7,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8/7/2024</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Restated Certificate of Incorporation of Registrant filed with the Department of the State of New York on December 31, 2016.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12/23/2016</w:t>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Amended and Restated By-Laws of Registrant as amended through October 31,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11/1/2023</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Indenture, dated as of October 15, 2021, among Conduent Incorporated, Conduent Business Services, LLC, Conduent State &amp; Local Solutions, Inc., Affiliated Business Services International, B.V., the Guarantors party thereto from time to time, the Lenders and L/C Issuers party thereto from time to time and Bank of America,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4.4(g)</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11/4/2021</w:t>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Arial;sans-serif" w:hAnsi="Arial;sans-serif"/>
                  <w:b w:val="false"/>
                  <w:color w:val="0000FF"/>
                  <w:sz w:val="18"/>
                  <w:u w:val="single"/>
                </w:rPr>
                <w:t>Description of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2/26/2020</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Credit Agreement, dated as of October 15, 2021, among Conduent Incorporated, Conduent Business Services, LLC, Conduent State &amp; Local Solutions, Inc., Affiliated Computer Services International B.V., the Guarantors party thereto from time to time, the Lenders and L/C Issuers party thereto from time to time and Bank of America,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10.6(f)</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11/14/2021</w:t>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Amendment No. 3 to the Credit Agreement, dated as of August 26, 2025, by and among Conduent Business Services, LLC, Conduent State &amp; Local Solutions, Inc., Affiliated Computer Services International B.V., Conduent Incorporated, the other guarantors party thereto, Bank of America, N.A., as Administrative Agent, Collateral Agent, Swing Line Lender and an L/C Issuer and the lenders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8/27/2025</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Joinder Agreement to Agreement, dated December 31, 2016, among Conduent Incorporated, Xerox Corporation, Icahn Partners Master Fund LP, Icahn Partners LP, Icahn Onshore LP, Icahn Offshore LP, Icahn Capital LP, IPH GP LLC, Icahn Enterprises Holdings L.P., Icahn Enterprises G.P. Inc., Beckton Corp., High River Limited Partnership, Hopper Investments LLC, Barberry Corp., Jonathan Christodoro and Carl C. Icahn.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1/3/2017</w:t>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Agreement, dated January 28, 2016, among Xerox Corporation, Icahn Partners Master Fund LP, Icahn Partners LP, Icahn Onshore LP, Icahn Offshore LP, Icahn Capital LP, IPH GP LLC, Icahn Enterprises Holdings L.P., Icahn Enterprises G.P. Inc., Beckton Corp., High River Limited Partnership, Hopper Investments LLC, Barberry Corp., Jonathan Christodoro and Carl C. Icahn.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Amend-</w:t>
              <w:br/>
              <w:t>ment 1 to Form 10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8/15/2016</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Exchange Agreement dated October 27, 2016 by and among Darwin A. Deason, Conduent Incorporated and Xerox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Amend-</w:t>
              <w:br/>
              <w:t>ment 5 to Form 10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10/28/2016</w:t>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Shareholders Agreement dated December 18, 2018 by and between Darwin Deason and Conduent Incorporated.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12/18/2018</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Form of Restricted Stock Unit Award Agreement 2020 under the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10.6(a)(vi)</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5/8/2020</w:t>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Form of Performance Restricted Stock Unit Award Agreement 2020 under the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10.6(a)(vii)</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5/8/2020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16280"/>
                <wp:effectExtent l="0" t="0" r="0" b="0"/>
                <wp:wrapNone/>
                <wp:docPr id="98" name="Frame9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1"/>
        <w:gridCol w:w="246"/>
        <w:gridCol w:w="248"/>
        <w:gridCol w:w="109"/>
        <w:gridCol w:w="109"/>
        <w:gridCol w:w="109"/>
        <w:gridCol w:w="1495"/>
        <w:gridCol w:w="1363"/>
        <w:gridCol w:w="1367"/>
        <w:gridCol w:w="109"/>
        <w:gridCol w:w="109"/>
        <w:gridCol w:w="109"/>
        <w:gridCol w:w="109"/>
        <w:gridCol w:w="109"/>
        <w:gridCol w:w="109"/>
        <w:gridCol w:w="109"/>
        <w:gridCol w:w="109"/>
        <w:gridCol w:w="109"/>
        <w:gridCol w:w="595"/>
        <w:gridCol w:w="595"/>
        <w:gridCol w:w="603"/>
        <w:gridCol w:w="109"/>
        <w:gridCol w:w="109"/>
        <w:gridCol w:w="109"/>
        <w:gridCol w:w="245"/>
        <w:gridCol w:w="245"/>
        <w:gridCol w:w="246"/>
        <w:gridCol w:w="109"/>
        <w:gridCol w:w="109"/>
        <w:gridCol w:w="109"/>
        <w:gridCol w:w="206"/>
        <w:gridCol w:w="206"/>
        <w:gridCol w:w="302"/>
      </w:tblGrid>
      <w:tr>
        <w:trPr/>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"https://www.sec.gov/Archives/edgar/data/1677703/000119312521110819/d110000ddef14a.htm" \l "toc110000_d"</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Registrant’s 2021 Performance Incentive Plan (“2021 PIP”)</w:t>
            </w:r>
            <w:r>
              <w:rPr>
                <w:rStyle w:val="InternetLink"/>
                <w:sz w:val="18"/>
                <w:u w:val="single"/>
                <w:b w:val="false"/>
                <w:rFonts w:ascii="Arial;sans-serif" w:hAnsi="Arial;sans-serif"/>
                <w:color w:val="0000FF"/>
              </w:rPr>
              <w:fldChar w:fldCharType="end"/>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 14A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Annex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4/9/2021</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Form of Restricted Stock Unit Award Agreement 2021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8/5/2021</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Form of Performance Stock Unit Award Agreement 2021 ("Revenue Metric")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8/5/2021</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Form of Performance Stock Unit Award Agreement 2021 ("Share Hurdle Metric")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10.6(a)(xii)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8/5/2021</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*10.4(a)(vii)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Form of Restricted Stock Unit Award Agreement 2022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5/3/2022</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*10.4(a)(viii)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Form of Performance Restricted Stock Unit Award Agreement 2022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5/3/2022</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Form of Agreement for Non-Employee Directors under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10.6(a)(xiii)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8/5/2021</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8"/>
                  <w:u w:val="single"/>
                </w:rPr>
                <w:t>Registrant’s Equity Compensation Plan for Non-Employee Directors dated as of December 15, 2016 (“ECPNED”).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Registration Statement on Form S-8 (No. 333-215361)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12/29/2016</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8"/>
                  <w:u w:val="single"/>
                </w:rPr>
                <w:t>Form of Restricted Stock Unit Award Agreement 2023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5/3/2023</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8"/>
                  <w:u w:val="single"/>
                </w:rPr>
                <w:t>Form of Performance Stock Unit Award Agreement 2023 (Revenue Growth)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5/3/2023</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8"/>
                  <w:u w:val="single"/>
                </w:rPr>
                <w:t>Form of Performance Stock Unit Award Agreement 2023 (rTSR)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5/3/2023</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8"/>
                  <w:u w:val="single"/>
                </w:rPr>
                <w:t>Form of Restricted Stock Unit Award Agreement 2024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5/2/2024</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8"/>
                  <w:u w:val="single"/>
                </w:rPr>
                <w:t>Form of Performance Stock Unit Award Agreement 2024 (Adjusted Revenue Growth)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5/2/2024</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8"/>
                  <w:u w:val="single"/>
                </w:rPr>
                <w:t>Form of Performance Stock Unit Award Agreement 2024 (rTSR)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10.6(a)(iii)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5/2/2024</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*10.4(a)(xvii)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Form of Restricted Stock Unit Award Agreement 2025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5/7/2025</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*10.4(a)(xviii)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Form of Performance Stock Unit Award Agreement 2025 (Adjusted Revenue Growth)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5/7/2025</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Form of Performance Stock Unit Award Agreement 2025 for CEO and CFO (Adjusted Revenue Growth CEO and CFO)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5/7/2025</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Form of Performance Stock Unit Award Agreement 2025 (rTSR)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5/7/2025</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0"/>
                  <w:u w:val="single"/>
                </w:rPr>
                <w:t>Form of APIP Share Award Agreement 2025 under the 2021 PIP.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8/6/2025</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*10.4(a)(xxii)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Form of APIP Share Award Agreement 2025 for CEO and CFO under the 2021 PIP.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8/6/2025</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8"/>
                  <w:u w:val="single"/>
                </w:rPr>
                <w:t>Registrant's Amended and Restated Executive Change in Control Severance Plan</w:t>
              </w:r>
            </w:hyperlink>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2/19/2025</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8"/>
                  <w:u w:val="single"/>
                </w:rPr>
                <w:t>Letter Agreement dated May 21, 2019 between Conduent Incorporated and Clifford Skelton regarding compensation arrangements.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5/28/2019</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10.4(c)(ii)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Arial;sans-serif" w:hAnsi="Arial;sans-serif"/>
                  <w:b w:val="false"/>
                  <w:color w:val="0000FF"/>
                  <w:sz w:val="18"/>
                  <w:u w:val="single"/>
                </w:rPr>
                <w:t>Letter Agreement dated August 6, 2019 between Conduent Incorporated and Clifford Skelton regarding compensation arrangements.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8/7/2019</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*10.4(c)(iii)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8"/>
                  <w:u w:val="single"/>
                </w:rPr>
                <w:t>Letter Agreement dated February 25, 2020 between Conduent Incorporated and Clifford Skelton regarding compensation arrangements.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10.6(e)(ii)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2/26/2020</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*10.4(c)(iv)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8"/>
                  <w:u w:val="single"/>
                </w:rPr>
                <w:t>Letter Agreement dated February 23, 2021 between Conduent Incorporated and Clifford Skelton regarding compensation arrangements.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10.6(d)(iii)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2/24/2021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16280"/>
                <wp:effectExtent l="0" t="0" r="0" b="0"/>
                <wp:wrapNone/>
                <wp:docPr id="99" name="Frame9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0"/>
        <w:gridCol w:w="202"/>
        <w:gridCol w:w="203"/>
        <w:gridCol w:w="109"/>
        <w:gridCol w:w="109"/>
        <w:gridCol w:w="109"/>
        <w:gridCol w:w="2545"/>
        <w:gridCol w:w="1753"/>
        <w:gridCol w:w="1757"/>
        <w:gridCol w:w="109"/>
        <w:gridCol w:w="109"/>
        <w:gridCol w:w="109"/>
        <w:gridCol w:w="109"/>
        <w:gridCol w:w="109"/>
        <w:gridCol w:w="109"/>
        <w:gridCol w:w="109"/>
        <w:gridCol w:w="109"/>
        <w:gridCol w:w="109"/>
        <w:gridCol w:w="134"/>
        <w:gridCol w:w="134"/>
        <w:gridCol w:w="122"/>
        <w:gridCol w:w="109"/>
        <w:gridCol w:w="109"/>
        <w:gridCol w:w="109"/>
        <w:gridCol w:w="178"/>
        <w:gridCol w:w="178"/>
        <w:gridCol w:w="182"/>
        <w:gridCol w:w="109"/>
        <w:gridCol w:w="109"/>
        <w:gridCol w:w="109"/>
        <w:gridCol w:w="181"/>
        <w:gridCol w:w="181"/>
        <w:gridCol w:w="263"/>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Arial;sans-serif" w:hAnsi="Arial;sans-serif"/>
                  <w:b w:val="false"/>
                  <w:color w:val="0000FF"/>
                  <w:sz w:val="18"/>
                  <w:u w:val="single"/>
                </w:rPr>
                <w:t>Letter Agreement dated May 5, 2021 between Conduent Incorporated and Stephen Wood regarding compensation arrangements.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5/5/2021</w:t>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Arial;sans-serif" w:hAnsi="Arial;sans-serif"/>
                  <w:b w:val="false"/>
                  <w:color w:val="0000FF"/>
                  <w:sz w:val="18"/>
                  <w:u w:val="single"/>
                </w:rPr>
                <w:t>Letter Agreement dated November 5, 2019 between Conduent Incorporated and Michael Krawitz</w:t>
              </w:r>
            </w:hyperlink>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2/26/2020</w:t>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8"/>
                  <w:u w:val="single"/>
                </w:rPr>
                <w:t>U.S. Executive Severance Policy,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2/19/2025</w:t>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8"/>
                  <w:u w:val="single"/>
                </w:rPr>
                <w:t>Form of Director and Officer Indemnification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11/1/2023</w:t>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Arial;sans-serif" w:hAnsi="Arial;sans-serif"/>
                  <w:b w:val="false"/>
                  <w:color w:val="0000FF"/>
                  <w:sz w:val="18"/>
                  <w:u w:val="single"/>
                </w:rPr>
                <w:t>Offer Letter Agreement between Harsha V. Agadi and Conduent Incorporated, dated January 16,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1/23/2026</w:t>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Arial;sans-serif" w:hAnsi="Arial;sans-serif"/>
                  <w:b w:val="false"/>
                  <w:color w:val="0000FF"/>
                  <w:sz w:val="18"/>
                  <w:u w:val="single"/>
                </w:rPr>
                <w:t>Restricted Stock Unit Award Agreement between Harsha V. Agadi and Conduent Incorporated, dated January 16,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1/23/2026</w:t>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7">
              <w:r>
                <w:rPr>
                  <w:rStyle w:val="InternetLink"/>
                  <w:rFonts w:ascii="Arial;sans-serif" w:hAnsi="Arial;sans-serif"/>
                  <w:b w:val="false"/>
                  <w:color w:val="0000FF"/>
                  <w:sz w:val="18"/>
                  <w:u w:val="single"/>
                </w:rPr>
                <w:t>Performance Restricted Stock Unit Award Agreement, between Harsha V. Agadi and Conduent Incorporated dated January 16,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1/23/2026</w:t>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Arial;sans-serif" w:hAnsi="Arial;sans-serif"/>
                  <w:b w:val="false"/>
                  <w:color w:val="0000FF"/>
                  <w:sz w:val="18"/>
                  <w:u w:val="single"/>
                </w:rPr>
                <w:t>Purchase Agreement dated June 8, 2024, among the Company and the Icahn Parties.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6/10/2024</w:t>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8"/>
                  <w:u w:val="single"/>
                </w:rPr>
                <w:t>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2/21/2024</w:t>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ndt-123125xex21.htm">
              <w:r>
                <w:rPr>
                  <w:rStyle w:val="InternetLink"/>
                  <w:rFonts w:ascii="Arial;sans-serif" w:hAnsi="Arial;sans-serif"/>
                  <w:b w:val="false"/>
                  <w:color w:val="0000FF"/>
                  <w:sz w:val="18"/>
                  <w:u w:val="single"/>
                </w:rPr>
                <w:t>List of subsidiaries of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ndt-123125xex23.htm">
              <w:r>
                <w:rPr>
                  <w:rStyle w:val="InternetLink"/>
                  <w:rFonts w:ascii="Arial;sans-serif" w:hAnsi="Arial;sans-serif"/>
                  <w:b w:val="false"/>
                  <w:color w:val="0000FF"/>
                  <w:sz w:val="18"/>
                  <w:u w:val="single"/>
                </w:rPr>
                <w:t>Consent of PricewaterhouseCoopers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ndt-123125xex31a.htm">
              <w:r>
                <w:rPr>
                  <w:rStyle w:val="InternetLink"/>
                  <w:rFonts w:ascii="Arial;sans-serif" w:hAnsi="Arial;sans-serif"/>
                  <w:b w:val="false"/>
                  <w:color w:val="0000FF"/>
                  <w:sz w:val="18"/>
                  <w:u w:val="single"/>
                </w:rPr>
                <w:t>Certification of CEO pursuant to Rule 13a-14(a) or Rule 15d-14(a).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31(b)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ndt-123125xex31b.htm">
              <w:r>
                <w:rPr>
                  <w:rStyle w:val="InternetLink"/>
                  <w:rFonts w:ascii="Arial;sans-serif" w:hAnsi="Arial;sans-serif"/>
                  <w:b w:val="false"/>
                  <w:color w:val="0000FF"/>
                  <w:sz w:val="18"/>
                  <w:u w:val="single"/>
                </w:rPr>
                <w:t>Certification of CFO pursuant to Rule 13a-14(a) or Rule 15d-14(a).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ndt-123125xex32.htm">
              <w:r>
                <w:rPr>
                  <w:rStyle w:val="InternetLink"/>
                  <w:rFonts w:ascii="Arial;sans-serif" w:hAnsi="Arial;sans-serif"/>
                  <w:b w:val="false"/>
                  <w:color w:val="0000FF"/>
                  <w:sz w:val="18"/>
                  <w:u w:val="single"/>
                </w:rPr>
                <w:t>Certification of CEO and CFO pursuant to 18 U.S.C. §1350 as adopted pursuant to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18"/>
                  <w:u w:val="single"/>
                </w:rPr>
                <w:t>Conduent Incorporated Compensation Recoupment Policy, effective as of October 31,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2/21/2024</w:t>
            </w:r>
          </w:p>
        </w:tc>
      </w:tr>
      <w:tr>
        <w:trPr/>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following materials from the Registrant's Annual Report on Form 10-K for the year ended December 31, 2025 formatted in 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 Indicates management contract or compensatory plan or arrangement.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16280"/>
                <wp:effectExtent l="0" t="0" r="0" b="0"/>
                <wp:wrapNone/>
                <wp:docPr id="100" name="Frame9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f8c11be1bd43a2a59d2f9f5366a54a_10">
              <w:r>
                <w:rPr>
                  <w:rStyle w:val="InternetLink"/>
                  <w:rFonts w:ascii="Arial;sans-serif" w:hAnsi="Arial;sans-serif"/>
                  <w:b/>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CONDUENT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rFonts w:ascii="Arial;sans-serif" w:hAnsi="Arial;sans-serif"/>
                <w:b w:val="false"/>
                <w:color w:val="000000"/>
                <w:sz w:val="20"/>
              </w:rPr>
              <w:t>HARSHA V. AGADI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Harsha V. Agadi</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this report has been signed below by the following persons on behalf of the registrant and in the capacities and on the date indicated.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February 19, 2026 </w:t>
      </w:r>
    </w:p>
    <w:p>
      <w:pPr>
        <w:pStyle w:val="TextBody"/>
        <w:bidi w:val="0"/>
        <w:spacing w:lineRule="auto" w:line="288" w:before="0" w:after="0"/>
        <w:jc w:val="left"/>
        <w:rPr>
          <w:color w:val="000000"/>
        </w:rPr>
      </w:pPr>
      <w:r>
        <w:rPr>
          <w:color w:val="000000"/>
        </w:rPr>
        <w:t> </w:t>
      </w:r>
    </w:p>
    <w:tbl>
      <w:tblPr>
        <w:tblW w:w="8621" w:type="dxa"/>
        <w:jc w:val="left"/>
        <w:tblInd w:w="0" w:type="dxa"/>
        <w:tblLayout w:type="fixed"/>
        <w:tblCellMar>
          <w:top w:w="28" w:type="dxa"/>
          <w:left w:w="28" w:type="dxa"/>
          <w:bottom w:w="28" w:type="dxa"/>
          <w:right w:w="28" w:type="dxa"/>
        </w:tblCellMar>
      </w:tblPr>
      <w:tblGrid>
        <w:gridCol w:w="1294"/>
        <w:gridCol w:w="1135"/>
        <w:gridCol w:w="1140"/>
        <w:gridCol w:w="109"/>
        <w:gridCol w:w="109"/>
        <w:gridCol w:w="109"/>
        <w:gridCol w:w="1373"/>
        <w:gridCol w:w="1373"/>
        <w:gridCol w:w="1979"/>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Signature</w:t>
            </w:r>
          </w:p>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Title</w:t>
            </w:r>
          </w:p>
          <w:p>
            <w:pPr>
              <w:pStyle w:val="TableContents"/>
              <w:bidi w:val="0"/>
              <w:spacing w:lineRule="auto" w:line="240" w:before="0" w:after="0"/>
              <w:jc w:val="left"/>
              <w:rPr>
                <w:color w:val="000000"/>
              </w:rPr>
            </w:pPr>
            <w:r>
              <w:rPr>
                <w:color w:val="000000"/>
              </w:rPr>
              <w:t>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w:t>
            </w:r>
            <w:r>
              <w:rPr>
                <w:color w:val="000000"/>
              </w:rPr>
              <w:t>    </w:t>
            </w:r>
            <w:r>
              <w:rPr>
                <w:rFonts w:ascii="Arial;sans-serif" w:hAnsi="Arial;sans-serif"/>
                <w:b w:val="false"/>
                <w:color w:val="000000"/>
                <w:sz w:val="20"/>
              </w:rPr>
              <w:t>HARSHA V. AGADI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Harsha V. Agadi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color w:val="000000"/>
              </w:rPr>
              <w:t>   </w:t>
            </w:r>
            <w:r>
              <w:rPr>
                <w:rFonts w:ascii="Arial;sans-serif" w:hAnsi="Arial;sans-serif"/>
                <w:b w:val="false"/>
                <w:color w:val="000000"/>
                <w:sz w:val="20"/>
              </w:rPr>
              <w:t>GILES GOODBURN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Giles Goodburn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color w:val="000000"/>
              </w:rPr>
              <w:t>   </w:t>
            </w:r>
            <w:r>
              <w:rPr>
                <w:rFonts w:ascii="Arial;sans-serif" w:hAnsi="Arial;sans-serif"/>
                <w:b w:val="false"/>
                <w:color w:val="000000"/>
                <w:sz w:val="20"/>
              </w:rPr>
              <w:t>GEORGE ABATE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Accounting Officer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George Abate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rFonts w:ascii="Arial;sans-serif" w:hAnsi="Arial;sans-serif"/>
                <w:b w:val="false"/>
                <w:color w:val="000000"/>
                <w:sz w:val="20"/>
              </w:rPr>
              <w:t>MICHAEL FUCCI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Michael Fucci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rFonts w:ascii="Arial;sans-serif" w:hAnsi="Arial;sans-serif"/>
                <w:b w:val="false"/>
                <w:color w:val="000000"/>
                <w:sz w:val="20"/>
              </w:rPr>
              <w:t>KATHY HIGGINS VICTOR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Kathy Higgins Victor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rFonts w:ascii="Arial;sans-serif" w:hAnsi="Arial;sans-serif"/>
                <w:b w:val="false"/>
                <w:color w:val="000000"/>
                <w:sz w:val="20"/>
              </w:rPr>
              <w:t>SCOTT LETIER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Scott Letier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6"/>
              </w:rPr>
              <w:t>/s/   </w:t>
            </w:r>
            <w:r>
              <w:rPr>
                <w:rFonts w:ascii="Arial;sans-serif" w:hAnsi="Arial;sans-serif"/>
                <w:b w:val="false"/>
                <w:color w:val="000000"/>
                <w:sz w:val="20"/>
              </w:rPr>
              <w:t>MARGARITA PALÁU-HERNÁNDEZ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and Chair of the Board</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Margarita Paláu-Hernández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66CC"/>
          <w:sz w:val="22"/>
        </w:rPr>
      </w:pPr>
      <w:r>
        <w:rPr>
          <w:rFonts w:ascii="Arial;sans-serif" w:hAnsi="Arial;sans-serif"/>
          <w:b/>
          <w:color w:val="0066CC"/>
          <w:sz w:val="22"/>
        </w:rPr>
        <w:t>EXHIBIT 21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16280"/>
                <wp:effectExtent l="0" t="0" r="0" b="0"/>
                <wp:wrapNone/>
                <wp:docPr id="101" name="Frame10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423.3pt;mso-position-horizontal:left;mso-position-horizontal-relative:text">
                <v:textbox>
                  <w:txbxContent>
                    <w:tbl>
                      <w:tblPr>
                        <w:tblW w:w="3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6"/>
                        <w:gridCol w:w="716"/>
                        <w:gridCol w:w="1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20"/>
                              </w:rPr>
                            </w:pPr>
                            <w:r>
                              <w:rPr>
                                <w:rFonts w:ascii="Arial;sans-serif" w:hAnsi="Arial;sans-serif"/>
                                <w:b w:val="false"/>
                                <w:color w:val="3051F2"/>
                                <w:sz w:val="20"/>
                              </w:rPr>
                              <w:t>CNDT 2025 Annual Report</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 xml:space="preserve">SUBSIDIARIES OF CONDUENT INCORPORATED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companies are subsidiaries of Conduent Incorporated as of December 31, 2025. Unless otherwise noted, a subsidiary is a company in which Conduent Incorporated or a subsidiary of Conduent Incorporated holds 50% or more of the voting stock. The names of other subsidiaries have been omitted as they would not, if considered in the aggregate as a single subsidiary, constitute a significant subsidiary:</w:t>
      </w:r>
    </w:p>
    <w:tbl>
      <w:tblPr>
        <w:tblW w:w="9506" w:type="dxa"/>
        <w:jc w:val="center"/>
        <w:tblInd w:w="0" w:type="dxa"/>
        <w:tblLayout w:type="fixed"/>
        <w:tblCellMar>
          <w:top w:w="28" w:type="dxa"/>
          <w:left w:w="28" w:type="dxa"/>
          <w:bottom w:w="28" w:type="dxa"/>
          <w:right w:w="28" w:type="dxa"/>
        </w:tblCellMar>
      </w:tblPr>
      <w:tblGrid>
        <w:gridCol w:w="1985"/>
        <w:gridCol w:w="1745"/>
        <w:gridCol w:w="1745"/>
        <w:gridCol w:w="109"/>
        <w:gridCol w:w="109"/>
        <w:gridCol w:w="109"/>
        <w:gridCol w:w="1083"/>
        <w:gridCol w:w="1083"/>
        <w:gridCol w:w="1538"/>
      </w:tblGrid>
      <w:tr>
        <w:trPr/>
        <w:tc>
          <w:tcPr>
            <w:tcW w:w="198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ind w:left="0" w:right="0" w:hanging="6480"/>
              <w:jc w:val="left"/>
              <w:rPr>
                <w:rFonts w:ascii="Arial;sans-serif" w:hAnsi="Arial;sans-serif"/>
                <w:b w:val="false"/>
                <w:color w:val="000000"/>
                <w:sz w:val="18"/>
              </w:rPr>
            </w:pPr>
            <w:r>
              <w:rPr>
                <w:rFonts w:ascii="Arial;sans-serif" w:hAnsi="Arial;sans-serif"/>
                <w:b w:val="false"/>
                <w:color w:val="000000"/>
                <w:sz w:val="18"/>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Jurisdiction of Incorporation or Organization</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BPO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Process Optimization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Care and Quality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Wisconsin</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Commercial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Nevada</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Credit Balance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EDI Solutions,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Education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Export,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Federal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Finance,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Global,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Health Administration,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Healthcare Knowledge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Florida</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Healthy Communities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Heritage,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Virginia</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HR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Pennsylvania</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Human Resource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Image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Louisiana</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Learning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Washington</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Legal &amp; Compliance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Lending,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Middle East,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Mortgage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Parking,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Patient Access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Jersey</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Payment Integrity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Public Health Solutions,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Public Safety,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Securities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State &amp; Local Solutions,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State Healthcare,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TradeOne Marketing,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Transport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Georgia</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Wireless Data Services North America,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Washington</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ACS China Solutions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ACS Holdings (Germany)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ACS Solutions Peru,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Peru</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Affiliated Computer Services Holdings (Luxembourg)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r>
    </w:tbl>
    <w:p>
      <w:pPr>
        <w:pStyle w:val="TextBody"/>
        <w:bidi w:val="0"/>
        <w:spacing w:lineRule="auto" w:line="288" w:before="0" w:after="0"/>
        <w:jc w:val="right"/>
        <w:rPr>
          <w:rFonts w:ascii="Arial;sans-serif" w:hAnsi="Arial;sans-serif"/>
          <w:b/>
          <w:color w:val="0066CC"/>
          <w:sz w:val="22"/>
        </w:rPr>
      </w:pPr>
      <w:r>
        <w:rPr>
          <w:rFonts w:ascii="Arial;sans-serif" w:hAnsi="Arial;sans-serif"/>
          <w:b/>
          <w:color w:val="0066CC"/>
          <w:sz w:val="22"/>
        </w:rPr>
        <w:t>EXHIBIT 21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3.3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9265" w:type="dxa"/>
        <w:jc w:val="center"/>
        <w:tblInd w:w="0" w:type="dxa"/>
        <w:tblLayout w:type="fixed"/>
        <w:tblCellMar>
          <w:top w:w="28" w:type="dxa"/>
          <w:left w:w="28" w:type="dxa"/>
          <w:bottom w:w="28" w:type="dxa"/>
          <w:right w:w="28" w:type="dxa"/>
        </w:tblCellMar>
      </w:tblPr>
      <w:tblGrid>
        <w:gridCol w:w="2687"/>
        <w:gridCol w:w="2355"/>
        <w:gridCol w:w="2367"/>
        <w:gridCol w:w="109"/>
        <w:gridCol w:w="109"/>
        <w:gridCol w:w="109"/>
        <w:gridCol w:w="446"/>
        <w:gridCol w:w="446"/>
        <w:gridCol w:w="637"/>
      </w:tblGrid>
      <w:tr>
        <w:trPr/>
        <w:tc>
          <w:tcPr>
            <w:tcW w:w="2687"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Affiliated Computer Services International (Barbados)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Barbados</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Affiliated Computer Services International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Africa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Process Solutions (France)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Process Solutions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Canada Inc./Services d'affaires Conduent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de Guatemala, Sociedad Anonima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Guatemala</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India LLP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Italy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Malaysia Sdn. Bhd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Malaysia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Philippines,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Philippines</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Romania,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Romania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Switzerland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Services, S.L. fka Affiliated Computer Services of Spain, S.L.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Solutions (France)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Solutions AG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Solutions Italia,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Business Solutions of Puerto Rico,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Puerto Rico</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Colombia,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Colombia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Consultoria e Serviços de Recursos Humanos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de Mexico, S.A.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do Brasil Servicos de Call Center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Conduent Germany Holding GmbH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Greece Single Member Limited Liability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Greece</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Holdings (St. Lucia)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Saint Lucia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Jamaica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Jamaica</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Netherlands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Netherlands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Conduent Poland Sp z.o.o.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Poland</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Public Sector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Serviços de Terceirização de Processos de Negócios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Solutions (Jamaica)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Jamaica</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Solutions Mexico, S. de R.L.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Solutions Philippines,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Philippines</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Conduent Technical Service GmbH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Transit Holdings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Turkey Müşteri Hizmetleri Limited Şirketi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Turkey</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Victoria Ticketing System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Consilience Software Australasia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Eagle Connect Sh.p.k.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Albania</w:t>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Voice Star Sh.p.k.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Albania</w:t>
            </w:r>
          </w:p>
        </w:tc>
      </w:tr>
    </w:tbl>
    <w:p>
      <w:pPr>
        <w:pStyle w:val="TextBody"/>
        <w:bidi w:val="0"/>
        <w:ind w:left="0" w:right="0" w:hanging="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66CC"/>
          <w:sz w:val="22"/>
        </w:rPr>
      </w:pPr>
      <w:r>
        <w:rPr>
          <w:rFonts w:ascii="Arial;sans-serif" w:hAnsi="Arial;sans-serif"/>
          <w:b/>
          <w:color w:val="0066CC"/>
          <w:sz w:val="22"/>
        </w:rPr>
        <w:t>EXHIBIT 23</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3.3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CONSENT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We hereby consent to the incorporation by reference in the Registration Statements on Form S-8 (Nos. 333-215361 and 333-257119) of Conduent Incorporated of our report dated February 19, 2026 relating to the financial statements, financial statement schedule and the effectiveness of internal control over financial reporting, which appears in this Form 10-K. </w:t>
      </w:r>
    </w:p>
    <w:tbl>
      <w:tblPr>
        <w:tblW w:w="3015" w:type="dxa"/>
        <w:jc w:val="left"/>
        <w:tblInd w:w="0" w:type="dxa"/>
        <w:tblLayout w:type="fixed"/>
        <w:tblCellMar>
          <w:top w:w="28" w:type="dxa"/>
          <w:left w:w="28" w:type="dxa"/>
          <w:bottom w:w="28" w:type="dxa"/>
          <w:right w:w="28" w:type="dxa"/>
        </w:tblCellMar>
      </w:tblPr>
      <w:tblGrid>
        <w:gridCol w:w="962"/>
        <w:gridCol w:w="844"/>
        <w:gridCol w:w="1209"/>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PricewaterhouseCoopers LLP</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PricewaterhouseCoopers LLP</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New York</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66CC"/>
          <w:sz w:val="22"/>
        </w:rPr>
      </w:pPr>
      <w:r>
        <w:rPr>
          <w:rFonts w:ascii="Arial;sans-serif" w:hAnsi="Arial;sans-serif"/>
          <w:b/>
          <w:color w:val="0066CC"/>
          <w:sz w:val="22"/>
        </w:rPr>
        <w:t>EXHIBIT 31(a)</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CEO CERTIFICATIONS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Harsha V. Agadi,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Conduent Incorporated;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280" w:after="283"/>
        <w:jc w:val="both"/>
        <w:rPr>
          <w:rFonts w:ascii="Arial;sans-serif" w:hAnsi="Arial;sans-serif"/>
          <w:b w:val="false"/>
          <w:color w:val="000000"/>
          <w:sz w:val="20"/>
        </w:rPr>
      </w:pPr>
      <w:r>
        <w:rPr>
          <w:rFonts w:ascii="Arial;sans-serif" w:hAnsi="Arial;sans-serif"/>
          <w:b w:val="false"/>
          <w:color w:val="000000"/>
          <w:sz w:val="20"/>
        </w:rPr>
        <w:t xml:space="preserve">February 19, 2026 </w:t>
      </w:r>
    </w:p>
    <w:p>
      <w:pPr>
        <w:pStyle w:val="TextBody"/>
        <w:bidi w:val="0"/>
        <w:spacing w:lineRule="auto" w:line="288" w:before="0" w:after="0"/>
        <w:jc w:val="left"/>
        <w:rPr>
          <w:color w:val="000000"/>
        </w:rPr>
      </w:pPr>
      <w:r>
        <w:rPr>
          <w:color w:val="000000"/>
        </w:rPr>
        <w:t> </w:t>
      </w:r>
    </w:p>
    <w:tbl>
      <w:tblPr>
        <w:tblW w:w="2577" w:type="dxa"/>
        <w:jc w:val="left"/>
        <w:tblInd w:w="0" w:type="dxa"/>
        <w:tblLayout w:type="fixed"/>
        <w:tblCellMar>
          <w:top w:w="28" w:type="dxa"/>
          <w:left w:w="28" w:type="dxa"/>
          <w:bottom w:w="28" w:type="dxa"/>
          <w:right w:w="28" w:type="dxa"/>
        </w:tblCellMar>
      </w:tblPr>
      <w:tblGrid>
        <w:gridCol w:w="798"/>
        <w:gridCol w:w="702"/>
        <w:gridCol w:w="705"/>
        <w:gridCol w:w="109"/>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HARSHA V. AGADI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Harsha V. Agadi</w:t>
              <w:br/>
              <w: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66CC"/>
          <w:sz w:val="22"/>
        </w:rPr>
      </w:pPr>
      <w:r>
        <w:rPr>
          <w:rFonts w:ascii="Arial;sans-serif" w:hAnsi="Arial;sans-serif"/>
          <w:b/>
          <w:color w:val="0066CC"/>
          <w:sz w:val="22"/>
        </w:rPr>
        <w:t>EXHIBIT 31(b)</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CFO CERTIFICATIONS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Giles Goodburn,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Conduent Incorporated;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80" w:after="283"/>
        <w:jc w:val="both"/>
        <w:rPr>
          <w:rFonts w:ascii="Arial;sans-serif" w:hAnsi="Arial;sans-serif"/>
          <w:b w:val="false"/>
          <w:color w:val="000000"/>
          <w:sz w:val="20"/>
        </w:rPr>
      </w:pPr>
      <w:r>
        <w:rPr>
          <w:rFonts w:ascii="Arial;sans-serif" w:hAnsi="Arial;sans-serif"/>
          <w:b w:val="false"/>
          <w:color w:val="000000"/>
          <w:sz w:val="20"/>
        </w:rPr>
        <w:t xml:space="preserve">February 19, 2026 </w:t>
      </w:r>
    </w:p>
    <w:p>
      <w:pPr>
        <w:pStyle w:val="TextBody"/>
        <w:bidi w:val="0"/>
        <w:spacing w:lineRule="auto" w:line="288" w:before="0" w:after="0"/>
        <w:jc w:val="left"/>
        <w:rPr>
          <w:color w:val="000000"/>
        </w:rPr>
      </w:pPr>
      <w:r>
        <w:rPr>
          <w:color w:val="000000"/>
        </w:rPr>
        <w:t> </w:t>
      </w:r>
    </w:p>
    <w:tbl>
      <w:tblPr>
        <w:tblW w:w="2607" w:type="dxa"/>
        <w:jc w:val="left"/>
        <w:tblInd w:w="0" w:type="dxa"/>
        <w:tblLayout w:type="fixed"/>
        <w:tblCellMar>
          <w:top w:w="28" w:type="dxa"/>
          <w:left w:w="28" w:type="dxa"/>
          <w:bottom w:w="28" w:type="dxa"/>
          <w:right w:w="28" w:type="dxa"/>
        </w:tblCellMar>
      </w:tblPr>
      <w:tblGrid>
        <w:gridCol w:w="809"/>
        <w:gridCol w:w="712"/>
        <w:gridCol w:w="714"/>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GILES GOODBURN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Giles Goodburn</w:t>
              <w:br/>
              <w: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66CC"/>
          <w:sz w:val="22"/>
        </w:rPr>
      </w:pPr>
      <w:r>
        <w:rPr>
          <w:rFonts w:ascii="Arial;sans-serif" w:hAnsi="Arial;sans-serif"/>
          <w:b/>
          <w:color w:val="0066CC"/>
          <w:sz w:val="22"/>
        </w:rPr>
        <w:t>EXHIBIT 32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3.3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CERTIFICATION OF CEO AND CFO PURSUANT TO 18 U.S.C. § 1350,</w:t>
      </w:r>
    </w:p>
    <w:p>
      <w:pPr>
        <w:pStyle w:val="TextBody"/>
        <w:bidi w:val="0"/>
        <w:spacing w:lineRule="auto" w:line="288" w:before="0" w:after="0"/>
        <w:jc w:val="left"/>
        <w:rPr>
          <w:rFonts w:ascii="Arial;sans-serif" w:hAnsi="Arial;sans-serif"/>
          <w:b/>
          <w:color w:val="0066CC"/>
          <w:sz w:val="20"/>
        </w:rPr>
      </w:pPr>
      <w:r>
        <w:rPr>
          <w:rFonts w:ascii="Arial;sans-serif" w:hAnsi="Arial;sans-serif"/>
          <w:b/>
          <w:color w:val="0066CC"/>
          <w:sz w:val="20"/>
        </w:rPr>
        <w:t>AS ADOPTED PURSUANT TO § 906 OF THE SARBANES-OXLEY ACT OF 2002</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Form 10-K of Conduent Incorporated, a New York corporation (the “Company”), for the year ended December 31, 2025, as filed with the Securities and Exchange Commission on the date hereof (the “Report”), Harsha V. Agadi, Chief Executive Officer of the Company, and Giles Goodburn, Chief Financial Officer of the Company, each hereby certifies, pursuant to 18 U.S.C. § 1350, as adopted pursuant to § 906 of the Sarbanes-Oxley Act of 2002, to the best of his/her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606" w:type="dxa"/>
        <w:jc w:val="left"/>
        <w:tblInd w:w="0" w:type="dxa"/>
        <w:tblLayout w:type="fixed"/>
        <w:tblCellMar>
          <w:top w:w="28" w:type="dxa"/>
          <w:left w:w="28" w:type="dxa"/>
          <w:bottom w:w="28" w:type="dxa"/>
          <w:right w:w="28" w:type="dxa"/>
        </w:tblCellMar>
      </w:tblPr>
      <w:tblGrid>
        <w:gridCol w:w="809"/>
        <w:gridCol w:w="711"/>
        <w:gridCol w:w="714"/>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HARSHA V. AGADI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Harsha V. Agadi</w:t>
              <w:br/>
              <w: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GILES GOODBURN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Giles Goodburn</w:t>
              <w:br/>
              <w: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 906 has been provided to Conduent Incorporated and will be retained by Conduent Incorporated and furnished to the Securities and Exchange Commission or its staff upon request.</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7703/000167770323000054/ex21-assetpurchaseagreement.htm" TargetMode="External"/><Relationship Id="rId4" Type="http://schemas.openxmlformats.org/officeDocument/2006/relationships/hyperlink" Target="https://www.sec.gov/Archives/edgar/data/1677703/000167770324000116/exhibit22-projectbeijingxf.htm" TargetMode="External"/><Relationship Id="rId5" Type="http://schemas.openxmlformats.org/officeDocument/2006/relationships/hyperlink" Target="https://www.sec.gov/Archives/edgar/data/1677703/000119312516803247/d275811dex31.htm" TargetMode="External"/><Relationship Id="rId6" Type="http://schemas.openxmlformats.org/officeDocument/2006/relationships/hyperlink" Target="https://www.sec.gov/Archives/edgar/data/1677703/000167770323000065/cndt-ex32amendedbyxlaws.htm" TargetMode="External"/><Relationship Id="rId7" Type="http://schemas.openxmlformats.org/officeDocument/2006/relationships/hyperlink" Target="https://www.sec.gov/Archives/edgar/data/1677703/000167770321000046/exhibit44g-securedindenture.htm" TargetMode="External"/><Relationship Id="rId8" Type="http://schemas.openxmlformats.org/officeDocument/2006/relationships/hyperlink" Target="https://www.sec.gov/Archives/edgar/data/1677703/000167770320000010/exhibit42.htm" TargetMode="External"/><Relationship Id="rId9" Type="http://schemas.openxmlformats.org/officeDocument/2006/relationships/hyperlink" Target="https://www.sec.gov/Archives/edgar/data/1677703/000167770321000046/cndt-093031ex106fxcreditag.htm" TargetMode="External"/><Relationship Id="rId10" Type="http://schemas.openxmlformats.org/officeDocument/2006/relationships/hyperlink" Target="https://www.sec.gov/Archives/edgar/data/1677703/000167770325000130/ex101-amend3.htm" TargetMode="External"/><Relationship Id="rId11" Type="http://schemas.openxmlformats.org/officeDocument/2006/relationships/hyperlink" Target="https://www.sec.gov/Archives/edgar/data/1677703/000119312517000332/d260662dex106.htm" TargetMode="External"/><Relationship Id="rId12" Type="http://schemas.openxmlformats.org/officeDocument/2006/relationships/hyperlink" Target="https://www.sec.gov/Archives/edgar/data/1677703/000119312516682067/d208500dex106.htm" TargetMode="External"/><Relationship Id="rId13" Type="http://schemas.openxmlformats.org/officeDocument/2006/relationships/hyperlink" Target="https://www.sec.gov/Archives/edgar/data/1677703/000119312516751179/d208500dex1014.htm" TargetMode="External"/><Relationship Id="rId14" Type="http://schemas.openxmlformats.org/officeDocument/2006/relationships/hyperlink" Target="https://www.sec.gov/Archives/edgar/data/1677703/000095015718001231/ex10-1.htm" TargetMode="External"/><Relationship Id="rId15" Type="http://schemas.openxmlformats.org/officeDocument/2006/relationships/hyperlink" Target="https://www.sec.gov/Archives/edgar/data/1677703/000167770320000018/ex-106avi.htm" TargetMode="External"/><Relationship Id="rId16" Type="http://schemas.openxmlformats.org/officeDocument/2006/relationships/hyperlink" Target="https://www.sec.gov/Archives/edgar/data/1677703/000167770320000018/ex-106avii.htm" TargetMode="External"/><Relationship Id="rId17" Type="http://schemas.openxmlformats.org/officeDocument/2006/relationships/hyperlink" Target="https://www.sec.gov/Archives/edgar/data/1677703/000167770321000036/ex106axconduent-rsuawardag.htm" TargetMode="External"/><Relationship Id="rId18" Type="http://schemas.openxmlformats.org/officeDocument/2006/relationships/hyperlink" Target="https://www.sec.gov/Archives/edgar/data/1677703/000167770321000036/ex106axiconduent-prsuaward.htm" TargetMode="External"/><Relationship Id="rId19" Type="http://schemas.openxmlformats.org/officeDocument/2006/relationships/hyperlink" Target="https://www.sec.gov/Archives/edgar/data/1677703/000167770321000036/ex106axiiconduent-prsuawar.htm" TargetMode="External"/><Relationship Id="rId20" Type="http://schemas.openxmlformats.org/officeDocument/2006/relationships/hyperlink" Target="https://www.sec.gov/Archives/edgar/data/1677703/000167770322000023/ex106aixrsu.htm" TargetMode="External"/><Relationship Id="rId21" Type="http://schemas.openxmlformats.org/officeDocument/2006/relationships/hyperlink" Target="https://www.sec.gov/Archives/edgar/data/1677703/000167770322000023/ex106axprsu.htm" TargetMode="External"/><Relationship Id="rId22" Type="http://schemas.openxmlformats.org/officeDocument/2006/relationships/hyperlink" Target="https://www.sec.gov/Archives/edgar/data/1677703/000167770321000036/ex106axiiideferredstockuni.htm" TargetMode="External"/><Relationship Id="rId23" Type="http://schemas.openxmlformats.org/officeDocument/2006/relationships/hyperlink" Target="https://www.sec.gov/Archives/edgar/data/1677703/000119312516807430/d314499dex44.htm" TargetMode="External"/><Relationship Id="rId24" Type="http://schemas.openxmlformats.org/officeDocument/2006/relationships/hyperlink" Target="https://www.sec.gov/Archives/edgar/data/1677703/000167770323000033/ex106ai.htm" TargetMode="External"/><Relationship Id="rId25" Type="http://schemas.openxmlformats.org/officeDocument/2006/relationships/hyperlink" Target="https://www.sec.gov/Archives/edgar/data/1677703/000167770323000033/ex106aii.htm" TargetMode="External"/><Relationship Id="rId26" Type="http://schemas.openxmlformats.org/officeDocument/2006/relationships/hyperlink" Target="https://www.sec.gov/Archives/edgar/data/1677703/000167770323000033/ex106aiii.htm" TargetMode="External"/><Relationship Id="rId27" Type="http://schemas.openxmlformats.org/officeDocument/2006/relationships/hyperlink" Target="https://www.sec.gov/Archives/edgar/data/1677703/000167770324000080/ex106ai-2024rsuaward.htm" TargetMode="External"/><Relationship Id="rId28" Type="http://schemas.openxmlformats.org/officeDocument/2006/relationships/hyperlink" Target="https://www.sec.gov/Archives/edgar/data/1677703/000167770324000080/ex106aii-2024prsuadjrev.htm" TargetMode="External"/><Relationship Id="rId29" Type="http://schemas.openxmlformats.org/officeDocument/2006/relationships/hyperlink" Target="https://www.sec.gov/Archives/edgar/data/1677703/000167770324000080/ex106aiii-2024prsurtsr.htm" TargetMode="External"/><Relationship Id="rId30" Type="http://schemas.openxmlformats.org/officeDocument/2006/relationships/hyperlink" Target="https://www.sec.gov/Archives/edgar/data/1677703/000167770325000076/ex106airsu.htm" TargetMode="External"/><Relationship Id="rId31" Type="http://schemas.openxmlformats.org/officeDocument/2006/relationships/hyperlink" Target="https://www.sec.gov/Archives/edgar/data/1677703/000167770325000076/ex106aiiadjrevprsu.htm" TargetMode="External"/><Relationship Id="rId32" Type="http://schemas.openxmlformats.org/officeDocument/2006/relationships/hyperlink" Target="https://www.sec.gov/Archives/edgar/data/1677703/000167770325000076/ex106aiiiadjrevprsuceoandc.htm" TargetMode="External"/><Relationship Id="rId33" Type="http://schemas.openxmlformats.org/officeDocument/2006/relationships/hyperlink" Target="https://www.sec.gov/Archives/edgar/data/1677703/000167770325000076/ex106aivrtsr.htm" TargetMode="External"/><Relationship Id="rId34" Type="http://schemas.openxmlformats.org/officeDocument/2006/relationships/hyperlink" Target="https://www.sec.gov/Archives/edgar/data/1677703/000167770325000126/ex106aiapip2025.htm" TargetMode="External"/><Relationship Id="rId35" Type="http://schemas.openxmlformats.org/officeDocument/2006/relationships/hyperlink" Target="https://www.sec.gov/Archives/edgar/data/1677703/000167770325000126/ex106aiiapip2025ceocfo.htm" TargetMode="External"/><Relationship Id="rId36" Type="http://schemas.openxmlformats.org/officeDocument/2006/relationships/hyperlink" Target="https://www.sec.gov/Archives/edgar/data/1677703/000167770325000029/ex104b-amendedandrestatedc.htm" TargetMode="External"/><Relationship Id="rId37" Type="http://schemas.openxmlformats.org/officeDocument/2006/relationships/hyperlink" Target="https://www.sec.gov/Archives/edgar/data/1677703/000119312519158341/d731398dex106h.htm" TargetMode="External"/><Relationship Id="rId38" Type="http://schemas.openxmlformats.org/officeDocument/2006/relationships/hyperlink" Target="https://www.sec.gov/Archives/edgar/data/1677703/000119312519215375/d787721dex99106j.htm" TargetMode="External"/><Relationship Id="rId39" Type="http://schemas.openxmlformats.org/officeDocument/2006/relationships/hyperlink" Target="https://www.sec.gov/Archives/edgar/data/1677703/000167770320000010/exhibit106eii.htm" TargetMode="External"/><Relationship Id="rId40" Type="http://schemas.openxmlformats.org/officeDocument/2006/relationships/hyperlink" Target="https://www.sec.gov/Archives/edgar/data/1677703/000167770321000016/exhibit106diii.htm" TargetMode="External"/><Relationship Id="rId41" Type="http://schemas.openxmlformats.org/officeDocument/2006/relationships/hyperlink" Target="https://www.sec.gov/Archives/edgar/data/0001677703/000167770321000026/ex101letteragreementdatedm.htm" TargetMode="External"/><Relationship Id="rId42" Type="http://schemas.openxmlformats.org/officeDocument/2006/relationships/hyperlink" Target="https://www.sec.gov/Archives/edgar/data/1677703/000167770320000010/exhibit106i.htm" TargetMode="External"/><Relationship Id="rId43" Type="http://schemas.openxmlformats.org/officeDocument/2006/relationships/hyperlink" Target="https://www.sec.gov/Archives/edgar/data/1677703/000167770325000029/ex104f-usexecseverancepoli.htm" TargetMode="External"/><Relationship Id="rId44" Type="http://schemas.openxmlformats.org/officeDocument/2006/relationships/hyperlink" Target="https://www.sec.gov/Archives/edgar/data/1677703/000167770323000065/cndt-ex101formofindemnific.htm" TargetMode="External"/><Relationship Id="rId45" Type="http://schemas.openxmlformats.org/officeDocument/2006/relationships/hyperlink" Target="https://www.sec.gov/Archives/edgar/data/1677703/000114036126002237/ef20063381_ex10-1.htm" TargetMode="External"/><Relationship Id="rId46" Type="http://schemas.openxmlformats.org/officeDocument/2006/relationships/hyperlink" Target="https://www.sec.gov/Archives/edgar/data/1677703/000114036126002237/ef20063381_ex10-2.htm" TargetMode="External"/><Relationship Id="rId47" Type="http://schemas.openxmlformats.org/officeDocument/2006/relationships/hyperlink" Target="https://www.sec.gov/Archives/edgar/data/1677703/000114036126002237/ef20063381_ex10-3.htm" TargetMode="External"/><Relationship Id="rId48" Type="http://schemas.openxmlformats.org/officeDocument/2006/relationships/hyperlink" Target="https://www.sec.gov/Archives/edgar/data/1677703/000167770324000094/ex101projectpicturepurchas.htm" TargetMode="External"/><Relationship Id="rId49" Type="http://schemas.openxmlformats.org/officeDocument/2006/relationships/hyperlink" Target="https://www.sec.gov/Archives/edgar/data/1677703/000167770324000037/exhibit19-insidertradingpo.htm" TargetMode="External"/><Relationship Id="rId50" Type="http://schemas.openxmlformats.org/officeDocument/2006/relationships/hyperlink" Target="https://www.sec.gov/Archives/edgar/data/1677703/000167770324000037/exhibit97-recoupmentpolicy.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55029</Words>
  <Characters>314181</Characters>
  <CharactersWithSpaces>366147</CharactersWithSpaces>
  <Paragraphs>5144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