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5040"/>
        <w:spacing w:after="0"/>
        <w:rPr>
          <w:sz w:val="20"/>
          <w:szCs w:val="20"/>
          <w:color w:val="auto"/>
        </w:rPr>
      </w:pPr>
      <w:r>
        <w:rPr>
          <w:rFonts w:ascii="Arial" w:cs="Arial" w:eastAsia="Arial" w:hAnsi="Arial"/>
          <w:sz w:val="14"/>
          <w:szCs w:val="14"/>
          <w:color w:val="auto"/>
        </w:rPr>
        <w:t>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6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00" w:hanging="417"/>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7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5" w:lineRule="exact"/>
        <w:rPr>
          <w:sz w:val="24"/>
          <w:szCs w:val="24"/>
          <w:color w:val="auto"/>
        </w:rPr>
      </w:pPr>
    </w:p>
    <w:p>
      <w:pPr>
        <w:ind w:left="56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560" w:hanging="377"/>
        <w:spacing w:after="0"/>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68" w:lineRule="exact"/>
        <w:rPr>
          <w:sz w:val="24"/>
          <w:szCs w:val="24"/>
          <w:color w:val="auto"/>
        </w:rPr>
      </w:pPr>
    </w:p>
    <w:p>
      <w:pPr>
        <w:ind w:left="660"/>
        <w:spacing w:after="0"/>
        <w:tabs>
          <w:tab w:leader="none" w:pos="4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123190</wp:posOffset>
            </wp:positionV>
            <wp:extent cx="131127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CONDUENT INCORPORATED</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260" w:right="339" w:bottom="1440" w:gutter="0" w:footer="0" w:header="0"/>
        </w:sectPr>
      </w:pPr>
    </w:p>
    <w:p>
      <w:pPr>
        <w:spacing w:after="0" w:line="14" w:lineRule="exact"/>
        <w:rPr>
          <w:sz w:val="24"/>
          <w:szCs w:val="24"/>
          <w:color w:val="auto"/>
        </w:rPr>
      </w:pPr>
    </w:p>
    <w:p>
      <w:pPr>
        <w:ind w:left="176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81-2983623</w:t>
      </w:r>
    </w:p>
    <w:p>
      <w:pPr>
        <w:spacing w:after="0" w:line="36" w:lineRule="exact"/>
        <w:rPr>
          <w:sz w:val="24"/>
          <w:szCs w:val="24"/>
          <w:color w:val="auto"/>
        </w:rPr>
      </w:pPr>
    </w:p>
    <w:p>
      <w:pPr>
        <w:sectPr>
          <w:pgSz w:w="11900" w:h="16838" w:orient="portrait"/>
          <w:cols w:equalWidth="0" w:num="2">
            <w:col w:w="7940" w:space="720"/>
            <w:col w:w="2580"/>
          </w:cols>
          <w:pgMar w:left="320" w:top="260" w:right="339" w:bottom="1440" w:gutter="0" w:footer="0" w:header="0"/>
          <w:type w:val="continuous"/>
        </w:sectPr>
      </w:pPr>
    </w:p>
    <w:p>
      <w:pPr>
        <w:ind w:left="1160"/>
        <w:spacing w:after="0"/>
        <w:rPr>
          <w:sz w:val="20"/>
          <w:szCs w:val="20"/>
          <w:color w:val="auto"/>
        </w:rPr>
      </w:pPr>
      <w:r>
        <w:rPr>
          <w:rFonts w:ascii="Arial" w:cs="Arial" w:eastAsia="Arial" w:hAnsi="Arial"/>
          <w:sz w:val="14"/>
          <w:szCs w:val="14"/>
          <w:b w:val="1"/>
          <w:bCs w:val="1"/>
          <w:color w:val="auto"/>
        </w:rPr>
        <w:t>(State or other jurisdiction of</w:t>
      </w:r>
    </w:p>
    <w:p>
      <w:pPr>
        <w:ind w:left="11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4"/>
          <w:szCs w:val="14"/>
          <w:b w:val="1"/>
          <w:bCs w:val="1"/>
          <w:color w:val="auto"/>
        </w:rPr>
        <w:t>(IRS Employer</w:t>
      </w:r>
    </w:p>
    <w:p>
      <w:pPr>
        <w:jc w:val="center"/>
        <w:ind w:right="1500"/>
        <w:spacing w:after="0"/>
        <w:rPr>
          <w:sz w:val="20"/>
          <w:szCs w:val="20"/>
          <w:color w:val="auto"/>
        </w:rPr>
      </w:pPr>
      <w:r>
        <w:rPr>
          <w:rFonts w:ascii="Arial" w:cs="Arial" w:eastAsia="Arial" w:hAnsi="Arial"/>
          <w:sz w:val="14"/>
          <w:szCs w:val="14"/>
          <w:b w:val="1"/>
          <w:bCs w:val="1"/>
          <w:color w:val="auto"/>
        </w:rPr>
        <w:t>Identification No.)</w:t>
      </w:r>
    </w:p>
    <w:p>
      <w:pPr>
        <w:spacing w:after="0" w:line="95" w:lineRule="exact"/>
        <w:rPr>
          <w:sz w:val="24"/>
          <w:szCs w:val="24"/>
          <w:color w:val="auto"/>
        </w:rPr>
      </w:pPr>
    </w:p>
    <w:p>
      <w:pPr>
        <w:sectPr>
          <w:pgSz w:w="11900" w:h="16838" w:orient="portrait"/>
          <w:cols w:equalWidth="0" w:num="2">
            <w:col w:w="7800" w:space="720"/>
            <w:col w:w="2720"/>
          </w:cols>
          <w:pgMar w:left="320" w:top="260" w:right="339" w:bottom="1440" w:gutter="0" w:footer="0" w:header="0"/>
          <w:type w:val="continuous"/>
        </w:sectPr>
      </w:pPr>
    </w:p>
    <w:p>
      <w:pPr>
        <w:ind w:left="920" w:hanging="323"/>
        <w:spacing w:after="0" w:line="287" w:lineRule="auto"/>
        <w:rPr>
          <w:sz w:val="20"/>
          <w:szCs w:val="20"/>
          <w:color w:val="auto"/>
        </w:rPr>
      </w:pPr>
      <w:r>
        <w:rPr>
          <w:rFonts w:ascii="Arial" w:cs="Arial" w:eastAsia="Arial" w:hAnsi="Arial"/>
          <w:sz w:val="17"/>
          <w:szCs w:val="17"/>
          <w:b w:val="1"/>
          <w:bCs w:val="1"/>
          <w:color w:val="auto"/>
        </w:rPr>
        <w:t>100 Campus Drive, Florham Park,</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Arial" w:cs="Arial" w:eastAsia="Arial" w:hAnsi="Arial"/>
          <w:sz w:val="17"/>
          <w:szCs w:val="17"/>
          <w:b w:val="1"/>
          <w:bCs w:val="1"/>
          <w:color w:val="auto"/>
        </w:rPr>
        <w:t>Suite 200,</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 Jersey</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07932</w:t>
      </w:r>
    </w:p>
    <w:p>
      <w:pPr>
        <w:spacing w:after="0" w:line="43" w:lineRule="exact"/>
        <w:rPr>
          <w:sz w:val="24"/>
          <w:szCs w:val="24"/>
          <w:color w:val="auto"/>
        </w:rPr>
      </w:pPr>
    </w:p>
    <w:p>
      <w:pPr>
        <w:sectPr>
          <w:pgSz w:w="11900" w:h="16838" w:orient="portrait"/>
          <w:cols w:equalWidth="0" w:num="3">
            <w:col w:w="2200" w:space="560"/>
            <w:col w:w="5400" w:space="720"/>
            <w:col w:w="2360"/>
          </w:cols>
          <w:pgMar w:left="320" w:top="260" w:right="339" w:bottom="1440" w:gutter="0" w:footer="0" w:header="0"/>
          <w:type w:val="continuous"/>
        </w:sectPr>
      </w:pPr>
    </w:p>
    <w:p>
      <w:pPr>
        <w:ind w:left="11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40" w:lineRule="exact"/>
        <w:rPr>
          <w:sz w:val="24"/>
          <w:szCs w:val="24"/>
          <w:color w:val="auto"/>
        </w:rPr>
      </w:pPr>
    </w:p>
    <w:p>
      <w:pPr>
        <w:sectPr>
          <w:pgSz w:w="11900" w:h="16838" w:orient="portrait"/>
          <w:cols w:equalWidth="0" w:num="2">
            <w:col w:w="8060" w:space="720"/>
            <w:col w:w="2460"/>
          </w:cols>
          <w:pgMar w:left="320" w:top="260"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(844) 663-2638</w:t>
      </w:r>
    </w:p>
    <w:p>
      <w:pPr>
        <w:spacing w:after="0" w:line="26"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(Registrant’s telephone number, including area code)</w:t>
      </w:r>
    </w:p>
    <w:p>
      <w:pPr>
        <w:ind w:left="3820"/>
        <w:spacing w:after="0"/>
        <w:rPr>
          <w:sz w:val="20"/>
          <w:szCs w:val="20"/>
          <w:color w:val="auto"/>
        </w:rPr>
      </w:pPr>
      <w:r>
        <w:rPr>
          <w:rFonts w:ascii="Arial" w:cs="Arial" w:eastAsia="Arial" w:hAnsi="Arial"/>
          <w:sz w:val="14"/>
          <w:szCs w:val="14"/>
          <w:color w:val="auto"/>
        </w:rPr>
        <w:t>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60" w:right="339" w:bottom="1440" w:gutter="0" w:footer="0" w:header="0"/>
          <w:type w:val="continuous"/>
        </w:sectPr>
      </w:pPr>
    </w:p>
    <w:p>
      <w:pPr>
        <w:spacing w:after="0" w:line="49" w:lineRule="exact"/>
        <w:rPr>
          <w:sz w:val="24"/>
          <w:szCs w:val="24"/>
          <w:color w:val="auto"/>
        </w:rPr>
      </w:pPr>
    </w:p>
    <w:p>
      <w:pPr>
        <w:ind w:left="15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11" w:lineRule="exact"/>
        <w:rPr>
          <w:sz w:val="24"/>
          <w:szCs w:val="24"/>
          <w:color w:val="auto"/>
        </w:rPr>
      </w:pPr>
    </w:p>
    <w:p>
      <w:pPr>
        <w:sectPr>
          <w:pgSz w:w="11900" w:h="16838" w:orient="portrait"/>
          <w:cols w:equalWidth="0" w:num="3">
            <w:col w:w="4040" w:space="720"/>
            <w:col w:w="1960" w:space="720"/>
            <w:col w:w="3800"/>
          </w:cols>
          <w:pgMar w:left="320" w:top="260" w:right="339" w:bottom="1440" w:gutter="0" w:footer="0" w:header="0"/>
          <w:type w:val="continuous"/>
        </w:sectPr>
      </w:pPr>
    </w:p>
    <w:p>
      <w:pPr>
        <w:ind w:left="740"/>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Select Market</w:t>
      </w:r>
    </w:p>
    <w:p>
      <w:pPr>
        <w:spacing w:after="0" w:line="211" w:lineRule="exact"/>
        <w:rPr>
          <w:sz w:val="24"/>
          <w:szCs w:val="24"/>
          <w:color w:val="auto"/>
        </w:rPr>
      </w:pPr>
    </w:p>
    <w:p>
      <w:pPr>
        <w:sectPr>
          <w:pgSz w:w="11900" w:h="16838" w:orient="portrait"/>
          <w:cols w:equalWidth="0" w:num="3">
            <w:col w:w="4380" w:space="720"/>
            <w:col w:w="1760" w:space="720"/>
            <w:col w:w="3660"/>
          </w:cols>
          <w:pgMar w:left="320" w:top="260" w:right="339" w:bottom="1440" w:gutter="0" w:footer="0" w:header="0"/>
          <w:type w:val="continuous"/>
        </w:sectPr>
      </w:pPr>
    </w:p>
    <w:p>
      <w:pPr>
        <w:spacing w:after="0" w:line="12" w:lineRule="exact"/>
        <w:rPr>
          <w:sz w:val="24"/>
          <w:szCs w:val="24"/>
          <w:color w:val="auto"/>
        </w:rPr>
      </w:pPr>
    </w:p>
    <w:p>
      <w:pPr>
        <w:ind w:right="300" w:firstLine="162"/>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9" w:lineRule="exact"/>
        <w:rPr>
          <w:sz w:val="24"/>
          <w:szCs w:val="24"/>
          <w:color w:val="auto"/>
        </w:rPr>
      </w:pPr>
    </w:p>
    <w:p>
      <w:pPr>
        <w:ind w:right="320" w:firstLine="162"/>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39" w:lineRule="exact"/>
        <w:rPr>
          <w:sz w:val="24"/>
          <w:szCs w:val="24"/>
          <w:color w:val="auto"/>
        </w:rPr>
      </w:pPr>
    </w:p>
    <w:p>
      <w:pPr>
        <w:ind w:right="20" w:firstLine="162"/>
        <w:spacing w:after="0" w:line="24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300"/>
        <w:spacing w:after="0" w:line="181" w:lineRule="exact"/>
        <w:tabs>
          <w:tab w:leader="none" w:pos="2040" w:val="left"/>
          <w:tab w:leader="none" w:pos="2500" w:val="left"/>
          <w:tab w:leader="none" w:pos="3820" w:val="left"/>
          <w:tab w:leader="none" w:pos="4300" w:val="left"/>
          <w:tab w:leader="none" w:pos="5960" w:val="left"/>
          <w:tab w:leader="none" w:pos="6460" w:val="left"/>
          <w:tab w:leader="none" w:pos="8420" w:val="left"/>
          <w:tab w:leader="none" w:pos="8940" w:val="left"/>
          <w:tab w:leader="none" w:pos="110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6" w:lineRule="exact"/>
        <w:rPr>
          <w:sz w:val="24"/>
          <w:szCs w:val="24"/>
          <w:color w:val="auto"/>
        </w:rPr>
      </w:pPr>
    </w:p>
    <w:p>
      <w:pPr>
        <w:ind w:right="160" w:firstLine="162"/>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Borders>
              <w:bottom w:val="single" w:sz="8" w:color="auto"/>
            </w:tcBorders>
          </w:tcPr>
          <w:p>
            <w:pPr>
              <w:ind w:left="1400"/>
              <w:spacing w:after="0"/>
              <w:rPr>
                <w:sz w:val="20"/>
                <w:szCs w:val="20"/>
                <w:color w:val="auto"/>
              </w:rPr>
            </w:pPr>
            <w:r>
              <w:rPr>
                <w:rFonts w:ascii="Arial" w:cs="Arial" w:eastAsia="Arial" w:hAnsi="Arial"/>
                <w:sz w:val="16"/>
                <w:szCs w:val="16"/>
                <w:b w:val="1"/>
                <w:bCs w:val="1"/>
                <w:color w:val="auto"/>
                <w:w w:val="98"/>
              </w:rPr>
              <w:t>Class</w:t>
            </w:r>
          </w:p>
        </w:tc>
        <w:tc>
          <w:tcPr>
            <w:tcW w:w="1240" w:type="dxa"/>
            <w:vAlign w:val="bottom"/>
            <w:tcBorders>
              <w:bottom w:val="single" w:sz="8" w:color="auto"/>
            </w:tcBorders>
          </w:tcPr>
          <w:p>
            <w:pPr>
              <w:spacing w:after="0"/>
              <w:rPr>
                <w:sz w:val="18"/>
                <w:szCs w:val="18"/>
                <w:color w:val="auto"/>
              </w:rPr>
            </w:pPr>
          </w:p>
        </w:tc>
        <w:tc>
          <w:tcPr>
            <w:tcW w:w="4660" w:type="dxa"/>
            <w:vAlign w:val="bottom"/>
          </w:tcPr>
          <w:p>
            <w:pPr>
              <w:spacing w:after="0"/>
              <w:rPr>
                <w:sz w:val="18"/>
                <w:szCs w:val="18"/>
                <w:color w:val="auto"/>
              </w:rPr>
            </w:pPr>
          </w:p>
        </w:tc>
        <w:tc>
          <w:tcPr>
            <w:tcW w:w="350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b w:val="1"/>
                <w:bCs w:val="1"/>
                <w:color w:val="auto"/>
              </w:rPr>
              <w:t>Outstanding at July 31, 2022</w:t>
            </w:r>
          </w:p>
        </w:tc>
      </w:tr>
      <w:tr>
        <w:trPr>
          <w:trHeight w:val="205"/>
        </w:trPr>
        <w:tc>
          <w:tcPr>
            <w:tcW w:w="184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5900" w:type="dxa"/>
            <w:vAlign w:val="bottom"/>
            <w:gridSpan w:val="2"/>
          </w:tcPr>
          <w:p>
            <w:pPr>
              <w:spacing w:after="0"/>
              <w:rPr>
                <w:sz w:val="20"/>
                <w:szCs w:val="20"/>
                <w:color w:val="auto"/>
              </w:rPr>
            </w:pPr>
            <w:r>
              <w:rPr>
                <w:rFonts w:ascii="Arial" w:cs="Arial" w:eastAsia="Arial" w:hAnsi="Arial"/>
                <w:sz w:val="16"/>
                <w:szCs w:val="16"/>
                <w:color w:val="auto"/>
              </w:rPr>
              <w:t>$0.01 par value</w:t>
            </w:r>
          </w:p>
        </w:tc>
        <w:tc>
          <w:tcPr>
            <w:tcW w:w="3500" w:type="dxa"/>
            <w:vAlign w:val="bottom"/>
          </w:tcPr>
          <w:p>
            <w:pPr>
              <w:jc w:val="right"/>
              <w:ind w:right="1142"/>
              <w:spacing w:after="0"/>
              <w:rPr>
                <w:sz w:val="20"/>
                <w:szCs w:val="20"/>
                <w:color w:val="auto"/>
              </w:rPr>
            </w:pPr>
            <w:r>
              <w:rPr>
                <w:rFonts w:ascii="Arial" w:cs="Arial" w:eastAsia="Arial" w:hAnsi="Arial"/>
                <w:sz w:val="16"/>
                <w:szCs w:val="16"/>
                <w:color w:val="auto"/>
              </w:rPr>
              <w:t>215,795,311</w:t>
            </w:r>
          </w:p>
        </w:tc>
      </w:tr>
      <w:tr>
        <w:trPr>
          <w:trHeight w:val="413"/>
        </w:trPr>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500" w:type="dxa"/>
            <w:vAlign w:val="bottom"/>
          </w:tcPr>
          <w:p>
            <w:pPr>
              <w:ind w:left="1760"/>
              <w:spacing w:after="0"/>
              <w:rPr>
                <w:sz w:val="20"/>
                <w:szCs w:val="20"/>
                <w:color w:val="auto"/>
              </w:rPr>
            </w:pPr>
            <w:r>
              <w:rPr>
                <w:rFonts w:ascii="Arial" w:cs="Arial" w:eastAsia="Arial" w:hAnsi="Arial"/>
                <w:sz w:val="14"/>
                <w:szCs w:val="14"/>
                <w:color w:val="3051F2"/>
              </w:rPr>
              <w:t>CNDT Q2 2022 Form 10-Q</w:t>
            </w:r>
          </w:p>
        </w:tc>
      </w:tr>
      <w:tr>
        <w:trPr>
          <w:trHeight w:val="694"/>
        </w:trPr>
        <w:tc>
          <w:tcPr>
            <w:tcW w:w="18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 w:name="page2"/>
    <w:bookmarkEnd w:id="1"/>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FORWARD-LOOKING STATEMENTS</w:t>
      </w:r>
    </w:p>
    <w:p>
      <w:pPr>
        <w:spacing w:after="0" w:line="124"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This Quarterly Report on Form 10-Q (Form 10-Q) and any exhibits to this Form 10-Q may contain "forward-looking statements" as defined in the Private Securities Litigation Reform Act of 1995 (the "Litigation Reform Act"). The words “anticipate,” “believe,” “estimate,” “expect,” "plan," “intend,” “will,” “aim,” “should,” “could,” “forecast,” “target,” “may,” "continue to," "if,” “growing,” “projected,” “potential,” “likely,” and similar expressions, as they relate to us, are intended to identify forward-looking statements, but the absence of these words does not mean that a statement is not forward-looking. In addition, all statements regarding anticipated effects of the novel coronavirus, or COVID-19, pandemic and the responses thereto, including the pandemic’s impact on general economic and market conditions, as well as on our business, customers, and markets, results of operations and financial condition and anticipated actions to be taken by management to sustain our business during the economic uncertainty caused by the pandemic and related governmental and business actions, as well as other statements that are not strictly historical in nature, are forward looking. These statements reflect our current views with respect to future events and are subject to certain risks, uncertainties and assumptions. Should one or more of these risks or uncertainties materialize, or should underlying assumptions prove incorrect, actual results may vary materially from those expressed or implied herein as anticipated, believed, estimated, expected or intended or using other similar expressions.</w:t>
      </w:r>
    </w:p>
    <w:p>
      <w:pPr>
        <w:spacing w:after="0" w:line="105"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In accordance with the provisions of the Litigation Reform Act, we are making investors aware that such forward-looking statements, because they relate to future events, are by their very nature subject to many important factors and uncertainties that could cause actual results to differ materially from those contemplated by the forward-looking statements contained in this Form 10-Q, any exhibits to this Form 10-Q and other public statements we make. Our actual results may vary materially from those expressed or implied in our forward-looking statements. These forward-looking statements are also subject to the significant continuing impact of the COVID-19 pandemic on our business, operations, financial results and financial condition, which is dependent on developments which are highly uncertain and cannot be predicted.</w:t>
      </w:r>
    </w:p>
    <w:p>
      <w:pPr>
        <w:spacing w:after="0" w:line="101"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Important factors and uncertainties that could cause actual results to differ materially from those in our forward-looking statements include, but are not limited to: the significant continuing effects of the ongoing COVID-19 pandemic on our business, operations, financial results and financial condition, which is dependent on developments which are highly uncertain and cannot be predicted; government appropriations and termination rights contained in our government contracts; our ability to renew commercial and government contracts, including contracts awarded through competitive bidding processes; our ability to recover capital and other investments in connection with our contracts; our reliance on third-party providers; our ability to deliver on our contractual obligations properly and on time; changes in interest in outsourced business process services; risk and impact of geopolitical events, natural disasters and other factors (such as pandemics, including coronavirus) in a particular country or region on our workforce, customers and vendors;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increases in the cost of telephone and data services or significant interruptions in such services; our failure to develop new service offerings and protect our intellectual property rights; our ability to modernize our information technology infrastructure and consolidate data centers;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our ability to comply with data security standards; changes in tax and other laws and regulations; risk and impact of potential goodwill and other asset impairments; our significant indebtedness;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our failure to maintain a satisfactory credit rating; our ability to receive dividends or other payments from our subsidiaries; developments in various contingent liabilities that are not reflected on our balance sheet, including those arising as a result of being involved in a variety of claims, lawsuits, investigations and proceedings; conditions abroad, including local economics, political environments, fluctuating foreign currencies and shifting regulatory schemes; changes in government regulation and economic, strategic, political and social conditions; volatility of our stock price and the risk of litigation following a decline in the price of our stock; and other factors that are set forth in the “Risk Factors” section, the “Legal Proceedings” section, the “Management's Discussion and Analysis of Financial Condition and Results of Operations” section and other sections of this Quarterly Report on Form 10-Q as well as in our 2021 Annual Report on Form 10-K filed with the Securities and Exchange Commission (SEC) and any subsequent Quarterly Report on Form 10-Q and Current Report on Form 8-K. Any forward-looking statements made by us in this Quarterly Report on Form 10-Q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2022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 w:name="page3"/>
    <w:bookmarkEnd w:id="2"/>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CONDUENT INCORPORATED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60" w:type="dxa"/>
            <w:vAlign w:val="bottom"/>
          </w:tcPr>
          <w:p>
            <w:pPr>
              <w:spacing w:after="0"/>
              <w:rPr>
                <w:sz w:val="20"/>
                <w:szCs w:val="20"/>
                <w:color w:val="auto"/>
              </w:rPr>
            </w:pPr>
            <w:r>
              <w:rPr>
                <w:rFonts w:ascii="Arial" w:cs="Arial" w:eastAsia="Arial" w:hAnsi="Arial"/>
                <w:sz w:val="18"/>
                <w:szCs w:val="18"/>
                <w:b w:val="1"/>
                <w:bCs w:val="1"/>
                <w:color w:val="1269BC"/>
              </w:rPr>
              <w:t>FORM 10-Q</w:t>
            </w:r>
          </w:p>
        </w:tc>
        <w:tc>
          <w:tcPr>
            <w:tcW w:w="86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1260" w:type="dxa"/>
            <w:vAlign w:val="bottom"/>
          </w:tcPr>
          <w:p>
            <w:pPr>
              <w:spacing w:after="0"/>
              <w:rPr>
                <w:sz w:val="20"/>
                <w:szCs w:val="20"/>
                <w:color w:val="auto"/>
              </w:rPr>
            </w:pPr>
            <w:r>
              <w:rPr>
                <w:rFonts w:ascii="Arial" w:cs="Arial" w:eastAsia="Arial" w:hAnsi="Arial"/>
                <w:sz w:val="18"/>
                <w:szCs w:val="18"/>
                <w:b w:val="1"/>
                <w:bCs w:val="1"/>
                <w:color w:val="1269BC"/>
              </w:rPr>
              <w:t>June 30, 2022</w:t>
            </w:r>
          </w:p>
        </w:tc>
        <w:tc>
          <w:tcPr>
            <w:tcW w:w="8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1260" w:type="dxa"/>
            <w:vAlign w:val="bottom"/>
          </w:tcPr>
          <w:p>
            <w:pPr>
              <w:spacing w:after="0"/>
              <w:rPr>
                <w:sz w:val="24"/>
                <w:szCs w:val="24"/>
                <w:color w:val="auto"/>
              </w:rPr>
            </w:pPr>
          </w:p>
        </w:tc>
        <w:tc>
          <w:tcPr>
            <w:tcW w:w="8620" w:type="dxa"/>
            <w:vAlign w:val="bottom"/>
          </w:tcPr>
          <w:p>
            <w:pPr>
              <w:ind w:left="3400"/>
              <w:spacing w:after="0"/>
              <w:rPr>
                <w:sz w:val="20"/>
                <w:szCs w:val="20"/>
                <w:color w:val="auto"/>
              </w:rPr>
            </w:pPr>
            <w:r>
              <w:rPr>
                <w:rFonts w:ascii="Arial" w:cs="Arial" w:eastAsia="Arial" w:hAnsi="Arial"/>
                <w:sz w:val="18"/>
                <w:szCs w:val="18"/>
                <w:b w:val="1"/>
                <w:bCs w:val="1"/>
                <w:color w:val="1269BC"/>
              </w:rPr>
              <w:t>TABLE OF CONTENTS</w:t>
            </w:r>
          </w:p>
        </w:tc>
        <w:tc>
          <w:tcPr>
            <w:tcW w:w="1340" w:type="dxa"/>
            <w:vAlign w:val="bottom"/>
          </w:tcPr>
          <w:p>
            <w:pPr>
              <w:spacing w:after="0"/>
              <w:rPr>
                <w:sz w:val="24"/>
                <w:szCs w:val="24"/>
                <w:color w:val="auto"/>
              </w:rPr>
            </w:pPr>
          </w:p>
        </w:tc>
      </w:tr>
      <w:tr>
        <w:trPr>
          <w:trHeight w:val="473"/>
        </w:trPr>
        <w:tc>
          <w:tcPr>
            <w:tcW w:w="1260" w:type="dxa"/>
            <w:vAlign w:val="bottom"/>
            <w:tcBorders>
              <w:bottom w:val="single" w:sz="8" w:color="CCEEFF"/>
            </w:tcBorders>
          </w:tcPr>
          <w:p>
            <w:pPr>
              <w:spacing w:after="0"/>
              <w:rPr>
                <w:sz w:val="24"/>
                <w:szCs w:val="24"/>
                <w:color w:val="auto"/>
              </w:rPr>
            </w:pPr>
          </w:p>
        </w:tc>
        <w:tc>
          <w:tcPr>
            <w:tcW w:w="86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661DE8"/>
              </w:rPr>
              <w:t>Page</w:t>
            </w:r>
          </w:p>
        </w:tc>
      </w:tr>
      <w:tr>
        <w:trPr>
          <w:trHeight w:val="209"/>
        </w:trPr>
        <w:tc>
          <w:tcPr>
            <w:tcW w:w="9880" w:type="dxa"/>
            <w:vAlign w:val="bottom"/>
            <w:gridSpan w:val="2"/>
            <w:shd w:val="clear" w:color="auto" w:fill="CCEEFF"/>
          </w:tcPr>
          <w:p>
            <w:pPr>
              <w:ind w:left="20"/>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1340" w:type="dxa"/>
            <w:vAlign w:val="bottom"/>
            <w:shd w:val="clear" w:color="auto" w:fill="CCEEFF"/>
          </w:tcPr>
          <w:p>
            <w:pPr>
              <w:spacing w:after="0"/>
              <w:rPr>
                <w:sz w:val="18"/>
                <w:szCs w:val="18"/>
                <w:color w:val="auto"/>
              </w:rPr>
            </w:pPr>
          </w:p>
        </w:tc>
      </w:tr>
      <w:tr>
        <w:trPr>
          <w:trHeight w:val="230"/>
        </w:trPr>
        <w:tc>
          <w:tcPr>
            <w:tcW w:w="1260" w:type="dxa"/>
            <w:vAlign w:val="bottom"/>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620" w:type="dxa"/>
            <w:vAlign w:val="bottom"/>
          </w:tcPr>
          <w:p>
            <w:pPr>
              <w:ind w:left="80"/>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1340" w:type="dxa"/>
            <w:vAlign w:val="bottom"/>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r>
      <w:tr>
        <w:trPr>
          <w:trHeight w:val="229"/>
        </w:trPr>
        <w:tc>
          <w:tcPr>
            <w:tcW w:w="1260" w:type="dxa"/>
            <w:vAlign w:val="bottom"/>
            <w:shd w:val="clear" w:color="auto" w:fill="CCEEFF"/>
          </w:tcPr>
          <w:p>
            <w:pPr>
              <w:spacing w:after="0"/>
              <w:rPr>
                <w:sz w:val="19"/>
                <w:szCs w:val="19"/>
                <w:color w:val="auto"/>
              </w:rPr>
            </w:pPr>
          </w:p>
        </w:tc>
        <w:tc>
          <w:tcPr>
            <w:tcW w:w="8620" w:type="dxa"/>
            <w:vAlign w:val="bottom"/>
            <w:shd w:val="clear" w:color="auto" w:fill="CCEEFF"/>
          </w:tcPr>
          <w:p>
            <w:pPr>
              <w:ind w:left="80"/>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Income (Loss)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r>
      <w:tr>
        <w:trPr>
          <w:trHeight w:val="229"/>
        </w:trPr>
        <w:tc>
          <w:tcPr>
            <w:tcW w:w="1260" w:type="dxa"/>
            <w:vAlign w:val="bottom"/>
          </w:tcPr>
          <w:p>
            <w:pPr>
              <w:spacing w:after="0"/>
              <w:rPr>
                <w:sz w:val="19"/>
                <w:szCs w:val="19"/>
                <w:color w:val="auto"/>
              </w:rPr>
            </w:pPr>
          </w:p>
        </w:tc>
        <w:tc>
          <w:tcPr>
            <w:tcW w:w="8620" w:type="dxa"/>
            <w:vAlign w:val="bottom"/>
          </w:tcPr>
          <w:p>
            <w:pPr>
              <w:ind w:left="80"/>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 (Loss)</w:t>
              </w:r>
            </w:hyperlink>
          </w:p>
        </w:tc>
        <w:tc>
          <w:tcPr>
            <w:tcW w:w="1340" w:type="dxa"/>
            <w:vAlign w:val="bottom"/>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r>
      <w:tr>
        <w:trPr>
          <w:trHeight w:val="230"/>
        </w:trPr>
        <w:tc>
          <w:tcPr>
            <w:tcW w:w="1260" w:type="dxa"/>
            <w:vAlign w:val="bottom"/>
            <w:shd w:val="clear" w:color="auto" w:fill="CCEEFF"/>
          </w:tcPr>
          <w:p>
            <w:pPr>
              <w:spacing w:after="0"/>
              <w:rPr>
                <w:sz w:val="19"/>
                <w:szCs w:val="19"/>
                <w:color w:val="auto"/>
              </w:rPr>
            </w:pPr>
          </w:p>
        </w:tc>
        <w:tc>
          <w:tcPr>
            <w:tcW w:w="8620" w:type="dxa"/>
            <w:vAlign w:val="bottom"/>
            <w:shd w:val="clear" w:color="auto" w:fill="CCEEFF"/>
          </w:tcPr>
          <w:p>
            <w:pPr>
              <w:ind w:left="8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r>
      <w:tr>
        <w:trPr>
          <w:trHeight w:val="229"/>
        </w:trPr>
        <w:tc>
          <w:tcPr>
            <w:tcW w:w="1260" w:type="dxa"/>
            <w:vAlign w:val="bottom"/>
          </w:tcPr>
          <w:p>
            <w:pPr>
              <w:spacing w:after="0"/>
              <w:rPr>
                <w:sz w:val="19"/>
                <w:szCs w:val="19"/>
                <w:color w:val="auto"/>
              </w:rPr>
            </w:pPr>
          </w:p>
        </w:tc>
        <w:tc>
          <w:tcPr>
            <w:tcW w:w="8620" w:type="dxa"/>
            <w:vAlign w:val="bottom"/>
          </w:tcPr>
          <w:p>
            <w:pPr>
              <w:ind w:left="80"/>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1340" w:type="dxa"/>
            <w:vAlign w:val="bottom"/>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r>
      <w:tr>
        <w:trPr>
          <w:trHeight w:val="230"/>
        </w:trPr>
        <w:tc>
          <w:tcPr>
            <w:tcW w:w="1260" w:type="dxa"/>
            <w:vAlign w:val="bottom"/>
            <w:shd w:val="clear" w:color="auto" w:fill="CCEEFF"/>
          </w:tcPr>
          <w:p>
            <w:pPr>
              <w:spacing w:after="0"/>
              <w:rPr>
                <w:sz w:val="19"/>
                <w:szCs w:val="19"/>
                <w:color w:val="auto"/>
              </w:rPr>
            </w:pPr>
          </w:p>
        </w:tc>
        <w:tc>
          <w:tcPr>
            <w:tcW w:w="8620" w:type="dxa"/>
            <w:vAlign w:val="bottom"/>
            <w:shd w:val="clear" w:color="auto" w:fill="CCEEFF"/>
          </w:tcPr>
          <w:p>
            <w:pPr>
              <w:ind w:left="80"/>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Shareholders' Equity</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7</w:t>
              </w:r>
            </w:hyperlink>
          </w:p>
        </w:tc>
      </w:tr>
      <w:tr>
        <w:trPr>
          <w:trHeight w:val="229"/>
        </w:trPr>
        <w:tc>
          <w:tcPr>
            <w:tcW w:w="1260" w:type="dxa"/>
            <w:vAlign w:val="bottom"/>
          </w:tcPr>
          <w:p>
            <w:pPr>
              <w:spacing w:after="0"/>
              <w:rPr>
                <w:sz w:val="19"/>
                <w:szCs w:val="19"/>
                <w:color w:val="auto"/>
              </w:rPr>
            </w:pPr>
          </w:p>
        </w:tc>
        <w:tc>
          <w:tcPr>
            <w:tcW w:w="8620" w:type="dxa"/>
            <w:vAlign w:val="bottom"/>
          </w:tcPr>
          <w:p>
            <w:pPr>
              <w:ind w:left="80"/>
              <w:spacing w:after="0"/>
              <w:rPr>
                <w:rFonts w:ascii="Arial" w:cs="Arial" w:eastAsia="Arial" w:hAnsi="Arial"/>
                <w:sz w:val="18"/>
                <w:szCs w:val="18"/>
                <w:color w:val="0000FF"/>
              </w:rPr>
            </w:pPr>
            <w:hyperlink w:anchor="page8">
              <w:r>
                <w:rPr>
                  <w:rFonts w:ascii="Arial" w:cs="Arial" w:eastAsia="Arial" w:hAnsi="Arial"/>
                  <w:sz w:val="18"/>
                  <w:szCs w:val="18"/>
                  <w:color w:val="0000FF"/>
                </w:rPr>
                <w:t>Notes to the Condensed Consolidated Financial Statements</w:t>
              </w:r>
            </w:hyperlink>
          </w:p>
        </w:tc>
        <w:tc>
          <w:tcPr>
            <w:tcW w:w="1340" w:type="dxa"/>
            <w:vAlign w:val="bottom"/>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8</w:t>
              </w:r>
            </w:hyperlink>
          </w:p>
        </w:tc>
      </w:tr>
      <w:tr>
        <w:trPr>
          <w:trHeight w:val="229"/>
        </w:trPr>
        <w:tc>
          <w:tcPr>
            <w:tcW w:w="1260" w:type="dxa"/>
            <w:vAlign w:val="bottom"/>
            <w:shd w:val="clear" w:color="auto" w:fill="CCEEFF"/>
          </w:tcPr>
          <w:p>
            <w:pPr>
              <w:ind w:left="20"/>
              <w:spacing w:after="0"/>
              <w:rPr>
                <w:rFonts w:ascii="Arial" w:cs="Arial" w:eastAsia="Arial" w:hAnsi="Arial"/>
                <w:sz w:val="18"/>
                <w:szCs w:val="18"/>
                <w:color w:val="0000FF"/>
              </w:rPr>
            </w:pPr>
            <w:hyperlink w:anchor="page23">
              <w:r>
                <w:rPr>
                  <w:rFonts w:ascii="Arial" w:cs="Arial" w:eastAsia="Arial" w:hAnsi="Arial"/>
                  <w:sz w:val="18"/>
                  <w:szCs w:val="18"/>
                  <w:color w:val="0000FF"/>
                </w:rPr>
                <w:t>Item 2.</w:t>
              </w:r>
            </w:hyperlink>
          </w:p>
        </w:tc>
        <w:tc>
          <w:tcPr>
            <w:tcW w:w="8620" w:type="dxa"/>
            <w:vAlign w:val="bottom"/>
            <w:shd w:val="clear" w:color="auto" w:fill="CCEEFF"/>
          </w:tcPr>
          <w:p>
            <w:pPr>
              <w:ind w:left="80"/>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23</w:t>
              </w:r>
            </w:hyperlink>
          </w:p>
        </w:tc>
      </w:tr>
      <w:tr>
        <w:trPr>
          <w:trHeight w:val="230"/>
        </w:trPr>
        <w:tc>
          <w:tcPr>
            <w:tcW w:w="1260" w:type="dxa"/>
            <w:vAlign w:val="bottom"/>
          </w:tcPr>
          <w:p>
            <w:pPr>
              <w:ind w:left="20"/>
              <w:spacing w:after="0"/>
              <w:rPr>
                <w:rFonts w:ascii="Arial" w:cs="Arial" w:eastAsia="Arial" w:hAnsi="Arial"/>
                <w:sz w:val="18"/>
                <w:szCs w:val="18"/>
                <w:color w:val="0000FF"/>
              </w:rPr>
            </w:pPr>
            <w:hyperlink w:anchor="page35">
              <w:r>
                <w:rPr>
                  <w:rFonts w:ascii="Arial" w:cs="Arial" w:eastAsia="Arial" w:hAnsi="Arial"/>
                  <w:sz w:val="18"/>
                  <w:szCs w:val="18"/>
                  <w:color w:val="0000FF"/>
                </w:rPr>
                <w:t>Item 3.</w:t>
              </w:r>
            </w:hyperlink>
          </w:p>
        </w:tc>
        <w:tc>
          <w:tcPr>
            <w:tcW w:w="8620" w:type="dxa"/>
            <w:vAlign w:val="bottom"/>
          </w:tcPr>
          <w:p>
            <w:pPr>
              <w:ind w:left="80"/>
              <w:spacing w:after="0"/>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1340" w:type="dxa"/>
            <w:vAlign w:val="bottom"/>
          </w:tcPr>
          <w:p>
            <w:pPr>
              <w:jc w:val="center"/>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34</w:t>
              </w:r>
            </w:hyperlink>
          </w:p>
        </w:tc>
      </w:tr>
      <w:tr>
        <w:trPr>
          <w:trHeight w:val="229"/>
        </w:trPr>
        <w:tc>
          <w:tcPr>
            <w:tcW w:w="1260" w:type="dxa"/>
            <w:vAlign w:val="bottom"/>
            <w:shd w:val="clear" w:color="auto" w:fill="CCEEFF"/>
          </w:tcPr>
          <w:p>
            <w:pPr>
              <w:ind w:left="20"/>
              <w:spacing w:after="0"/>
              <w:rPr>
                <w:rFonts w:ascii="Arial" w:cs="Arial" w:eastAsia="Arial" w:hAnsi="Arial"/>
                <w:sz w:val="18"/>
                <w:szCs w:val="18"/>
                <w:color w:val="0000FF"/>
              </w:rPr>
            </w:pPr>
            <w:hyperlink w:anchor="page35">
              <w:r>
                <w:rPr>
                  <w:rFonts w:ascii="Arial" w:cs="Arial" w:eastAsia="Arial" w:hAnsi="Arial"/>
                  <w:sz w:val="18"/>
                  <w:szCs w:val="18"/>
                  <w:color w:val="0000FF"/>
                </w:rPr>
                <w:t>Item 4.</w:t>
              </w:r>
            </w:hyperlink>
          </w:p>
        </w:tc>
        <w:tc>
          <w:tcPr>
            <w:tcW w:w="8620" w:type="dxa"/>
            <w:vAlign w:val="bottom"/>
            <w:shd w:val="clear" w:color="auto" w:fill="CCEEFF"/>
          </w:tcPr>
          <w:p>
            <w:pPr>
              <w:ind w:left="80"/>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35</w:t>
              </w:r>
            </w:hyperlink>
          </w:p>
        </w:tc>
      </w:tr>
      <w:tr>
        <w:trPr>
          <w:trHeight w:val="148"/>
        </w:trPr>
        <w:tc>
          <w:tcPr>
            <w:tcW w:w="988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r>
      <w:tr>
        <w:trPr>
          <w:trHeight w:val="230"/>
        </w:trPr>
        <w:tc>
          <w:tcPr>
            <w:tcW w:w="9880" w:type="dxa"/>
            <w:vAlign w:val="bottom"/>
            <w:gridSpan w:val="2"/>
            <w:shd w:val="clear" w:color="auto" w:fill="CCEEFF"/>
          </w:tcPr>
          <w:p>
            <w:pPr>
              <w:ind w:left="20"/>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Part II — Other Information</w:t>
              </w:r>
            </w:hyperlink>
          </w:p>
        </w:tc>
        <w:tc>
          <w:tcPr>
            <w:tcW w:w="1340" w:type="dxa"/>
            <w:vAlign w:val="bottom"/>
            <w:shd w:val="clear" w:color="auto" w:fill="CCEEFF"/>
          </w:tcPr>
          <w:p>
            <w:pPr>
              <w:spacing w:after="0"/>
              <w:rPr>
                <w:sz w:val="19"/>
                <w:szCs w:val="19"/>
                <w:color w:val="auto"/>
              </w:rPr>
            </w:pPr>
          </w:p>
        </w:tc>
      </w:tr>
      <w:tr>
        <w:trPr>
          <w:trHeight w:val="162"/>
        </w:trPr>
        <w:tc>
          <w:tcPr>
            <w:tcW w:w="126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9"/>
        </w:trPr>
        <w:tc>
          <w:tcPr>
            <w:tcW w:w="1260" w:type="dxa"/>
            <w:vAlign w:val="bottom"/>
            <w:shd w:val="clear" w:color="auto" w:fill="CCEEFF"/>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Item 1.</w:t>
              </w:r>
            </w:hyperlink>
          </w:p>
        </w:tc>
        <w:tc>
          <w:tcPr>
            <w:tcW w:w="8620" w:type="dxa"/>
            <w:vAlign w:val="bottom"/>
            <w:shd w:val="clear" w:color="auto" w:fill="CCEEFF"/>
          </w:tcPr>
          <w:p>
            <w:pPr>
              <w:ind w:left="80"/>
              <w:spacing w:after="0"/>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35</w:t>
              </w:r>
            </w:hyperlink>
          </w:p>
        </w:tc>
      </w:tr>
      <w:tr>
        <w:trPr>
          <w:trHeight w:val="230"/>
        </w:trPr>
        <w:tc>
          <w:tcPr>
            <w:tcW w:w="1260" w:type="dxa"/>
            <w:vAlign w:val="bottom"/>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Item 1A.</w:t>
              </w:r>
            </w:hyperlink>
          </w:p>
        </w:tc>
        <w:tc>
          <w:tcPr>
            <w:tcW w:w="8620" w:type="dxa"/>
            <w:vAlign w:val="bottom"/>
          </w:tcPr>
          <w:p>
            <w:pPr>
              <w:ind w:left="80"/>
              <w:spacing w:after="0"/>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c>
          <w:tcPr>
            <w:tcW w:w="1340" w:type="dxa"/>
            <w:vAlign w:val="bottom"/>
          </w:tcPr>
          <w:p>
            <w:pPr>
              <w:jc w:val="center"/>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35</w:t>
              </w:r>
            </w:hyperlink>
          </w:p>
        </w:tc>
      </w:tr>
      <w:tr>
        <w:trPr>
          <w:trHeight w:val="229"/>
        </w:trPr>
        <w:tc>
          <w:tcPr>
            <w:tcW w:w="1260" w:type="dxa"/>
            <w:vAlign w:val="bottom"/>
            <w:shd w:val="clear" w:color="auto" w:fill="CCEEFF"/>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Item 2.</w:t>
              </w:r>
            </w:hyperlink>
          </w:p>
        </w:tc>
        <w:tc>
          <w:tcPr>
            <w:tcW w:w="8620" w:type="dxa"/>
            <w:vAlign w:val="bottom"/>
            <w:shd w:val="clear" w:color="auto" w:fill="CCEEFF"/>
          </w:tcPr>
          <w:p>
            <w:pPr>
              <w:ind w:left="80"/>
              <w:spacing w:after="0"/>
              <w:rPr>
                <w:rFonts w:ascii="Arial" w:cs="Arial" w:eastAsia="Arial" w:hAnsi="Arial"/>
                <w:sz w:val="18"/>
                <w:szCs w:val="18"/>
                <w:color w:val="0000FF"/>
              </w:rPr>
            </w:pPr>
            <w:hyperlink w:anchor="page36">
              <w:r>
                <w:rPr>
                  <w:rFonts w:ascii="Arial" w:cs="Arial" w:eastAsia="Arial" w:hAnsi="Arial"/>
                  <w:sz w:val="18"/>
                  <w:szCs w:val="18"/>
                  <w:color w:val="0000FF"/>
                </w:rPr>
                <w:t>Unregistered Sales of Equity Securities and Use of Proceeds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35</w:t>
              </w:r>
            </w:hyperlink>
          </w:p>
        </w:tc>
      </w:tr>
      <w:tr>
        <w:trPr>
          <w:trHeight w:val="230"/>
        </w:trPr>
        <w:tc>
          <w:tcPr>
            <w:tcW w:w="1260" w:type="dxa"/>
            <w:vAlign w:val="bottom"/>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Item 6.</w:t>
              </w:r>
            </w:hyperlink>
          </w:p>
        </w:tc>
        <w:tc>
          <w:tcPr>
            <w:tcW w:w="8620" w:type="dxa"/>
            <w:vAlign w:val="bottom"/>
          </w:tcPr>
          <w:p>
            <w:pPr>
              <w:ind w:left="80"/>
              <w:spacing w:after="0"/>
              <w:rPr>
                <w:rFonts w:ascii="Arial" w:cs="Arial" w:eastAsia="Arial" w:hAnsi="Arial"/>
                <w:sz w:val="18"/>
                <w:szCs w:val="18"/>
                <w:color w:val="0000FF"/>
              </w:rPr>
            </w:pPr>
            <w:hyperlink w:anchor="page36">
              <w:r>
                <w:rPr>
                  <w:rFonts w:ascii="Arial" w:cs="Arial" w:eastAsia="Arial" w:hAnsi="Arial"/>
                  <w:sz w:val="18"/>
                  <w:szCs w:val="18"/>
                  <w:color w:val="0000FF"/>
                </w:rPr>
                <w:t>Exhibits</w:t>
              </w:r>
            </w:hyperlink>
          </w:p>
        </w:tc>
        <w:tc>
          <w:tcPr>
            <w:tcW w:w="1340" w:type="dxa"/>
            <w:vAlign w:val="bottom"/>
          </w:tcPr>
          <w:p>
            <w:pPr>
              <w:jc w:val="center"/>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36</w:t>
              </w:r>
            </w:hyperlink>
          </w:p>
        </w:tc>
      </w:tr>
      <w:tr>
        <w:trPr>
          <w:trHeight w:val="230"/>
        </w:trPr>
        <w:tc>
          <w:tcPr>
            <w:tcW w:w="1260" w:type="dxa"/>
            <w:vAlign w:val="bottom"/>
            <w:shd w:val="clear" w:color="auto" w:fill="CCEEFF"/>
          </w:tcPr>
          <w:p>
            <w:pPr>
              <w:ind w:left="20"/>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Signatures</w:t>
              </w:r>
            </w:hyperlink>
          </w:p>
        </w:tc>
        <w:tc>
          <w:tcPr>
            <w:tcW w:w="86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7">
              <w:r>
                <w:rPr>
                  <w:rFonts w:ascii="Arial" w:cs="Arial" w:eastAsia="Arial" w:hAnsi="Arial"/>
                  <w:sz w:val="18"/>
                  <w:szCs w:val="18"/>
                  <w:color w:val="0000FF"/>
                  <w:w w:val="99"/>
                </w:rPr>
                <w:t>37</w:t>
              </w:r>
            </w:hyperlink>
          </w:p>
        </w:tc>
      </w:tr>
    </w:tbl>
    <w:p>
      <w:pPr>
        <w:spacing w:after="0" w:line="32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For additional information about Conduent Incorporated and access to our Annual Reports to Shareholders and SEC filings, free of charge, please visit our website at https://investor.conduent.com/. Any information on or linked from the website is not incorporated by reference into this Form 10-Q.</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2022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 w:name="page4"/>
    <w:bookmarkEnd w:id="3"/>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rFonts w:ascii="Arial" w:cs="Arial" w:eastAsia="Arial" w:hAnsi="Arial"/>
          <w:sz w:val="22"/>
          <w:szCs w:val="22"/>
          <w:b w:val="1"/>
          <w:bCs w:val="1"/>
          <w:color w:val="0066CC"/>
        </w:rPr>
      </w:pPr>
      <w:hyperlink w:anchor="page3">
        <w:r>
          <w:rPr>
            <w:rFonts w:ascii="Arial" w:cs="Arial" w:eastAsia="Arial" w:hAnsi="Arial"/>
            <w:sz w:val="22"/>
            <w:szCs w:val="22"/>
            <w:b w:val="1"/>
            <w:bCs w:val="1"/>
            <w:color w:val="0066CC"/>
          </w:rPr>
          <w:t>PART I — FINANCIAL INFORMATION</w:t>
        </w:r>
      </w:hyperlink>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INCOME (LOSS) (UNAUDITED)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5"/>
          </w:tcPr>
          <w:p>
            <w:pPr>
              <w:ind w:left="24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548"/>
              <w:spacing w:after="0"/>
              <w:rPr>
                <w:sz w:val="20"/>
                <w:szCs w:val="20"/>
                <w:color w:val="auto"/>
              </w:rPr>
            </w:pPr>
            <w:r>
              <w:rPr>
                <w:rFonts w:ascii="Arial" w:cs="Arial" w:eastAsia="Arial" w:hAnsi="Arial"/>
                <w:sz w:val="14"/>
                <w:szCs w:val="14"/>
                <w:color w:val="auto"/>
              </w:rPr>
              <w:t>Six Months Ended</w:t>
            </w: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20" w:type="dxa"/>
            <w:vAlign w:val="bottom"/>
            <w:gridSpan w:val="2"/>
          </w:tcPr>
          <w:p>
            <w:pPr>
              <w:spacing w:after="0" w:line="129" w:lineRule="exact"/>
              <w:rPr>
                <w:sz w:val="20"/>
                <w:szCs w:val="20"/>
                <w:color w:val="auto"/>
              </w:rPr>
            </w:pPr>
            <w:r>
              <w:rPr>
                <w:rFonts w:ascii="Arial" w:cs="Arial" w:eastAsia="Arial" w:hAnsi="Arial"/>
                <w:sz w:val="13"/>
                <w:szCs w:val="13"/>
                <w:color w:val="auto"/>
              </w:rPr>
              <w:t>(in millions, except per share data)</w:t>
            </w:r>
          </w:p>
        </w:tc>
        <w:tc>
          <w:tcPr>
            <w:tcW w:w="240" w:type="dxa"/>
            <w:vAlign w:val="bottom"/>
          </w:tcPr>
          <w:p>
            <w:pPr>
              <w:spacing w:after="0"/>
              <w:rPr>
                <w:sz w:val="12"/>
                <w:szCs w:val="12"/>
                <w:color w:val="auto"/>
              </w:rPr>
            </w:pPr>
          </w:p>
        </w:tc>
        <w:tc>
          <w:tcPr>
            <w:tcW w:w="880" w:type="dxa"/>
            <w:vAlign w:val="bottom"/>
          </w:tcPr>
          <w:p>
            <w:pPr>
              <w:jc w:val="right"/>
              <w:ind w:right="328"/>
              <w:spacing w:after="0" w:line="129"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ind w:right="328"/>
              <w:spacing w:after="0" w:line="129"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28"/>
              <w:spacing w:after="0" w:line="129"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ind w:right="328"/>
              <w:spacing w:after="0" w:line="129" w:lineRule="exact"/>
              <w:rPr>
                <w:sz w:val="20"/>
                <w:szCs w:val="20"/>
                <w:color w:val="auto"/>
              </w:rPr>
            </w:pPr>
            <w:r>
              <w:rPr>
                <w:rFonts w:ascii="Arial" w:cs="Arial" w:eastAsia="Arial" w:hAnsi="Arial"/>
                <w:sz w:val="14"/>
                <w:szCs w:val="14"/>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2,054</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Cost of services (excluding depreciation and amortization)</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1,559</w:t>
            </w: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r>
      <w:tr>
        <w:trPr>
          <w:trHeight w:val="189"/>
        </w:trPr>
        <w:tc>
          <w:tcPr>
            <w:tcW w:w="20" w:type="dxa"/>
            <w:vAlign w:val="bottom"/>
          </w:tcPr>
          <w:p>
            <w:pPr>
              <w:spacing w:after="0"/>
              <w:rPr>
                <w:sz w:val="16"/>
                <w:szCs w:val="16"/>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r>
      <w:tr>
        <w:trPr>
          <w:trHeight w:val="189"/>
        </w:trPr>
        <w:tc>
          <w:tcPr>
            <w:tcW w:w="20" w:type="dxa"/>
            <w:vAlign w:val="bottom"/>
          </w:tcPr>
          <w:p>
            <w:pPr>
              <w:spacing w:after="0"/>
              <w:rPr>
                <w:sz w:val="16"/>
                <w:szCs w:val="16"/>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Restructuring and related costs</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89"/>
        </w:trPr>
        <w:tc>
          <w:tcPr>
            <w:tcW w:w="20" w:type="dxa"/>
            <w:vAlign w:val="bottom"/>
          </w:tcPr>
          <w:p>
            <w:pPr>
              <w:spacing w:after="0"/>
              <w:rPr>
                <w:sz w:val="16"/>
                <w:szCs w:val="16"/>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(Gain) loss on divestitures and transaction costs</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Litigation settlements (recoveries), net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20" w:type="dxa"/>
            <w:vAlign w:val="bottom"/>
          </w:tcPr>
          <w:p>
            <w:pPr>
              <w:spacing w:after="0"/>
              <w:rPr>
                <w:sz w:val="16"/>
                <w:szCs w:val="16"/>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Loss on extinguishment of debt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(income) expenses, net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20" w:type="dxa"/>
            <w:vAlign w:val="bottom"/>
            <w:tcBorders>
              <w:bottom w:val="single" w:sz="8" w:color="CCEEFF"/>
            </w:tcBorders>
          </w:tcPr>
          <w:p>
            <w:pPr>
              <w:spacing w:after="0"/>
              <w:rPr>
                <w:sz w:val="15"/>
                <w:szCs w:val="15"/>
                <w:color w:val="auto"/>
              </w:rPr>
            </w:pPr>
          </w:p>
        </w:tc>
        <w:tc>
          <w:tcPr>
            <w:tcW w:w="64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923</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1,007</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1,680</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2,044</w:t>
            </w:r>
          </w:p>
        </w:tc>
      </w:tr>
      <w:tr>
        <w:trPr>
          <w:trHeight w:val="142"/>
        </w:trPr>
        <w:tc>
          <w:tcPr>
            <w:tcW w:w="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62"/>
        </w:trPr>
        <w:tc>
          <w:tcPr>
            <w:tcW w:w="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4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6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203"/>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 per Share: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Basic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(0.02)</w:t>
            </w: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Diluted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 w:name="page5"/>
    <w:bookmarkEnd w:id="4"/>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COMPREHENSIVE INCOME (LOSS) (UNAUDITED)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ind w:left="28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240" w:type="dxa"/>
            <w:vAlign w:val="bottom"/>
            <w:gridSpan w:val="4"/>
          </w:tcPr>
          <w:p>
            <w:pPr>
              <w:jc w:val="right"/>
              <w:ind w:right="628"/>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2"/>
                <w:szCs w:val="12"/>
                <w:color w:val="auto"/>
              </w:rPr>
            </w:pPr>
          </w:p>
        </w:tc>
        <w:tc>
          <w:tcPr>
            <w:tcW w:w="920" w:type="dxa"/>
            <w:vAlign w:val="bottom"/>
          </w:tcPr>
          <w:p>
            <w:pPr>
              <w:jc w:val="right"/>
              <w:ind w:right="348"/>
              <w:spacing w:after="0" w:line="129"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ind w:right="36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388"/>
              <w:spacing w:after="0" w:line="129"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right"/>
              <w:ind w:right="368"/>
              <w:spacing w:after="0" w:line="129" w:lineRule="exact"/>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center"/>
              <w:ind w:left="468"/>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center"/>
              <w:ind w:left="6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gridSpan w:val="2"/>
          </w:tcPr>
          <w:p>
            <w:pPr>
              <w:spacing w:after="0" w:line="189" w:lineRule="exact"/>
              <w:rPr>
                <w:sz w:val="20"/>
                <w:szCs w:val="20"/>
                <w:color w:val="auto"/>
              </w:rPr>
            </w:pPr>
            <w:r>
              <w:rPr>
                <w:rFonts w:ascii="Arial" w:cs="Arial" w:eastAsia="Arial" w:hAnsi="Arial"/>
                <w:sz w:val="14"/>
                <w:szCs w:val="14"/>
                <w:b w:val="1"/>
                <w:bCs w:val="1"/>
                <w:color w:val="auto"/>
              </w:rPr>
              <w:t>Other Comprehensive Income (Loss), Net</w:t>
            </w:r>
            <w:r>
              <w:rPr>
                <w:rFonts w:ascii="Arial" w:cs="Arial" w:eastAsia="Arial" w:hAnsi="Arial"/>
                <w:sz w:val="18"/>
                <w:szCs w:val="18"/>
                <w:b w:val="1"/>
                <w:bCs w:val="1"/>
                <w:color w:val="auto"/>
                <w:vertAlign w:val="superscript"/>
              </w:rPr>
              <w:t>(1)</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translation adjustments, net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center"/>
              <w:ind w:left="54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gridSpan w:val="2"/>
          </w:tcPr>
          <w:p>
            <w:pPr>
              <w:ind w:left="200"/>
              <w:spacing w:after="0"/>
              <w:rPr>
                <w:sz w:val="20"/>
                <w:szCs w:val="20"/>
                <w:color w:val="auto"/>
              </w:rPr>
            </w:pPr>
            <w:r>
              <w:rPr>
                <w:rFonts w:ascii="Arial" w:cs="Arial" w:eastAsia="Arial" w:hAnsi="Arial"/>
                <w:sz w:val="14"/>
                <w:szCs w:val="14"/>
                <w:color w:val="auto"/>
              </w:rPr>
              <w:t>Unrecognized gains (losses), net</w:t>
            </w:r>
          </w:p>
        </w:tc>
        <w:tc>
          <w:tcPr>
            <w:tcW w:w="260" w:type="dxa"/>
            <w:vAlign w:val="bottom"/>
          </w:tcPr>
          <w:p>
            <w:pPr>
              <w:spacing w:after="0"/>
              <w:rPr>
                <w:sz w:val="16"/>
                <w:szCs w:val="16"/>
                <w:color w:val="auto"/>
              </w:rPr>
            </w:pPr>
          </w:p>
        </w:tc>
        <w:tc>
          <w:tcPr>
            <w:tcW w:w="1040" w:type="dxa"/>
            <w:vAlign w:val="bottom"/>
            <w:gridSpan w:val="2"/>
          </w:tcPr>
          <w:p>
            <w:pPr>
              <w:jc w:val="center"/>
              <w:ind w:left="46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center"/>
              <w:ind w:left="58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benefit plans, net</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center"/>
              <w:ind w:left="468"/>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61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Other Comprehensive Income (Loss), Net</w:t>
            </w: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center"/>
              <w:ind w:left="548"/>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center"/>
              <w:ind w:left="58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Comprehensive Income (Loss), Net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center"/>
              <w:ind w:left="58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6140" w:type="dxa"/>
            <w:vAlign w:val="bottom"/>
            <w:gridSpan w:val="3"/>
            <w:vMerge w:val="restart"/>
          </w:tcPr>
          <w:p>
            <w:pPr>
              <w:spacing w:after="0"/>
              <w:rPr>
                <w:sz w:val="20"/>
                <w:szCs w:val="20"/>
                <w:color w:val="auto"/>
              </w:rPr>
            </w:pPr>
            <w:r>
              <w:rPr>
                <w:rFonts w:ascii="Arial" w:cs="Arial" w:eastAsia="Arial" w:hAnsi="Arial"/>
                <w:sz w:val="14"/>
                <w:szCs w:val="14"/>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614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140" w:type="dxa"/>
            <w:vAlign w:val="bottom"/>
            <w:gridSpan w:val="3"/>
          </w:tcPr>
          <w:p>
            <w:pPr>
              <w:spacing w:after="0"/>
              <w:rPr>
                <w:sz w:val="20"/>
                <w:szCs w:val="20"/>
                <w:color w:val="auto"/>
              </w:rPr>
            </w:pPr>
            <w:r>
              <w:rPr>
                <w:rFonts w:ascii="Arial" w:cs="Arial" w:eastAsia="Arial" w:hAnsi="Arial"/>
                <w:sz w:val="14"/>
                <w:szCs w:val="14"/>
                <w:i w:val="1"/>
                <w:iCs w:val="1"/>
                <w:color w:val="auto"/>
              </w:rPr>
              <w:t>(1)  All amounts are net of tax. Tax effects were immaterial.</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 w:name="page6"/>
    <w:bookmarkEnd w:id="5"/>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BALANCE SHEETS (UNAUDITED)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620" w:type="dxa"/>
            <w:vAlign w:val="bottom"/>
            <w:gridSpan w:val="2"/>
          </w:tcPr>
          <w:p>
            <w:pPr>
              <w:spacing w:after="0"/>
              <w:rPr>
                <w:sz w:val="20"/>
                <w:szCs w:val="20"/>
                <w:color w:val="auto"/>
              </w:rPr>
            </w:pPr>
            <w:r>
              <w:rPr>
                <w:rFonts w:ascii="Arial" w:cs="Arial" w:eastAsia="Arial" w:hAnsi="Arial"/>
                <w:sz w:val="13"/>
                <w:szCs w:val="13"/>
                <w:color w:val="auto"/>
              </w:rPr>
              <w:t>(in millions, except share data in thousands)</w:t>
            </w:r>
          </w:p>
        </w:tc>
        <w:tc>
          <w:tcPr>
            <w:tcW w:w="260" w:type="dxa"/>
            <w:vAlign w:val="bottom"/>
          </w:tcPr>
          <w:p>
            <w:pPr>
              <w:spacing w:after="0"/>
              <w:rPr>
                <w:sz w:val="15"/>
                <w:szCs w:val="15"/>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color w:val="auto"/>
              </w:rPr>
              <w:t>June 30, 2022</w:t>
            </w:r>
          </w:p>
        </w:tc>
        <w:tc>
          <w:tcPr>
            <w:tcW w:w="180" w:type="dxa"/>
            <w:vAlign w:val="bottom"/>
          </w:tcPr>
          <w:p>
            <w:pPr>
              <w:spacing w:after="0"/>
              <w:rPr>
                <w:sz w:val="15"/>
                <w:szCs w:val="15"/>
                <w:color w:val="auto"/>
              </w:rPr>
            </w:pPr>
          </w:p>
        </w:tc>
        <w:tc>
          <w:tcPr>
            <w:tcW w:w="1560" w:type="dxa"/>
            <w:vAlign w:val="bottom"/>
          </w:tcPr>
          <w:p>
            <w:pPr>
              <w:jc w:val="right"/>
              <w:ind w:right="168"/>
              <w:spacing w:after="0"/>
              <w:rPr>
                <w:sz w:val="20"/>
                <w:szCs w:val="20"/>
                <w:color w:val="auto"/>
              </w:rPr>
            </w:pPr>
            <w:r>
              <w:rPr>
                <w:rFonts w:ascii="Arial" w:cs="Arial" w:eastAsia="Arial" w:hAnsi="Arial"/>
                <w:sz w:val="14"/>
                <w:szCs w:val="14"/>
                <w:color w:val="auto"/>
              </w:rPr>
              <w:t>December 31, 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Assets held for sale</w:t>
            </w:r>
          </w:p>
        </w:tc>
        <w:tc>
          <w:tcPr>
            <w:tcW w:w="26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Contract assets</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Land, buildings and equipment, net</w:t>
            </w:r>
          </w:p>
        </w:tc>
        <w:tc>
          <w:tcPr>
            <w:tcW w:w="2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Goodwill</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long-term assets</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6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portion of long-term debt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compensation and benefits costs</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Unearned income</w:t>
            </w: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 held for sale</w:t>
            </w:r>
          </w:p>
        </w:tc>
        <w:tc>
          <w:tcPr>
            <w:tcW w:w="26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current liabilities</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1,383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taxes</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liabilities</w:t>
            </w: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2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2,762</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Contingencies (See Note 12)</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A convertible preferred stock</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3,910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Retained earnings (deficit)</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Equity</w:t>
            </w:r>
          </w:p>
        </w:tc>
        <w:tc>
          <w:tcPr>
            <w:tcW w:w="2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Liabilities and Equity</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4,036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5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Shares of common stock issued and outstanding</w:t>
            </w: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215,705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215,381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series A convertible preferred stock issued and outstanding</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2022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6" w:name="page7"/>
    <w:bookmarkEnd w:id="6"/>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CASH FLOWS (UNAUDITED)</w:t>
      </w:r>
    </w:p>
    <w:p>
      <w:pPr>
        <w:spacing w:after="0" w:line="29" w:lineRule="exact"/>
        <w:rPr>
          <w:sz w:val="20"/>
          <w:szCs w:val="20"/>
          <w:color w:val="auto"/>
        </w:rPr>
      </w:pPr>
    </w:p>
    <w:p>
      <w:pPr>
        <w:ind w:left="9020"/>
        <w:spacing w:after="0"/>
        <w:rPr>
          <w:sz w:val="20"/>
          <w:szCs w:val="20"/>
          <w:color w:val="auto"/>
        </w:rPr>
      </w:pPr>
      <w:r>
        <w:rPr>
          <w:rFonts w:ascii="Arial" w:cs="Arial" w:eastAsia="Arial" w:hAnsi="Arial"/>
          <w:sz w:val="14"/>
          <w:szCs w:val="14"/>
          <w:color w:val="auto"/>
        </w:rPr>
        <w:t>Six Months Ended</w:t>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color w:val="auto"/>
              </w:rPr>
              <w:t>June 30,</w:t>
            </w:r>
          </w:p>
        </w:tc>
        <w:tc>
          <w:tcPr>
            <w:tcW w:w="11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04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340" w:type="dxa"/>
            <w:vAlign w:val="bottom"/>
          </w:tcPr>
          <w:p>
            <w:pPr>
              <w:spacing w:after="0"/>
              <w:rPr>
                <w:sz w:val="12"/>
                <w:szCs w:val="12"/>
                <w:color w:val="auto"/>
              </w:rPr>
            </w:pPr>
          </w:p>
        </w:tc>
        <w:tc>
          <w:tcPr>
            <w:tcW w:w="1180" w:type="dxa"/>
            <w:vAlign w:val="bottom"/>
          </w:tcPr>
          <w:p>
            <w:pPr>
              <w:jc w:val="right"/>
              <w:ind w:right="528"/>
              <w:spacing w:after="0" w:line="129"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jc w:val="right"/>
              <w:ind w:right="528"/>
              <w:spacing w:after="0" w:line="129" w:lineRule="exact"/>
              <w:rPr>
                <w:sz w:val="20"/>
                <w:szCs w:val="20"/>
                <w:color w:val="auto"/>
              </w:rPr>
            </w:pPr>
            <w:r>
              <w:rPr>
                <w:rFonts w:ascii="Arial" w:cs="Arial" w:eastAsia="Arial" w:hAnsi="Arial"/>
                <w:sz w:val="14"/>
                <w:szCs w:val="14"/>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Adjustments required to reconcile net income (loss) to cash flows from operating activities: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181</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Contract inducement amortization</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Amortization of debt financing costs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Loss on extinguishment of debt</w:t>
            </w:r>
          </w:p>
        </w:tc>
        <w:tc>
          <w:tcPr>
            <w:tcW w:w="3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(Gain) loss on divestitures and sales of fixed assets, net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Other current and long-term assets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Accounts payable and accrued compensation and benefits costs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Other current and long-term liabilities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89"/>
        </w:trPr>
        <w:tc>
          <w:tcPr>
            <w:tcW w:w="20" w:type="dxa"/>
            <w:vAlign w:val="bottom"/>
            <w:tcBorders>
              <w:bottom w:val="single" w:sz="8" w:color="CCEEFF"/>
            </w:tcBorders>
          </w:tcPr>
          <w:p>
            <w:pPr>
              <w:spacing w:after="0"/>
              <w:rPr>
                <w:sz w:val="16"/>
                <w:szCs w:val="16"/>
                <w:color w:val="auto"/>
              </w:rPr>
            </w:pPr>
          </w:p>
        </w:tc>
        <w:tc>
          <w:tcPr>
            <w:tcW w:w="8040" w:type="dxa"/>
            <w:vAlign w:val="bottom"/>
            <w:tcBorders>
              <w:bottom w:val="single" w:sz="8" w:color="CCEEFF"/>
            </w:tcBorders>
            <w:gridSpan w:val="2"/>
          </w:tcPr>
          <w:p>
            <w:pPr>
              <w:ind w:left="540"/>
              <w:spacing w:after="0"/>
              <w:rPr>
                <w:sz w:val="20"/>
                <w:szCs w:val="20"/>
                <w:color w:val="auto"/>
              </w:rPr>
            </w:pPr>
            <w:r>
              <w:rPr>
                <w:rFonts w:ascii="Arial" w:cs="Arial" w:eastAsia="Arial" w:hAnsi="Arial"/>
                <w:sz w:val="14"/>
                <w:szCs w:val="14"/>
                <w:color w:val="auto"/>
              </w:rPr>
              <w:t>Net change in income tax assets and liabilities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r>
      <w:tr>
        <w:trPr>
          <w:trHeight w:val="183"/>
        </w:trPr>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r>
      <w:tr>
        <w:trPr>
          <w:trHeight w:val="169"/>
        </w:trPr>
        <w:tc>
          <w:tcPr>
            <w:tcW w:w="20" w:type="dxa"/>
            <w:vAlign w:val="bottom"/>
          </w:tcPr>
          <w:p>
            <w:pPr>
              <w:spacing w:after="0"/>
              <w:rPr>
                <w:sz w:val="14"/>
                <w:szCs w:val="14"/>
                <w:color w:val="auto"/>
              </w:rPr>
            </w:pPr>
          </w:p>
        </w:tc>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Cost of additions to land, buildings and equipment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Cost of additions to internal use software</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Proceeds from divestitures</w:t>
            </w: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183"/>
        </w:trPr>
        <w:tc>
          <w:tcPr>
            <w:tcW w:w="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r>
      <w:tr>
        <w:trPr>
          <w:trHeight w:val="169"/>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Payments on revolving credit facility</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Payments on debt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Premium on debt redemption</w:t>
            </w:r>
          </w:p>
        </w:tc>
        <w:tc>
          <w:tcPr>
            <w:tcW w:w="3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Taxes paid for settlement of stock-based compensation</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20" w:type="dxa"/>
            <w:vAlign w:val="bottom"/>
            <w:tcBorders>
              <w:bottom w:val="single" w:sz="8" w:color="CCEEFF"/>
            </w:tcBorders>
          </w:tcPr>
          <w:p>
            <w:pPr>
              <w:spacing w:after="0"/>
              <w:rPr>
                <w:sz w:val="16"/>
                <w:szCs w:val="16"/>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Dividends paid on preferred stock</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83"/>
        </w:trPr>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183"/>
        </w:trPr>
        <w:tc>
          <w:tcPr>
            <w:tcW w:w="20" w:type="dxa"/>
            <w:vAlign w:val="bottom"/>
            <w:tcBorders>
              <w:bottom w:val="single" w:sz="8" w:color="CCEEFF"/>
            </w:tcBorders>
          </w:tcPr>
          <w:p>
            <w:pPr>
              <w:spacing w:after="0"/>
              <w:rPr>
                <w:sz w:val="15"/>
                <w:szCs w:val="15"/>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Increase (decrease) in cash, cash equivalents and restricted cash</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189"/>
        </w:trPr>
        <w:tc>
          <w:tcPr>
            <w:tcW w:w="20" w:type="dxa"/>
            <w:vAlign w:val="bottom"/>
            <w:tcBorders>
              <w:bottom w:val="single" w:sz="8" w:color="CCEEFF"/>
            </w:tcBorders>
          </w:tcPr>
          <w:p>
            <w:pPr>
              <w:spacing w:after="0"/>
              <w:rPr>
                <w:sz w:val="16"/>
                <w:szCs w:val="16"/>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458</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804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4"/>
                <w:szCs w:val="14"/>
                <w:b w:val="1"/>
                <w:bCs w:val="1"/>
                <w:color w:val="auto"/>
              </w:rPr>
              <w:t>Cash, Cash Equivalents and Restricted Cash at End of period</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41" w:lineRule="exact"/>
        <w:rPr>
          <w:sz w:val="20"/>
          <w:szCs w:val="20"/>
          <w:color w:val="auto"/>
        </w:rPr>
      </w:pPr>
    </w:p>
    <w:p>
      <w:pPr>
        <w:ind w:left="340" w:right="60" w:hanging="332"/>
        <w:spacing w:after="0" w:line="279" w:lineRule="auto"/>
        <w:tabs>
          <w:tab w:leader="none" w:pos="327"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$11 million and $6 million of restricted cash as of June 30, 2022 and 2021, respectively, that were included in Other current assets on their respective Condensed Consolidated Balance Sheets.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2022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7" w:name="page8"/>
    <w:bookmarkEnd w:id="7"/>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 xml:space="preserve">CONDENSED CONSOLIDATED STATEMENTS OF SHAREHOLDERS' EQUITY </w:t>
      </w:r>
      <w:r>
        <w:rPr>
          <w:rFonts w:ascii="Arial" w:cs="Arial" w:eastAsia="Arial" w:hAnsi="Arial"/>
          <w:sz w:val="18"/>
          <w:szCs w:val="18"/>
          <w:b w:val="1"/>
          <w:bCs w:val="1"/>
          <w:color w:val="1269BC"/>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center"/>
              <w:ind w:left="669"/>
              <w:spacing w:after="0"/>
              <w:rPr>
                <w:sz w:val="20"/>
                <w:szCs w:val="20"/>
                <w:color w:val="auto"/>
              </w:rPr>
            </w:pPr>
            <w:r>
              <w:rPr>
                <w:rFonts w:ascii="Arial" w:cs="Arial" w:eastAsia="Arial" w:hAnsi="Arial"/>
                <w:sz w:val="14"/>
                <w:szCs w:val="14"/>
                <w:color w:val="auto"/>
              </w:rPr>
              <w:t>Three Months Ended June 30, 2022</w:t>
            </w: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1420" w:type="dxa"/>
            <w:vAlign w:val="bottom"/>
            <w:gridSpan w:val="3"/>
          </w:tcPr>
          <w:p>
            <w:pPr>
              <w:jc w:val="center"/>
              <w:ind w:right="140"/>
              <w:spacing w:after="0" w:line="147" w:lineRule="exact"/>
              <w:rPr>
                <w:sz w:val="20"/>
                <w:szCs w:val="20"/>
                <w:color w:val="auto"/>
              </w:rPr>
            </w:pPr>
            <w:r>
              <w:rPr>
                <w:rFonts w:ascii="Arial" w:cs="Arial" w:eastAsia="Arial" w:hAnsi="Arial"/>
                <w:sz w:val="14"/>
                <w:szCs w:val="14"/>
                <w:color w:val="auto"/>
              </w:rPr>
              <w:t>Additional Paid-in</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Retained Earnings</w:t>
            </w:r>
          </w:p>
        </w:tc>
        <w:tc>
          <w:tcPr>
            <w:tcW w:w="32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(1)</w:t>
            </w:r>
          </w:p>
        </w:tc>
        <w:tc>
          <w:tcPr>
            <w:tcW w:w="160" w:type="dxa"/>
            <w:vAlign w:val="bottom"/>
          </w:tcPr>
          <w:p>
            <w:pPr>
              <w:spacing w:after="0"/>
              <w:rPr>
                <w:sz w:val="12"/>
                <w:szCs w:val="12"/>
                <w:color w:val="auto"/>
              </w:rPr>
            </w:pPr>
          </w:p>
        </w:tc>
        <w:tc>
          <w:tcPr>
            <w:tcW w:w="1160" w:type="dxa"/>
            <w:vAlign w:val="bottom"/>
          </w:tcPr>
          <w:p>
            <w:pPr>
              <w:jc w:val="center"/>
              <w:ind w:right="89"/>
              <w:spacing w:after="0" w:line="147"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10" w:lineRule="exact"/>
              <w:rPr>
                <w:sz w:val="20"/>
                <w:szCs w:val="20"/>
                <w:color w:val="auto"/>
              </w:rPr>
            </w:pPr>
            <w:r>
              <w:rPr>
                <w:rFonts w:ascii="Arial" w:cs="Arial" w:eastAsia="Arial" w:hAnsi="Arial"/>
                <w:sz w:val="12"/>
                <w:szCs w:val="12"/>
                <w:color w:val="auto"/>
              </w:rPr>
              <w:t>Capital</w:t>
            </w:r>
          </w:p>
        </w:tc>
        <w:tc>
          <w:tcPr>
            <w:tcW w:w="140" w:type="dxa"/>
            <w:vAlign w:val="bottom"/>
          </w:tcPr>
          <w:p>
            <w:pPr>
              <w:spacing w:after="0"/>
              <w:rPr>
                <w:sz w:val="11"/>
                <w:szCs w:val="11"/>
                <w:color w:val="auto"/>
              </w:rPr>
            </w:pPr>
          </w:p>
        </w:tc>
        <w:tc>
          <w:tcPr>
            <w:tcW w:w="154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(Deficit)</w:t>
            </w:r>
          </w:p>
        </w:tc>
        <w:tc>
          <w:tcPr>
            <w:tcW w:w="3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9"/>
              <w:spacing w:after="0" w:line="110"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March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Dividends - preferred stock, $20/share</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Comprehensive Income (Loss), Net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at June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3,918</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(2,220)</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left="669"/>
              <w:spacing w:after="0"/>
              <w:rPr>
                <w:sz w:val="20"/>
                <w:szCs w:val="20"/>
                <w:color w:val="auto"/>
              </w:rPr>
            </w:pPr>
            <w:r>
              <w:rPr>
                <w:rFonts w:ascii="Arial" w:cs="Arial" w:eastAsia="Arial" w:hAnsi="Arial"/>
                <w:sz w:val="14"/>
                <w:szCs w:val="14"/>
                <w:color w:val="auto"/>
              </w:rPr>
              <w:t>Three Months Ended June 30, 2021</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1420" w:type="dxa"/>
            <w:vAlign w:val="bottom"/>
            <w:gridSpan w:val="3"/>
          </w:tcPr>
          <w:p>
            <w:pPr>
              <w:jc w:val="center"/>
              <w:ind w:right="140"/>
              <w:spacing w:after="0" w:line="147" w:lineRule="exact"/>
              <w:rPr>
                <w:sz w:val="20"/>
                <w:szCs w:val="20"/>
                <w:color w:val="auto"/>
              </w:rPr>
            </w:pPr>
            <w:r>
              <w:rPr>
                <w:rFonts w:ascii="Arial" w:cs="Arial" w:eastAsia="Arial" w:hAnsi="Arial"/>
                <w:sz w:val="14"/>
                <w:szCs w:val="14"/>
                <w:color w:val="auto"/>
              </w:rPr>
              <w:t>Additional Paid-in</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Retained Earnings</w:t>
            </w:r>
          </w:p>
        </w:tc>
        <w:tc>
          <w:tcPr>
            <w:tcW w:w="32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color w:val="auto"/>
              </w:rPr>
              <w:t>AOCL</w:t>
            </w:r>
            <w:r>
              <w:rPr>
                <w:rFonts w:ascii="Arial" w:cs="Arial" w:eastAsia="Arial" w:hAnsi="Arial"/>
                <w:sz w:val="9"/>
                <w:szCs w:val="9"/>
                <w:color w:val="auto"/>
              </w:rPr>
              <w:t>(1)</w:t>
            </w:r>
          </w:p>
        </w:tc>
        <w:tc>
          <w:tcPr>
            <w:tcW w:w="160" w:type="dxa"/>
            <w:vAlign w:val="bottom"/>
          </w:tcPr>
          <w:p>
            <w:pPr>
              <w:spacing w:after="0"/>
              <w:rPr>
                <w:sz w:val="12"/>
                <w:szCs w:val="12"/>
                <w:color w:val="auto"/>
              </w:rPr>
            </w:pPr>
          </w:p>
        </w:tc>
        <w:tc>
          <w:tcPr>
            <w:tcW w:w="1160" w:type="dxa"/>
            <w:vAlign w:val="bottom"/>
          </w:tcPr>
          <w:p>
            <w:pPr>
              <w:jc w:val="center"/>
              <w:ind w:right="89"/>
              <w:spacing w:after="0" w:line="147"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10" w:lineRule="exact"/>
              <w:rPr>
                <w:sz w:val="20"/>
                <w:szCs w:val="20"/>
                <w:color w:val="auto"/>
              </w:rPr>
            </w:pPr>
            <w:r>
              <w:rPr>
                <w:rFonts w:ascii="Arial" w:cs="Arial" w:eastAsia="Arial" w:hAnsi="Arial"/>
                <w:sz w:val="12"/>
                <w:szCs w:val="12"/>
                <w:color w:val="auto"/>
              </w:rPr>
              <w:t>Capital</w:t>
            </w:r>
          </w:p>
        </w:tc>
        <w:tc>
          <w:tcPr>
            <w:tcW w:w="140" w:type="dxa"/>
            <w:vAlign w:val="bottom"/>
          </w:tcPr>
          <w:p>
            <w:pPr>
              <w:spacing w:after="0"/>
              <w:rPr>
                <w:sz w:val="11"/>
                <w:szCs w:val="11"/>
                <w:color w:val="auto"/>
              </w:rPr>
            </w:pPr>
          </w:p>
        </w:tc>
        <w:tc>
          <w:tcPr>
            <w:tcW w:w="154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(Deficit)</w:t>
            </w:r>
          </w:p>
        </w:tc>
        <w:tc>
          <w:tcPr>
            <w:tcW w:w="3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9"/>
              <w:spacing w:after="0" w:line="110"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March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Dividends - preferred stock, $20/share</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Comprehensive Income (Loss), Net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at June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(2,317)</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(407)</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left="649"/>
              <w:spacing w:after="0"/>
              <w:rPr>
                <w:sz w:val="20"/>
                <w:szCs w:val="20"/>
                <w:color w:val="auto"/>
              </w:rPr>
            </w:pPr>
            <w:r>
              <w:rPr>
                <w:rFonts w:ascii="Arial" w:cs="Arial" w:eastAsia="Arial" w:hAnsi="Arial"/>
                <w:sz w:val="14"/>
                <w:szCs w:val="14"/>
                <w:color w:val="auto"/>
              </w:rPr>
              <w:t>Six Months Ended June 30, 2022</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1420" w:type="dxa"/>
            <w:vAlign w:val="bottom"/>
            <w:gridSpan w:val="3"/>
          </w:tcPr>
          <w:p>
            <w:pPr>
              <w:jc w:val="center"/>
              <w:ind w:right="140"/>
              <w:spacing w:after="0" w:line="147" w:lineRule="exact"/>
              <w:rPr>
                <w:sz w:val="20"/>
                <w:szCs w:val="20"/>
                <w:color w:val="auto"/>
              </w:rPr>
            </w:pPr>
            <w:r>
              <w:rPr>
                <w:rFonts w:ascii="Arial" w:cs="Arial" w:eastAsia="Arial" w:hAnsi="Arial"/>
                <w:sz w:val="14"/>
                <w:szCs w:val="14"/>
                <w:color w:val="auto"/>
              </w:rPr>
              <w:t>Additional Paid-in</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Retained Earnings</w:t>
            </w:r>
          </w:p>
        </w:tc>
        <w:tc>
          <w:tcPr>
            <w:tcW w:w="32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(1)</w:t>
            </w:r>
          </w:p>
        </w:tc>
        <w:tc>
          <w:tcPr>
            <w:tcW w:w="160" w:type="dxa"/>
            <w:vAlign w:val="bottom"/>
          </w:tcPr>
          <w:p>
            <w:pPr>
              <w:spacing w:after="0"/>
              <w:rPr>
                <w:sz w:val="12"/>
                <w:szCs w:val="12"/>
                <w:color w:val="auto"/>
              </w:rPr>
            </w:pPr>
          </w:p>
        </w:tc>
        <w:tc>
          <w:tcPr>
            <w:tcW w:w="1160" w:type="dxa"/>
            <w:vAlign w:val="bottom"/>
          </w:tcPr>
          <w:p>
            <w:pPr>
              <w:jc w:val="center"/>
              <w:ind w:right="89"/>
              <w:spacing w:after="0" w:line="147"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10" w:lineRule="exact"/>
              <w:rPr>
                <w:sz w:val="20"/>
                <w:szCs w:val="20"/>
                <w:color w:val="auto"/>
              </w:rPr>
            </w:pPr>
            <w:r>
              <w:rPr>
                <w:rFonts w:ascii="Arial" w:cs="Arial" w:eastAsia="Arial" w:hAnsi="Arial"/>
                <w:sz w:val="12"/>
                <w:szCs w:val="12"/>
                <w:color w:val="auto"/>
              </w:rPr>
              <w:t>Capital</w:t>
            </w:r>
          </w:p>
        </w:tc>
        <w:tc>
          <w:tcPr>
            <w:tcW w:w="140" w:type="dxa"/>
            <w:vAlign w:val="bottom"/>
          </w:tcPr>
          <w:p>
            <w:pPr>
              <w:spacing w:after="0"/>
              <w:rPr>
                <w:sz w:val="11"/>
                <w:szCs w:val="11"/>
                <w:color w:val="auto"/>
              </w:rPr>
            </w:pPr>
          </w:p>
        </w:tc>
        <w:tc>
          <w:tcPr>
            <w:tcW w:w="154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(Deficit)</w:t>
            </w:r>
          </w:p>
        </w:tc>
        <w:tc>
          <w:tcPr>
            <w:tcW w:w="3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9"/>
              <w:spacing w:after="0" w:line="110"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Dividends - preferred stock, $40/share</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Comprehensive Income (Loss), Net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at June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3,918</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(2,220)</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left="649"/>
              <w:spacing w:after="0"/>
              <w:rPr>
                <w:sz w:val="20"/>
                <w:szCs w:val="20"/>
                <w:color w:val="auto"/>
              </w:rPr>
            </w:pPr>
            <w:r>
              <w:rPr>
                <w:rFonts w:ascii="Arial" w:cs="Arial" w:eastAsia="Arial" w:hAnsi="Arial"/>
                <w:sz w:val="14"/>
                <w:szCs w:val="14"/>
                <w:color w:val="auto"/>
              </w:rPr>
              <w:t>Six Months Ended June 30, 2021</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1420" w:type="dxa"/>
            <w:vAlign w:val="bottom"/>
            <w:gridSpan w:val="3"/>
          </w:tcPr>
          <w:p>
            <w:pPr>
              <w:jc w:val="center"/>
              <w:ind w:right="140"/>
              <w:spacing w:after="0" w:line="147" w:lineRule="exact"/>
              <w:rPr>
                <w:sz w:val="20"/>
                <w:szCs w:val="20"/>
                <w:color w:val="auto"/>
              </w:rPr>
            </w:pPr>
            <w:r>
              <w:rPr>
                <w:rFonts w:ascii="Arial" w:cs="Arial" w:eastAsia="Arial" w:hAnsi="Arial"/>
                <w:sz w:val="14"/>
                <w:szCs w:val="14"/>
                <w:color w:val="auto"/>
              </w:rPr>
              <w:t>Additional Paid-in</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Retained Earnings</w:t>
            </w:r>
          </w:p>
        </w:tc>
        <w:tc>
          <w:tcPr>
            <w:tcW w:w="32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(1)</w:t>
            </w:r>
          </w:p>
        </w:tc>
        <w:tc>
          <w:tcPr>
            <w:tcW w:w="160" w:type="dxa"/>
            <w:vAlign w:val="bottom"/>
          </w:tcPr>
          <w:p>
            <w:pPr>
              <w:spacing w:after="0"/>
              <w:rPr>
                <w:sz w:val="12"/>
                <w:szCs w:val="12"/>
                <w:color w:val="auto"/>
              </w:rPr>
            </w:pPr>
          </w:p>
        </w:tc>
        <w:tc>
          <w:tcPr>
            <w:tcW w:w="1160" w:type="dxa"/>
            <w:vAlign w:val="bottom"/>
          </w:tcPr>
          <w:p>
            <w:pPr>
              <w:jc w:val="center"/>
              <w:ind w:right="89"/>
              <w:spacing w:after="0" w:line="147"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10" w:lineRule="exact"/>
              <w:rPr>
                <w:sz w:val="20"/>
                <w:szCs w:val="20"/>
                <w:color w:val="auto"/>
              </w:rPr>
            </w:pPr>
            <w:r>
              <w:rPr>
                <w:rFonts w:ascii="Arial" w:cs="Arial" w:eastAsia="Arial" w:hAnsi="Arial"/>
                <w:sz w:val="12"/>
                <w:szCs w:val="12"/>
                <w:color w:val="auto"/>
              </w:rPr>
              <w:t>Capital</w:t>
            </w:r>
          </w:p>
        </w:tc>
        <w:tc>
          <w:tcPr>
            <w:tcW w:w="140" w:type="dxa"/>
            <w:vAlign w:val="bottom"/>
          </w:tcPr>
          <w:p>
            <w:pPr>
              <w:spacing w:after="0"/>
              <w:rPr>
                <w:sz w:val="11"/>
                <w:szCs w:val="11"/>
                <w:color w:val="auto"/>
              </w:rPr>
            </w:pPr>
          </w:p>
        </w:tc>
        <w:tc>
          <w:tcPr>
            <w:tcW w:w="154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(Deficit)</w:t>
            </w:r>
          </w:p>
        </w:tc>
        <w:tc>
          <w:tcPr>
            <w:tcW w:w="3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9"/>
              <w:spacing w:after="0" w:line="110"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Dividends - preferred stock, $40/share</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Comprehensive Income (Loss), Net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at June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(2,317)</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(407)</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41" w:lineRule="exact"/>
        <w:rPr>
          <w:sz w:val="20"/>
          <w:szCs w:val="20"/>
          <w:color w:val="auto"/>
        </w:rPr>
      </w:pPr>
    </w:p>
    <w:p>
      <w:pPr>
        <w:ind w:left="2380" w:right="2060" w:hanging="2372"/>
        <w:spacing w:after="0" w:line="664" w:lineRule="auto"/>
        <w:tabs>
          <w:tab w:leader="none" w:pos="318"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AOCL - Accumulated other comprehensive loss. Refer to Note 11 – Accumulated Other Comprehensive Loss for the components of AOCL. The accompanying notes are an integral part of these Condensed Consolidated Financial Statements.</w:t>
      </w:r>
    </w:p>
    <w:p>
      <w:pPr>
        <w:spacing w:after="0" w:line="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 w:name="page9"/>
    <w:bookmarkEnd w:id="8"/>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 – Basis of Presentation</w:t>
      </w:r>
    </w:p>
    <w:p>
      <w:pPr>
        <w:spacing w:after="0" w:line="18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References herein to “we,” “us,” “our,” the “Company” and “Conduent” refer to Conduent Incorporated and its consolidated subsidiaries unless the context suggests otherwise.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Description of Business</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one of the largest diversified business process services companies in the world, Conduent delivers mission-critical solutions and services on behalf of businesses and governments – creating exceptional outcomes for its clients and the millions of people who count on them. Through its dedicated people, processes and technologies, Conduent's services and solutions enhance customer experience, increase efficiencies, reduce costs and improve performance for most Fortune 100 companies and more than 500 government entities.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Basis of Presentation</w:t>
      </w:r>
    </w:p>
    <w:p>
      <w:pPr>
        <w:spacing w:after="0" w:line="19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unaudited interim Condensed Consolidated Financial Statements have been prepared in accordance with accounting principles generally accepted in the United States of America (U.S. GAAP) on a basis consistent with reporting interim financial information in accordance with instructions to Form 10-Q and Article 10 of Regulation S-X of the Securities and Exchange Commission (SEC). Accordingly, they do not include all of the information and notes required by U.S. GAAP for complete financial statements. The year-end Condensed Consolidated Balance Sheet was derived from the audited Consolidated Financial Statements included in the Company's Annual Report on Form 10-K for the year ended December 31, 2021. Certain reclassifications have been made to prior year information to conform to current year presentation. Intercompany balances and transactions have been eliminated. In the opinion of management, all adjustments necessary for a fair statement of the financial position, results of operations and cash flows have been made. These adjustments consist of normal recurring items. The interim results of operations are not necessarily indicative of the results of the full year. These financial statements should be read in conjunction with the Company’s Consolidated Financial Statements included in the Company’s Annual Report on Form 10-K for the year ended December 31,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August 2, 2022 and no material subsequent events were identified.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Use of Estimates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Preparation of financial statements in conformity with U.S. GAAP requires the Company to make estimates and assumptions that affect the amounts reported and disclosed in the financial statements and the accompanying notes. Actual results could differ materially from these estimates. On an ongoing basis, the Company evaluates its estimates, including those related to fair values of financial instruments, goodwill and intangible assets, income taxes and contingent liabilities, among others. The Company bases its estimates on assumptions, both historical and forward looking, that are believed to be reasonable, the results of which form the basis for making judgments about the carrying values of assets and liabilities.</w:t>
      </w:r>
    </w:p>
    <w:p>
      <w:pPr>
        <w:spacing w:after="0" w:line="154" w:lineRule="exact"/>
        <w:rPr>
          <w:sz w:val="20"/>
          <w:szCs w:val="20"/>
          <w:color w:val="auto"/>
        </w:rPr>
      </w:pPr>
    </w:p>
    <w:p>
      <w:pPr>
        <w:jc w:val="both"/>
        <w:ind w:right="240"/>
        <w:spacing w:after="0" w:line="254" w:lineRule="auto"/>
        <w:rPr>
          <w:sz w:val="20"/>
          <w:szCs w:val="20"/>
          <w:color w:val="auto"/>
        </w:rPr>
      </w:pPr>
      <w:r>
        <w:rPr>
          <w:rFonts w:ascii="Arial" w:cs="Arial" w:eastAsia="Arial" w:hAnsi="Arial"/>
          <w:sz w:val="18"/>
          <w:szCs w:val="18"/>
          <w:color w:val="auto"/>
        </w:rPr>
        <w:t>Although as of June 30, 2022, many government-imposed restrictions have been lightened or removed, the future impact of the COVID-19 pandemic continues to be highly uncertain. As a result, many of the Company's estimates and assumptions continue to require increased judgment and carry a higher degree of variability and volatility. As events continue to evolve and additional information becomes available, the Company's estimates may change materially in the future.</w:t>
      </w:r>
    </w:p>
    <w:p>
      <w:pPr>
        <w:spacing w:after="0" w:line="200" w:lineRule="exact"/>
        <w:rPr>
          <w:sz w:val="20"/>
          <w:szCs w:val="20"/>
          <w:color w:val="auto"/>
        </w:rPr>
      </w:pPr>
    </w:p>
    <w:p>
      <w:pPr>
        <w:spacing w:after="0" w:line="36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 w:name="page10"/>
    <w:bookmarkEnd w:id="9"/>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Contingencies and Litigation</w:t>
      </w:r>
    </w:p>
    <w:p>
      <w:pPr>
        <w:spacing w:after="0" w:line="19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Company is currently involved in various claims and legal proceedings. At least quarterly, it reviews the status of each significant matter and assesses its potential financial exposure considering all available information including, but not limited to, the impact of negotiations, settlements, rulings, advice of legal counsel and other updated information and events pertaining to a particular matter. If the potential loss from any claim or legal proceeding is considered probable and the amount can be reasonably estimated, the Company accrues a liability for the estimated loss. The estimated losses are recorded within Litigation settlements (recoveries), net in the Company's income statement.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 These revisions in the estimates of the potential liabilities could have a material impact on the results of operations and financial position. The Company's policy is to expense legal defense costs related to such matters as incurred. These costs are recorded within Selling, general and administrative expenses in the Company's income statement. Any insurance recoveries for litigation settlements and defense costs are recorded when such recoveries are deemed probable and collectability is reasonably assured. Such recoveries are recorded in the same financial statement line as the related costs to which the recoveries relate.</w:t>
      </w:r>
    </w:p>
    <w:p>
      <w:pPr>
        <w:spacing w:after="0" w:line="15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Refer to Note 12 – Contingencies and Litigation to the Condensed Consolidated Financial Statements for additional information regarding loss contingencies.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Goodwill</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For acquired businesses, the Company records the acquired assets and assumed liabilities based on their relative fair values at the date of acquisitions (commonly referred to as the purchase price allocation). Goodwill represents the excess of the purchase price paid in excess of the fair value of net tangible and intangible assets acquired. For the Company’s business acquisitions, the purchase price is allocated to identifiable intangible assets separate from goodwill if they are from contractual or other legal rights, or if they could be separated from the acquired business and sold, transferred, licensed, rented or exchanged.</w:t>
      </w:r>
    </w:p>
    <w:p>
      <w:pPr>
        <w:spacing w:after="0" w:line="15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Company tests goodwill for impairment annually or more frequently if an event or change in circumstances indicate the asset may be impaired. Impairment testing for goodwill is done at the reporting unit level.</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of January 1, 2022, the Company underwent an internal reorganization in its Commercial reportable segment resulting in the previous four Commercial operating segments being combined into one single operating segment and reporting unit, led by a single segment manager.</w:t>
      </w:r>
    </w:p>
    <w:p>
      <w:pPr>
        <w:spacing w:after="0" w:line="144"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Company considered the reorganization in the first quarter of 2022 a triggering event and performed an interim qualitative goodwill impairment assessment of the reporting units before and after the reorganization and concluded no impairment existed at the time of the change.</w:t>
      </w:r>
    </w:p>
    <w:p>
      <w:pPr>
        <w:spacing w:after="0" w:line="14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Additionally, as part of the reorganization in the first quarter of 2022, certain clients were reassigned from the Government Services reportable segment to the Commercial reportable segment (refer to Note 4 – Segment Reporting to the Condensed Consolidated Financial Statements for additional information). This change resulted in less than 1% of goodwill being reallocated between the reporting units within the two reportable segments.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2 – Recent Accounting Pronouncements</w:t>
      </w:r>
    </w:p>
    <w:p>
      <w:pPr>
        <w:spacing w:after="0" w:line="184"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The Company's significant accounting policies are described in Note 1–Basis of Presentation and Summary of Significant Accounting Policies in the Company's Annual Report on Form 10-K for the year ended December 31,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Adopted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adopted any new accounting standards in 2022 that had a material impact on its Consolidated Financial Statements.</w:t>
      </w:r>
    </w:p>
    <w:p>
      <w:pPr>
        <w:spacing w:after="0" w:line="200" w:lineRule="exact"/>
        <w:rPr>
          <w:sz w:val="20"/>
          <w:szCs w:val="20"/>
          <w:color w:val="auto"/>
        </w:rPr>
      </w:pPr>
    </w:p>
    <w:p>
      <w:pPr>
        <w:spacing w:after="0" w:line="38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0" w:name="page11"/>
    <w:bookmarkEnd w:id="10"/>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To Be Adopted</w:t>
      </w:r>
    </w:p>
    <w:p>
      <w:pPr>
        <w:spacing w:after="0" w:line="19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Company has considered all recent accounting standards issued, but not yet effective, and does not expect any to have a material impact on its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3 –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During the first quarter of 2022, certain clients were reclassified from the Government Services segment to the Commercial segment. Additionally, revenue for the Midas business divested in the first quarter of 2022 has been reclassified from the Commercial segment to the Divestitures segment. These changes have no impact on the timing of revenue recognition. All prior periods presented have been revised to reflect these changes.</w:t>
      </w:r>
    </w:p>
    <w:p>
      <w:pPr>
        <w:spacing w:after="0" w:line="15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following table provides information about disaggregated revenue by major service offering, the timing of revenue recognition and a reconciliation of the disaggregated revenue by reportable segment. Refer to Note 4 – Segment Reporting for additional information on the Company's reportable segments.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ind w:left="30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240" w:type="dxa"/>
            <w:vAlign w:val="bottom"/>
            <w:gridSpan w:val="4"/>
          </w:tcPr>
          <w:p>
            <w:pPr>
              <w:jc w:val="right"/>
              <w:ind w:right="628"/>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2"/>
                <w:szCs w:val="12"/>
                <w:color w:val="auto"/>
              </w:rPr>
            </w:pPr>
          </w:p>
        </w:tc>
        <w:tc>
          <w:tcPr>
            <w:tcW w:w="940" w:type="dxa"/>
            <w:vAlign w:val="bottom"/>
          </w:tcPr>
          <w:p>
            <w:pPr>
              <w:jc w:val="right"/>
              <w:ind w:right="368"/>
              <w:spacing w:after="0" w:line="129"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ind w:right="36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388"/>
              <w:spacing w:after="0" w:line="129"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right"/>
              <w:ind w:right="368"/>
              <w:spacing w:after="0" w:line="129" w:lineRule="exact"/>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6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Commercial:</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Customer experience management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2"/>
          </w:tcPr>
          <w:p>
            <w:pPr>
              <w:ind w:left="120"/>
              <w:spacing w:after="0"/>
              <w:rPr>
                <w:sz w:val="20"/>
                <w:szCs w:val="20"/>
                <w:color w:val="auto"/>
              </w:rPr>
            </w:pPr>
            <w:r>
              <w:rPr>
                <w:rFonts w:ascii="Arial" w:cs="Arial" w:eastAsia="Arial" w:hAnsi="Arial"/>
                <w:sz w:val="14"/>
                <w:szCs w:val="14"/>
                <w:color w:val="auto"/>
              </w:rPr>
              <w:t>Business operations solutions</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healthcare solutions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6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Human resource and learning services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Commercial</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982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Government Services: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Government healthcare solutions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6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Government services solutions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Government Services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Roadway charging &amp; management services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2"/>
          </w:tcPr>
          <w:p>
            <w:pPr>
              <w:ind w:left="120"/>
              <w:spacing w:after="0"/>
              <w:rPr>
                <w:sz w:val="20"/>
                <w:szCs w:val="20"/>
                <w:color w:val="auto"/>
              </w:rPr>
            </w:pPr>
            <w:r>
              <w:rPr>
                <w:rFonts w:ascii="Arial" w:cs="Arial" w:eastAsia="Arial" w:hAnsi="Arial"/>
                <w:sz w:val="14"/>
                <w:szCs w:val="14"/>
                <w:color w:val="auto"/>
              </w:rPr>
              <w:t>Transit solutions</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Curbside management solutions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2"/>
          </w:tcPr>
          <w:p>
            <w:pPr>
              <w:ind w:left="120"/>
              <w:spacing w:after="0"/>
              <w:rPr>
                <w:sz w:val="20"/>
                <w:szCs w:val="20"/>
                <w:color w:val="auto"/>
              </w:rPr>
            </w:pPr>
            <w:r>
              <w:rPr>
                <w:rFonts w:ascii="Arial" w:cs="Arial" w:eastAsia="Arial" w:hAnsi="Arial"/>
                <w:sz w:val="14"/>
                <w:szCs w:val="14"/>
                <w:color w:val="auto"/>
              </w:rPr>
              <w:t>Public safety solutions</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vehicles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61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Transportation</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Divestitures</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Total Consolidated Revenue</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928</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1,026</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1,895</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Timing of Revenue Recognition:</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Point in time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61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Over time</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1,997</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Revenue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1,895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Unearned income includes payments received in advance of performance under the contract, which are realized when the associated revenue is recognized under the contract.</w:t>
      </w:r>
    </w:p>
    <w:p>
      <w:pPr>
        <w:spacing w:after="0" w:line="200" w:lineRule="exact"/>
        <w:rPr>
          <w:sz w:val="20"/>
          <w:szCs w:val="20"/>
          <w:color w:val="auto"/>
        </w:rPr>
      </w:pPr>
    </w:p>
    <w:p>
      <w:pPr>
        <w:spacing w:after="0" w:line="37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1" w:name="page12"/>
    <w:bookmarkEnd w:id="11"/>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following table provides information about the balances of the Company's contract assets, unearned income and receivables from contracts with customers:</w:t>
      </w: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7520" w:type="dxa"/>
            <w:vAlign w:val="bottom"/>
            <w:gridSpan w:val="2"/>
          </w:tcPr>
          <w:p>
            <w:pPr>
              <w:spacing w:after="0" w:line="138" w:lineRule="exact"/>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3"/>
                <w:szCs w:val="13"/>
                <w:color w:val="auto"/>
              </w:rPr>
            </w:pPr>
          </w:p>
        </w:tc>
        <w:tc>
          <w:tcPr>
            <w:tcW w:w="162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June 30, 2022</w:t>
            </w:r>
          </w:p>
        </w:tc>
        <w:tc>
          <w:tcPr>
            <w:tcW w:w="180" w:type="dxa"/>
            <w:vAlign w:val="bottom"/>
          </w:tcPr>
          <w:p>
            <w:pPr>
              <w:spacing w:after="0"/>
              <w:rPr>
                <w:sz w:val="13"/>
                <w:szCs w:val="13"/>
                <w:color w:val="auto"/>
              </w:rPr>
            </w:pPr>
          </w:p>
        </w:tc>
        <w:tc>
          <w:tcPr>
            <w:tcW w:w="1600" w:type="dxa"/>
            <w:vAlign w:val="bottom"/>
          </w:tcPr>
          <w:p>
            <w:pPr>
              <w:jc w:val="right"/>
              <w:ind w:right="188"/>
              <w:spacing w:after="0" w:line="138" w:lineRule="exact"/>
              <w:rPr>
                <w:sz w:val="20"/>
                <w:szCs w:val="20"/>
                <w:color w:val="auto"/>
              </w:rPr>
            </w:pPr>
            <w:r>
              <w:rPr>
                <w:rFonts w:ascii="Arial" w:cs="Arial" w:eastAsia="Arial" w:hAnsi="Arial"/>
                <w:sz w:val="14"/>
                <w:szCs w:val="14"/>
                <w:color w:val="auto"/>
              </w:rPr>
              <w:t>December 31, 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7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 Assets (Unearned Income)</w:t>
            </w: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75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contract assets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520" w:type="dxa"/>
            <w:vAlign w:val="bottom"/>
            <w:gridSpan w:val="2"/>
          </w:tcPr>
          <w:p>
            <w:pPr>
              <w:spacing w:after="0" w:line="189" w:lineRule="exact"/>
              <w:rPr>
                <w:sz w:val="20"/>
                <w:szCs w:val="20"/>
                <w:color w:val="auto"/>
              </w:rPr>
            </w:pPr>
            <w:r>
              <w:rPr>
                <w:rFonts w:ascii="Arial" w:cs="Arial" w:eastAsia="Arial" w:hAnsi="Arial"/>
                <w:sz w:val="14"/>
                <w:szCs w:val="14"/>
                <w:color w:val="auto"/>
              </w:rPr>
              <w:t>Long-term contract assets</w:t>
            </w:r>
            <w:r>
              <w:rPr>
                <w:rFonts w:ascii="Arial" w:cs="Arial" w:eastAsia="Arial" w:hAnsi="Arial"/>
                <w:sz w:val="18"/>
                <w:szCs w:val="18"/>
                <w:color w:val="auto"/>
                <w:vertAlign w:val="superscript"/>
              </w:rPr>
              <w:t>(1)</w:t>
            </w:r>
          </w:p>
        </w:tc>
        <w:tc>
          <w:tcPr>
            <w:tcW w:w="2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unearned income</w:t>
            </w: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5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4"/>
                <w:szCs w:val="14"/>
                <w:color w:val="auto"/>
              </w:rPr>
              <w:t>Long-term unearned income</w:t>
            </w:r>
            <w:r>
              <w:rPr>
                <w:rFonts w:ascii="Arial" w:cs="Arial" w:eastAsia="Arial" w:hAnsi="Arial"/>
                <w:sz w:val="18"/>
                <w:szCs w:val="18"/>
                <w:color w:val="auto"/>
                <w:vertAlign w:val="superscript"/>
              </w:rPr>
              <w:t>(2)</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Contract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 w:type="dxa"/>
            <w:vAlign w:val="bottom"/>
          </w:tcPr>
          <w:p>
            <w:pPr>
              <w:spacing w:after="0"/>
              <w:rPr>
                <w:sz w:val="14"/>
                <w:szCs w:val="14"/>
                <w:color w:val="auto"/>
              </w:rPr>
            </w:pPr>
          </w:p>
        </w:tc>
        <w:tc>
          <w:tcPr>
            <w:tcW w:w="752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257"/>
        </w:trPr>
        <w:tc>
          <w:tcPr>
            <w:tcW w:w="7560" w:type="dxa"/>
            <w:vAlign w:val="bottom"/>
            <w:gridSpan w:val="3"/>
          </w:tcPr>
          <w:p>
            <w:pPr>
              <w:jc w:val="right"/>
              <w:ind w:right="6760"/>
              <w:spacing w:after="0"/>
              <w:rPr>
                <w:sz w:val="20"/>
                <w:szCs w:val="20"/>
                <w:color w:val="auto"/>
              </w:rPr>
            </w:pPr>
            <w:r>
              <w:rPr>
                <w:rFonts w:ascii="Arial" w:cs="Arial" w:eastAsia="Arial" w:hAnsi="Arial"/>
                <w:sz w:val="14"/>
                <w:szCs w:val="14"/>
                <w:color w:val="auto"/>
              </w:rPr>
              <w:t>__________</w:t>
            </w: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assets in the Condensed Consolidated Balance Sheets.</w:t>
      </w:r>
    </w:p>
    <w:p>
      <w:pPr>
        <w:spacing w:after="0" w:line="55" w:lineRule="exact"/>
        <w:rPr>
          <w:rFonts w:ascii="Arial" w:cs="Arial" w:eastAsia="Arial" w:hAnsi="Arial"/>
          <w:sz w:val="14"/>
          <w:szCs w:val="14"/>
          <w:i w:val="1"/>
          <w:iCs w:val="1"/>
          <w:color w:val="auto"/>
        </w:rPr>
      </w:pPr>
    </w:p>
    <w:p>
      <w:pPr>
        <w:ind w:left="320" w:hanging="312"/>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liabilities in the Condensed Consolidated Balance Sheets.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Revenues of $18 million and $53 million were recognized during the three and six months ended June 30, 2022, respectively, related to the Company's unearned income at December 31, 2021. Additionally, the Company recognized $7 million of revenue related to the unearned income of the divested Midas business for the six months ended June 30, 2022. Such amount was included in Liabilities Held for Sale on the December 31, 2021 consolidated balance sheet.</w:t>
      </w:r>
    </w:p>
    <w:p>
      <w:pPr>
        <w:spacing w:after="0" w:line="15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Revenues of $30 million and $88 million were recognized during the three and six months ended June 30, 2021 related to the Company's unearned income at December 31, 2020.</w:t>
      </w:r>
    </w:p>
    <w:p>
      <w:pPr>
        <w:spacing w:after="0" w:line="14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Company had no material asset impairment charges related to contract assets for the three and six months ended June 30, 2022 or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193"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Estimated revenue expected to be recognized in the future related to performance obligations that are unsatisfied or partially satisfied at June 30, 2022 was approximately $1.0 billion. The Company expects to recognize approximately 73% of this revenue over the next two years and the remainder thereafter.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4 – Segment Reporting</w:t>
      </w:r>
    </w:p>
    <w:p>
      <w:pPr>
        <w:spacing w:after="0" w:line="184"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Company's reportable segments correspond to how it organizes and manages the business, as defined by the Company's Chief Executive Officer, who is also the Company's Chief Operating Decision Maker (CODM). The Company's segments involve the delivery of business process services and include service arrangements where it manages a customer's business activity or process.</w:t>
      </w:r>
    </w:p>
    <w:p>
      <w:pPr>
        <w:spacing w:after="0" w:line="14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the first quarter of 2022, the Company realigned certain clients between reportable segments to reflect how the Company currently manages its business. Certain clients were reclassified from the Government Services reportable segment to the Commercial reportable segment to align with a product view of the business. Additionally, in the first quarter of 2022, in order to provide greater visibility into the profitability of the Company's segments, certain real estate costs that were previously included in Unallocated Costs have been allocated to each of the reportable segments.</w:t>
      </w:r>
    </w:p>
    <w:p>
      <w:pPr>
        <w:spacing w:after="0" w:line="15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As described in Note 5 – Assets/Liabilities Held for Sale and Divestiture, the Company sold its Midas Suite of patient safety, quality and advanced analytics solutions to a third party in the first quarter of 2022. Accordingly, the results of this disposed business, which had previously been reported in the Commercial segment have been reclassified to the Divestitures segment. All prior periods presented have been recast to reflect these changes.</w:t>
      </w:r>
    </w:p>
    <w:p>
      <w:pPr>
        <w:spacing w:after="0" w:line="150"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The Company's financial performance is based on Segment Profit/(Loss) for its three reportable segments (Commercial, Government Services and Transportation), Divestitures and Unallocated Costs. The Company's CODM does not evaluate operating segments using discrete asset information.</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2022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2" w:name="page13"/>
    <w:bookmarkEnd w:id="12"/>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color w:val="0066CC"/>
        </w:rPr>
        <w:t xml:space="preserve">Commercial: </w:t>
      </w:r>
      <w:r>
        <w:rPr>
          <w:rFonts w:ascii="Arial" w:cs="Arial" w:eastAsia="Arial" w:hAnsi="Arial"/>
          <w:sz w:val="18"/>
          <w:szCs w:val="18"/>
          <w:color w:val="000000"/>
        </w:rPr>
        <w:t>The Commercial segment provides business process services and customized solutions to clients in a variety of industries.</w:t>
      </w:r>
      <w:r>
        <w:rPr>
          <w:rFonts w:ascii="Arial" w:cs="Arial" w:eastAsia="Arial" w:hAnsi="Arial"/>
          <w:sz w:val="18"/>
          <w:szCs w:val="18"/>
          <w:b w:val="1"/>
          <w:bCs w:val="1"/>
          <w:color w:val="0066CC"/>
        </w:rPr>
        <w:t xml:space="preserve"> </w:t>
      </w:r>
      <w:r>
        <w:rPr>
          <w:rFonts w:ascii="Arial" w:cs="Arial" w:eastAsia="Arial" w:hAnsi="Arial"/>
          <w:sz w:val="18"/>
          <w:szCs w:val="18"/>
          <w:color w:val="000000"/>
        </w:rPr>
        <w:t>Across the Commercial segment, the Company operates on its clients’ behalf to deliver mission-critical solutions and services to reduce costs, improve efficiencies and enable revenue growth for the Company's clients and their consumers and employees.</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color w:val="0066CC"/>
        </w:rPr>
        <w:t xml:space="preserve">Government Services: </w:t>
      </w:r>
      <w:r>
        <w:rPr>
          <w:rFonts w:ascii="Arial" w:cs="Arial" w:eastAsia="Arial" w:hAnsi="Arial"/>
          <w:sz w:val="18"/>
          <w:szCs w:val="18"/>
          <w:color w:val="000000"/>
        </w:rPr>
        <w:t>The Government Services segment provides government-centric business process services to U.S. federal, state</w:t>
      </w:r>
      <w:r>
        <w:rPr>
          <w:rFonts w:ascii="Arial" w:cs="Arial" w:eastAsia="Arial" w:hAnsi="Arial"/>
          <w:sz w:val="18"/>
          <w:szCs w:val="18"/>
          <w:b w:val="1"/>
          <w:bCs w:val="1"/>
          <w:color w:val="0066CC"/>
        </w:rPr>
        <w:t xml:space="preserve"> </w:t>
      </w:r>
      <w:r>
        <w:rPr>
          <w:rFonts w:ascii="Arial" w:cs="Arial" w:eastAsia="Arial" w:hAnsi="Arial"/>
          <w:sz w:val="18"/>
          <w:szCs w:val="18"/>
          <w:color w:val="000000"/>
        </w:rPr>
        <w:t>and local and foreign governments for public assistance program administration, transaction processing and payment services. The solutions in this segment help governments respond to changing rules for eligibility and increasing citizen expectations.</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0066CC"/>
        </w:rPr>
        <w:t xml:space="preserve">Transportation: </w:t>
      </w:r>
      <w:r>
        <w:rPr>
          <w:rFonts w:ascii="Arial" w:cs="Arial" w:eastAsia="Arial" w:hAnsi="Arial"/>
          <w:sz w:val="18"/>
          <w:szCs w:val="18"/>
          <w:color w:val="000000"/>
        </w:rPr>
        <w:t>The Transportation segment provides systems and support, as well as revenue-generating services, to government clients.</w:t>
      </w:r>
      <w:r>
        <w:rPr>
          <w:rFonts w:ascii="Arial" w:cs="Arial" w:eastAsia="Arial" w:hAnsi="Arial"/>
          <w:sz w:val="18"/>
          <w:szCs w:val="18"/>
          <w:b w:val="1"/>
          <w:bCs w:val="1"/>
          <w:color w:val="0066CC"/>
        </w:rPr>
        <w:t xml:space="preserve"> </w:t>
      </w:r>
      <w:r>
        <w:rPr>
          <w:rFonts w:ascii="Arial" w:cs="Arial" w:eastAsia="Arial" w:hAnsi="Arial"/>
          <w:sz w:val="18"/>
          <w:szCs w:val="18"/>
          <w:color w:val="000000"/>
        </w:rPr>
        <w:t>On behalf of government agencies and authorities in the transportation industry, the Company delivers mission-critical mobility and payment solutions that improve automation, interoperability and decision-making to streamline operations, increase revenue and reduce congestion while creating safer communities and seamless travel experiences for consumers.</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Divestitures includes the Company's Midas Suite of patient safety, quality and advanced analytics solutions which it sold to a third party in the first quarter of 2022. Refer to Note 5 – Assets/Liabilities Held for Sale and Divestiture for additional information.</w:t>
      </w:r>
    </w:p>
    <w:p>
      <w:pPr>
        <w:spacing w:after="0" w:line="14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the reportable segments.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Company's reportable segments was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4"/>
                <w:szCs w:val="14"/>
                <w:color w:val="auto"/>
              </w:rPr>
              <w:t>Three Months Ended</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708"/>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rPr>
              <w:t>Government</w:t>
            </w:r>
          </w:p>
        </w:tc>
        <w:tc>
          <w:tcPr>
            <w:tcW w:w="12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color w:val="auto"/>
              </w:rPr>
              <w:t>Transportation</w:t>
            </w:r>
          </w:p>
        </w:tc>
        <w:tc>
          <w:tcPr>
            <w:tcW w:w="16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color w:val="auto"/>
              </w:rPr>
              <w:t>Divestitures</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color w:val="auto"/>
              </w:rPr>
              <w:t>Unallocated Costs</w:t>
            </w:r>
          </w:p>
        </w:tc>
        <w:tc>
          <w:tcPr>
            <w:tcW w:w="260" w:type="dxa"/>
            <w:vAlign w:val="bottom"/>
          </w:tcPr>
          <w:p>
            <w:pPr>
              <w:spacing w:after="0"/>
              <w:rPr>
                <w:sz w:val="12"/>
                <w:szCs w:val="12"/>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color w:val="auto"/>
              </w:rPr>
              <w:t>Services</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7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928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4"/>
                <w:szCs w:val="14"/>
                <w:color w:val="auto"/>
              </w:rPr>
              <w:t>Six Months Ended</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708"/>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rPr>
              <w:t>Government</w:t>
            </w:r>
          </w:p>
        </w:tc>
        <w:tc>
          <w:tcPr>
            <w:tcW w:w="12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color w:val="auto"/>
              </w:rPr>
              <w:t>Transportation</w:t>
            </w:r>
          </w:p>
        </w:tc>
        <w:tc>
          <w:tcPr>
            <w:tcW w:w="16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color w:val="auto"/>
              </w:rPr>
              <w:t>Divestitures</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color w:val="auto"/>
              </w:rPr>
              <w:t>Unallocated Costs</w:t>
            </w:r>
          </w:p>
        </w:tc>
        <w:tc>
          <w:tcPr>
            <w:tcW w:w="260" w:type="dxa"/>
            <w:vAlign w:val="bottom"/>
          </w:tcPr>
          <w:p>
            <w:pPr>
              <w:spacing w:after="0"/>
              <w:rPr>
                <w:sz w:val="12"/>
                <w:szCs w:val="12"/>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color w:val="auto"/>
              </w:rPr>
              <w:t>Services</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7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982</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1,895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3"/>
                <w:szCs w:val="23"/>
                <w:color w:val="auto"/>
              </w:rPr>
            </w:pPr>
          </w:p>
        </w:tc>
        <w:tc>
          <w:tcPr>
            <w:tcW w:w="2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650</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5"/>
                <w:szCs w:val="15"/>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2,054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3" w:name="page14"/>
    <w:bookmarkEnd w:id="13"/>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140" w:type="dxa"/>
            <w:vAlign w:val="bottom"/>
            <w:gridSpan w:val="4"/>
          </w:tcPr>
          <w:p>
            <w:pPr>
              <w:jc w:val="right"/>
              <w:ind w:right="188"/>
              <w:spacing w:after="0"/>
              <w:rPr>
                <w:sz w:val="20"/>
                <w:szCs w:val="20"/>
                <w:color w:val="auto"/>
              </w:rPr>
            </w:pPr>
            <w:r>
              <w:rPr>
                <w:rFonts w:ascii="Arial" w:cs="Arial" w:eastAsia="Arial" w:hAnsi="Arial"/>
                <w:sz w:val="14"/>
                <w:szCs w:val="14"/>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jc w:val="right"/>
              <w:ind w:right="608"/>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180" w:type="dxa"/>
            <w:vAlign w:val="bottom"/>
            <w:gridSpan w:val="4"/>
          </w:tcPr>
          <w:p>
            <w:pPr>
              <w:spacing w:after="0" w:line="110" w:lineRule="exact"/>
              <w:rPr>
                <w:sz w:val="20"/>
                <w:szCs w:val="20"/>
                <w:color w:val="auto"/>
              </w:rPr>
            </w:pPr>
            <w:r>
              <w:rPr>
                <w:rFonts w:ascii="Arial" w:cs="Arial" w:eastAsia="Arial" w:hAnsi="Arial"/>
                <w:sz w:val="12"/>
                <w:szCs w:val="12"/>
                <w:color w:val="auto"/>
              </w:rPr>
              <w:t>(in millions)</w:t>
            </w:r>
          </w:p>
        </w:tc>
        <w:tc>
          <w:tcPr>
            <w:tcW w:w="860" w:type="dxa"/>
            <w:vAlign w:val="bottom"/>
          </w:tcPr>
          <w:p>
            <w:pPr>
              <w:spacing w:after="0"/>
              <w:rPr>
                <w:sz w:val="11"/>
                <w:szCs w:val="11"/>
                <w:color w:val="auto"/>
              </w:rPr>
            </w:pPr>
          </w:p>
        </w:tc>
        <w:tc>
          <w:tcPr>
            <w:tcW w:w="1280" w:type="dxa"/>
            <w:vAlign w:val="bottom"/>
            <w:gridSpan w:val="3"/>
          </w:tcPr>
          <w:p>
            <w:pPr>
              <w:jc w:val="right"/>
              <w:ind w:right="568"/>
              <w:spacing w:after="0" w:line="110" w:lineRule="exact"/>
              <w:rPr>
                <w:sz w:val="20"/>
                <w:szCs w:val="20"/>
                <w:color w:val="auto"/>
              </w:rPr>
            </w:pPr>
            <w:r>
              <w:rPr>
                <w:rFonts w:ascii="Arial" w:cs="Arial" w:eastAsia="Arial" w:hAnsi="Arial"/>
                <w:sz w:val="12"/>
                <w:szCs w:val="12"/>
                <w:color w:val="auto"/>
              </w:rPr>
              <w:t>June 30,</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3"/>
          </w:tcPr>
          <w:p>
            <w:pPr>
              <w:jc w:val="right"/>
              <w:ind w:right="28"/>
              <w:spacing w:after="0" w:line="110" w:lineRule="exact"/>
              <w:rPr>
                <w:sz w:val="20"/>
                <w:szCs w:val="20"/>
                <w:color w:val="auto"/>
              </w:rPr>
            </w:pPr>
            <w:r>
              <w:rPr>
                <w:rFonts w:ascii="Arial" w:cs="Arial" w:eastAsia="Arial" w:hAnsi="Arial"/>
                <w:sz w:val="12"/>
                <w:szCs w:val="12"/>
                <w:color w:val="auto"/>
              </w:rPr>
              <w:t>June 30,</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6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Profit (Loss) Reconciliation to Pre-tax Income (Loss)</w:t>
            </w: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80" w:type="dxa"/>
            <w:vAlign w:val="bottom"/>
            <w:gridSpan w:val="4"/>
            <w:vMerge w:val="continue"/>
          </w:tcPr>
          <w:p>
            <w:pPr>
              <w:spacing w:after="0"/>
              <w:rPr>
                <w:sz w:val="13"/>
                <w:szCs w:val="13"/>
                <w:color w:val="auto"/>
              </w:rPr>
            </w:pPr>
          </w:p>
        </w:tc>
        <w:tc>
          <w:tcPr>
            <w:tcW w:w="86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2022</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2021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49"/>
              <w:spacing w:after="0" w:line="155"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top w:val="single" w:sz="8" w:color="auto"/>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61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Reconciling items:</w:t>
            </w:r>
          </w:p>
        </w:tc>
        <w:tc>
          <w:tcPr>
            <w:tcW w:w="500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Restructuring and related costs</w:t>
            </w:r>
          </w:p>
        </w:tc>
        <w:tc>
          <w:tcPr>
            <w:tcW w:w="8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(Gain) loss on divestitures and transaction costs</w:t>
            </w:r>
          </w:p>
        </w:tc>
        <w:tc>
          <w:tcPr>
            <w:tcW w:w="8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Litigation settlements (recoveries), net</w:t>
            </w: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Loss on extinguishment of debt</w:t>
            </w:r>
          </w:p>
        </w:tc>
        <w:tc>
          <w:tcPr>
            <w:tcW w:w="86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Other (income) expenses, net</w:t>
            </w: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80" w:type="dxa"/>
            <w:vAlign w:val="bottom"/>
            <w:gridSpan w:val="4"/>
          </w:tcPr>
          <w:p>
            <w:pPr>
              <w:spacing w:after="0"/>
              <w:rPr>
                <w:sz w:val="20"/>
                <w:szCs w:val="20"/>
                <w:color w:val="auto"/>
              </w:rPr>
            </w:pPr>
            <w:r>
              <w:rPr>
                <w:rFonts w:ascii="Arial" w:cs="Arial" w:eastAsia="Arial" w:hAnsi="Arial"/>
                <w:sz w:val="14"/>
                <w:szCs w:val="14"/>
                <w:b w:val="1"/>
                <w:bCs w:val="1"/>
                <w:color w:val="auto"/>
              </w:rPr>
              <w:t>Segment Pre-tax Income (Loss)</w:t>
            </w:r>
          </w:p>
        </w:tc>
        <w:tc>
          <w:tcPr>
            <w:tcW w:w="86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 Revenue for additional information on disaggregated revenues of the reportable segments.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Note 5 – Assets/Liabilities Held for Sale and Divestiture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Assets/Liabilities Held for Sale</w:t>
      </w:r>
    </w:p>
    <w:p>
      <w:pPr>
        <w:spacing w:after="0" w:line="193"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As of December 31, 2021, the sale of the Midas Suite of patient safety, quality and advanced analytics solutions to Symplr Software, Inc. had not yet closed. Accordingly, the assets and liabilities of this portfolio, collectively referred to as the Disposal Group, were reclassified as held for sale and measured at the lower of carrying value or fair value less costs to sell. As described below, the sale closed in the first quarter of 2022 and the assets and liabilities held for sale have been removed from the Company's Condensed Consolidated Balance Sheet.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February 8, 2022, the Company completed the sale of its Midas Suite of patient safety, quality and advanced analytics solutions to Symplr Software, Inc. The Company received $321 million of cash consideration for this divestiture, subject to customary working capital adjustments. The working capital adjustments were settled during the second quarter of 2022 and were not material. The divestiture generated a pre-tax gain of $166 million, which is included in (Gain) loss on divestitures and transaction costs. The Company recorded approximately $62 million of income taxes in connection with the divestiture. The revenue generated by this business was $ 7 million for the six months ended June 30, 2022 and $ 17 million and $35 million, respectively, for the three and six months ended June 30, 2021. There was no revenue generated by this business for the three months ended June 30, 2022.</w:t>
      </w: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6 – Restructuring Programs and Related Costs</w:t>
      </w:r>
    </w:p>
    <w:p>
      <w:pPr>
        <w:spacing w:after="0" w:line="18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engages in a series of restructuring programs related to downsizing its employee base, exiting certain activities, outsourcing certain internal functions and engaging in other actions designed to reduce its cost structure and improve productivity. The implementation of the Company's operational efficiency improvement initiatives has reduced the Company's real estate footprint across all geographies and segments resulting in lease right-of-use asset impairments and other related costs. Also included in Restructuring and related costs are incremental, non-recurring costs related to the consolidation of the Company's data centers, which totaled $3 million and $8 million for the three months ended June 30, 2022 and 2021, respectively, and $7 million and $15 million for the six months ended June 30, 2022 and 2021, respectively. Management continues to evaluate the Company's businesses, and in the future, there may be additional provisions for new plan initiatives and/or changes in previously recorded estimates as payments are made, or actions are completed.</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Costs associated with restructuring, including employee severance and lease termination costs, are generally recognized when it has been determined that a liability has been incurred, which is generally upon communication to the affected employees or exit from the leased facility. In those geographies where the Company has either a formal severance plan or a history of consistently providing severance benefits representing a substantive plan, it recognizes employee severance costs when they are both probable and reasonably estimable. Asset impairment costs related to the reduction of our real estate footprint include impairment of operating lease right-of-use (ROU) assets and associated leasehold improvements.</w:t>
      </w:r>
    </w:p>
    <w:p>
      <w:pPr>
        <w:spacing w:after="0" w:line="200" w:lineRule="exact"/>
        <w:rPr>
          <w:sz w:val="20"/>
          <w:szCs w:val="20"/>
          <w:color w:val="auto"/>
        </w:rPr>
      </w:pPr>
    </w:p>
    <w:p>
      <w:pPr>
        <w:spacing w:after="0" w:line="37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Q2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4" w:name="page15"/>
    <w:bookmarkEnd w:id="14"/>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restructuring program activity during the six months ended June 30, 2022 and 2021 is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4"/>
          </w:tcPr>
          <w:p>
            <w:pPr>
              <w:jc w:val="right"/>
              <w:ind w:right="18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14"/>
                <w:szCs w:val="1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14"/>
                <w:szCs w:val="1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14"/>
                <w:szCs w:val="14"/>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3"/>
          </w:tcPr>
          <w:p>
            <w:pPr>
              <w:spacing w:after="0" w:line="110" w:lineRule="exact"/>
              <w:rPr>
                <w:sz w:val="20"/>
                <w:szCs w:val="20"/>
                <w:color w:val="auto"/>
              </w:rPr>
            </w:pPr>
            <w:r>
              <w:rPr>
                <w:rFonts w:ascii="Arial" w:cs="Arial" w:eastAsia="Arial" w:hAnsi="Arial"/>
                <w:sz w:val="12"/>
                <w:szCs w:val="12"/>
                <w:color w:val="auto"/>
              </w:rPr>
              <w:t>(in millions)</w:t>
            </w:r>
          </w:p>
        </w:tc>
        <w:tc>
          <w:tcPr>
            <w:tcW w:w="360" w:type="dxa"/>
            <w:vAlign w:val="bottom"/>
          </w:tcPr>
          <w:p>
            <w:pPr>
              <w:spacing w:after="0"/>
              <w:rPr>
                <w:sz w:val="11"/>
                <w:szCs w:val="11"/>
                <w:color w:val="auto"/>
              </w:rPr>
            </w:pPr>
          </w:p>
        </w:tc>
        <w:tc>
          <w:tcPr>
            <w:tcW w:w="1380" w:type="dxa"/>
            <w:vAlign w:val="bottom"/>
            <w:gridSpan w:val="3"/>
          </w:tcPr>
          <w:p>
            <w:pPr>
              <w:ind w:left="280"/>
              <w:spacing w:after="0" w:line="110" w:lineRule="exact"/>
              <w:rPr>
                <w:sz w:val="20"/>
                <w:szCs w:val="20"/>
                <w:color w:val="auto"/>
              </w:rPr>
            </w:pPr>
            <w:r>
              <w:rPr>
                <w:rFonts w:ascii="Arial" w:cs="Arial" w:eastAsia="Arial" w:hAnsi="Arial"/>
                <w:sz w:val="12"/>
                <w:szCs w:val="12"/>
                <w:color w:val="auto"/>
              </w:rPr>
              <w:t>Costs</w:t>
            </w:r>
          </w:p>
        </w:tc>
        <w:tc>
          <w:tcPr>
            <w:tcW w:w="120" w:type="dxa"/>
            <w:vAlign w:val="bottom"/>
          </w:tcPr>
          <w:p>
            <w:pPr>
              <w:spacing w:after="0"/>
              <w:rPr>
                <w:sz w:val="11"/>
                <w:szCs w:val="11"/>
                <w:color w:val="auto"/>
              </w:rPr>
            </w:pPr>
          </w:p>
        </w:tc>
        <w:tc>
          <w:tcPr>
            <w:tcW w:w="1640" w:type="dxa"/>
            <w:vAlign w:val="bottom"/>
            <w:gridSpan w:val="2"/>
          </w:tcPr>
          <w:p>
            <w:pPr>
              <w:jc w:val="center"/>
              <w:ind w:right="200"/>
              <w:spacing w:after="0" w:line="110" w:lineRule="exact"/>
              <w:rPr>
                <w:sz w:val="20"/>
                <w:szCs w:val="20"/>
                <w:color w:val="auto"/>
              </w:rPr>
            </w:pPr>
            <w:r>
              <w:rPr>
                <w:rFonts w:ascii="Arial" w:cs="Arial" w:eastAsia="Arial" w:hAnsi="Arial"/>
                <w:sz w:val="12"/>
                <w:szCs w:val="12"/>
                <w:color w:val="auto"/>
              </w:rPr>
              <w:t>Costs</w:t>
            </w:r>
          </w:p>
        </w:tc>
        <w:tc>
          <w:tcPr>
            <w:tcW w:w="1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2021</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spacing w:after="0" w:line="182"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3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Accrued Balance at June 30, 2022</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40" w:type="dxa"/>
            <w:vAlign w:val="bottom"/>
            <w:gridSpan w:val="4"/>
          </w:tcPr>
          <w:p>
            <w:pPr>
              <w:jc w:val="right"/>
              <w:ind w:right="18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22"/>
                <w:szCs w:val="22"/>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22"/>
                <w:szCs w:val="22"/>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22"/>
                <w:szCs w:val="22"/>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3"/>
          </w:tcPr>
          <w:p>
            <w:pPr>
              <w:spacing w:after="0" w:line="110" w:lineRule="exact"/>
              <w:rPr>
                <w:sz w:val="20"/>
                <w:szCs w:val="20"/>
                <w:color w:val="auto"/>
              </w:rPr>
            </w:pPr>
            <w:r>
              <w:rPr>
                <w:rFonts w:ascii="Arial" w:cs="Arial" w:eastAsia="Arial" w:hAnsi="Arial"/>
                <w:sz w:val="12"/>
                <w:szCs w:val="12"/>
                <w:color w:val="auto"/>
              </w:rPr>
              <w:t>(in millions)</w:t>
            </w:r>
          </w:p>
        </w:tc>
        <w:tc>
          <w:tcPr>
            <w:tcW w:w="360" w:type="dxa"/>
            <w:vAlign w:val="bottom"/>
          </w:tcPr>
          <w:p>
            <w:pPr>
              <w:spacing w:after="0"/>
              <w:rPr>
                <w:sz w:val="11"/>
                <w:szCs w:val="11"/>
                <w:color w:val="auto"/>
              </w:rPr>
            </w:pPr>
          </w:p>
        </w:tc>
        <w:tc>
          <w:tcPr>
            <w:tcW w:w="1380" w:type="dxa"/>
            <w:vAlign w:val="bottom"/>
            <w:gridSpan w:val="3"/>
          </w:tcPr>
          <w:p>
            <w:pPr>
              <w:ind w:left="260"/>
              <w:spacing w:after="0" w:line="110" w:lineRule="exact"/>
              <w:rPr>
                <w:sz w:val="20"/>
                <w:szCs w:val="20"/>
                <w:color w:val="auto"/>
              </w:rPr>
            </w:pPr>
            <w:r>
              <w:rPr>
                <w:rFonts w:ascii="Arial" w:cs="Arial" w:eastAsia="Arial" w:hAnsi="Arial"/>
                <w:sz w:val="12"/>
                <w:szCs w:val="12"/>
                <w:color w:val="auto"/>
              </w:rPr>
              <w:t>Costs</w:t>
            </w:r>
          </w:p>
        </w:tc>
        <w:tc>
          <w:tcPr>
            <w:tcW w:w="120" w:type="dxa"/>
            <w:vAlign w:val="bottom"/>
          </w:tcPr>
          <w:p>
            <w:pPr>
              <w:spacing w:after="0"/>
              <w:rPr>
                <w:sz w:val="11"/>
                <w:szCs w:val="11"/>
                <w:color w:val="auto"/>
              </w:rPr>
            </w:pPr>
          </w:p>
        </w:tc>
        <w:tc>
          <w:tcPr>
            <w:tcW w:w="1640" w:type="dxa"/>
            <w:vAlign w:val="bottom"/>
            <w:gridSpan w:val="2"/>
          </w:tcPr>
          <w:p>
            <w:pPr>
              <w:jc w:val="center"/>
              <w:ind w:right="220"/>
              <w:spacing w:after="0" w:line="110" w:lineRule="exact"/>
              <w:rPr>
                <w:sz w:val="20"/>
                <w:szCs w:val="20"/>
                <w:color w:val="auto"/>
              </w:rPr>
            </w:pPr>
            <w:r>
              <w:rPr>
                <w:rFonts w:ascii="Arial" w:cs="Arial" w:eastAsia="Arial" w:hAnsi="Arial"/>
                <w:sz w:val="12"/>
                <w:szCs w:val="12"/>
                <w:color w:val="auto"/>
              </w:rPr>
              <w:t>Costs</w:t>
            </w:r>
          </w:p>
        </w:tc>
        <w:tc>
          <w:tcPr>
            <w:tcW w:w="1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2020</w:t>
            </w:r>
          </w:p>
        </w:tc>
        <w:tc>
          <w:tcPr>
            <w:tcW w:w="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spacing w:after="0"/>
              <w:rPr>
                <w:sz w:val="20"/>
                <w:szCs w:val="20"/>
                <w:color w:val="auto"/>
              </w:rPr>
            </w:pPr>
            <w:r>
              <w:rPr>
                <w:rFonts w:ascii="Arial" w:cs="Arial" w:eastAsia="Arial" w:hAnsi="Arial"/>
                <w:sz w:val="14"/>
                <w:szCs w:val="14"/>
                <w:color w:val="auto"/>
              </w:rPr>
              <w:t>Total Net Current Period Charges</w:t>
            </w:r>
            <w:r>
              <w:rPr>
                <w:rFonts w:ascii="Arial" w:cs="Arial" w:eastAsia="Arial" w:hAnsi="Arial"/>
                <w:sz w:val="9"/>
                <w:szCs w:val="9"/>
                <w:color w:val="auto"/>
              </w:rPr>
              <w:t>(1)</w:t>
            </w: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Accrued Balance at June 30, 2021</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4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amounts recognized within the Consolidated Statements of Income (Loss) for the years shown.</w:t>
      </w:r>
    </w:p>
    <w:p>
      <w:pPr>
        <w:spacing w:after="0" w:line="25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addition, the Company recorded professional support costs associated with the implementation of certain strategic transformation programs of $1 million and $1 million for the three months ended June 30, 2022 and 2021, respectively, and $2 million and $2 million for the six months ended June 30, 2022 and 2021, respectively.</w:t>
      </w:r>
    </w:p>
    <w:p>
      <w:pPr>
        <w:spacing w:after="0" w:line="14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table summarizes the total amount of costs incurred in connection with these restructuring programs by reportable and non-reportable segment: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380" w:type="dxa"/>
            <w:vAlign w:val="bottom"/>
            <w:gridSpan w:val="4"/>
          </w:tcPr>
          <w:p>
            <w:pPr>
              <w:jc w:val="right"/>
              <w:ind w:right="288"/>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4"/>
          </w:tcPr>
          <w:p>
            <w:pPr>
              <w:jc w:val="right"/>
              <w:ind w:right="728"/>
              <w:spacing w:after="0"/>
              <w:rPr>
                <w:sz w:val="20"/>
                <w:szCs w:val="20"/>
                <w:color w:val="auto"/>
              </w:rPr>
            </w:pPr>
            <w:r>
              <w:rPr>
                <w:rFonts w:ascii="Arial" w:cs="Arial" w:eastAsia="Arial" w:hAnsi="Arial"/>
                <w:sz w:val="14"/>
                <w:szCs w:val="14"/>
                <w:color w:val="auto"/>
              </w:rPr>
              <w:t>Six Months Ended</w:t>
            </w: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color w:val="auto"/>
              </w:rPr>
              <w:t>June 30,</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6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940" w:type="dxa"/>
            <w:vAlign w:val="bottom"/>
          </w:tcPr>
          <w:p>
            <w:pPr>
              <w:jc w:val="right"/>
              <w:ind w:right="48"/>
              <w:spacing w:after="0" w:line="129" w:lineRule="exact"/>
              <w:rPr>
                <w:sz w:val="20"/>
                <w:szCs w:val="20"/>
                <w:color w:val="auto"/>
              </w:rPr>
            </w:pPr>
            <w:r>
              <w:rPr>
                <w:rFonts w:ascii="Arial" w:cs="Arial" w:eastAsia="Arial" w:hAnsi="Arial"/>
                <w:sz w:val="14"/>
                <w:szCs w:val="14"/>
                <w:color w:val="auto"/>
              </w:rPr>
              <w:t>2022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68"/>
              <w:spacing w:after="0" w:line="129" w:lineRule="exact"/>
              <w:rPr>
                <w:sz w:val="20"/>
                <w:szCs w:val="20"/>
                <w:color w:val="auto"/>
              </w:rPr>
            </w:pPr>
            <w:r>
              <w:rPr>
                <w:rFonts w:ascii="Arial" w:cs="Arial" w:eastAsia="Arial" w:hAnsi="Arial"/>
                <w:sz w:val="14"/>
                <w:szCs w:val="14"/>
                <w:color w:val="auto"/>
              </w:rPr>
              <w:t>2021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20" w:type="dxa"/>
            <w:vAlign w:val="bottom"/>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Government Services</w:t>
            </w:r>
          </w:p>
        </w:tc>
        <w:tc>
          <w:tcPr>
            <w:tcW w:w="940" w:type="dxa"/>
            <w:vAlign w:val="bottom"/>
          </w:tcPr>
          <w:p>
            <w:pPr>
              <w:spacing w:after="0"/>
              <w:rPr>
                <w:sz w:val="16"/>
                <w:szCs w:val="16"/>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shd w:val="clear" w:color="auto" w:fill="CCEEFF"/>
          </w:tcPr>
          <w:p>
            <w:pPr>
              <w:spacing w:after="0"/>
              <w:rPr>
                <w:sz w:val="16"/>
                <w:szCs w:val="16"/>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Transportation</w:t>
            </w:r>
          </w:p>
        </w:tc>
        <w:tc>
          <w:tcPr>
            <w:tcW w:w="9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Divestitures</w:t>
            </w:r>
          </w:p>
        </w:tc>
        <w:tc>
          <w:tcPr>
            <w:tcW w:w="940" w:type="dxa"/>
            <w:vAlign w:val="bottom"/>
          </w:tcPr>
          <w:p>
            <w:pPr>
              <w:spacing w:after="0"/>
              <w:rPr>
                <w:sz w:val="16"/>
                <w:szCs w:val="16"/>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shd w:val="clear" w:color="auto" w:fill="CCEEFF"/>
          </w:tcPr>
          <w:p>
            <w:pPr>
              <w:spacing w:after="0"/>
              <w:rPr>
                <w:sz w:val="16"/>
                <w:szCs w:val="16"/>
                <w:color w:val="auto"/>
              </w:rPr>
            </w:pPr>
          </w:p>
        </w:tc>
        <w:tc>
          <w:tcPr>
            <w:tcW w:w="566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Unallocated Costs</w:t>
            </w:r>
            <w:r>
              <w:rPr>
                <w:rFonts w:ascii="Arial" w:cs="Arial" w:eastAsia="Arial" w:hAnsi="Arial"/>
                <w:sz w:val="18"/>
                <w:szCs w:val="18"/>
                <w:color w:val="auto"/>
                <w:vertAlign w:val="superscript"/>
              </w:rPr>
              <w:t>(1)</w:t>
            </w:r>
          </w:p>
        </w:tc>
        <w:tc>
          <w:tcPr>
            <w:tcW w:w="9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3"/>
        </w:trPr>
        <w:tc>
          <w:tcPr>
            <w:tcW w:w="20" w:type="dxa"/>
            <w:vAlign w:val="bottom"/>
          </w:tcPr>
          <w:p>
            <w:pPr>
              <w:spacing w:after="0"/>
              <w:rPr>
                <w:sz w:val="15"/>
                <w:szCs w:val="15"/>
                <w:color w:val="auto"/>
              </w:rPr>
            </w:pPr>
          </w:p>
        </w:tc>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Total Net Restructuring Charges</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41" w:lineRule="exact"/>
        <w:rPr>
          <w:sz w:val="20"/>
          <w:szCs w:val="20"/>
          <w:color w:val="auto"/>
        </w:rPr>
      </w:pPr>
    </w:p>
    <w:p>
      <w:pPr>
        <w:ind w:left="340" w:right="360" w:hanging="332"/>
        <w:spacing w:after="0" w:line="279" w:lineRule="auto"/>
        <w:tabs>
          <w:tab w:leader="none" w:pos="327"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costs related to the consolidation of the Company's data centers, operating lease ROU assets impairment, termination and other costs not allocated to the segments.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7 –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was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42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5"/>
                <w:szCs w:val="15"/>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June 30, 2022</w:t>
            </w:r>
          </w:p>
        </w:tc>
        <w:tc>
          <w:tcPr>
            <w:tcW w:w="180" w:type="dxa"/>
            <w:vAlign w:val="bottom"/>
          </w:tcPr>
          <w:p>
            <w:pPr>
              <w:spacing w:after="0"/>
              <w:rPr>
                <w:sz w:val="15"/>
                <w:szCs w:val="15"/>
                <w:color w:val="auto"/>
              </w:rPr>
            </w:pP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3"/>
        </w:trPr>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7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A due 2026</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w:t>
            </w:r>
          </w:p>
        </w:tc>
      </w:tr>
      <w:tr>
        <w:trPr>
          <w:trHeight w:val="189"/>
        </w:trPr>
        <w:tc>
          <w:tcPr>
            <w:tcW w:w="380" w:type="dxa"/>
            <w:vAlign w:val="bottom"/>
            <w:gridSpan w:val="2"/>
          </w:tcPr>
          <w:p>
            <w:pPr>
              <w:ind w:left="20"/>
              <w:spacing w:after="0"/>
              <w:rPr>
                <w:sz w:val="20"/>
                <w:szCs w:val="20"/>
                <w:color w:val="auto"/>
              </w:rPr>
            </w:pPr>
            <w:r>
              <w:rPr>
                <w:rFonts w:ascii="Arial" w:cs="Arial" w:eastAsia="Arial" w:hAnsi="Arial"/>
                <w:sz w:val="14"/>
                <w:szCs w:val="14"/>
                <w:color w:val="auto"/>
              </w:rPr>
              <w:t>2021</w:t>
            </w:r>
          </w:p>
        </w:tc>
        <w:tc>
          <w:tcPr>
            <w:tcW w:w="7060" w:type="dxa"/>
            <w:vAlign w:val="bottom"/>
            <w:gridSpan w:val="2"/>
          </w:tcPr>
          <w:p>
            <w:pPr>
              <w:spacing w:after="0"/>
              <w:rPr>
                <w:sz w:val="20"/>
                <w:szCs w:val="20"/>
                <w:color w:val="auto"/>
              </w:rPr>
            </w:pPr>
            <w:r>
              <w:rPr>
                <w:rFonts w:ascii="Arial" w:cs="Arial" w:eastAsia="Arial" w:hAnsi="Arial"/>
                <w:sz w:val="14"/>
                <w:szCs w:val="14"/>
                <w:color w:val="auto"/>
              </w:rPr>
              <w:t>Term loan B due 2028</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515</w:t>
            </w:r>
          </w:p>
        </w:tc>
      </w:tr>
      <w:tr>
        <w:trPr>
          <w:trHeight w:val="189"/>
        </w:trPr>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7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notes due 2029</w:t>
            </w: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520</w:t>
            </w:r>
          </w:p>
        </w:tc>
      </w:tr>
      <w:tr>
        <w:trPr>
          <w:trHeight w:val="189"/>
        </w:trPr>
        <w:tc>
          <w:tcPr>
            <w:tcW w:w="380" w:type="dxa"/>
            <w:vAlign w:val="bottom"/>
            <w:gridSpan w:val="2"/>
          </w:tcPr>
          <w:p>
            <w:pPr>
              <w:ind w:left="20"/>
              <w:spacing w:after="0"/>
              <w:rPr>
                <w:sz w:val="20"/>
                <w:szCs w:val="20"/>
                <w:color w:val="auto"/>
              </w:rPr>
            </w:pPr>
            <w:r>
              <w:rPr>
                <w:rFonts w:ascii="Arial" w:cs="Arial" w:eastAsia="Arial" w:hAnsi="Arial"/>
                <w:sz w:val="14"/>
                <w:szCs w:val="14"/>
                <w:color w:val="auto"/>
              </w:rPr>
              <w:t>2021</w:t>
            </w:r>
          </w:p>
        </w:tc>
        <w:tc>
          <w:tcPr>
            <w:tcW w:w="7060" w:type="dxa"/>
            <w:vAlign w:val="bottom"/>
            <w:gridSpan w:val="2"/>
          </w:tcPr>
          <w:p>
            <w:pPr>
              <w:spacing w:after="0"/>
              <w:rPr>
                <w:sz w:val="20"/>
                <w:szCs w:val="20"/>
                <w:color w:val="auto"/>
              </w:rPr>
            </w:pPr>
            <w:r>
              <w:rPr>
                <w:rFonts w:ascii="Arial" w:cs="Arial" w:eastAsia="Arial" w:hAnsi="Arial"/>
                <w:sz w:val="14"/>
                <w:szCs w:val="14"/>
                <w:color w:val="auto"/>
              </w:rPr>
              <w:t>Revolving credit facility maturing 2026</w:t>
            </w:r>
          </w:p>
        </w:tc>
        <w:tc>
          <w:tcPr>
            <w:tcW w:w="280" w:type="dxa"/>
            <w:vAlign w:val="bottom"/>
          </w:tcPr>
          <w:p>
            <w:pPr>
              <w:spacing w:after="0"/>
              <w:rPr>
                <w:sz w:val="16"/>
                <w:szCs w:val="16"/>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100</w:t>
            </w: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Finance lease obligations</w:t>
            </w: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r>
      <w:tr>
        <w:trPr>
          <w:trHeight w:val="189"/>
        </w:trPr>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w w:val="96"/>
              </w:rPr>
              <w:t>Other</w:t>
            </w:r>
          </w:p>
        </w:tc>
        <w:tc>
          <w:tcPr>
            <w:tcW w:w="280" w:type="dxa"/>
            <w:vAlign w:val="bottom"/>
            <w:tcBorders>
              <w:bottom w:val="single" w:sz="8" w:color="CCEEFF"/>
            </w:tcBorders>
          </w:tcPr>
          <w:p>
            <w:pPr>
              <w:spacing w:after="0"/>
              <w:rPr>
                <w:sz w:val="16"/>
                <w:szCs w:val="16"/>
                <w:color w:val="auto"/>
              </w:rPr>
            </w:pPr>
          </w:p>
        </w:tc>
        <w:tc>
          <w:tcPr>
            <w:tcW w:w="67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r>
      <w:tr>
        <w:trPr>
          <w:trHeight w:val="183"/>
        </w:trPr>
        <w:tc>
          <w:tcPr>
            <w:tcW w:w="20" w:type="dxa"/>
            <w:vAlign w:val="bottom"/>
            <w:shd w:val="clear" w:color="auto" w:fill="CCEEFF"/>
          </w:tcPr>
          <w:p>
            <w:pPr>
              <w:spacing w:after="0"/>
              <w:rPr>
                <w:sz w:val="15"/>
                <w:szCs w:val="15"/>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Principal debt balance</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1,440</w:t>
            </w:r>
          </w:p>
        </w:tc>
      </w:tr>
      <w:tr>
        <w:trPr>
          <w:trHeight w:val="189"/>
        </w:trPr>
        <w:tc>
          <w:tcPr>
            <w:tcW w:w="20" w:type="dxa"/>
            <w:vAlign w:val="bottom"/>
          </w:tcPr>
          <w:p>
            <w:pPr>
              <w:spacing w:after="0"/>
              <w:rPr>
                <w:sz w:val="16"/>
                <w:szCs w:val="16"/>
                <w:color w:val="auto"/>
              </w:rPr>
            </w:pPr>
          </w:p>
        </w:tc>
        <w:tc>
          <w:tcPr>
            <w:tcW w:w="7420" w:type="dxa"/>
            <w:vAlign w:val="bottom"/>
            <w:gridSpan w:val="3"/>
          </w:tcPr>
          <w:p>
            <w:pPr>
              <w:spacing w:after="0"/>
              <w:rPr>
                <w:sz w:val="20"/>
                <w:szCs w:val="20"/>
                <w:color w:val="auto"/>
              </w:rPr>
            </w:pPr>
            <w:r>
              <w:rPr>
                <w:rFonts w:ascii="Arial" w:cs="Arial" w:eastAsia="Arial" w:hAnsi="Arial"/>
                <w:sz w:val="14"/>
                <w:szCs w:val="14"/>
                <w:color w:val="auto"/>
              </w:rPr>
              <w:t>Debt issuance costs and unamortized discounts</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Less: current maturities</w:t>
            </w:r>
          </w:p>
        </w:tc>
        <w:tc>
          <w:tcPr>
            <w:tcW w:w="28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83"/>
        </w:trPr>
        <w:tc>
          <w:tcPr>
            <w:tcW w:w="20" w:type="dxa"/>
            <w:vAlign w:val="bottom"/>
          </w:tcPr>
          <w:p>
            <w:pPr>
              <w:spacing w:after="0"/>
              <w:rPr>
                <w:sz w:val="15"/>
                <w:szCs w:val="15"/>
                <w:color w:val="auto"/>
              </w:rPr>
            </w:pPr>
          </w:p>
        </w:tc>
        <w:tc>
          <w:tcPr>
            <w:tcW w:w="7420" w:type="dxa"/>
            <w:vAlign w:val="bottom"/>
            <w:gridSpan w:val="3"/>
          </w:tcPr>
          <w:p>
            <w:pPr>
              <w:spacing w:after="0"/>
              <w:rPr>
                <w:sz w:val="20"/>
                <w:szCs w:val="20"/>
                <w:color w:val="auto"/>
              </w:rPr>
            </w:pPr>
            <w:r>
              <w:rPr>
                <w:rFonts w:ascii="Arial" w:cs="Arial" w:eastAsia="Arial" w:hAnsi="Arial"/>
                <w:sz w:val="14"/>
                <w:szCs w:val="14"/>
                <w:b w:val="1"/>
                <w:bCs w:val="1"/>
                <w:color w:val="auto"/>
              </w:rPr>
              <w:t>Total Long-term Debt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1,272</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1,383</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Q2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5" w:name="page16"/>
    <w:bookmarkEnd w:id="15"/>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first quarter of 2022, the Company repaid $ 100 million that was outstanding as of December 31, 2021 under its 2021 Revolving Credit Facility maturing in 2026 (Revolver). As of June 30, 2022, the Company had no outstanding borrowings under its Revolver. However, the Company utilized $4 million of the Revolver to issue letters of credit as of June 30, 2022. The net Revolver available to be drawn upon as of June 30, 2022 was $546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At June 30, 2022, the Company was in compliance with all debt covenants related to the borrowings in the table above.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8 – Financial Instruments</w:t>
      </w:r>
    </w:p>
    <w:p>
      <w:pPr>
        <w:spacing w:after="0" w:line="1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is a global company that is exposed to foreign currency exchange rate fluctuations in the normal course of its business. As a part of the Company's foreign exchange risk management strategy, the Company uses derivative instruments, primarily forward contracts, to hedge the funding of foreign entities which have a non-dollar functional currency, thereby reducing volatility of earnings or protecting fair values of assets and liabilities.</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At June 30, 2022 and December 31, 2021, the Company had outstanding forward exchange contracts with gross notional values of $105 million and $150 million, respectively. At June 30, 2022, approximately 76% of these contracts mature within three months, 11% in three to six months, 11% in six to twelve months and 2% in greater than twelve months. Most of these foreign currency derivative contracts are designated as cash flow hedges and did not have a material impact on the Company's balance sheet, income statement or cash flows for the periods presented.</w:t>
      </w:r>
    </w:p>
    <w:p>
      <w:pPr>
        <w:spacing w:after="0" w:line="15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Refer to Note 9 – Fair Value of Financial Assets and Liabilities for additional information regarding the fair value of the Company's foreign exchange forward contracts.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9 – Fair Value of Financial Assets and Liabilities</w:t>
      </w:r>
    </w:p>
    <w:p>
      <w:pPr>
        <w:spacing w:after="0" w:line="18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Level 1: Fair value is determined using an unadjusted quoted price in an active market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Fair value is estimated using inputs other than quoted prices included within Level 1 that are observable, either directly or indirectly.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Fair value is estimated using unobservable inputs that are significant to the fair value of the assets or liabilities.</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2022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6" w:name="page17"/>
    <w:bookmarkEnd w:id="16"/>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Financial Assets and Liabilities Accounted for at Fair Value on a Recurring Basis</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represents assets and liabilities measured at fair value on a recurring basis. The basis for the measurement at fair value in all cases was Level 2.</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7420" w:type="dxa"/>
            <w:vAlign w:val="bottom"/>
            <w:gridSpan w:val="2"/>
          </w:tcPr>
          <w:p>
            <w:pPr>
              <w:spacing w:after="0" w:line="138" w:lineRule="exact"/>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3"/>
                <w:szCs w:val="13"/>
                <w:color w:val="auto"/>
              </w:rPr>
            </w:pPr>
          </w:p>
        </w:tc>
        <w:tc>
          <w:tcPr>
            <w:tcW w:w="1680" w:type="dxa"/>
            <w:vAlign w:val="bottom"/>
            <w:gridSpan w:val="2"/>
          </w:tcPr>
          <w:p>
            <w:pPr>
              <w:ind w:left="180"/>
              <w:spacing w:after="0" w:line="138" w:lineRule="exact"/>
              <w:rPr>
                <w:sz w:val="20"/>
                <w:szCs w:val="20"/>
                <w:color w:val="auto"/>
              </w:rPr>
            </w:pPr>
            <w:r>
              <w:rPr>
                <w:rFonts w:ascii="Arial" w:cs="Arial" w:eastAsia="Arial" w:hAnsi="Arial"/>
                <w:sz w:val="14"/>
                <w:szCs w:val="14"/>
                <w:color w:val="auto"/>
              </w:rPr>
              <w:t>June 30, 2022</w:t>
            </w:r>
          </w:p>
        </w:tc>
        <w:tc>
          <w:tcPr>
            <w:tcW w:w="180" w:type="dxa"/>
            <w:vAlign w:val="bottom"/>
          </w:tcPr>
          <w:p>
            <w:pPr>
              <w:spacing w:after="0"/>
              <w:rPr>
                <w:sz w:val="13"/>
                <w:szCs w:val="13"/>
                <w:color w:val="auto"/>
              </w:rPr>
            </w:pPr>
          </w:p>
        </w:tc>
        <w:tc>
          <w:tcPr>
            <w:tcW w:w="1660" w:type="dxa"/>
            <w:vAlign w:val="bottom"/>
          </w:tcPr>
          <w:p>
            <w:pPr>
              <w:jc w:val="right"/>
              <w:ind w:right="228"/>
              <w:spacing w:after="0" w:line="138" w:lineRule="exact"/>
              <w:rPr>
                <w:sz w:val="20"/>
                <w:szCs w:val="20"/>
                <w:color w:val="auto"/>
              </w:rPr>
            </w:pPr>
            <w:r>
              <w:rPr>
                <w:rFonts w:ascii="Arial" w:cs="Arial" w:eastAsia="Arial" w:hAnsi="Arial"/>
                <w:sz w:val="14"/>
                <w:szCs w:val="14"/>
                <w:color w:val="auto"/>
              </w:rPr>
              <w:t>December 31, 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7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Foreign exchange contract - forward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4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Foreign exchange contracts - forward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Other Financial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other financial assets and liabilities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color w:val="auto"/>
              </w:rPr>
              <w:t>June 30, 2022</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4"/>
                <w:szCs w:val="14"/>
                <w:color w:val="auto"/>
              </w:rPr>
              <w:t>December 31, 2021</w:t>
            </w: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211"/>
              <w:spacing w:after="0" w:line="147" w:lineRule="exact"/>
              <w:rPr>
                <w:sz w:val="20"/>
                <w:szCs w:val="20"/>
                <w:color w:val="auto"/>
              </w:rPr>
            </w:pPr>
            <w:r>
              <w:rPr>
                <w:rFonts w:ascii="Arial" w:cs="Arial" w:eastAsia="Arial" w:hAnsi="Arial"/>
                <w:sz w:val="14"/>
                <w:szCs w:val="14"/>
                <w:color w:val="auto"/>
              </w:rPr>
              <w:t>Carrying</w:t>
            </w:r>
          </w:p>
        </w:tc>
        <w:tc>
          <w:tcPr>
            <w:tcW w:w="520" w:type="dxa"/>
            <w:vAlign w:val="bottom"/>
          </w:tcPr>
          <w:p>
            <w:pPr>
              <w:spacing w:after="0"/>
              <w:rPr>
                <w:sz w:val="12"/>
                <w:szCs w:val="12"/>
                <w:color w:val="auto"/>
              </w:rPr>
            </w:pPr>
          </w:p>
        </w:tc>
        <w:tc>
          <w:tcPr>
            <w:tcW w:w="980" w:type="dxa"/>
            <w:vAlign w:val="bottom"/>
            <w:gridSpan w:val="2"/>
          </w:tcPr>
          <w:p>
            <w:pPr>
              <w:jc w:val="center"/>
              <w:ind w:right="540"/>
              <w:spacing w:after="0" w:line="147" w:lineRule="exact"/>
              <w:rPr>
                <w:sz w:val="20"/>
                <w:szCs w:val="20"/>
                <w:color w:val="auto"/>
              </w:rPr>
            </w:pPr>
            <w:r>
              <w:rPr>
                <w:rFonts w:ascii="Arial" w:cs="Arial" w:eastAsia="Arial" w:hAnsi="Arial"/>
                <w:sz w:val="14"/>
                <w:szCs w:val="14"/>
                <w:color w:val="auto"/>
                <w:w w:val="99"/>
              </w:rPr>
              <w:t>Fair</w:t>
            </w:r>
          </w:p>
        </w:tc>
        <w:tc>
          <w:tcPr>
            <w:tcW w:w="240" w:type="dxa"/>
            <w:vAlign w:val="bottom"/>
          </w:tcPr>
          <w:p>
            <w:pPr>
              <w:spacing w:after="0"/>
              <w:rPr>
                <w:sz w:val="12"/>
                <w:szCs w:val="12"/>
                <w:color w:val="auto"/>
              </w:rPr>
            </w:pPr>
          </w:p>
        </w:tc>
        <w:tc>
          <w:tcPr>
            <w:tcW w:w="1120" w:type="dxa"/>
            <w:vAlign w:val="bottom"/>
          </w:tcPr>
          <w:p>
            <w:pPr>
              <w:jc w:val="center"/>
              <w:ind w:right="211"/>
              <w:spacing w:after="0" w:line="147" w:lineRule="exact"/>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2"/>
                <w:szCs w:val="12"/>
                <w:color w:val="auto"/>
              </w:rPr>
            </w:pPr>
          </w:p>
        </w:tc>
        <w:tc>
          <w:tcPr>
            <w:tcW w:w="1040" w:type="dxa"/>
            <w:vAlign w:val="bottom"/>
          </w:tcPr>
          <w:p>
            <w:pPr>
              <w:jc w:val="center"/>
              <w:ind w:right="231"/>
              <w:spacing w:after="0" w:line="147" w:lineRule="exact"/>
              <w:rPr>
                <w:sz w:val="20"/>
                <w:szCs w:val="20"/>
                <w:color w:val="auto"/>
              </w:rPr>
            </w:pPr>
            <w:r>
              <w:rPr>
                <w:rFonts w:ascii="Arial" w:cs="Arial" w:eastAsia="Arial" w:hAnsi="Arial"/>
                <w:sz w:val="14"/>
                <w:szCs w:val="14"/>
                <w:color w:val="auto"/>
              </w:rPr>
              <w:t>Fair</w:t>
            </w:r>
          </w:p>
        </w:tc>
      </w:tr>
      <w:tr>
        <w:trPr>
          <w:trHeight w:val="130"/>
        </w:trPr>
        <w:tc>
          <w:tcPr>
            <w:tcW w:w="20" w:type="dxa"/>
            <w:vAlign w:val="bottom"/>
          </w:tcPr>
          <w:p>
            <w:pPr>
              <w:spacing w:after="0"/>
              <w:rPr>
                <w:sz w:val="11"/>
                <w:szCs w:val="11"/>
                <w:color w:val="auto"/>
              </w:rPr>
            </w:pPr>
          </w:p>
        </w:tc>
        <w:tc>
          <w:tcPr>
            <w:tcW w:w="560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240" w:type="dxa"/>
            <w:vAlign w:val="bottom"/>
          </w:tcPr>
          <w:p>
            <w:pPr>
              <w:spacing w:after="0"/>
              <w:rPr>
                <w:sz w:val="11"/>
                <w:szCs w:val="11"/>
                <w:color w:val="auto"/>
              </w:rPr>
            </w:pPr>
          </w:p>
        </w:tc>
        <w:tc>
          <w:tcPr>
            <w:tcW w:w="1100" w:type="dxa"/>
            <w:vAlign w:val="bottom"/>
          </w:tcPr>
          <w:p>
            <w:pPr>
              <w:jc w:val="center"/>
              <w:ind w:right="211"/>
              <w:spacing w:after="0" w:line="110" w:lineRule="exact"/>
              <w:rPr>
                <w:sz w:val="20"/>
                <w:szCs w:val="20"/>
                <w:color w:val="auto"/>
              </w:rPr>
            </w:pPr>
            <w:r>
              <w:rPr>
                <w:rFonts w:ascii="Arial" w:cs="Arial" w:eastAsia="Arial" w:hAnsi="Arial"/>
                <w:sz w:val="12"/>
                <w:szCs w:val="12"/>
                <w:color w:val="auto"/>
              </w:rPr>
              <w:t>Amount</w:t>
            </w:r>
          </w:p>
        </w:tc>
        <w:tc>
          <w:tcPr>
            <w:tcW w:w="520" w:type="dxa"/>
            <w:vAlign w:val="bottom"/>
          </w:tcPr>
          <w:p>
            <w:pPr>
              <w:spacing w:after="0"/>
              <w:rPr>
                <w:sz w:val="11"/>
                <w:szCs w:val="11"/>
                <w:color w:val="auto"/>
              </w:rPr>
            </w:pPr>
          </w:p>
        </w:tc>
        <w:tc>
          <w:tcPr>
            <w:tcW w:w="980" w:type="dxa"/>
            <w:vAlign w:val="bottom"/>
            <w:gridSpan w:val="2"/>
          </w:tcPr>
          <w:p>
            <w:pPr>
              <w:jc w:val="center"/>
              <w:ind w:right="540"/>
              <w:spacing w:after="0" w:line="110" w:lineRule="exact"/>
              <w:rPr>
                <w:sz w:val="20"/>
                <w:szCs w:val="20"/>
                <w:color w:val="auto"/>
              </w:rPr>
            </w:pPr>
            <w:r>
              <w:rPr>
                <w:rFonts w:ascii="Arial" w:cs="Arial" w:eastAsia="Arial" w:hAnsi="Arial"/>
                <w:sz w:val="12"/>
                <w:szCs w:val="12"/>
                <w:color w:val="auto"/>
              </w:rPr>
              <w:t>Value</w:t>
            </w:r>
          </w:p>
        </w:tc>
        <w:tc>
          <w:tcPr>
            <w:tcW w:w="240" w:type="dxa"/>
            <w:vAlign w:val="bottom"/>
          </w:tcPr>
          <w:p>
            <w:pPr>
              <w:spacing w:after="0"/>
              <w:rPr>
                <w:sz w:val="11"/>
                <w:szCs w:val="11"/>
                <w:color w:val="auto"/>
              </w:rPr>
            </w:pPr>
          </w:p>
        </w:tc>
        <w:tc>
          <w:tcPr>
            <w:tcW w:w="1120" w:type="dxa"/>
            <w:vAlign w:val="bottom"/>
          </w:tcPr>
          <w:p>
            <w:pPr>
              <w:jc w:val="center"/>
              <w:ind w:right="211"/>
              <w:spacing w:after="0" w:line="110" w:lineRule="exact"/>
              <w:rPr>
                <w:sz w:val="20"/>
                <w:szCs w:val="20"/>
                <w:color w:val="auto"/>
              </w:rPr>
            </w:pPr>
            <w:r>
              <w:rPr>
                <w:rFonts w:ascii="Arial" w:cs="Arial" w:eastAsia="Arial" w:hAnsi="Arial"/>
                <w:sz w:val="12"/>
                <w:szCs w:val="12"/>
                <w:color w:val="auto"/>
              </w:rPr>
              <w:t>Amount</w:t>
            </w:r>
          </w:p>
        </w:tc>
        <w:tc>
          <w:tcPr>
            <w:tcW w:w="360" w:type="dxa"/>
            <w:vAlign w:val="bottom"/>
          </w:tcPr>
          <w:p>
            <w:pPr>
              <w:spacing w:after="0"/>
              <w:rPr>
                <w:sz w:val="11"/>
                <w:szCs w:val="11"/>
                <w:color w:val="auto"/>
              </w:rPr>
            </w:pPr>
          </w:p>
        </w:tc>
        <w:tc>
          <w:tcPr>
            <w:tcW w:w="1040" w:type="dxa"/>
            <w:vAlign w:val="bottom"/>
          </w:tcPr>
          <w:p>
            <w:pPr>
              <w:jc w:val="center"/>
              <w:ind w:right="211"/>
              <w:spacing w:after="0" w:line="110" w:lineRule="exact"/>
              <w:rPr>
                <w:sz w:val="20"/>
                <w:szCs w:val="20"/>
                <w:color w:val="auto"/>
              </w:rPr>
            </w:pPr>
            <w:r>
              <w:rPr>
                <w:rFonts w:ascii="Arial" w:cs="Arial" w:eastAsia="Arial" w:hAnsi="Arial"/>
                <w:sz w:val="12"/>
                <w:szCs w:val="12"/>
                <w:color w:val="auto"/>
              </w:rPr>
              <w:t>Value</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5600" w:type="dxa"/>
            <w:vAlign w:val="bottom"/>
            <w:gridSpan w:val="2"/>
          </w:tcPr>
          <w:p>
            <w:pPr>
              <w:ind w:left="200"/>
              <w:spacing w:after="0"/>
              <w:rPr>
                <w:sz w:val="20"/>
                <w:szCs w:val="20"/>
                <w:color w:val="auto"/>
              </w:rPr>
            </w:pPr>
            <w:r>
              <w:rPr>
                <w:rFonts w:ascii="Arial" w:cs="Arial" w:eastAsia="Arial" w:hAnsi="Arial"/>
                <w:sz w:val="14"/>
                <w:szCs w:val="14"/>
                <w:color w:val="auto"/>
              </w:rPr>
              <w:t>Long-term debt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Pr>
          <w:p>
            <w:pPr>
              <w:ind w:left="640"/>
              <w:spacing w:after="0"/>
              <w:rPr>
                <w:sz w:val="20"/>
                <w:szCs w:val="20"/>
                <w:color w:val="auto"/>
              </w:rPr>
            </w:pPr>
            <w:r>
              <w:rPr>
                <w:rFonts w:ascii="Arial" w:cs="Arial" w:eastAsia="Arial" w:hAnsi="Arial"/>
                <w:sz w:val="14"/>
                <w:szCs w:val="14"/>
                <w:color w:val="auto"/>
              </w:rPr>
              <w:t>1,272</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1,190</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1,383</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1,374</w:t>
            </w:r>
          </w:p>
        </w:tc>
      </w:tr>
    </w:tbl>
    <w:p>
      <w:pPr>
        <w:spacing w:after="0" w:line="25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fair value amounts for Cash and cash equivalents, Restricted cash, Accounts receivable, net and Short-term debt approximate carrying amounts due to the short-term maturities of these instruments.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was estimated using quoted market prices for identical or similar instruments (Level 2 inputs).</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10 – Employee Benefit Plans</w:t>
      </w:r>
    </w:p>
    <w:p>
      <w:pPr>
        <w:spacing w:after="0" w:line="18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Company has post-retirement savings and investment plans in several countries, including the U.S., U.K. and Canada. In many instances, employees participating in defined benefit pension plans that have been amended to freeze future service accruals were transitioned to an enhanced defined contribution plan. In these plans, employees are permitted to contribute a portion of their salaries and bonuses to the plans. The Company, at its discretion, matches a portion of employee contributions.</w:t>
      </w:r>
    </w:p>
    <w:p>
      <w:pPr>
        <w:spacing w:after="0" w:line="15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recognized an expense related to its defined contribution plans of $3 million and $5 million for the three months ended June 30, 2022 and 2021, respectively and $8 million and $10 million for the six months ended June 30, 2022 and 2021, respectively. The balance sheet and income statement impacts of any remaining defined benefit plans are immaterial for all periods presented in these Condensed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11 – Accumulated Other Comprehensive Loss (AOCL)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Below are the balances and changes in AOCL</w:t>
      </w:r>
      <w:r>
        <w:rPr>
          <w:rFonts w:ascii="Arial" w:cs="Arial" w:eastAsia="Arial" w:hAnsi="Arial"/>
          <w:sz w:val="23"/>
          <w:szCs w:val="23"/>
          <w:color w:val="auto"/>
          <w:vertAlign w:val="superscript"/>
        </w:rPr>
        <w:t>(1)</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300"/>
              <w:spacing w:after="0" w:line="143" w:lineRule="exact"/>
              <w:rPr>
                <w:sz w:val="20"/>
                <w:szCs w:val="20"/>
                <w:color w:val="auto"/>
              </w:rPr>
            </w:pPr>
            <w:r>
              <w:rPr>
                <w:rFonts w:ascii="Arial" w:cs="Arial" w:eastAsia="Arial" w:hAnsi="Arial"/>
                <w:sz w:val="14"/>
                <w:szCs w:val="14"/>
                <w:color w:val="auto"/>
              </w:rPr>
              <w:t>Currency</w:t>
            </w:r>
          </w:p>
        </w:tc>
        <w:tc>
          <w:tcPr>
            <w:tcW w:w="20" w:type="dxa"/>
            <w:vAlign w:val="bottom"/>
          </w:tcPr>
          <w:p>
            <w:pPr>
              <w:spacing w:after="0"/>
              <w:rPr>
                <w:sz w:val="12"/>
                <w:szCs w:val="12"/>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color w:val="auto"/>
              </w:rPr>
              <w:t>Gains (Losses) 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jc w:val="center"/>
              <w:ind w:right="240"/>
              <w:spacing w:after="0"/>
              <w:rPr>
                <w:sz w:val="20"/>
                <w:szCs w:val="20"/>
                <w:color w:val="auto"/>
              </w:rPr>
            </w:pPr>
            <w:r>
              <w:rPr>
                <w:rFonts w:ascii="Arial" w:cs="Arial" w:eastAsia="Arial" w:hAnsi="Arial"/>
                <w:sz w:val="14"/>
                <w:szCs w:val="14"/>
                <w:color w:val="auto"/>
              </w:rPr>
              <w:t>Defined Benefit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300"/>
              <w:spacing w:after="0" w:line="135" w:lineRule="exact"/>
              <w:rPr>
                <w:sz w:val="20"/>
                <w:szCs w:val="20"/>
                <w:color w:val="auto"/>
              </w:rPr>
            </w:pPr>
            <w:r>
              <w:rPr>
                <w:rFonts w:ascii="Arial" w:cs="Arial" w:eastAsia="Arial" w:hAnsi="Arial"/>
                <w:sz w:val="14"/>
                <w:szCs w:val="14"/>
                <w:color w:val="auto"/>
              </w:rPr>
              <w:t>Translation</w:t>
            </w:r>
          </w:p>
        </w:tc>
        <w:tc>
          <w:tcPr>
            <w:tcW w:w="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500" w:type="dxa"/>
            <w:vAlign w:val="bottom"/>
            <w:gridSpan w:val="3"/>
          </w:tcPr>
          <w:p>
            <w:pPr>
              <w:spacing w:after="0" w:line="110" w:lineRule="exact"/>
              <w:rPr>
                <w:sz w:val="20"/>
                <w:szCs w:val="20"/>
                <w:color w:val="auto"/>
              </w:rPr>
            </w:pPr>
            <w:r>
              <w:rPr>
                <w:rFonts w:ascii="Arial" w:cs="Arial" w:eastAsia="Arial" w:hAnsi="Arial"/>
                <w:sz w:val="12"/>
                <w:szCs w:val="12"/>
                <w:color w:val="auto"/>
              </w:rPr>
              <w:t>(in millions)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300"/>
              <w:spacing w:after="0" w:line="110" w:lineRule="exact"/>
              <w:rPr>
                <w:sz w:val="20"/>
                <w:szCs w:val="20"/>
                <w:color w:val="auto"/>
              </w:rPr>
            </w:pPr>
            <w:r>
              <w:rPr>
                <w:rFonts w:ascii="Arial" w:cs="Arial" w:eastAsia="Arial" w:hAnsi="Arial"/>
                <w:sz w:val="12"/>
                <w:szCs w:val="12"/>
                <w:color w:val="auto"/>
              </w:rPr>
              <w:t>Adjustments</w:t>
            </w:r>
          </w:p>
        </w:tc>
        <w:tc>
          <w:tcPr>
            <w:tcW w:w="20" w:type="dxa"/>
            <w:vAlign w:val="bottom"/>
          </w:tcPr>
          <w:p>
            <w:pPr>
              <w:spacing w:after="0"/>
              <w:rPr>
                <w:sz w:val="11"/>
                <w:szCs w:val="11"/>
                <w:color w:val="auto"/>
              </w:rPr>
            </w:pPr>
          </w:p>
        </w:tc>
        <w:tc>
          <w:tcPr>
            <w:tcW w:w="1420" w:type="dxa"/>
            <w:vAlign w:val="bottom"/>
            <w:gridSpan w:val="3"/>
          </w:tcPr>
          <w:p>
            <w:pPr>
              <w:ind w:left="40"/>
              <w:spacing w:after="0" w:line="110" w:lineRule="exact"/>
              <w:rPr>
                <w:sz w:val="20"/>
                <w:szCs w:val="20"/>
                <w:color w:val="auto"/>
              </w:rPr>
            </w:pPr>
            <w:r>
              <w:rPr>
                <w:rFonts w:ascii="Arial" w:cs="Arial" w:eastAsia="Arial" w:hAnsi="Arial"/>
                <w:sz w:val="12"/>
                <w:szCs w:val="12"/>
                <w:color w:val="auto"/>
              </w:rPr>
              <w:t>Cash Flow Hedges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240"/>
              <w:spacing w:after="0" w:line="110" w:lineRule="exact"/>
              <w:rPr>
                <w:sz w:val="20"/>
                <w:szCs w:val="20"/>
                <w:color w:val="auto"/>
              </w:rPr>
            </w:pPr>
            <w:r>
              <w:rPr>
                <w:rFonts w:ascii="Arial" w:cs="Arial" w:eastAsia="Arial" w:hAnsi="Arial"/>
                <w:sz w:val="12"/>
                <w:szCs w:val="12"/>
                <w:color w:val="auto"/>
              </w:rPr>
              <w:t>Pension Items</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Borders>
              <w:right w:val="single" w:sz="8" w:color="CCEEFF"/>
            </w:tcBorders>
          </w:tcPr>
          <w:p>
            <w:pPr>
              <w:spacing w:after="0"/>
              <w:rPr>
                <w:sz w:val="15"/>
                <w:szCs w:val="15"/>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2021</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5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500" w:type="dxa"/>
            <w:vAlign w:val="bottom"/>
            <w:tcBorders>
              <w:bottom w:val="single" w:sz="8" w:color="CCEEFF"/>
            </w:tcBorders>
            <w:gridSpan w:val="3"/>
          </w:tcPr>
          <w:p>
            <w:pPr>
              <w:ind w:left="200"/>
              <w:spacing w:after="0"/>
              <w:rPr>
                <w:sz w:val="20"/>
                <w:szCs w:val="20"/>
                <w:color w:val="auto"/>
              </w:rPr>
            </w:pPr>
            <w:r>
              <w:rPr>
                <w:rFonts w:ascii="Arial" w:cs="Arial" w:eastAsia="Arial" w:hAnsi="Arial"/>
                <w:sz w:val="14"/>
                <w:szCs w:val="14"/>
                <w:color w:val="auto"/>
              </w:rPr>
              <w:t>Other comprehensive income (loss)</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 w:type="dxa"/>
            <w:vAlign w:val="bottom"/>
            <w:tcBorders>
              <w:right w:val="single" w:sz="8" w:color="CCEEFF"/>
            </w:tcBorders>
          </w:tcPr>
          <w:p>
            <w:pPr>
              <w:spacing w:after="0"/>
              <w:rPr>
                <w:sz w:val="17"/>
                <w:szCs w:val="17"/>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at June 30, 2022</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5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color w:val="auto"/>
              </w:rPr>
              <w:t>Currency</w:t>
            </w:r>
          </w:p>
        </w:tc>
        <w:tc>
          <w:tcPr>
            <w:tcW w:w="20" w:type="dxa"/>
            <w:vAlign w:val="bottom"/>
          </w:tcPr>
          <w:p>
            <w:pPr>
              <w:spacing w:after="0"/>
              <w:rPr>
                <w:sz w:val="21"/>
                <w:szCs w:val="21"/>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color w:val="auto"/>
              </w:rPr>
              <w:t>Gains (Losses) on</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rPr>
              <w:t>Defined Benefit</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240"/>
              <w:spacing w:after="0" w:line="135" w:lineRule="exact"/>
              <w:rPr>
                <w:sz w:val="20"/>
                <w:szCs w:val="20"/>
                <w:color w:val="auto"/>
              </w:rPr>
            </w:pPr>
            <w:r>
              <w:rPr>
                <w:rFonts w:ascii="Arial" w:cs="Arial" w:eastAsia="Arial" w:hAnsi="Arial"/>
                <w:sz w:val="14"/>
                <w:szCs w:val="14"/>
                <w:color w:val="auto"/>
              </w:rPr>
              <w:t>Translation</w:t>
            </w:r>
          </w:p>
        </w:tc>
        <w:tc>
          <w:tcPr>
            <w:tcW w:w="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40" w:type="dxa"/>
            <w:vAlign w:val="bottom"/>
            <w:gridSpan w:val="4"/>
          </w:tcPr>
          <w:p>
            <w:pPr>
              <w:spacing w:after="0" w:line="110" w:lineRule="exact"/>
              <w:rPr>
                <w:sz w:val="20"/>
                <w:szCs w:val="20"/>
                <w:color w:val="auto"/>
              </w:rPr>
            </w:pPr>
            <w:r>
              <w:rPr>
                <w:rFonts w:ascii="Arial" w:cs="Arial" w:eastAsia="Arial" w:hAnsi="Arial"/>
                <w:sz w:val="12"/>
                <w:szCs w:val="12"/>
                <w:color w:val="auto"/>
              </w:rPr>
              <w:t>(in millions)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260"/>
              <w:spacing w:after="0" w:line="110" w:lineRule="exact"/>
              <w:rPr>
                <w:sz w:val="20"/>
                <w:szCs w:val="20"/>
                <w:color w:val="auto"/>
              </w:rPr>
            </w:pPr>
            <w:r>
              <w:rPr>
                <w:rFonts w:ascii="Arial" w:cs="Arial" w:eastAsia="Arial" w:hAnsi="Arial"/>
                <w:sz w:val="12"/>
                <w:szCs w:val="12"/>
                <w:color w:val="auto"/>
              </w:rPr>
              <w:t>Adjustments</w:t>
            </w:r>
          </w:p>
        </w:tc>
        <w:tc>
          <w:tcPr>
            <w:tcW w:w="20" w:type="dxa"/>
            <w:vAlign w:val="bottom"/>
          </w:tcPr>
          <w:p>
            <w:pPr>
              <w:spacing w:after="0"/>
              <w:rPr>
                <w:sz w:val="11"/>
                <w:szCs w:val="11"/>
                <w:color w:val="auto"/>
              </w:rPr>
            </w:pPr>
          </w:p>
        </w:tc>
        <w:tc>
          <w:tcPr>
            <w:tcW w:w="1420" w:type="dxa"/>
            <w:vAlign w:val="bottom"/>
            <w:gridSpan w:val="3"/>
          </w:tcPr>
          <w:p>
            <w:pPr>
              <w:ind w:left="60"/>
              <w:spacing w:after="0" w:line="110" w:lineRule="exact"/>
              <w:rPr>
                <w:sz w:val="20"/>
                <w:szCs w:val="20"/>
                <w:color w:val="auto"/>
              </w:rPr>
            </w:pPr>
            <w:r>
              <w:rPr>
                <w:rFonts w:ascii="Arial" w:cs="Arial" w:eastAsia="Arial" w:hAnsi="Arial"/>
                <w:sz w:val="12"/>
                <w:szCs w:val="12"/>
                <w:color w:val="auto"/>
              </w:rPr>
              <w:t>Cash Flow Hedges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200"/>
              <w:spacing w:after="0" w:line="110" w:lineRule="exact"/>
              <w:rPr>
                <w:sz w:val="20"/>
                <w:szCs w:val="20"/>
                <w:color w:val="auto"/>
              </w:rPr>
            </w:pPr>
            <w:r>
              <w:rPr>
                <w:rFonts w:ascii="Arial" w:cs="Arial" w:eastAsia="Arial" w:hAnsi="Arial"/>
                <w:sz w:val="12"/>
                <w:szCs w:val="12"/>
                <w:color w:val="auto"/>
              </w:rPr>
              <w:t>Pension Items</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5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550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Other comprehensive income (loss)</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5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Balance at June 30, 2021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(407)</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4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All amounts are net of tax. Tax effects were immaterial.</w:t>
      </w:r>
    </w:p>
    <w:p>
      <w:pPr>
        <w:spacing w:after="0" w:line="200" w:lineRule="exact"/>
        <w:rPr>
          <w:sz w:val="20"/>
          <w:szCs w:val="20"/>
          <w:color w:val="auto"/>
        </w:rPr>
      </w:pPr>
    </w:p>
    <w:p>
      <w:pPr>
        <w:spacing w:after="0" w:line="234"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Q2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7" w:name="page18"/>
    <w:bookmarkEnd w:id="17"/>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12 – Contingencies and Litigation</w:t>
      </w:r>
    </w:p>
    <w:p>
      <w:pPr>
        <w:spacing w:after="0" w:line="18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June 30, 2022. Litigation is inherently unpredictable, and it is not possible to predict the ultimate outcome of these matters and such outcome in any such matters could be more than any amounts accrued and could be material to the Company's results of operations, cash flows or financial position in any reporting period.</w:t>
      </w:r>
    </w:p>
    <w:p>
      <w:pPr>
        <w:spacing w:after="0" w:line="15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Consolidated Financial position or liquidity. As of June 30, 2022, the Company had accrued its estimate of liability incurred under its indemnification arrangements and guarantees.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Against the Company</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u w:val="single" w:color="auto"/>
          <w:color w:val="1269BC"/>
        </w:rPr>
        <w:t>Employees’ Retirement System of the Puerto Rico Electric Power Authority et al v. Conduent Inc. et al.:</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March 8, 2019, a putative</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class action lawsuit alleging violations of certain federal securities laws in connection with our statements and alleged omissions regarding our financial guidance and business and operations was filed against us, our former Chief Executive Officer, and our former Chief Financial Officer in the United States District Court for the District of New Jersey. The complaint seeks certification of a class of all persons who purchased or otherwise acquired our securities from February 21, 2018 through November 6, 2018, and also seeks unspecified monetary damages, costs, and attorneys’ fees. We moved to dismiss the class action complaint in its entirety. In June 2020, the court denied the motion to dismiss and allowed the claims to proceed. The Court granted Class Certification on February 28, 2022. Upon the substantial completion of document discovery, the parties agreed to engage in mediation, and the Court administratively terminated the litigation to permit those efforts to proceed. We intend to continue to defend the litigation vigorously. The Company maintains insurance that may cover any costs arising out of this litigation up to the insurance limits, and subject to meeting certain deductibles and to other terms and conditions thereof. The Company is not yet able to determine or predict the ultimate outcome of this proceeding or reasonably provide an estimate or range of estimate of the possible outcome or loss, if any, in excess of currently recorded reserves.</w:t>
      </w:r>
    </w:p>
    <w:p>
      <w:pPr>
        <w:spacing w:after="0" w:line="200" w:lineRule="exact"/>
        <w:rPr>
          <w:sz w:val="20"/>
          <w:szCs w:val="20"/>
          <w:color w:val="auto"/>
        </w:rPr>
      </w:pPr>
    </w:p>
    <w:p>
      <w:pPr>
        <w:spacing w:after="0" w:line="36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2022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8" w:name="page19"/>
    <w:bookmarkEnd w:id="18"/>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u w:val="single" w:color="auto"/>
          <w:color w:val="1269BC"/>
        </w:rPr>
        <w:t>Skyview Capital LLC and Continuum Global Solutions, LLC v. Conduent Business Services, LLC:</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February 3, 2020, plaintiffs filed</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a lawsuit in the Superior Court of New York County, New York. The lawsuit relates to the sale of a portion of Conduent Business Service, LLC's (CBS) select standalone customer care call center business to plaintiffs, which sale closed in February 2019. Under the terms of the sale agreement, CBS received approximately $23 million of notes from plaintiffs (Notes). The lawsuit alleges various causes of action in connection with the acquisition, including: indemnification for breach of representation and warranty; indemnification for breach of contract and fraud. Plaintiffs allege that their obligation to mitigate damages and their contractual right of set-off permits them to withhold and deduct from any amounts that are owed to CBS under the Notes, and plaintiffs seek a judgement that they have no obligation to pay the Notes. On August 20, 2020, Conduent filed a counterclaim against Skyview LLC (Skyview) seeking the outstanding balance on the Notes, the amounts owed for the Jamaica deferred closing, and other transition services agreement and late rent payment obligations. Conduent also moved to dismiss Skyview’s claims in 2020. In May 2021, the court denied the motion and allowed the claims to proceed. Conduent denies all of the plaintiffs' allegations, believes that it has strong defenses to all of plaintiffs’ claims and it intends to defend the litigation vigorously. The Company is not able to determine or predict the ultimate outcome of this proceeding or reasonably provide an estimate or range of estimate of the possible outcome or loss, if any, in excess of currently recorded reserves.</w:t>
      </w:r>
    </w:p>
    <w:p>
      <w:pPr>
        <w:spacing w:after="0" w:line="120"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b w:val="1"/>
          <w:bCs w:val="1"/>
          <w:i w:val="1"/>
          <w:iCs w:val="1"/>
          <w:u w:val="single" w:color="auto"/>
          <w:color w:val="1269BC"/>
        </w:rPr>
        <w:t>Dennis Nasrawi v. Buck Consultants et al.:</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October 8, 2009, plaintiffs filed a lawsuit in the Superior Court of California, Stanislaus</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County, and on November 24, 2009, the case was removed to the U.S. Court for the Eastern District of California, Fresno Division. Plaintiffs alleged actuarial negligence against Buck Consultants, LLC (Buck), which was a wholly-owned subsidiary of Conduent, for the use of faulty actuarial assumptions in connection with the 2007 actuarial valuation for the Stanislaus County Employees Retirement Association (StanCERA). Plaintiffs alleged that the employer contribution rate adopted by StanCERA based on Buck’s valuation was insufficient to fund the benefits promised by the County. On July 13, 2012, the Court entered its ruling that the plaintiffs lacked standing to sue in a representative capacity on behalf of all plan participants. The Court also ruled that plaintiffs had adequately pleaded their claim that Buck allegedly aided and abetted StanCERA in breaching its fiduciary duty. Plaintiffs then filed their Fifth Amended Complaint and added StanCERA to the litigation. Buck and StanCERA filed demurrers to the amended complaint. On September 13, 2012, the Court sustained both demurrers with prejudice, completely dismissing the matter and barring plaintiffs from refiling their claims. Plaintiffs appealed, and ultimately the California Court of Appeals (Sixth District) reversed the trial court’s ruling and remanded the case back to the trial court as to Buck only, and only with respect to plaintiff's claim of aiding and abetting StanCERA in breaching its fiduciary duty. This case was stayed pending the outcome of parallel litigation the plaintiffs were pursuing against StanCERA. The parallel litigation was tried before the bench in June 2018, and on January 24, 2019, the Court found in favor of StanCERA, holding that it had not breached its fiduciary duty to plaintiffs. In August 2018, the Company sold Buck; however, the Company retained this liability after the sale. On April 26, 2019, plaintiffs in the parallel litigation filed an appeal. On December 8, 2021, the appellate court affirmed the trial court’s decision, and the judgment became final on January 7, 2022. On January 18, 2022, Plaintiffs in the parallel litigation filed a petition for review to the California Supreme Court. On March 16, 2022, the California Supreme Court denied Plaintiffs’ petition, thereby foreclosing further avenues for Plaintiffs. Plaintiffs filed their Notice of Dismissal, which the Court entered on March 22, 2022. As a result, during the first quarter of 2022, the Company reversed the reserve pertaining to this matter.</w:t>
      </w:r>
    </w:p>
    <w:p>
      <w:pPr>
        <w:spacing w:after="0" w:line="126"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u w:val="single" w:color="auto"/>
          <w:color w:val="1269BC"/>
        </w:rPr>
        <w:t>Conduent Business Services, LLC v. Cognizant Business Services Corporation:</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April 12, 2017, CBS filed a lawsuit against</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Cognizant Business Services Corporation (Cognizant) in the Supreme Court of New York County, New York. The lawsuit relates to the Amended and Restated Master Outsourcing Services Agreement effective as of October 24, 2012, and the service delivery contracts and work orders thereunder, between CBS and Cognizant, as amended and supplemented (Contract). The Contract contains certain minimum purchase obligations by CBS through the date of expiration. The lawsuit alleges that Cognizant committed multiple breaches of the Contract, including Cognizant’s failure to properly perform its obligations as subcontractor to CBS under CBS’s contract with the New York Department of Health to provide Medicaid Management Information Systems. In the lawsuit, CBS seeks damages in excess of $150 million. During the first quarter of 2018, CBS provided notice to Cognizant that it was terminating the Contract for cause and recorded in the same period certain charges associated with the termination. CBS also alleges that it terminated the Contract for cause, because, among other things, Cognizant violated the Foreign Corrupt Practices Act. In its answer, Cognizant asserted two counterclaims for breach of contract seeking recovery of damages in excess of $47 million, which includes amounts alleged not paid to Cognizant under the Contract and an alleged $25 million termination fee. Cognizant's second amended counterclaim increased Cognizant's damages to $89 million. The matter has been proceeding through fact and expert discovery. CBS will continue to vigorously defend itself against the counterclaims but the Company is not able to determine or predict the ultimate outcome of this proceeding or reasonably provide an estimate or range of estimate of the possible outcome or loss, if any, in excess of currently recorded reserves.</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2022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9" w:name="page20"/>
    <w:bookmarkEnd w:id="19"/>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Other Matters</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During the first quarter of 2022, the Company entered into settlement agreements with six of its insurers under its 2012–2013 errors and omission insurance policy in which the Company agreed to resolve its claims for insurance coverage in connection with the previously disclosed State of Texas matter that settled in February 2019, as included in the Company’s Annual Report on Form 10-K for the year ended December 31, 2020. As a result of the settlement agreements entered with the insurers, the Company received an aggregate sum of $38 million, of which $14 million was recognized as defense costs recovery in Selling, general and administrative and $24 million was recognized in Litigation settlements (recoveries), net.</w:t>
      </w:r>
    </w:p>
    <w:p>
      <w:pPr>
        <w:spacing w:after="0" w:line="15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Since 2014, Xerox Education Services, Inc. (XES) has cooperated with several federal and state agencies regarding a variety of matters, including XES' self-disclosure to the U.S. Department of Education (Department) and the Consumer Financial Protection Bureau (CFPB) that some third-party student loans under outsourcing arrangements for various financial institutions required adjustments. With the exception of one remaining state attorney general inquiry, the Company has resolved all investigations by the CFPB, several state agencies, the Department and the U.S. Department of Justice. The Company cannot provide assurance that the CFPB, another regulator, a financial institution on behalf of which XES serviced third-party student loans, or another party will not ultimately commence a legal action against XES in which fines, penalties or other liabilities are sought from XES. Nor is the Company able to predict the likely outcome of these matters, should any such matter be commenced, or reasonably provide an estimate or range of estimates of any loss in excess of currently recorded reserves. The Company could, in future periods, incur judgments or enter into settlements to resolve these potential matters for amounts in excess of current reserves and there could be a material adverse effect on the Company's results of operations, cash flows and financial position in the period in which such change in judgment or settlement occurs.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Other Contingencies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contracts, primarily in the Company's Government Services and Transportation segments, require the Company to provide a surety bond or a letter of credit as a guarantee of performance. As of June 30, 2022, the Company had $547 million of outstanding surety bonds issued to secure its performance of contractual obligations with its clients and $ 101 million of outstanding letters of credit issued to secure the Company's performance of contractual obligations to its clients as well as other corporate obligations. In general, the Company would only be liable for these guarantees in the event of default in the Company's performance of its obligations under each contract. The Company believes it has sufficient capacity in the surety markets and liquidity from its cash flow and its various credit arrangements to allow it to respond to future requests for proposals that require such credit support.</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 xml:space="preserve">Note 13 </w:t>
      </w:r>
      <w:r>
        <w:rPr>
          <w:rFonts w:ascii="Arial" w:cs="Arial" w:eastAsia="Arial" w:hAnsi="Arial"/>
          <w:sz w:val="22"/>
          <w:szCs w:val="22"/>
          <w:b w:val="1"/>
          <w:bCs w:val="1"/>
          <w:color w:val="1269BC"/>
        </w:rPr>
        <w:t>–</w:t>
      </w:r>
      <w:r>
        <w:rPr>
          <w:rFonts w:ascii="Arial" w:cs="Arial" w:eastAsia="Arial" w:hAnsi="Arial"/>
          <w:sz w:val="22"/>
          <w:szCs w:val="22"/>
          <w:b w:val="1"/>
          <w:bCs w:val="1"/>
          <w:color w:val="0066CC"/>
        </w:rPr>
        <w:t xml:space="preserve">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Series A Preferred Stock</w:t>
      </w:r>
    </w:p>
    <w:p>
      <w:pPr>
        <w:spacing w:after="0" w:line="193"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In December 2016, the Company issued 120,000 shares of Series A convertible perpetual preferred stock with an aggregate liquidation preference of $120 million and an initial fair value of $142 million. The convertible preferred stock earns quarterly cash dividends at a rate of 8% per year ($9.6 million per year). Each share of convertible preferred stock is convertible at any time, at the option of the holder, into</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44.9438 shares of common stock for a total of 5,393,000 shares (reflecting an initial conversion price of approximately $22.25 per share of common stock), subject to customary anti-dilution adjustments.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0" w:name="page21"/>
    <w:bookmarkEnd w:id="20"/>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14 – Earnings (Loss)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declare any common stock dividends in the periods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of common stock:</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ind w:left="30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320" w:type="dxa"/>
            <w:vAlign w:val="bottom"/>
            <w:gridSpan w:val="4"/>
          </w:tcPr>
          <w:p>
            <w:pPr>
              <w:jc w:val="right"/>
              <w:ind w:right="668"/>
              <w:spacing w:after="0"/>
              <w:rPr>
                <w:sz w:val="20"/>
                <w:szCs w:val="20"/>
                <w:color w:val="auto"/>
              </w:rPr>
            </w:pPr>
            <w:r>
              <w:rPr>
                <w:rFonts w:ascii="Arial" w:cs="Arial" w:eastAsia="Arial" w:hAnsi="Arial"/>
                <w:sz w:val="14"/>
                <w:szCs w:val="14"/>
                <w:color w:val="auto"/>
              </w:rPr>
              <w:t>Six Months Ended</w:t>
            </w: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960" w:type="dxa"/>
            <w:vAlign w:val="bottom"/>
            <w:gridSpan w:val="2"/>
          </w:tcPr>
          <w:p>
            <w:pPr>
              <w:spacing w:after="0" w:line="129" w:lineRule="exact"/>
              <w:rPr>
                <w:sz w:val="20"/>
                <w:szCs w:val="20"/>
                <w:color w:val="auto"/>
              </w:rPr>
            </w:pPr>
            <w:r>
              <w:rPr>
                <w:rFonts w:ascii="Arial" w:cs="Arial" w:eastAsia="Arial" w:hAnsi="Arial"/>
                <w:sz w:val="13"/>
                <w:szCs w:val="13"/>
                <w:color w:val="auto"/>
              </w:rPr>
              <w:t>(in millions, except per share data in whole dollars and shares in thousands)</w:t>
            </w:r>
          </w:p>
        </w:tc>
        <w:tc>
          <w:tcPr>
            <w:tcW w:w="280" w:type="dxa"/>
            <w:vAlign w:val="bottom"/>
          </w:tcPr>
          <w:p>
            <w:pPr>
              <w:spacing w:after="0"/>
              <w:rPr>
                <w:sz w:val="12"/>
                <w:szCs w:val="12"/>
                <w:color w:val="auto"/>
              </w:rPr>
            </w:pPr>
          </w:p>
        </w:tc>
        <w:tc>
          <w:tcPr>
            <w:tcW w:w="940" w:type="dxa"/>
            <w:vAlign w:val="bottom"/>
          </w:tcPr>
          <w:p>
            <w:pPr>
              <w:jc w:val="right"/>
              <w:ind w:right="388"/>
              <w:spacing w:after="0" w:line="129"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jc w:val="right"/>
              <w:ind w:right="38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88"/>
              <w:spacing w:after="0" w:line="129"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388"/>
              <w:spacing w:after="0" w:line="129" w:lineRule="exact"/>
              <w:rPr>
                <w:sz w:val="20"/>
                <w:szCs w:val="20"/>
                <w:color w:val="auto"/>
              </w:rPr>
            </w:pPr>
            <w:r>
              <w:rPr>
                <w:rFonts w:ascii="Arial" w:cs="Arial" w:eastAsia="Arial" w:hAnsi="Arial"/>
                <w:sz w:val="14"/>
                <w:szCs w:val="14"/>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Basic Net Earnings (Loss) per Share:</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20" w:type="dxa"/>
            <w:vAlign w:val="bottom"/>
            <w:shd w:val="clear" w:color="auto" w:fill="CCEEFF"/>
          </w:tcPr>
          <w:p>
            <w:pPr>
              <w:spacing w:after="0"/>
              <w:rPr>
                <w:sz w:val="16"/>
                <w:szCs w:val="16"/>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3"/>
        </w:trPr>
        <w:tc>
          <w:tcPr>
            <w:tcW w:w="20" w:type="dxa"/>
            <w:vAlign w:val="bottom"/>
          </w:tcPr>
          <w:p>
            <w:pPr>
              <w:spacing w:after="0"/>
              <w:rPr>
                <w:sz w:val="15"/>
                <w:szCs w:val="15"/>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Adjusted Net Income (Loss) Available to Common Shareholders - Basic</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424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r>
      <w:tr>
        <w:trPr>
          <w:trHeight w:val="189"/>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Diluted Net Earnings (Loss) per Share:</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20" w:type="dxa"/>
            <w:vAlign w:val="bottom"/>
            <w:tcBorders>
              <w:bottom w:val="single" w:sz="8" w:color="CCEEFF"/>
            </w:tcBorders>
          </w:tcPr>
          <w:p>
            <w:pPr>
              <w:spacing w:after="0"/>
              <w:rPr>
                <w:sz w:val="16"/>
                <w:szCs w:val="16"/>
                <w:color w:val="auto"/>
              </w:rPr>
            </w:pPr>
          </w:p>
        </w:tc>
        <w:tc>
          <w:tcPr>
            <w:tcW w:w="59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Adjusted Net Income (Loss) Available to Common Shareholders - Diluted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Basic</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215,629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212,450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215,561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212,344</w:t>
            </w:r>
          </w:p>
        </w:tc>
      </w:tr>
      <w:tr>
        <w:trPr>
          <w:trHeight w:val="189"/>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Common Shares Issuable With Respect To:</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Restricted Stock And Performance Units / Shares</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tcPr>
          <w:p>
            <w:pPr>
              <w:spacing w:after="0"/>
              <w:rPr>
                <w:sz w:val="16"/>
                <w:szCs w:val="16"/>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8% Convertible Preferred Stock</w:t>
            </w:r>
          </w:p>
        </w:tc>
        <w:tc>
          <w:tcPr>
            <w:tcW w:w="2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215,629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220,165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218,802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212,344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189"/>
        </w:trPr>
        <w:tc>
          <w:tcPr>
            <w:tcW w:w="20" w:type="dxa"/>
            <w:vAlign w:val="bottom"/>
            <w:shd w:val="clear" w:color="auto" w:fill="CCEEFF"/>
          </w:tcPr>
          <w:p>
            <w:pPr>
              <w:spacing w:after="0"/>
              <w:rPr>
                <w:sz w:val="16"/>
                <w:szCs w:val="16"/>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 (Loss) per Share: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0.61</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(0.02)</w:t>
            </w:r>
          </w:p>
        </w:tc>
      </w:tr>
      <w:tr>
        <w:trPr>
          <w:trHeight w:val="189"/>
        </w:trPr>
        <w:tc>
          <w:tcPr>
            <w:tcW w:w="20" w:type="dxa"/>
            <w:vAlign w:val="bottom"/>
            <w:shd w:val="clear" w:color="auto" w:fill="CCEEFF"/>
          </w:tcPr>
          <w:p>
            <w:pPr>
              <w:spacing w:after="0"/>
              <w:rPr>
                <w:sz w:val="16"/>
                <w:szCs w:val="16"/>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06" w:lineRule="exact"/>
        <w:rPr>
          <w:sz w:val="20"/>
          <w:szCs w:val="20"/>
          <w:color w:val="auto"/>
        </w:rPr>
      </w:pPr>
    </w:p>
    <w:p>
      <w:pPr>
        <w:ind w:left="20" w:right="340"/>
        <w:spacing w:after="0" w:line="229" w:lineRule="auto"/>
        <w:rPr>
          <w:sz w:val="20"/>
          <w:szCs w:val="20"/>
          <w:color w:val="auto"/>
        </w:rPr>
      </w:pPr>
      <w:r>
        <w:rPr>
          <w:rFonts w:ascii="Arial" w:cs="Arial" w:eastAsia="Arial" w:hAnsi="Arial"/>
          <w:sz w:val="14"/>
          <w:szCs w:val="14"/>
          <w:color w:val="auto"/>
        </w:rPr>
        <w:t>The following securities were not included in the computation of diluted earnings per share as they were either contingently issuable shares or shares that if included would have been anti-dilutive (shares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ind w:left="20"/>
              <w:spacing w:after="0"/>
              <w:rPr>
                <w:sz w:val="20"/>
                <w:szCs w:val="20"/>
                <w:color w:val="auto"/>
              </w:rPr>
            </w:pPr>
            <w:r>
              <w:rPr>
                <w:rFonts w:ascii="Arial" w:cs="Arial" w:eastAsia="Arial" w:hAnsi="Arial"/>
                <w:sz w:val="14"/>
                <w:szCs w:val="14"/>
                <w:color w:val="auto"/>
              </w:rPr>
              <w:t>Restricted stock and performance shares/units</w:t>
            </w:r>
          </w:p>
        </w:tc>
        <w:tc>
          <w:tcPr>
            <w:tcW w:w="1220" w:type="dxa"/>
            <w:vAlign w:val="bottom"/>
          </w:tcPr>
          <w:p>
            <w:pPr>
              <w:jc w:val="right"/>
              <w:spacing w:after="0"/>
              <w:rPr>
                <w:sz w:val="20"/>
                <w:szCs w:val="20"/>
                <w:color w:val="auto"/>
              </w:rPr>
            </w:pPr>
            <w:r>
              <w:rPr>
                <w:rFonts w:ascii="Arial" w:cs="Arial" w:eastAsia="Arial" w:hAnsi="Arial"/>
                <w:sz w:val="14"/>
                <w:szCs w:val="14"/>
                <w:color w:val="auto"/>
              </w:rPr>
              <w:t>5,852</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2,762</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6,405</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13,783</w:t>
            </w:r>
          </w:p>
        </w:tc>
      </w:tr>
      <w:tr>
        <w:trPr>
          <w:trHeight w:val="189"/>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preferred stock</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5,393</w:t>
            </w:r>
          </w:p>
        </w:tc>
        <w:tc>
          <w:tcPr>
            <w:tcW w:w="12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5,393</w:t>
            </w:r>
          </w:p>
        </w:tc>
        <w:tc>
          <w:tcPr>
            <w:tcW w:w="10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5,393</w:t>
            </w:r>
          </w:p>
        </w:tc>
        <w:tc>
          <w:tcPr>
            <w:tcW w:w="12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5,393</w:t>
            </w:r>
          </w:p>
        </w:tc>
      </w:tr>
      <w:tr>
        <w:trPr>
          <w:trHeight w:val="183"/>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Total Anti-Dilutive and Contingently Issuable Securities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11,245</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8,155</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11,798</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19,176</w:t>
            </w:r>
          </w:p>
        </w:tc>
      </w:tr>
      <w:tr>
        <w:trPr>
          <w:trHeight w:val="20"/>
        </w:trPr>
        <w:tc>
          <w:tcPr>
            <w:tcW w:w="59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1" w:name="page22"/>
    <w:bookmarkEnd w:id="21"/>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15 – Supplementary Financial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assets and Other liabilities were as follows: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7540" w:type="dxa"/>
            <w:vAlign w:val="bottom"/>
            <w:gridSpan w:val="3"/>
          </w:tcPr>
          <w:p>
            <w:pPr>
              <w:ind w:left="20"/>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5"/>
                <w:szCs w:val="15"/>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color w:val="auto"/>
              </w:rPr>
              <w:t>June 30, 2022</w:t>
            </w:r>
          </w:p>
        </w:tc>
        <w:tc>
          <w:tcPr>
            <w:tcW w:w="180" w:type="dxa"/>
            <w:vAlign w:val="bottom"/>
          </w:tcPr>
          <w:p>
            <w:pPr>
              <w:spacing w:after="0"/>
              <w:rPr>
                <w:sz w:val="15"/>
                <w:szCs w:val="15"/>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December 31, 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Assets</w:t>
            </w: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Prepaid expenses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taxes receivable</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Value-added tax (VAT) receivable</w:t>
            </w:r>
          </w:p>
        </w:tc>
        <w:tc>
          <w:tcPr>
            <w:tcW w:w="28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Current portion of capitalized cloud computing implementation costs, net</w:t>
            </w:r>
          </w:p>
        </w:tc>
        <w:tc>
          <w:tcPr>
            <w:tcW w:w="28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3"/>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4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Other Current Liabilities</w:t>
            </w:r>
          </w:p>
        </w:tc>
        <w:tc>
          <w:tcPr>
            <w:tcW w:w="2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Accrued liabilities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Litigation related accruals</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Current operating lease liabilities</w:t>
            </w:r>
          </w:p>
        </w:tc>
        <w:tc>
          <w:tcPr>
            <w:tcW w:w="28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Restructuring liabilities</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Income tax payable</w:t>
            </w:r>
          </w:p>
        </w:tc>
        <w:tc>
          <w:tcPr>
            <w:tcW w:w="28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taxes payable</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Accrued interest</w:t>
            </w:r>
          </w:p>
        </w:tc>
        <w:tc>
          <w:tcPr>
            <w:tcW w:w="28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3"/>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Current Liabilities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4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Other Long-term Assets</w:t>
            </w:r>
          </w:p>
        </w:tc>
        <w:tc>
          <w:tcPr>
            <w:tcW w:w="2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Internal use software, net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Deferred contract costs, net</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Product software, net</w:t>
            </w:r>
          </w:p>
        </w:tc>
        <w:tc>
          <w:tcPr>
            <w:tcW w:w="28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Cloud computing implementation costs, net</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07"/>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Long-term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b w:val="1"/>
                <w:bCs w:val="1"/>
                <w:color w:val="auto"/>
              </w:rPr>
              <w:t>Other Long-term 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54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 liabilities</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Unearned income</w:t>
            </w:r>
          </w:p>
        </w:tc>
        <w:tc>
          <w:tcPr>
            <w:tcW w:w="28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3"/>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Long-term Liabilities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16 – Related Party Transactions</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normal course of business, the Company provides services to, and purchases from, certain related parties with the same shareholders. The services provided to these entities included those related to human resources, end-user support and other services and solutions. The purchases from these entities included office equipment and related services and supplies. Revenue and purchases from these entities were included in Revenue and Costs of services or Selling, general and administrative, respectively, on the Company's Condensed Consolidated Statements of Income (Loss).</w:t>
      </w:r>
    </w:p>
    <w:p>
      <w:pPr>
        <w:spacing w:after="0" w:line="200" w:lineRule="exact"/>
        <w:rPr>
          <w:sz w:val="20"/>
          <w:szCs w:val="20"/>
          <w:color w:val="auto"/>
        </w:rPr>
      </w:pPr>
    </w:p>
    <w:p>
      <w:pPr>
        <w:spacing w:after="0" w:line="375"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2" w:name="page23"/>
    <w:bookmarkEnd w:id="22"/>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related parties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10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color w:val="auto"/>
              </w:rPr>
              <w:t>June 30,</w:t>
            </w:r>
          </w:p>
        </w:tc>
        <w:tc>
          <w:tcPr>
            <w:tcW w:w="10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80" w:type="dxa"/>
            <w:vAlign w:val="bottom"/>
            <w:gridSpan w:val="2"/>
          </w:tcPr>
          <w:p>
            <w:pPr>
              <w:ind w:left="40"/>
              <w:spacing w:after="0" w:line="129" w:lineRule="exact"/>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2"/>
                <w:szCs w:val="12"/>
                <w:color w:val="auto"/>
              </w:rPr>
            </w:pPr>
          </w:p>
        </w:tc>
        <w:tc>
          <w:tcPr>
            <w:tcW w:w="1220" w:type="dxa"/>
            <w:vAlign w:val="bottom"/>
          </w:tcPr>
          <w:p>
            <w:pPr>
              <w:jc w:val="right"/>
              <w:ind w:right="568"/>
              <w:spacing w:after="0" w:line="129"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jc w:val="right"/>
              <w:ind w:right="548"/>
              <w:spacing w:after="0" w:line="129"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ind w:right="568"/>
              <w:spacing w:after="0" w:line="129"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jc w:val="right"/>
              <w:ind w:right="548"/>
              <w:spacing w:after="0" w:line="129" w:lineRule="exact"/>
              <w:rPr>
                <w:sz w:val="20"/>
                <w:szCs w:val="20"/>
                <w:color w:val="auto"/>
              </w:rPr>
            </w:pPr>
            <w:r>
              <w:rPr>
                <w:rFonts w:ascii="Arial" w:cs="Arial" w:eastAsia="Arial" w:hAnsi="Arial"/>
                <w:sz w:val="14"/>
                <w:szCs w:val="14"/>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 from related parties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91"/>
        </w:trPr>
        <w:tc>
          <w:tcPr>
            <w:tcW w:w="20" w:type="dxa"/>
            <w:vAlign w:val="bottom"/>
          </w:tcPr>
          <w:p>
            <w:pPr>
              <w:spacing w:after="0"/>
              <w:rPr>
                <w:sz w:val="16"/>
                <w:szCs w:val="16"/>
                <w:color w:val="auto"/>
              </w:rPr>
            </w:pPr>
          </w:p>
        </w:tc>
        <w:tc>
          <w:tcPr>
            <w:tcW w:w="4580" w:type="dxa"/>
            <w:vAlign w:val="bottom"/>
            <w:gridSpan w:val="2"/>
          </w:tcPr>
          <w:p>
            <w:pPr>
              <w:spacing w:after="0"/>
              <w:rPr>
                <w:sz w:val="20"/>
                <w:szCs w:val="20"/>
                <w:color w:val="auto"/>
              </w:rPr>
            </w:pPr>
            <w:r>
              <w:rPr>
                <w:rFonts w:ascii="Arial" w:cs="Arial" w:eastAsia="Arial" w:hAnsi="Arial"/>
                <w:sz w:val="14"/>
                <w:szCs w:val="14"/>
                <w:color w:val="auto"/>
              </w:rPr>
              <w:t>Purchases from related parties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receivable and payable balances with related party entities were not material as of June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Q2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3" w:name="page24"/>
    <w:bookmarkEnd w:id="23"/>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60"/>
        <w:spacing w:after="0" w:line="274" w:lineRule="auto"/>
        <w:rPr>
          <w:sz w:val="20"/>
          <w:szCs w:val="20"/>
          <w:color w:val="auto"/>
        </w:rPr>
      </w:pPr>
      <w:r>
        <w:rPr>
          <w:rFonts w:ascii="Arial" w:cs="Arial" w:eastAsia="Arial" w:hAnsi="Arial"/>
          <w:sz w:val="22"/>
          <w:szCs w:val="22"/>
          <w:b w:val="1"/>
          <w:bCs w:val="1"/>
          <w:color w:val="1269BC"/>
        </w:rPr>
        <w:t>ITEM 2 — MANAGEMENT’S DISCUSSION AND ANALYSIS OF FINANCIAL CONDITION AND RESULTS OF OPERATIONS</w:t>
      </w:r>
    </w:p>
    <w:p>
      <w:pPr>
        <w:spacing w:after="0" w:line="1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following Management’s Discussion and Analysis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six sections:</w:t>
      </w:r>
    </w:p>
    <w:p>
      <w:pPr>
        <w:spacing w:after="0" w:line="149"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18"/>
          <w:szCs w:val="18"/>
          <w:color w:val="auto"/>
        </w:rPr>
        <w:t>Overview;</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Information and Analysis of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Resources and Liquidity;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Estimates and Policies;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Recent Accounting Changes.</w:t>
      </w:r>
    </w:p>
    <w:p>
      <w:pPr>
        <w:spacing w:after="0" w:line="17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MD&amp;A is provided as a supplement to, and should be read in conjunction with, our Condensed Consolidated Financial Statements and the accompanying Notes.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Overview</w:t>
      </w:r>
    </w:p>
    <w:p>
      <w:pPr>
        <w:spacing w:after="0" w:line="18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are a leading provider of business process services with expertise in transaction-intensive processing, analytics and automation. We serve as a trusted business partner in both the front office and back office, enabling personalized, seamless interactions on a massive scale that improve end-user experience.</w:t>
      </w:r>
    </w:p>
    <w:p>
      <w:pPr>
        <w:spacing w:after="0" w:line="14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Headquartered in Florham Park, New Jersey, we have a team of approximately 58,000 associates as of June 30, 2022, servicing customers from service centers in 24 countries.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correspond to how we organize and manage the business and are aligned to the solutions we offer our clients.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organize and manage our businesses through three reportable segments.</w:t>
      </w:r>
    </w:p>
    <w:p>
      <w:pPr>
        <w:spacing w:after="0" w:line="149" w:lineRule="exact"/>
        <w:rPr>
          <w:sz w:val="20"/>
          <w:szCs w:val="20"/>
          <w:color w:val="auto"/>
        </w:rPr>
      </w:pPr>
    </w:p>
    <w:p>
      <w:pPr>
        <w:ind w:left="340" w:right="120" w:hanging="332"/>
        <w:spacing w:after="0" w:line="268"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Commercial </w:t>
      </w:r>
      <w:r>
        <w:rPr>
          <w:rFonts w:ascii="Arial" w:cs="Arial" w:eastAsia="Arial" w:hAnsi="Arial"/>
          <w:sz w:val="18"/>
          <w:szCs w:val="18"/>
          <w:color w:val="000000"/>
        </w:rPr>
        <w:t>– Our Commercial segment provides business process services and customized solutions to clients in a variety of</w:t>
      </w:r>
      <w:r>
        <w:rPr>
          <w:rFonts w:ascii="Arial" w:cs="Arial" w:eastAsia="Arial" w:hAnsi="Arial"/>
          <w:sz w:val="18"/>
          <w:szCs w:val="18"/>
          <w:b w:val="1"/>
          <w:bCs w:val="1"/>
          <w:color w:val="3051F2"/>
        </w:rPr>
        <w:t xml:space="preserve"> </w:t>
      </w:r>
      <w:r>
        <w:rPr>
          <w:rFonts w:ascii="Arial" w:cs="Arial" w:eastAsia="Arial" w:hAnsi="Arial"/>
          <w:sz w:val="18"/>
          <w:szCs w:val="18"/>
          <w:color w:val="000000"/>
        </w:rPr>
        <w:t>industries. Across the Commercial segment, we operate on our clients’ behalf to deliver mission-critical solutions and services to reduce costs, improve efficiencies and enable revenue growth for our clients and their consumers and employees.</w:t>
      </w:r>
    </w:p>
    <w:p>
      <w:pPr>
        <w:spacing w:after="0" w:line="116" w:lineRule="exact"/>
        <w:rPr>
          <w:rFonts w:ascii="Arial" w:cs="Arial" w:eastAsia="Arial" w:hAnsi="Arial"/>
          <w:sz w:val="18"/>
          <w:szCs w:val="18"/>
          <w:color w:val="auto"/>
        </w:rPr>
      </w:pPr>
    </w:p>
    <w:p>
      <w:pPr>
        <w:ind w:left="340" w:right="320" w:hanging="332"/>
        <w:spacing w:after="0" w:line="262"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Government Services </w:t>
      </w:r>
      <w:r>
        <w:rPr>
          <w:rFonts w:ascii="Arial" w:cs="Arial" w:eastAsia="Arial" w:hAnsi="Arial"/>
          <w:sz w:val="18"/>
          <w:szCs w:val="18"/>
          <w:color w:val="000000"/>
        </w:rPr>
        <w:t>– Our Government Services segment provides government-centric business process services to U.S. federal,</w:t>
      </w:r>
      <w:r>
        <w:rPr>
          <w:rFonts w:ascii="Arial" w:cs="Arial" w:eastAsia="Arial" w:hAnsi="Arial"/>
          <w:sz w:val="18"/>
          <w:szCs w:val="18"/>
          <w:b w:val="1"/>
          <w:bCs w:val="1"/>
          <w:color w:val="3051F2"/>
        </w:rPr>
        <w:t xml:space="preserve"> </w:t>
      </w:r>
      <w:r>
        <w:rPr>
          <w:rFonts w:ascii="Arial" w:cs="Arial" w:eastAsia="Arial" w:hAnsi="Arial"/>
          <w:sz w:val="18"/>
          <w:szCs w:val="18"/>
          <w:color w:val="000000"/>
        </w:rPr>
        <w:t>state and local and foreign governments for public assistance, health services, program administration, transaction processing and payment services. Our solutions in this segment help governments respond to changing rules for eligibility and increasing citizen expectations.</w:t>
      </w:r>
    </w:p>
    <w:p>
      <w:pPr>
        <w:spacing w:after="0" w:line="122" w:lineRule="exact"/>
        <w:rPr>
          <w:rFonts w:ascii="Arial" w:cs="Arial" w:eastAsia="Arial" w:hAnsi="Arial"/>
          <w:sz w:val="18"/>
          <w:szCs w:val="18"/>
          <w:color w:val="auto"/>
        </w:rPr>
      </w:pPr>
    </w:p>
    <w:p>
      <w:pPr>
        <w:ind w:left="340" w:right="120" w:hanging="332"/>
        <w:spacing w:after="0" w:line="262"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Transportation </w:t>
      </w:r>
      <w:r>
        <w:rPr>
          <w:rFonts w:ascii="Arial" w:cs="Arial" w:eastAsia="Arial" w:hAnsi="Arial"/>
          <w:sz w:val="18"/>
          <w:szCs w:val="18"/>
          <w:color w:val="000000"/>
        </w:rPr>
        <w:t>– Our Transportation segment provides systems and support, as well as revenue-generating services, to government</w:t>
      </w:r>
      <w:r>
        <w:rPr>
          <w:rFonts w:ascii="Arial" w:cs="Arial" w:eastAsia="Arial" w:hAnsi="Arial"/>
          <w:sz w:val="18"/>
          <w:szCs w:val="18"/>
          <w:b w:val="1"/>
          <w:bCs w:val="1"/>
          <w:color w:val="3051F2"/>
        </w:rPr>
        <w:t xml:space="preserve"> </w:t>
      </w:r>
      <w:r>
        <w:rPr>
          <w:rFonts w:ascii="Arial" w:cs="Arial" w:eastAsia="Arial" w:hAnsi="Arial"/>
          <w:sz w:val="18"/>
          <w:szCs w:val="18"/>
          <w:color w:val="000000"/>
        </w:rPr>
        <w:t>clients. On behalf of government agencies and authorities in the transportation industry, we deliver mission-critical mobility and payment solutions that improve automation, interoperability and decision-making to streamline operations, increase revenue and reduce congestion while creating safer communities and seamless travel experiences for consumers.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Executive Summary</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continue to transform our business through an intense focus on growth, quality, and efficiency – utilizing a programmatic and project management approach. Beginning in the first quarter of 2020 and through the first and second quarter of 2022, we have expanded the focus of our project portfolio to include both efficiency and growth initiatives, aimed to position the company to pivot to revenue growth and margin expansion over time.</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intend to drive portfolio focus, operating discipline, sales and delivery excellence and innovation, complemented by tightly aligned investments to achieve this mission and purpose. Our strategy is designed to deliver value by delivering profitable growth, expanding operating margins and deploying a disciplined capital allocation strategy. During the six months ended June 30, 2022, our strategy is showing results, including the following:</w:t>
      </w:r>
    </w:p>
    <w:p>
      <w:pPr>
        <w:spacing w:after="0" w:line="200" w:lineRule="exact"/>
        <w:rPr>
          <w:sz w:val="20"/>
          <w:szCs w:val="20"/>
          <w:color w:val="auto"/>
        </w:rPr>
      </w:pPr>
    </w:p>
    <w:p>
      <w:pPr>
        <w:spacing w:after="0" w:line="36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2022 Form 10-Q</w:t>
      </w:r>
    </w:p>
    <w:p>
      <w:pPr>
        <w:sectPr>
          <w:pgSz w:w="11900" w:h="16838" w:orient="portrait"/>
          <w:cols w:equalWidth="0" w:num="1">
            <w:col w:w="11240"/>
          </w:cols>
          <w:pgMar w:left="320" w:top="152" w:right="3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type w:val="continuous"/>
        </w:sectPr>
      </w:pPr>
    </w:p>
    <w:bookmarkStart w:id="24" w:name="page25"/>
    <w:bookmarkEnd w:id="24"/>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right="240" w:hanging="332"/>
        <w:spacing w:after="0" w:line="26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of $136 million for the six months ended June 30, 2022 as compared to net income of $1 million for the same period in the prior year.</w:t>
      </w:r>
    </w:p>
    <w:p>
      <w:pPr>
        <w:spacing w:after="0" w:line="35" w:lineRule="exact"/>
        <w:rPr>
          <w:rFonts w:ascii="Arial" w:cs="Arial" w:eastAsia="Arial" w:hAnsi="Arial"/>
          <w:sz w:val="18"/>
          <w:szCs w:val="18"/>
          <w:color w:val="auto"/>
        </w:rPr>
      </w:pPr>
    </w:p>
    <w:p>
      <w:pPr>
        <w:ind w:left="340" w:right="40" w:hanging="332"/>
        <w:spacing w:after="0" w:line="26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Business annual contract value (ACV) of $180 million increased for the fourth consecutive quarter, with strong contributions of $124 million from the Commercial segment.</w:t>
      </w:r>
    </w:p>
    <w:p>
      <w:pPr>
        <w:spacing w:after="0" w:line="35" w:lineRule="exact"/>
        <w:rPr>
          <w:rFonts w:ascii="Arial" w:cs="Arial" w:eastAsia="Arial" w:hAnsi="Arial"/>
          <w:sz w:val="18"/>
          <w:szCs w:val="18"/>
          <w:color w:val="auto"/>
        </w:rPr>
      </w:pPr>
    </w:p>
    <w:p>
      <w:pPr>
        <w:ind w:left="340" w:right="280" w:hanging="332"/>
        <w:spacing w:after="0" w:line="26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Annual Recurring Revenue (ARR) activity metric of $104 million, as compared to $106 million in the same period in the prior year, $102 million in the first quarter of 2022 and positive for the seventh consecutive quarter.</w:t>
      </w:r>
    </w:p>
    <w:p>
      <w:pPr>
        <w:spacing w:after="0" w:line="35" w:lineRule="exact"/>
        <w:rPr>
          <w:rFonts w:ascii="Arial" w:cs="Arial" w:eastAsia="Arial" w:hAnsi="Arial"/>
          <w:sz w:val="18"/>
          <w:szCs w:val="18"/>
          <w:color w:val="auto"/>
        </w:rPr>
      </w:pPr>
    </w:p>
    <w:p>
      <w:pPr>
        <w:ind w:left="340" w:right="240" w:hanging="332"/>
        <w:spacing w:after="0" w:line="26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recurring revenue signings of $207 million for the six months ended June 30, 2022 is substantially unchanged compared to the prior year.</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Renewal TCV of $1,238 million for the six months ended June 30, 2022 is 13% higher than the same period in the prior year.</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COVID-19 Pandemic</w:t>
      </w:r>
    </w:p>
    <w:p>
      <w:pPr>
        <w:spacing w:after="0" w:line="18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Throughout the COVID-19 pandemic, we have continued to provide critical and best-in-class services to our customers and their end-users, while ensuring the health and safety of our greatest assets - our associates. To address the potential impact to our business over the near-term, our Business Continuity team established a proactive plan in the first quarter of 2020 that has continued throughout the pandemic, which includes:</w:t>
      </w:r>
    </w:p>
    <w:p>
      <w:pPr>
        <w:spacing w:after="0" w:line="150" w:lineRule="exact"/>
        <w:rPr>
          <w:sz w:val="20"/>
          <w:szCs w:val="20"/>
          <w:color w:val="auto"/>
        </w:rPr>
      </w:pPr>
    </w:p>
    <w:p>
      <w:pPr>
        <w:ind w:left="340" w:right="560" w:hanging="332"/>
        <w:spacing w:after="0" w:line="261"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Supporting our associates with a number of specific initiatives, including making improvements to our policies to extend short-term disability, providing extra supplemental sick leave coverage and introducing a hardship leave policy.</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sanitation and social distancing for on-site essential associates.</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At the end of the second quarter of 2022, we continued to have most of our workforce in either a work-from-home or hybrid environment. We will continue to assess when to bring associates back to our offices, as appropriate, based on the specific COVID-19 conditions in certain geographies, as well as business requirements.</w:t>
      </w:r>
    </w:p>
    <w:p>
      <w:pPr>
        <w:spacing w:after="0" w:line="14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the pandemic continues, we may revise our approach to these initiatives or take additional actions to meet the needs of our employees, customers and their end-users as well as the Company's needs and to continue to provide our mission-critical services and solutions.</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2022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5" w:name="page26"/>
    <w:bookmarkEnd w:id="25"/>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Financial Review of Operations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36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2022 vs. 2021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gridSpan w:val="2"/>
          </w:tcPr>
          <w:p>
            <w:pPr>
              <w:spacing w:after="0" w:line="129"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280" w:type="dxa"/>
            <w:vAlign w:val="bottom"/>
          </w:tcPr>
          <w:p>
            <w:pPr>
              <w:spacing w:after="0"/>
              <w:rPr>
                <w:sz w:val="12"/>
                <w:szCs w:val="12"/>
                <w:color w:val="auto"/>
              </w:rPr>
            </w:pPr>
          </w:p>
        </w:tc>
        <w:tc>
          <w:tcPr>
            <w:tcW w:w="1000" w:type="dxa"/>
            <w:vAlign w:val="bottom"/>
          </w:tcPr>
          <w:p>
            <w:pPr>
              <w:jc w:val="right"/>
              <w:ind w:right="408"/>
              <w:spacing w:after="0" w:line="129"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ind w:right="268"/>
              <w:spacing w:after="0" w:line="129" w:lineRule="exact"/>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2"/>
                <w:szCs w:val="12"/>
                <w:color w:val="auto"/>
              </w:rPr>
            </w:pPr>
          </w:p>
        </w:tc>
        <w:tc>
          <w:tcPr>
            <w:tcW w:w="1420" w:type="dxa"/>
            <w:vAlign w:val="bottom"/>
          </w:tcPr>
          <w:p>
            <w:pPr>
              <w:jc w:val="right"/>
              <w:ind w:right="308"/>
              <w:spacing w:after="0" w:line="12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772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(Gain) loss on divestitures and transaction costs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923</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1,007</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6" w:name="page27"/>
    <w:bookmarkEnd w:id="26"/>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460"/>
              <w:spacing w:after="0"/>
              <w:rPr>
                <w:sz w:val="20"/>
                <w:szCs w:val="20"/>
                <w:color w:val="auto"/>
              </w:rPr>
            </w:pPr>
            <w:r>
              <w:rPr>
                <w:rFonts w:ascii="Arial" w:cs="Arial" w:eastAsia="Arial" w:hAnsi="Arial"/>
                <w:sz w:val="14"/>
                <w:szCs w:val="14"/>
                <w:color w:val="auto"/>
              </w:rPr>
              <w:t>Six Months Ended</w:t>
            </w:r>
          </w:p>
        </w:tc>
        <w:tc>
          <w:tcPr>
            <w:tcW w:w="220" w:type="dxa"/>
            <w:vAlign w:val="bottom"/>
          </w:tcPr>
          <w:p>
            <w:pPr>
              <w:spacing w:after="0"/>
              <w:rPr>
                <w:sz w:val="14"/>
                <w:szCs w:val="1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2022 vs. 2021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gridSpan w:val="2"/>
          </w:tcPr>
          <w:p>
            <w:pPr>
              <w:spacing w:after="0" w:line="129"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280" w:type="dxa"/>
            <w:vAlign w:val="bottom"/>
          </w:tcPr>
          <w:p>
            <w:pPr>
              <w:spacing w:after="0"/>
              <w:rPr>
                <w:sz w:val="12"/>
                <w:szCs w:val="12"/>
                <w:color w:val="auto"/>
              </w:rPr>
            </w:pPr>
          </w:p>
        </w:tc>
        <w:tc>
          <w:tcPr>
            <w:tcW w:w="1000" w:type="dxa"/>
            <w:vAlign w:val="bottom"/>
          </w:tcPr>
          <w:p>
            <w:pPr>
              <w:jc w:val="right"/>
              <w:ind w:right="408"/>
              <w:spacing w:after="0" w:line="129"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ind w:right="268"/>
              <w:spacing w:after="0" w:line="129" w:lineRule="exact"/>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2"/>
                <w:szCs w:val="12"/>
                <w:color w:val="auto"/>
              </w:rPr>
            </w:pPr>
          </w:p>
        </w:tc>
        <w:tc>
          <w:tcPr>
            <w:tcW w:w="1420" w:type="dxa"/>
            <w:vAlign w:val="bottom"/>
          </w:tcPr>
          <w:p>
            <w:pPr>
              <w:jc w:val="right"/>
              <w:ind w:right="308"/>
              <w:spacing w:after="0" w:line="12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2,054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1,482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(Gain) loss on divestitures and transaction costs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1,680</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2,044</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Revenue</w:t>
      </w:r>
    </w:p>
    <w:p>
      <w:pPr>
        <w:spacing w:after="0" w:line="19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Revenue for the three and six months ended June 30, 2022 decreased, compared to the prior year periods, primarily due to lower federal stimulus revenue in the Government Services segment, lost business from prior years, as well as negative foreign exchange translation impact, particularly the Euro and British pound, partially offset by new business ramp across all segments.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Cost of Services (excluding depreciation and amortization)</w:t>
      </w:r>
    </w:p>
    <w:p>
      <w:pPr>
        <w:spacing w:after="0" w:line="193"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Cost of services for the three and six months ended June 30, 2022 decreased, compared to the prior year periods, driven by lost business from prior years, increased operational efficiency and favorable foreign exchange translation impact, slightly offset by an increase in hiring activity to support new deal ramp in the Commercial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Selling, General and Administrative (SG&amp;A) (excluding depreciation and amortization)</w:t>
      </w:r>
    </w:p>
    <w:p>
      <w:pPr>
        <w:spacing w:after="0" w:line="18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SG&amp;A for the three months ended June 30, 2022 decreased, compared to the prior year period, primarily driven by lower variable employee costs.</w:t>
      </w:r>
    </w:p>
    <w:p>
      <w:pPr>
        <w:spacing w:after="0" w:line="144"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SG&amp;A for the six months ended June 30, 2022 decreased, compared to the prior year period, primarily driven by the recovery of $14 million of defense costs as part of the settlement with insurance carriers relating to the previously disclosed State of Texas matter, as well as lower variable employee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Depreciation and Amortization</w:t>
      </w:r>
    </w:p>
    <w:p>
      <w:pPr>
        <w:spacing w:after="0" w:line="19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Depreciation and amortization for the three and six months ended June 30, 2022 decreased, compared to the prior year periods, primarily due to portions of certain customer relationship intangible assets from acquisitions in years past being fully amortized.</w:t>
      </w:r>
    </w:p>
    <w:p>
      <w:pPr>
        <w:spacing w:after="0" w:line="200" w:lineRule="exact"/>
        <w:rPr>
          <w:sz w:val="20"/>
          <w:szCs w:val="20"/>
          <w:color w:val="auto"/>
        </w:rPr>
      </w:pPr>
    </w:p>
    <w:p>
      <w:pPr>
        <w:spacing w:after="0" w:line="36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7" w:name="page28"/>
    <w:bookmarkEnd w:id="27"/>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Restructuring and Related Costs</w:t>
      </w:r>
    </w:p>
    <w:p>
      <w:pPr>
        <w:spacing w:after="0" w:line="193"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We engage in a series of restructuring programs related to optimizing our employee base, reducing our real estate footprint, exiting certain activities, outsourcing certain internal functions, consolidating our data centers and engaging in other actions designed to reduce our cost structure and improve productivity. The following are the components of our Restructuring and related costs: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600" w:type="dxa"/>
            <w:vAlign w:val="bottom"/>
            <w:gridSpan w:val="4"/>
          </w:tcPr>
          <w:p>
            <w:pPr>
              <w:jc w:val="right"/>
              <w:ind w:right="388"/>
              <w:spacing w:after="0"/>
              <w:rPr>
                <w:sz w:val="20"/>
                <w:szCs w:val="20"/>
                <w:color w:val="auto"/>
              </w:rPr>
            </w:pPr>
            <w:r>
              <w:rPr>
                <w:rFonts w:ascii="Arial" w:cs="Arial" w:eastAsia="Arial" w:hAnsi="Arial"/>
                <w:sz w:val="14"/>
                <w:szCs w:val="14"/>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9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color w:val="auto"/>
              </w:rPr>
              <w:t>June 30,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8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1040" w:type="dxa"/>
            <w:vAlign w:val="bottom"/>
          </w:tcPr>
          <w:p>
            <w:pPr>
              <w:jc w:val="right"/>
              <w:ind w:right="88"/>
              <w:spacing w:after="0" w:line="129" w:lineRule="exact"/>
              <w:rPr>
                <w:sz w:val="20"/>
                <w:szCs w:val="20"/>
                <w:color w:val="auto"/>
              </w:rPr>
            </w:pPr>
            <w:r>
              <w:rPr>
                <w:rFonts w:ascii="Arial" w:cs="Arial" w:eastAsia="Arial" w:hAnsi="Arial"/>
                <w:sz w:val="14"/>
                <w:szCs w:val="14"/>
                <w:color w:val="auto"/>
              </w:rPr>
              <w:t>2022</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08"/>
              <w:spacing w:after="0" w:line="129" w:lineRule="exact"/>
              <w:rPr>
                <w:sz w:val="20"/>
                <w:szCs w:val="20"/>
                <w:color w:val="auto"/>
              </w:rPr>
            </w:pPr>
            <w:r>
              <w:rPr>
                <w:rFonts w:ascii="Arial" w:cs="Arial" w:eastAsia="Arial" w:hAnsi="Arial"/>
                <w:sz w:val="14"/>
                <w:szCs w:val="14"/>
                <w:color w:val="auto"/>
              </w:rPr>
              <w:t>2021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4"/>
                <w:szCs w:val="14"/>
                <w:color w:val="auto"/>
              </w:rPr>
              <w:t>2022</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ind w:right="488"/>
              <w:spacing w:after="0" w:line="129" w:lineRule="exact"/>
              <w:rPr>
                <w:sz w:val="20"/>
                <w:szCs w:val="20"/>
                <w:color w:val="auto"/>
              </w:rPr>
            </w:pPr>
            <w:r>
              <w:rPr>
                <w:rFonts w:ascii="Arial" w:cs="Arial" w:eastAsia="Arial" w:hAnsi="Arial"/>
                <w:sz w:val="14"/>
                <w:szCs w:val="14"/>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Severance and related costs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2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Data center consolidation</w:t>
            </w:r>
          </w:p>
        </w:tc>
        <w:tc>
          <w:tcPr>
            <w:tcW w:w="10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jc w:val="center"/>
              <w:ind w:left="6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9"/>
        </w:trPr>
        <w:tc>
          <w:tcPr>
            <w:tcW w:w="20" w:type="dxa"/>
            <w:vAlign w:val="bottom"/>
            <w:shd w:val="clear" w:color="auto" w:fill="CCEEFF"/>
          </w:tcPr>
          <w:p>
            <w:pPr>
              <w:spacing w:after="0"/>
              <w:rPr>
                <w:sz w:val="16"/>
                <w:szCs w:val="16"/>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Termination and asset impairment costs</w:t>
            </w:r>
          </w:p>
        </w:tc>
        <w:tc>
          <w:tcPr>
            <w:tcW w:w="10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center"/>
              <w:ind w:left="68"/>
              <w:spacing w:after="0"/>
              <w:rPr>
                <w:sz w:val="20"/>
                <w:szCs w:val="20"/>
                <w:color w:val="auto"/>
              </w:rPr>
            </w:pPr>
            <w:r>
              <w:rPr>
                <w:rFonts w:ascii="Arial" w:cs="Arial" w:eastAsia="Arial" w:hAnsi="Arial"/>
                <w:sz w:val="14"/>
                <w:szCs w:val="14"/>
                <w:color w:val="auto"/>
                <w:w w:val="93"/>
              </w:rPr>
              <w:t>(3)</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Total net current period charges</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jc w:val="center"/>
              <w:ind w:left="6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89"/>
        </w:trPr>
        <w:tc>
          <w:tcPr>
            <w:tcW w:w="20" w:type="dxa"/>
            <w:vAlign w:val="bottom"/>
            <w:shd w:val="clear" w:color="auto" w:fill="CCEEFF"/>
          </w:tcPr>
          <w:p>
            <w:pPr>
              <w:spacing w:after="0"/>
              <w:rPr>
                <w:sz w:val="16"/>
                <w:szCs w:val="16"/>
                <w:color w:val="auto"/>
              </w:rPr>
            </w:pPr>
          </w:p>
        </w:tc>
        <w:tc>
          <w:tcPr>
            <w:tcW w:w="518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Consulting and other costs</w:t>
            </w:r>
            <w:r>
              <w:rPr>
                <w:rFonts w:ascii="Arial" w:cs="Arial" w:eastAsia="Arial" w:hAnsi="Arial"/>
                <w:sz w:val="18"/>
                <w:szCs w:val="18"/>
                <w:color w:val="auto"/>
                <w:vertAlign w:val="superscript"/>
              </w:rPr>
              <w:t>(1)</w:t>
            </w:r>
          </w:p>
        </w:tc>
        <w:tc>
          <w:tcPr>
            <w:tcW w:w="10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center"/>
              <w:ind w:lef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Restructuring and related costs</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4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professional support costs associated with certain strategic transformation programs.</w:t>
      </w:r>
    </w:p>
    <w:p>
      <w:pPr>
        <w:spacing w:after="0" w:line="171"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Refer to Note 6 – Restructuring Programs and Related Costs to the Condensed Consolidated Financial Statements for additional information regarding our restructuring programs.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Interest Expense</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Interest expense represents interest on long-term debt and the amortization of debt issuance costs. On October 15, 2021, we completed the refinancing of our previously outstanding debt, which extended the maturity profile of our debt. The increase in Interest expense for the three and six months ended June 30, 2022, compared to the prior year periods, was driven by higher interest rates on our refinanced credit facilities, partially offset by a lower total outstanding debt balance.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(Gain) Loss on Divestitures and Transaction Costs</w:t>
      </w:r>
    </w:p>
    <w:p>
      <w:pPr>
        <w:spacing w:after="0" w:line="18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divestiture of the Midas business in the first quarter of 2022 resulted in a gain of $ 166 million. Additionally, professional fees and other costs related to certain consummated and non-consummated transactions considered by the Company are included in this financial statement line item.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Settlements (Recoveries), Net</w:t>
      </w:r>
    </w:p>
    <w:p>
      <w:pPr>
        <w:spacing w:after="0" w:line="193"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Litigation settlements (recoveries), net for the six months ended June 30, 2022 primarily consist of $24 million of insurance recoveries recorded in the first quarter of 2022 related to the previously disclosed State of Texas matter.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12 – Contingencies and Litigation to the Condensed Consolidated Financial Statements for additional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Income Taxes</w:t>
      </w:r>
    </w:p>
    <w:p>
      <w:pPr>
        <w:spacing w:after="0" w:line="193"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The effective tax rate for the three months ended June 30, 2022 was 99.6%, compared to 38.2% for the three months ended June 30, 2021. The June 30, 2022 rate was higher than the U.S. statutory rate of 21%, primarily due to the geographic mix of income, state and local taxes, other non-deductible permanent differences, and valuation allowances, partially offset by tax credits.</w:t>
      </w:r>
    </w:p>
    <w:p>
      <w:pPr>
        <w:spacing w:after="0" w:line="14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effective tax rate for the three months ended June 30, 2021 was higher than the U.S. statutory rate of 21%, primarily due to the geographic mix of income, other non-deductible permanent differences, valuation allowances and tax audit reserves, partially offset by tax credits.</w:t>
      </w:r>
    </w:p>
    <w:p>
      <w:pPr>
        <w:spacing w:after="0" w:line="200" w:lineRule="exact"/>
        <w:rPr>
          <w:sz w:val="20"/>
          <w:szCs w:val="20"/>
          <w:color w:val="auto"/>
        </w:rPr>
      </w:pPr>
    </w:p>
    <w:p>
      <w:pPr>
        <w:spacing w:after="0" w:line="37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Q2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8" w:name="page29"/>
    <w:bookmarkEnd w:id="28"/>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Excluding the impact of discrete tax adjustments, amortization of intangible assets, litigation reserves and restructuring costs, the normalized effective tax rate for the three months ended June 30, 2022 was 46.7%. The normalized effective tax rate for the three months ended June 30, 2021 was 25.7%, predominantly due to excluding the impact of discrete tax adjustments, amortization of intangible assets and restructuring costs. The normalized effective tax rate for the second quarter of 2022 was higher than the second quarter of 2021 rate due to the geographic mix of income, increase in permanent tax differences and lower adjusted pre-tax income.</w:t>
      </w:r>
    </w:p>
    <w:p>
      <w:pPr>
        <w:spacing w:after="0" w:line="15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effective tax rate for the six months ended June 30, 2022 was 37.0%, compared to 94.3% for the six months ended June 30, 2021. The June 30, 2022 rate was higher than the U.S. statutory rate of 21%, primarily due to the geographic mix of income, state and local taxes and permanently non-deductible amounts related to the Midas divestiture transaction, partially offset by the tax benefit of valuation allowances released due to the gain from this divestiture and tax credits.</w:t>
      </w:r>
    </w:p>
    <w:p>
      <w:pPr>
        <w:spacing w:after="0" w:line="15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effective tax rate for the six months ended June 30, 2021 was higher than the U.S. statutory rate of 21%, primarily due to the geographic mix of income, other non-deductible permanent differences, valuation allowances, and tax audit reserves, partially offset by tax credits.</w:t>
      </w:r>
    </w:p>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Excluding the impact of the Midas divestiture, the litigation insurance recoveries, amortization of intangible assets, restructuring costs and certain discrete tax items, the normalized effective tax rate for the six months ended June 30, 2022 was 35.2%. The normalized effective tax rate for the six months ended June 30, 2021 was 24.7%, predominantly due to excluding the impact of discrete tax adjustments, charges for amortization of intangible assets and restructuring costs. The normalized effective tax rate for the year-to-date June 30, 2022 was higher than the year-to-date June 30, 2021 rate predominantly due to the geographic mix of income, increase in permanent tax differences and lower adjusted pre-tax income.</w:t>
      </w:r>
    </w:p>
    <w:p>
      <w:pPr>
        <w:spacing w:after="0" w:line="154"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We believe it is reasonably possible that unrecognized tax benefits of approximately $3 million will reverse within 12 months due to settlements. A payment of $8 million was made in June 2022 decreasing unrecognized tax benefits.</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recent years, government agencies and global organizations have had an increased focus on the issues of taxation of multinational corporations. In March 2022, the Organization for Economic Co-operation and Development (OECD) released the Commentary to the Pillar 2 Model Rules as agreed by the OECD/G20 Inclusive Framework on Base Erosion and Profit Shifting. The Pillar 2 Model Rules, released on December 20, 2021, define the scope and key mechanics for the Pillar 2 system of global minimum tax rules. We are monitoring the development and assessing any potential impact. We do not anticipate a material impact based on current guidance.</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Operations Review of Segment Revenue and Profit</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first quarter of 2022, we realigned certain clients between reportable segments to reflect how we currently manage our business. Certain clients were reclassified from the Government Services reportable segment to the Commercial reportable segment to align with a product view of the business. This change had an insignificant impact. Additionally, in the first quarter of 2022, in order to provide greater visibility into the profitability of our segments, certain real estate costs that were previously included in Unallocated Costs have been allocated to each of the reportable segments. As described in Note 5 – Assets/Liabilities Held for Sale and Divestiture, we sold our Midas Suite of patient safety, quality and advanced analytics solutions to a third party in the first quarter of 2022. Accordingly, the results of this disposed business, which had been reported in the Commercial segment have been reclassified to the Divestitures segment. All prior periods presented have been recast to reflect these changes.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is based on Segment Profit/(Loss) and Segment Adjusted EBITDA for the following three segments:</w:t>
      </w:r>
    </w:p>
    <w:p>
      <w:pPr>
        <w:spacing w:after="0" w:line="63"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Services;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Divestitures includes our Midas business which was sold in the first quarter of 2022.</w:t>
      </w:r>
    </w:p>
    <w:p>
      <w:pPr>
        <w:spacing w:after="0" w:line="200" w:lineRule="exact"/>
        <w:rPr>
          <w:sz w:val="20"/>
          <w:szCs w:val="20"/>
          <w:color w:val="auto"/>
        </w:rPr>
      </w:pPr>
    </w:p>
    <w:p>
      <w:pPr>
        <w:spacing w:after="0" w:line="38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2022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9" w:name="page30"/>
    <w:bookmarkEnd w:id="29"/>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our reportable segments.</w:t>
      </w:r>
    </w:p>
    <w:p>
      <w:pPr>
        <w:spacing w:after="0" w:line="144"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continue to modernize a significant portion of our infrastructure with new systems and processes and consolidate our data centers as part of our quality and efficiency initiatives. There is a risk, however, that our modernization efforts and data center consolidations could materially and adversely disrupt our operations. See Part I, Item 1A – Risk Factors of our Annual Report on Form 10-K for the year ended December 31, 2021 for 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Results of financial performance by segment were: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5"/>
          </w:tcPr>
          <w:p>
            <w:pPr>
              <w:ind w:left="480"/>
              <w:spacing w:after="0"/>
              <w:rPr>
                <w:sz w:val="20"/>
                <w:szCs w:val="20"/>
                <w:color w:val="auto"/>
              </w:rPr>
            </w:pPr>
            <w:r>
              <w:rPr>
                <w:rFonts w:ascii="Arial" w:cs="Arial" w:eastAsia="Arial" w:hAnsi="Arial"/>
                <w:sz w:val="14"/>
                <w:szCs w:val="14"/>
                <w:color w:val="auto"/>
              </w:rPr>
              <w:t>Three Months Ended</w:t>
            </w: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rPr>
              <w:t>Government</w:t>
            </w:r>
          </w:p>
        </w:tc>
        <w:tc>
          <w:tcPr>
            <w:tcW w:w="160" w:type="dxa"/>
            <w:vAlign w:val="bottom"/>
          </w:tcPr>
          <w:p>
            <w:pPr>
              <w:spacing w:after="0"/>
              <w:rPr>
                <w:sz w:val="12"/>
                <w:szCs w:val="12"/>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color w:val="auto"/>
              </w:rPr>
              <w:t>Transportation</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color w:val="auto"/>
              </w:rPr>
              <w:t>Divestitures</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color w:val="auto"/>
              </w:rPr>
              <w:t>Unallocated Costs</w:t>
            </w:r>
          </w:p>
        </w:tc>
        <w:tc>
          <w:tcPr>
            <w:tcW w:w="280" w:type="dxa"/>
            <w:vAlign w:val="bottom"/>
          </w:tcPr>
          <w:p>
            <w:pPr>
              <w:spacing w:after="0"/>
              <w:rPr>
                <w:sz w:val="12"/>
                <w:szCs w:val="12"/>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color w:val="auto"/>
              </w:rPr>
              <w:t>Services</w:t>
            </w: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3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928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center"/>
              <w:ind w:left="16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 %</w:t>
            </w:r>
          </w:p>
        </w:tc>
        <w:tc>
          <w:tcPr>
            <w:tcW w:w="4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28.0 %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13.4 %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740"/>
              <w:spacing w:after="0"/>
              <w:rPr>
                <w:sz w:val="20"/>
                <w:szCs w:val="20"/>
                <w:color w:val="auto"/>
              </w:rPr>
            </w:pPr>
            <w:r>
              <w:rPr>
                <w:rFonts w:ascii="Arial" w:cs="Arial" w:eastAsia="Arial" w:hAnsi="Arial"/>
                <w:sz w:val="14"/>
                <w:szCs w:val="14"/>
                <w:color w:val="auto"/>
              </w:rPr>
              <w:t>— %</w:t>
            </w:r>
          </w:p>
        </w:tc>
        <w:tc>
          <w:tcPr>
            <w:tcW w:w="46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9.4 %</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2021</w:t>
            </w:r>
          </w:p>
        </w:tc>
        <w:tc>
          <w:tcPr>
            <w:tcW w:w="2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center"/>
              <w:ind w:left="14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center"/>
              <w:ind w:left="16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center"/>
              <w:ind w:left="14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 of Total Revenue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47.6 %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32.7 %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18.0 %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1.7 %</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47.1 %</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0" w:name="page31"/>
    <w:bookmarkEnd w:id="30"/>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5"/>
          </w:tcPr>
          <w:p>
            <w:pPr>
              <w:ind w:left="580"/>
              <w:spacing w:after="0"/>
              <w:rPr>
                <w:sz w:val="20"/>
                <w:szCs w:val="20"/>
                <w:color w:val="auto"/>
              </w:rPr>
            </w:pPr>
            <w:r>
              <w:rPr>
                <w:rFonts w:ascii="Arial" w:cs="Arial" w:eastAsia="Arial" w:hAnsi="Arial"/>
                <w:sz w:val="14"/>
                <w:szCs w:val="14"/>
                <w:color w:val="auto"/>
              </w:rPr>
              <w:t>Six Months Ended</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rPr>
              <w:t>Government</w:t>
            </w:r>
          </w:p>
        </w:tc>
        <w:tc>
          <w:tcPr>
            <w:tcW w:w="160" w:type="dxa"/>
            <w:vAlign w:val="bottom"/>
          </w:tcPr>
          <w:p>
            <w:pPr>
              <w:spacing w:after="0"/>
              <w:rPr>
                <w:sz w:val="12"/>
                <w:szCs w:val="12"/>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color w:val="auto"/>
              </w:rPr>
              <w:t>Transportation</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color w:val="auto"/>
              </w:rPr>
              <w:t>Divestitures</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color w:val="auto"/>
              </w:rPr>
              <w:t>Unallocated Costs</w:t>
            </w:r>
          </w:p>
        </w:tc>
        <w:tc>
          <w:tcPr>
            <w:tcW w:w="280" w:type="dxa"/>
            <w:vAlign w:val="bottom"/>
          </w:tcPr>
          <w:p>
            <w:pPr>
              <w:spacing w:after="0"/>
              <w:rPr>
                <w:sz w:val="12"/>
                <w:szCs w:val="12"/>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color w:val="auto"/>
              </w:rPr>
              <w:t>Services</w:t>
            </w: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3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982</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1,895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ind w:left="480"/>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12.0 %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28.6 %</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10.3 %</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2021</w:t>
            </w:r>
          </w:p>
        </w:tc>
        <w:tc>
          <w:tcPr>
            <w:tcW w:w="2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369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ind w:left="340"/>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ind w:left="340"/>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 of Total Revenue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48.7 %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31.6 %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18.0 %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1.7 %</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51.4 %</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11.8 %</w:t>
            </w:r>
          </w:p>
        </w:tc>
        <w:tc>
          <w:tcPr>
            <w:tcW w:w="0" w:type="dxa"/>
            <w:vAlign w:val="bottom"/>
          </w:tcPr>
          <w:p>
            <w:pPr>
              <w:spacing w:after="0"/>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80" w:type="dxa"/>
            <w:vAlign w:val="bottom"/>
            <w:gridSpan w:val="4"/>
          </w:tcPr>
          <w:p>
            <w:pPr>
              <w:jc w:val="right"/>
              <w:ind w:right="128"/>
              <w:spacing w:after="0"/>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4"/>
          </w:tcPr>
          <w:p>
            <w:pPr>
              <w:jc w:val="right"/>
              <w:ind w:right="608"/>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180" w:type="dxa"/>
            <w:vAlign w:val="bottom"/>
            <w:gridSpan w:val="4"/>
          </w:tcPr>
          <w:p>
            <w:pPr>
              <w:spacing w:after="0" w:line="110" w:lineRule="exact"/>
              <w:rPr>
                <w:sz w:val="20"/>
                <w:szCs w:val="20"/>
                <w:color w:val="auto"/>
              </w:rPr>
            </w:pPr>
            <w:r>
              <w:rPr>
                <w:rFonts w:ascii="Arial" w:cs="Arial" w:eastAsia="Arial" w:hAnsi="Arial"/>
                <w:sz w:val="12"/>
                <w:szCs w:val="12"/>
                <w:color w:val="auto"/>
              </w:rPr>
              <w:t>(in millions)</w:t>
            </w:r>
          </w:p>
        </w:tc>
        <w:tc>
          <w:tcPr>
            <w:tcW w:w="840" w:type="dxa"/>
            <w:vAlign w:val="bottom"/>
          </w:tcPr>
          <w:p>
            <w:pPr>
              <w:spacing w:after="0"/>
              <w:rPr>
                <w:sz w:val="11"/>
                <w:szCs w:val="11"/>
                <w:color w:val="auto"/>
              </w:rPr>
            </w:pPr>
          </w:p>
        </w:tc>
        <w:tc>
          <w:tcPr>
            <w:tcW w:w="1240" w:type="dxa"/>
            <w:vAlign w:val="bottom"/>
            <w:gridSpan w:val="3"/>
          </w:tcPr>
          <w:p>
            <w:pPr>
              <w:jc w:val="right"/>
              <w:ind w:right="508"/>
              <w:spacing w:after="0" w:line="110" w:lineRule="exact"/>
              <w:rPr>
                <w:sz w:val="20"/>
                <w:szCs w:val="20"/>
                <w:color w:val="auto"/>
              </w:rPr>
            </w:pPr>
            <w:r>
              <w:rPr>
                <w:rFonts w:ascii="Arial" w:cs="Arial" w:eastAsia="Arial" w:hAnsi="Arial"/>
                <w:sz w:val="12"/>
                <w:szCs w:val="12"/>
                <w:color w:val="auto"/>
              </w:rPr>
              <w:t>June 30,</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3"/>
          </w:tcPr>
          <w:p>
            <w:pPr>
              <w:jc w:val="right"/>
              <w:ind w:right="28"/>
              <w:spacing w:after="0" w:line="110" w:lineRule="exact"/>
              <w:rPr>
                <w:sz w:val="20"/>
                <w:szCs w:val="20"/>
                <w:color w:val="auto"/>
              </w:rPr>
            </w:pPr>
            <w:r>
              <w:rPr>
                <w:rFonts w:ascii="Arial" w:cs="Arial" w:eastAsia="Arial" w:hAnsi="Arial"/>
                <w:sz w:val="12"/>
                <w:szCs w:val="12"/>
                <w:color w:val="auto"/>
              </w:rPr>
              <w:t>June 30,</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6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Profit (Loss) Reconciliation to Pre-tax Income (Loss)</w:t>
            </w: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80" w:type="dxa"/>
            <w:vAlign w:val="bottom"/>
            <w:gridSpan w:val="4"/>
            <w:vMerge w:val="continue"/>
          </w:tcPr>
          <w:p>
            <w:pPr>
              <w:spacing w:after="0"/>
              <w:rPr>
                <w:sz w:val="13"/>
                <w:szCs w:val="13"/>
                <w:color w:val="auto"/>
              </w:rPr>
            </w:pPr>
          </w:p>
        </w:tc>
        <w:tc>
          <w:tcPr>
            <w:tcW w:w="84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2022</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2021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69"/>
              <w:spacing w:after="0" w:line="155" w:lineRule="exact"/>
              <w:rPr>
                <w:sz w:val="20"/>
                <w:szCs w:val="20"/>
                <w:color w:val="auto"/>
              </w:rPr>
            </w:pPr>
            <w:r>
              <w:rPr>
                <w:rFonts w:ascii="Arial" w:cs="Arial" w:eastAsia="Arial" w:hAnsi="Arial"/>
                <w:sz w:val="14"/>
                <w:szCs w:val="14"/>
                <w:color w:val="auto"/>
              </w:rPr>
              <w:t>2022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top w:val="single" w:sz="8" w:color="auto"/>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1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84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Reconciling items:</w:t>
            </w:r>
          </w:p>
        </w:tc>
        <w:tc>
          <w:tcPr>
            <w:tcW w:w="500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Restructuring and related costs</w:t>
            </w:r>
          </w:p>
        </w:tc>
        <w:tc>
          <w:tcPr>
            <w:tcW w:w="8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(Gain) loss on divestitures and transaction costs</w:t>
            </w:r>
          </w:p>
        </w:tc>
        <w:tc>
          <w:tcPr>
            <w:tcW w:w="8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Litigation costs</w:t>
            </w: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Loss on extinguishment of debt</w:t>
            </w:r>
          </w:p>
        </w:tc>
        <w:tc>
          <w:tcPr>
            <w:tcW w:w="840" w:type="dxa"/>
            <w:vAlign w:val="bottom"/>
          </w:tcPr>
          <w:p>
            <w:pPr>
              <w:spacing w:after="0"/>
              <w:rPr>
                <w:sz w:val="16"/>
                <w:szCs w:val="16"/>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Other (income) expenses, net</w:t>
            </w: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80" w:type="dxa"/>
            <w:vAlign w:val="bottom"/>
            <w:gridSpan w:val="4"/>
          </w:tcPr>
          <w:p>
            <w:pPr>
              <w:spacing w:after="0"/>
              <w:rPr>
                <w:sz w:val="20"/>
                <w:szCs w:val="20"/>
                <w:color w:val="auto"/>
              </w:rPr>
            </w:pPr>
            <w:r>
              <w:rPr>
                <w:rFonts w:ascii="Arial" w:cs="Arial" w:eastAsia="Arial" w:hAnsi="Arial"/>
                <w:sz w:val="14"/>
                <w:szCs w:val="14"/>
                <w:b w:val="1"/>
                <w:bCs w:val="1"/>
                <w:color w:val="auto"/>
              </w:rPr>
              <w:t>Segment Pre-tax Income (Loss)</w:t>
            </w:r>
          </w:p>
        </w:tc>
        <w:tc>
          <w:tcPr>
            <w:tcW w:w="84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Segment depreciation and amortization (including contract inducements)</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80" w:type="dxa"/>
            <w:vAlign w:val="bottom"/>
            <w:gridSpan w:val="4"/>
          </w:tcPr>
          <w:p>
            <w:pPr>
              <w:spacing w:after="0"/>
              <w:rPr>
                <w:sz w:val="20"/>
                <w:szCs w:val="20"/>
                <w:color w:val="auto"/>
              </w:rPr>
            </w:pPr>
            <w:r>
              <w:rPr>
                <w:rFonts w:ascii="Arial" w:cs="Arial" w:eastAsia="Arial" w:hAnsi="Arial"/>
                <w:sz w:val="14"/>
                <w:szCs w:val="14"/>
                <w:b w:val="1"/>
                <w:bCs w:val="1"/>
                <w:color w:val="auto"/>
              </w:rPr>
              <w:t>Adjusted EBITDA</w:t>
            </w:r>
          </w:p>
        </w:tc>
        <w:tc>
          <w:tcPr>
            <w:tcW w:w="8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196</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Commercial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9"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Commercial revenue for the three and six months ended June 30, 2022 was lower compared to the prior year periods, primarily due to the merger of two of our clients resulting in lower volumes as well as unfavorable exchange rate movement and lost business from prior years, partially offset by strong new business ramp.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8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Increases in the Commercial segment profit and adjusted EBITDA margin for the three and six months ended June 30, 2022, compared to the prior year periods, were mainly driven by increased operational efficiency and expense reductions resulting from progress in our efficiency initiatives and higher interest rates positively impacting our Benefit Wallet business, more than offsetting the dynamics of a challenging labor market in both North America and Europe.</w:t>
      </w:r>
    </w:p>
    <w:p>
      <w:pPr>
        <w:spacing w:after="0" w:line="200" w:lineRule="exact"/>
        <w:rPr>
          <w:sz w:val="20"/>
          <w:szCs w:val="20"/>
          <w:color w:val="auto"/>
        </w:rPr>
      </w:pPr>
    </w:p>
    <w:p>
      <w:pPr>
        <w:spacing w:after="0" w:line="36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1" w:name="page32"/>
    <w:bookmarkEnd w:id="31"/>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Government Services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Government Services revenue for the three and six months ended June 30, 2022 decreased, compared to the prior year periods. This decrease was primarily driven by significantly lower Federal stimulus revenue, while increases in volume, price and new business offset lost business from prior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8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Decreases in the Government Services segment profit and adjusted EBITDA margin for the three and six months ended June 30, 2022, compared to the prior year periods, were mainly driven by lower Federal stimulus revenue.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Transportation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9"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Transportation revenue for the three months ended June 30, 2022 decreased, compared to the prior year period, primarily driven by unfavorable exchange rate movement, particularly the Euro.</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Transportation revenue for the six months ended June 30, 2022 decreased, compared to the prior year period, primarily driven by the impact of lower volume and project timing in our International transit business, unfavorable exchange rate movement, particularly the Euro, a one-time revenue benefit in the prior year period and lost business from prior years, partially offset by new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Transportation segment profit and adjusted EBITDA margin for the three months ended June 30, 2022 was substantially unchanged.</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Transportation segment profit and adjusted EBITDA margin decreased for the six months ended June 30, 2022, compared to the prior year period, mainly driven by the impact of lost business, project timing in the International business, and a one-time item benefiting the prior year period, partially offset by new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Divestitures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Segment Profit (Loss) and Adjusted EBITDA</w:t>
      </w:r>
    </w:p>
    <w:p>
      <w:pPr>
        <w:spacing w:after="0" w:line="18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decline in revenue, segment profit and Adjusted EBITDA for the three and six months ended June 30, 2022 was primarily due to the sale of the Midas Suite of products. The current year includes slightly more than one month of activity versus the prior year, which includes a full six months of activity.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Unallocated Costs</w:t>
      </w:r>
    </w:p>
    <w:p>
      <w:pPr>
        <w:spacing w:after="0" w:line="193"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Unallocated Costs for the three and six months ended June 30, 2022 decreased, compared to the prior year periods, primarily due to a portion of the recovery of defense costs as part of the settlement with insurance carriers relating to the previously disclosed State of Texas matter that settled in February 2019 that was allocated to SG&amp;A, progress with our efficiency initiatives and lower variable employee costs.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Metrics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Signings</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Signings are defined as estimated future revenues from contracts signed during the period, including renewals of existing contracts. TCV is the estimated total contractual revenue related to signed contracts. TCV signings is defined as estimated future revenues from contracts signed during the period, including renewals of existing contracts. Due to the inconsistency of when existing contracts end, quarterly and yearly comparisons are not a good measure of renewal performance. New business ACV is calculated as TCV divided by the contract term, in months, multiplied by 12 for an annual measure.</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2022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2" w:name="page33"/>
    <w:bookmarkEnd w:id="32"/>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the three months ended June 30, 2022, the Company signed $180 million of new business ACV, an increase for the fourth consecutive quarter, with strong contributions from the Commercial segment. While down 30% compared to the corresponding prior year period, the prior year benefited from $85 million of stimulus signings and volume from a large client we no longer include in the sales metrics.</w:t>
      </w:r>
    </w:p>
    <w:p>
      <w:pPr>
        <w:spacing w:after="0" w:line="14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For the six months ended June 30, 2022, the Company signed $ 347 million of new business ACV, down 26% from the prior year, primarily due to $147 million of stimulus signings and volume from a large client we no longer include in the sales metrics.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Signing information for the three and six months ended June 30, 2022 and 2021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0" w:type="dxa"/>
            <w:vAlign w:val="bottom"/>
            <w:gridSpan w:val="5"/>
          </w:tcPr>
          <w:p>
            <w:pPr>
              <w:jc w:val="center"/>
              <w:ind w:right="46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2022 vs. 2021</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left="609"/>
              <w:spacing w:after="0"/>
              <w:rPr>
                <w:sz w:val="20"/>
                <w:szCs w:val="20"/>
                <w:color w:val="auto"/>
              </w:rPr>
            </w:pPr>
            <w:r>
              <w:rPr>
                <w:rFonts w:ascii="Arial" w:cs="Arial" w:eastAsia="Arial" w:hAnsi="Arial"/>
                <w:sz w:val="14"/>
                <w:szCs w:val="14"/>
                <w:color w:val="auto"/>
              </w:rPr>
              <w:t>June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vMerge w:val="continue"/>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gridSpan w:val="2"/>
          </w:tcPr>
          <w:p>
            <w:pPr>
              <w:spacing w:after="0" w:line="129"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20" w:type="dxa"/>
            <w:vAlign w:val="bottom"/>
          </w:tcPr>
          <w:p>
            <w:pPr>
              <w:spacing w:after="0"/>
              <w:rPr>
                <w:sz w:val="12"/>
                <w:szCs w:val="12"/>
                <w:color w:val="auto"/>
              </w:rPr>
            </w:pPr>
          </w:p>
        </w:tc>
        <w:tc>
          <w:tcPr>
            <w:tcW w:w="1220" w:type="dxa"/>
            <w:vAlign w:val="bottom"/>
          </w:tcPr>
          <w:p>
            <w:pPr>
              <w:jc w:val="right"/>
              <w:ind w:right="469"/>
              <w:spacing w:after="0" w:line="129" w:lineRule="exact"/>
              <w:rPr>
                <w:sz w:val="20"/>
                <w:szCs w:val="20"/>
                <w:color w:val="auto"/>
              </w:rPr>
            </w:pPr>
            <w:r>
              <w:rPr>
                <w:rFonts w:ascii="Arial" w:cs="Arial" w:eastAsia="Arial" w:hAnsi="Arial"/>
                <w:sz w:val="11"/>
                <w:szCs w:val="11"/>
                <w:color w:val="auto"/>
              </w:rPr>
              <w:t>2022</w:t>
            </w:r>
            <w:r>
              <w:rPr>
                <w:rFonts w:ascii="Arial" w:cs="Arial" w:eastAsia="Arial" w:hAnsi="Arial"/>
                <w:sz w:val="14"/>
                <w:szCs w:val="14"/>
                <w:color w:val="auto"/>
                <w:vertAlign w:val="superscript"/>
              </w:rPr>
              <w:t>(3)</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jc w:val="right"/>
              <w:ind w:right="489"/>
              <w:spacing w:after="0" w:line="129" w:lineRule="exact"/>
              <w:rPr>
                <w:sz w:val="20"/>
                <w:szCs w:val="20"/>
                <w:color w:val="auto"/>
              </w:rPr>
            </w:pPr>
            <w:r>
              <w:rPr>
                <w:rFonts w:ascii="Arial" w:cs="Arial" w:eastAsia="Arial" w:hAnsi="Arial"/>
                <w:sz w:val="11"/>
                <w:szCs w:val="11"/>
                <w:color w:val="auto"/>
              </w:rPr>
              <w:t>2021</w:t>
            </w:r>
            <w:r>
              <w:rPr>
                <w:rFonts w:ascii="Arial" w:cs="Arial" w:eastAsia="Arial" w:hAnsi="Arial"/>
                <w:sz w:val="14"/>
                <w:szCs w:val="14"/>
                <w:color w:val="auto"/>
                <w:vertAlign w:val="superscript"/>
              </w:rPr>
              <w:t>(3)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3"/>
          </w:tcPr>
          <w:p>
            <w:pPr>
              <w:ind w:left="180"/>
              <w:spacing w:after="0" w:line="129" w:lineRule="exact"/>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ACV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771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1,596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54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Annual recurring revenue signings</w:t>
            </w:r>
            <w:r>
              <w:rPr>
                <w:rFonts w:ascii="Arial" w:cs="Arial" w:eastAsia="Arial" w:hAnsi="Arial"/>
                <w:sz w:val="18"/>
                <w:szCs w:val="18"/>
                <w:color w:val="auto"/>
                <w:vertAlign w:val="superscript"/>
              </w:rPr>
              <w:t>(1)</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18"/>
                <w:szCs w:val="18"/>
                <w:color w:val="auto"/>
                <w:vertAlign w:val="superscript"/>
              </w:rPr>
              <w:t>(2)</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1"/>
                <w:szCs w:val="21"/>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3"/>
          </w:tcPr>
          <w:p>
            <w:pPr>
              <w:jc w:val="center"/>
              <w:ind w:left="569"/>
              <w:spacing w:after="0"/>
              <w:rPr>
                <w:sz w:val="20"/>
                <w:szCs w:val="20"/>
                <w:color w:val="auto"/>
              </w:rPr>
            </w:pPr>
            <w:r>
              <w:rPr>
                <w:rFonts w:ascii="Arial" w:cs="Arial" w:eastAsia="Arial" w:hAnsi="Arial"/>
                <w:sz w:val="14"/>
                <w:szCs w:val="14"/>
                <w:color w:val="auto"/>
              </w:rPr>
              <w:t>Six Months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2022 vs. 2021</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left="609"/>
              <w:spacing w:after="0"/>
              <w:rPr>
                <w:sz w:val="20"/>
                <w:szCs w:val="20"/>
                <w:color w:val="auto"/>
              </w:rPr>
            </w:pPr>
            <w:r>
              <w:rPr>
                <w:rFonts w:ascii="Arial" w:cs="Arial" w:eastAsia="Arial" w:hAnsi="Arial"/>
                <w:sz w:val="14"/>
                <w:szCs w:val="14"/>
                <w:color w:val="auto"/>
              </w:rPr>
              <w:t>June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vMerge w:val="continue"/>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gridSpan w:val="2"/>
          </w:tcPr>
          <w:p>
            <w:pPr>
              <w:spacing w:after="0" w:line="129"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20" w:type="dxa"/>
            <w:vAlign w:val="bottom"/>
          </w:tcPr>
          <w:p>
            <w:pPr>
              <w:spacing w:after="0"/>
              <w:rPr>
                <w:sz w:val="12"/>
                <w:szCs w:val="12"/>
                <w:color w:val="auto"/>
              </w:rPr>
            </w:pPr>
          </w:p>
        </w:tc>
        <w:tc>
          <w:tcPr>
            <w:tcW w:w="1220" w:type="dxa"/>
            <w:vAlign w:val="bottom"/>
          </w:tcPr>
          <w:p>
            <w:pPr>
              <w:jc w:val="right"/>
              <w:ind w:right="469"/>
              <w:spacing w:after="0" w:line="129" w:lineRule="exact"/>
              <w:rPr>
                <w:sz w:val="20"/>
                <w:szCs w:val="20"/>
                <w:color w:val="auto"/>
              </w:rPr>
            </w:pPr>
            <w:r>
              <w:rPr>
                <w:rFonts w:ascii="Arial" w:cs="Arial" w:eastAsia="Arial" w:hAnsi="Arial"/>
                <w:sz w:val="14"/>
                <w:szCs w:val="14"/>
                <w:color w:val="auto"/>
              </w:rPr>
              <w:t>2022</w:t>
            </w:r>
            <w:r>
              <w:rPr>
                <w:rFonts w:ascii="Arial" w:cs="Arial" w:eastAsia="Arial" w:hAnsi="Arial"/>
                <w:sz w:val="9"/>
                <w:szCs w:val="9"/>
                <w:color w:val="auto"/>
              </w:rPr>
              <w:t>(3)</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jc w:val="right"/>
              <w:ind w:right="489"/>
              <w:spacing w:after="0" w:line="129" w:lineRule="exact"/>
              <w:rPr>
                <w:sz w:val="20"/>
                <w:szCs w:val="20"/>
                <w:color w:val="auto"/>
              </w:rPr>
            </w:pPr>
            <w:r>
              <w:rPr>
                <w:rFonts w:ascii="Arial" w:cs="Arial" w:eastAsia="Arial" w:hAnsi="Arial"/>
                <w:sz w:val="14"/>
                <w:szCs w:val="14"/>
                <w:color w:val="auto"/>
              </w:rPr>
              <w:t>2021</w:t>
            </w:r>
            <w:r>
              <w:rPr>
                <w:rFonts w:ascii="Arial" w:cs="Arial" w:eastAsia="Arial" w:hAnsi="Arial"/>
                <w:sz w:val="9"/>
                <w:szCs w:val="9"/>
                <w:color w:val="auto"/>
              </w:rPr>
              <w:t>(3)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3"/>
          </w:tcPr>
          <w:p>
            <w:pPr>
              <w:ind w:left="180"/>
              <w:spacing w:after="0" w:line="129" w:lineRule="exact"/>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ACV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1,123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1,238</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1,098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2,098</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2,221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Annual recurring revenue signings</w:t>
            </w:r>
            <w:r>
              <w:rPr>
                <w:rFonts w:ascii="Arial" w:cs="Arial" w:eastAsia="Arial" w:hAnsi="Arial"/>
                <w:sz w:val="9"/>
                <w:szCs w:val="9"/>
                <w:color w:val="auto"/>
              </w:rPr>
              <w:t>(1)</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9"/>
                <w:szCs w:val="9"/>
                <w:color w:val="auto"/>
              </w:rPr>
              <w:t>(2)</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4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Recurring revenue signings are for new business contracts longer than one year.</w:t>
      </w:r>
    </w:p>
    <w:p>
      <w:pPr>
        <w:spacing w:after="0" w:line="55" w:lineRule="exact"/>
        <w:rPr>
          <w:rFonts w:ascii="Arial" w:cs="Arial" w:eastAsia="Arial" w:hAnsi="Arial"/>
          <w:sz w:val="14"/>
          <w:szCs w:val="14"/>
          <w:i w:val="1"/>
          <w:iCs w:val="1"/>
          <w:color w:val="auto"/>
        </w:rPr>
      </w:pPr>
    </w:p>
    <w:p>
      <w:pPr>
        <w:ind w:left="320" w:hanging="312"/>
        <w:spacing w:after="0"/>
        <w:tabs>
          <w:tab w:leader="none" w:pos="3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Non-recurring revenue signings are for contracts shorter than one year.</w:t>
      </w:r>
    </w:p>
    <w:p>
      <w:pPr>
        <w:spacing w:after="0" w:line="55" w:lineRule="exact"/>
        <w:rPr>
          <w:rFonts w:ascii="Arial" w:cs="Arial" w:eastAsia="Arial" w:hAnsi="Arial"/>
          <w:sz w:val="14"/>
          <w:szCs w:val="14"/>
          <w:i w:val="1"/>
          <w:iCs w:val="1"/>
          <w:color w:val="auto"/>
        </w:rPr>
      </w:pPr>
    </w:p>
    <w:p>
      <w:pPr>
        <w:ind w:left="320" w:hanging="312"/>
        <w:spacing w:after="0"/>
        <w:tabs>
          <w:tab w:leader="none" w:pos="3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Adjusted to remove Midas new business signings.</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2022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3" w:name="page34"/>
    <w:bookmarkEnd w:id="33"/>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total new business pipeline at the end of June 30, 2022 and 2021 was $22.0 billion and $ 21.0 billion, respectively. Total new business pipeline is defined as total new business TCV pipeline of deals in all sell stages. This extends past the next twelve-month period to include total pipeline, excluding the impact of divested business as required.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Net ARR Activity</w:t>
      </w:r>
    </w:p>
    <w:p>
      <w:pPr>
        <w:spacing w:after="0" w:line="180"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Net ARR Activity metric is defined as Projected Annual Recurring Revenue for contracts signed in the prior 12 months, less the annualized impact of any client losses, contractual volume and price changes, and other known impacts for which the Company was notified in that same time period, which could positively or negatively impact results. The metric annualizes the net impact to revenue. Timing of revenue impact varies and may not be realized within the forward 12-month timeframe. The metric is for indicative purposes only. This metric excludes COVID-related volume impacts and non-recurring revenue signings. This metric is not indicative of any specific 12-month timeframe.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Net ARR activity metric for the trailing twelve months for each of the prior five quarters was as follows:</w:t>
      </w: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4"/>
                <w:szCs w:val="14"/>
                <w:color w:val="auto"/>
              </w:rPr>
            </w:pPr>
          </w:p>
        </w:tc>
        <w:tc>
          <w:tcPr>
            <w:tcW w:w="2100" w:type="dxa"/>
            <w:vAlign w:val="bottom"/>
          </w:tcPr>
          <w:p>
            <w:pPr>
              <w:jc w:val="right"/>
              <w:ind w:right="368"/>
              <w:spacing w:after="0" w:line="152" w:lineRule="exact"/>
              <w:rPr>
                <w:sz w:val="20"/>
                <w:szCs w:val="20"/>
                <w:color w:val="auto"/>
              </w:rPr>
            </w:pPr>
            <w:r>
              <w:rPr>
                <w:rFonts w:ascii="Arial" w:cs="Arial" w:eastAsia="Arial" w:hAnsi="Arial"/>
                <w:sz w:val="14"/>
                <w:szCs w:val="14"/>
                <w:color w:val="auto"/>
              </w:rPr>
              <w:t>Net ARR Activity metric</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8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30, 2022</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189"/>
        </w:trPr>
        <w:tc>
          <w:tcPr>
            <w:tcW w:w="20" w:type="dxa"/>
            <w:vAlign w:val="bottom"/>
          </w:tcPr>
          <w:p>
            <w:pPr>
              <w:spacing w:after="0"/>
              <w:rPr>
                <w:sz w:val="16"/>
                <w:szCs w:val="16"/>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March 31, 2022</w:t>
            </w:r>
          </w:p>
        </w:tc>
        <w:tc>
          <w:tcPr>
            <w:tcW w:w="28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189"/>
        </w:trPr>
        <w:tc>
          <w:tcPr>
            <w:tcW w:w="20" w:type="dxa"/>
            <w:vAlign w:val="bottom"/>
            <w:shd w:val="clear" w:color="auto" w:fill="CCEEFF"/>
          </w:tcPr>
          <w:p>
            <w:pPr>
              <w:spacing w:after="0"/>
              <w:rPr>
                <w:sz w:val="16"/>
                <w:szCs w:val="16"/>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31, 2021</w:t>
            </w:r>
          </w:p>
        </w:tc>
        <w:tc>
          <w:tcPr>
            <w:tcW w:w="280" w:type="dxa"/>
            <w:vAlign w:val="bottom"/>
            <w:shd w:val="clear" w:color="auto" w:fill="CCEEFF"/>
          </w:tcPr>
          <w:p>
            <w:pPr>
              <w:spacing w:after="0"/>
              <w:rPr>
                <w:sz w:val="16"/>
                <w:szCs w:val="16"/>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r>
      <w:tr>
        <w:trPr>
          <w:trHeight w:val="189"/>
        </w:trPr>
        <w:tc>
          <w:tcPr>
            <w:tcW w:w="20" w:type="dxa"/>
            <w:vAlign w:val="bottom"/>
          </w:tcPr>
          <w:p>
            <w:pPr>
              <w:spacing w:after="0"/>
              <w:rPr>
                <w:sz w:val="16"/>
                <w:szCs w:val="16"/>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September 30, 2021</w:t>
            </w:r>
          </w:p>
        </w:tc>
        <w:tc>
          <w:tcPr>
            <w:tcW w:w="28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189"/>
        </w:trPr>
        <w:tc>
          <w:tcPr>
            <w:tcW w:w="20" w:type="dxa"/>
            <w:vAlign w:val="bottom"/>
            <w:shd w:val="clear" w:color="auto" w:fill="CCEEFF"/>
          </w:tcPr>
          <w:p>
            <w:pPr>
              <w:spacing w:after="0"/>
              <w:rPr>
                <w:sz w:val="16"/>
                <w:szCs w:val="16"/>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30, 2021</w:t>
            </w:r>
          </w:p>
        </w:tc>
        <w:tc>
          <w:tcPr>
            <w:tcW w:w="280" w:type="dxa"/>
            <w:vAlign w:val="bottom"/>
            <w:shd w:val="clear" w:color="auto" w:fill="CCEEFF"/>
          </w:tcPr>
          <w:p>
            <w:pPr>
              <w:spacing w:after="0"/>
              <w:rPr>
                <w:sz w:val="16"/>
                <w:szCs w:val="16"/>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Capital Resources and Liquidity</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June 30, 2022 and December 31, 2021, total cash and cash equivalents were $519 million and $415 million, respectively. We also have a $ 550 million revolving line of credit for our various cash needs, of which $4 million was used for letters of credit. In the first quarter of 2022, we repaid $100 million that was outstanding as of December 31, 2021 under our revolving line of credit. The net amount available to be drawn upon under our revolving line of credit as of June 30, 2022, was $546 million.</w:t>
      </w:r>
    </w:p>
    <w:p>
      <w:pPr>
        <w:spacing w:after="0" w:line="15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As of June 30, 2022, our total debt outstanding was $1.3 billion of which $30 million was due within one year. Refer to Note 7 – Debt in the Condensed Consolidated Financial Statements for additional debt information.</w:t>
      </w:r>
    </w:p>
    <w:p>
      <w:pPr>
        <w:spacing w:after="0" w:line="144"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In order to provide financial flexibility and finance certain investments and projects, we may continue to utilize external financing arrangements. However, we believe that our cash on hand, projected cash flow from operations, sound balance sheet and our revolving line of credit will continue to provide sufficient financial resources to meet our expected business obligations for at least the next twelve months.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Cash Flow Analysis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as reported in our Condensed Consolidated Statement of Cash Flows in the accompanying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5"/>
          </w:tcPr>
          <w:p>
            <w:pPr>
              <w:ind w:left="340"/>
              <w:spacing w:after="0"/>
              <w:rPr>
                <w:sz w:val="20"/>
                <w:szCs w:val="20"/>
                <w:color w:val="auto"/>
              </w:rPr>
            </w:pPr>
            <w:r>
              <w:rPr>
                <w:rFonts w:ascii="Arial" w:cs="Arial" w:eastAsia="Arial" w:hAnsi="Arial"/>
                <w:sz w:val="14"/>
                <w:szCs w:val="14"/>
                <w:color w:val="auto"/>
              </w:rPr>
              <w:t>Six Months Ended June 30,</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6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528"/>
              <w:spacing w:after="0" w:line="129" w:lineRule="exact"/>
              <w:rPr>
                <w:sz w:val="20"/>
                <w:szCs w:val="20"/>
                <w:color w:val="auto"/>
              </w:rPr>
            </w:pPr>
            <w:r>
              <w:rPr>
                <w:rFonts w:ascii="Arial" w:cs="Arial" w:eastAsia="Arial" w:hAnsi="Arial"/>
                <w:sz w:val="14"/>
                <w:szCs w:val="14"/>
                <w:color w:val="auto"/>
              </w:rPr>
              <w:t>2022</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52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Better (Worse)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189"/>
        </w:trPr>
        <w:tc>
          <w:tcPr>
            <w:tcW w:w="20" w:type="dxa"/>
            <w:vAlign w:val="bottom"/>
          </w:tcPr>
          <w:p>
            <w:pPr>
              <w:spacing w:after="0"/>
              <w:rPr>
                <w:sz w:val="16"/>
                <w:szCs w:val="16"/>
                <w:color w:val="auto"/>
              </w:rPr>
            </w:pPr>
          </w:p>
        </w:tc>
        <w:tc>
          <w:tcPr>
            <w:tcW w:w="6460" w:type="dxa"/>
            <w:vAlign w:val="bottom"/>
            <w:gridSpan w:val="2"/>
          </w:tcPr>
          <w:p>
            <w:pPr>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311</w:t>
            </w:r>
          </w:p>
        </w:tc>
      </w:tr>
      <w:tr>
        <w:trPr>
          <w:trHeight w:val="189"/>
        </w:trPr>
        <w:tc>
          <w:tcPr>
            <w:tcW w:w="20" w:type="dxa"/>
            <w:vAlign w:val="bottom"/>
            <w:shd w:val="clear" w:color="auto" w:fill="CCEEFF"/>
          </w:tcPr>
          <w:p>
            <w:pPr>
              <w:spacing w:after="0"/>
              <w:rPr>
                <w:sz w:val="16"/>
                <w:szCs w:val="16"/>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Operating activities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net decrease in cash generated from operating activities of $108 million, compared to the prior year period, was primarily related to lower Adjusted EBITDA, higher cash taxes mainly related to the Midas gain and insurance recoveries, higher cash interest and working capital timing, primarily related to Accounts receivable collections timing. These items were partially offset by the $38 million of insurance recoveries related to the previously disclosed State of Texas matter.</w:t>
      </w:r>
    </w:p>
    <w:p>
      <w:pPr>
        <w:spacing w:after="0" w:line="200" w:lineRule="exact"/>
        <w:rPr>
          <w:sz w:val="20"/>
          <w:szCs w:val="20"/>
          <w:color w:val="auto"/>
        </w:rPr>
      </w:pPr>
    </w:p>
    <w:p>
      <w:pPr>
        <w:spacing w:after="0" w:line="36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4" w:name="page35"/>
    <w:bookmarkEnd w:id="34"/>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Investing activities</w:t>
      </w:r>
    </w:p>
    <w:p>
      <w:pPr>
        <w:spacing w:after="0" w:line="19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increase in cash provided by investing activities of $311 million was primarily due to the proceeds from the divestiture of the Midas business, partially offset by increased spending related to modernizing our infrastructure and productivity tools.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Financing activities</w:t>
      </w:r>
    </w:p>
    <w:p>
      <w:pPr>
        <w:spacing w:after="0" w:line="19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increase in cash used in financing activities was primarily related to the repayment of the $100 million borrowed under the revolver partially offset by lower Term loan and Senior note principal payments.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Material Cash Requirements from Contractual Obligations</w:t>
      </w:r>
    </w:p>
    <w:p>
      <w:pPr>
        <w:spacing w:after="0" w:line="1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believes its balances of cash and cash equivalents, which totaled $519 million as of June 30, 2022, along with cash generated by operations and amounts available for borrowing under its 2021 Revolving Credit Facility, will be sufficient to satisfy its cash requirements over the next 12 months and beyond.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At June 30, 2022, the Company’s material cash requirements include debt, leases and estimated purchase commitments. See Part II, Item 7</w:t>
      </w:r>
    </w:p>
    <w:p>
      <w:pPr>
        <w:spacing w:after="0" w:line="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 Management's Discussion and Analysis of Financial Condition and Results of Operation of our Annual Report on Form 10-K for the year ended December 31, 2021 for additional information on our material cash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Critical Accounting Estimates and Policies</w:t>
      </w:r>
    </w:p>
    <w:p>
      <w:pPr>
        <w:spacing w:after="0" w:line="18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(U.S. GAAP) requires us to make estimates and assumptions in certain circumstances that affect amounts reported in the accompanying Condensed Consolidated Financial Statements and notes thereto. There have been no significant changes during the six months ended June 30, 2022 to our critical accounting estimates and policies from those disclosed in our Annual Report on Form 10-K for the year ended December 31, 2021.</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Recent Accounting Changes</w:t>
      </w:r>
    </w:p>
    <w:p>
      <w:pPr>
        <w:spacing w:after="0" w:line="18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See Note 2 – Recent Accounting Pronouncements for information on accounting standards adopted during the current year, as well as recently issued accounting standards not yet required to be adopted and the expected impact of the adoption of these accounting standards.</w:t>
      </w: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QUANTITATIVE AND QUALITATIVE DISCLOSURES ABOUT MARKET RISK</w:t>
      </w:r>
    </w:p>
    <w:p>
      <w:pPr>
        <w:spacing w:after="0" w:line="18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are exposed to market risk from changes in foreign currency exchange rates which could affect operating results, financial position and cash flows. We manage our exposure to these market risks through our regular operating and financing activities and, when appropriate, through the use of derivative financial instruments. We may utilize derivative financial instruments to hedge economic exposures, as well as to reduce earnings and cash flow volatility resulting from shifts in market rates. We also may hedge the cost to fund material non-dollar entities by buying currencies periodically in advance of the funding date. This is accounted for using derivative accounting.</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Recent market and economic events, including the effects of the COVID-19 pandemic, have not caused us to materially modify nor change our financial risk management strategies with respect to our exposures to foreign currency risk. Refer to Note 8 – Financial Instruments in the Condensed Consolidated Financial Statements for additional discussion on our financial risk management.</w:t>
      </w:r>
    </w:p>
    <w:p>
      <w:pPr>
        <w:spacing w:after="0" w:line="14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the reporting period, there have been no material changes to the quantitative and qualitative disclosures regarding our market risk set forth in our Annual Report on Form 10-K for the year ended December 31, 2021.</w:t>
      </w:r>
    </w:p>
    <w:p>
      <w:pPr>
        <w:spacing w:after="0" w:line="200" w:lineRule="exact"/>
        <w:rPr>
          <w:sz w:val="20"/>
          <w:szCs w:val="20"/>
          <w:color w:val="auto"/>
        </w:rPr>
      </w:pPr>
    </w:p>
    <w:p>
      <w:pPr>
        <w:spacing w:after="0" w:line="38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2022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5" w:name="page36"/>
    <w:bookmarkEnd w:id="35"/>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CONTROLS AND PROCEDURES</w:t>
      </w:r>
    </w:p>
    <w:p>
      <w:pPr>
        <w:spacing w:after="0" w:line="162"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1269BC"/>
        </w:rPr>
      </w:pPr>
      <w:r>
        <w:rPr>
          <w:rFonts w:ascii="Arial" w:cs="Arial" w:eastAsia="Arial" w:hAnsi="Arial"/>
          <w:sz w:val="18"/>
          <w:szCs w:val="18"/>
          <w:b w:val="1"/>
          <w:bCs w:val="1"/>
          <w:color w:val="1269BC"/>
        </w:rPr>
        <w:t>Evaluation of Disclosure Controls and Procedures</w:t>
      </w:r>
    </w:p>
    <w:p>
      <w:pPr>
        <w:spacing w:after="0" w:line="193" w:lineRule="exact"/>
        <w:rPr>
          <w:sz w:val="20"/>
          <w:szCs w:val="20"/>
          <w:color w:val="auto"/>
        </w:rPr>
      </w:pPr>
    </w:p>
    <w:p>
      <w:pPr>
        <w:ind w:left="340"/>
        <w:spacing w:after="0" w:line="251" w:lineRule="auto"/>
        <w:rPr>
          <w:sz w:val="20"/>
          <w:szCs w:val="20"/>
          <w:color w:val="auto"/>
        </w:rPr>
      </w:pPr>
      <w:r>
        <w:rPr>
          <w:rFonts w:ascii="Arial" w:cs="Arial" w:eastAsia="Arial" w:hAnsi="Arial"/>
          <w:sz w:val="18"/>
          <w:szCs w:val="18"/>
          <w:color w:val="auto"/>
        </w:rPr>
        <w:t>The Company’s management evaluated, with the participation of our principal executive officer and principal financial officer, or persons performing similar functions, the effectiveness of our disclosure controls and procedures, as defined in Rules 13a-15(e) and 15d-15(e) under the Securities Exchange Act of 1934, as amended ("Exchange Act"), as of the end of the period covered by this Form 10-Q. Based on this evaluation, our principal executive officer and principal financial officer have concluded that, as of the end of the period covered by this Form 10-Q, our disclosure controls and procedures were effective to ensure that information we are required to disclose in the reports that we file or submit under the Exchange Act, is recorded, processed, summarized and reported within the time periods specified in the SEC’s rules and forms relating to the Company,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spacing w:after="0" w:line="136"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b w:val="1"/>
          <w:bCs w:val="1"/>
          <w:color w:val="1269BC"/>
        </w:rPr>
      </w:pPr>
      <w:r>
        <w:rPr>
          <w:rFonts w:ascii="Arial" w:cs="Arial" w:eastAsia="Arial" w:hAnsi="Arial"/>
          <w:sz w:val="18"/>
          <w:szCs w:val="18"/>
          <w:b w:val="1"/>
          <w:bCs w:val="1"/>
          <w:color w:val="1269BC"/>
        </w:rPr>
        <w:t>Changes in Internal Control Over Financial Reporting</w:t>
      </w:r>
    </w:p>
    <w:p>
      <w:pPr>
        <w:spacing w:after="0" w:line="193" w:lineRule="exact"/>
        <w:rPr>
          <w:sz w:val="20"/>
          <w:szCs w:val="20"/>
          <w:color w:val="auto"/>
        </w:rPr>
      </w:pPr>
    </w:p>
    <w:p>
      <w:pPr>
        <w:ind w:left="340" w:right="260"/>
        <w:spacing w:after="0" w:line="261"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2022,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PART II —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LEGAL PROCEEDINGS</w:t>
      </w:r>
    </w:p>
    <w:p>
      <w:pPr>
        <w:spacing w:after="0" w:line="18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information set forth under Note 12 – Contingencies and Litigation in the Condensed Consolidated Financial Statements of this Form 10-Q is incorporated herein by reference in answer to this Item.</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1A — RISK FACTORS</w:t>
      </w:r>
    </w:p>
    <w:p>
      <w:pPr>
        <w:spacing w:after="0" w:line="1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Reference is made to the Risk Factors set forth in Part I, Item 1A of our Annual Report on Form 10-K for the year ended December 31, 2021. There have been no material changes to our risk factors as previously reported in our Annual Report on Form 10-K for the year ended December 31, 2021.</w:t>
      </w: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2 — UNREGISTERED SALES OF EQUITY SECURITIES AND USE OF PROCEEDS</w:t>
      </w:r>
    </w:p>
    <w:p>
      <w:pPr>
        <w:spacing w:after="0" w:line="162"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1269BC"/>
        </w:rPr>
      </w:pPr>
      <w:r>
        <w:rPr>
          <w:rFonts w:ascii="Arial" w:cs="Arial" w:eastAsia="Arial" w:hAnsi="Arial"/>
          <w:sz w:val="18"/>
          <w:szCs w:val="18"/>
          <w:b w:val="1"/>
          <w:bCs w:val="1"/>
          <w:color w:val="1269BC"/>
        </w:rPr>
        <w:t>Sales of Unregistered Securities during the Quarter ended June 30, 2022</w:t>
      </w:r>
    </w:p>
    <w:p>
      <w:pPr>
        <w:spacing w:after="0" w:line="193" w:lineRule="exact"/>
        <w:rPr>
          <w:sz w:val="20"/>
          <w:szCs w:val="20"/>
          <w:color w:val="auto"/>
        </w:rPr>
      </w:pPr>
    </w:p>
    <w:p>
      <w:pPr>
        <w:ind w:left="420" w:right="20"/>
        <w:spacing w:after="0" w:line="261" w:lineRule="auto"/>
        <w:rPr>
          <w:sz w:val="20"/>
          <w:szCs w:val="20"/>
          <w:color w:val="auto"/>
        </w:rPr>
      </w:pPr>
      <w:r>
        <w:rPr>
          <w:rFonts w:ascii="Arial" w:cs="Arial" w:eastAsia="Arial" w:hAnsi="Arial"/>
          <w:sz w:val="18"/>
          <w:szCs w:val="18"/>
          <w:color w:val="auto"/>
        </w:rPr>
        <w:t>During the quarter ended June 30, 2022, the Company did not issue any securities in transactions that were not registered under the Securities Act of 1933, as amended.</w:t>
      </w:r>
    </w:p>
    <w:p>
      <w:pPr>
        <w:spacing w:after="0" w:line="122"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1269BC"/>
        </w:rPr>
      </w:pPr>
      <w:r>
        <w:rPr>
          <w:rFonts w:ascii="Arial" w:cs="Arial" w:eastAsia="Arial" w:hAnsi="Arial"/>
          <w:sz w:val="18"/>
          <w:szCs w:val="18"/>
          <w:b w:val="1"/>
          <w:bCs w:val="1"/>
          <w:color w:val="1269BC"/>
        </w:rPr>
        <w:t>Issuer Purchases of Equity Securities during the Quarter ended June 30, 2022</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2022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6" w:name="page37"/>
    <w:bookmarkEnd w:id="36"/>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6 — EXHIBITS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auto"/>
              </w:rPr>
              <w:t>3.1</w:t>
            </w:r>
          </w:p>
        </w:tc>
        <w:tc>
          <w:tcPr>
            <w:tcW w:w="9400" w:type="dxa"/>
            <w:vAlign w:val="bottom"/>
            <w:tcBorders>
              <w:bottom w:val="single" w:sz="8" w:color="0000FF"/>
            </w:tcBorders>
            <w:gridSpan w:val="6"/>
          </w:tcPr>
          <w:p>
            <w:pPr>
              <w:spacing w:after="0"/>
              <w:rPr>
                <w:rFonts w:ascii="Arial" w:cs="Arial" w:eastAsia="Arial" w:hAnsi="Arial"/>
                <w:sz w:val="18"/>
                <w:szCs w:val="18"/>
                <w:color w:val="0000FF"/>
                <w:w w:val="99"/>
              </w:rPr>
            </w:pPr>
            <w:hyperlink r:id="rId47">
              <w:r>
                <w:rPr>
                  <w:rFonts w:ascii="Arial" w:cs="Arial" w:eastAsia="Arial" w:hAnsi="Arial"/>
                  <w:sz w:val="18"/>
                  <w:szCs w:val="18"/>
                  <w:color w:val="0000FF"/>
                  <w:w w:val="99"/>
                </w:rPr>
                <w:t>Restated Certificate of Incorporation of Registrant filed with the Department of the State of New York on December 31,</w:t>
              </w:r>
            </w:hyperlink>
          </w:p>
        </w:tc>
      </w:tr>
      <w:tr>
        <w:trPr>
          <w:trHeight w:val="155"/>
        </w:trPr>
        <w:tc>
          <w:tcPr>
            <w:tcW w:w="1440" w:type="dxa"/>
            <w:vAlign w:val="bottom"/>
          </w:tcPr>
          <w:p>
            <w:pPr>
              <w:spacing w:after="0"/>
              <w:rPr>
                <w:sz w:val="13"/>
                <w:szCs w:val="13"/>
                <w:color w:val="auto"/>
              </w:rPr>
            </w:pPr>
          </w:p>
        </w:tc>
        <w:tc>
          <w:tcPr>
            <w:tcW w:w="440" w:type="dxa"/>
            <w:vAlign w:val="bottom"/>
            <w:tcBorders>
              <w:bottom w:val="single" w:sz="8" w:color="0000FF"/>
            </w:tcBorders>
          </w:tcPr>
          <w:p>
            <w:pPr>
              <w:spacing w:after="0" w:line="156" w:lineRule="exact"/>
              <w:rPr>
                <w:rFonts w:ascii="Arial" w:cs="Arial" w:eastAsia="Arial" w:hAnsi="Arial"/>
                <w:sz w:val="18"/>
                <w:szCs w:val="18"/>
                <w:color w:val="0000FF"/>
                <w:w w:val="93"/>
              </w:rPr>
            </w:pPr>
            <w:hyperlink r:id="rId47">
              <w:r>
                <w:rPr>
                  <w:rFonts w:ascii="Arial" w:cs="Arial" w:eastAsia="Arial" w:hAnsi="Arial"/>
                  <w:sz w:val="18"/>
                  <w:szCs w:val="18"/>
                  <w:color w:val="0000FF"/>
                  <w:w w:val="93"/>
                </w:rPr>
                <w:t>2016.</w:t>
              </w:r>
            </w:hyperlink>
          </w:p>
        </w:tc>
        <w:tc>
          <w:tcPr>
            <w:tcW w:w="3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250"/>
        </w:trPr>
        <w:tc>
          <w:tcPr>
            <w:tcW w:w="1440" w:type="dxa"/>
            <w:vAlign w:val="bottom"/>
          </w:tcPr>
          <w:p>
            <w:pPr>
              <w:spacing w:after="0"/>
              <w:rPr>
                <w:sz w:val="21"/>
                <w:szCs w:val="21"/>
                <w:color w:val="auto"/>
              </w:rPr>
            </w:pPr>
          </w:p>
        </w:tc>
        <w:tc>
          <w:tcPr>
            <w:tcW w:w="9400" w:type="dxa"/>
            <w:vAlign w:val="bottom"/>
            <w:gridSpan w:val="6"/>
          </w:tcPr>
          <w:p>
            <w:pPr>
              <w:spacing w:after="0"/>
              <w:rPr>
                <w:sz w:val="20"/>
                <w:szCs w:val="20"/>
                <w:color w:val="auto"/>
              </w:rPr>
            </w:pPr>
            <w:r>
              <w:rPr>
                <w:rFonts w:ascii="Arial" w:cs="Arial" w:eastAsia="Arial" w:hAnsi="Arial"/>
                <w:sz w:val="18"/>
                <w:szCs w:val="18"/>
                <w:color w:val="auto"/>
              </w:rPr>
              <w:t>Incorporated by reference to Exhibit 3.1 to Registrant's Current Report on Form 8-K dated December 23, 2016.</w:t>
            </w:r>
          </w:p>
        </w:tc>
      </w:tr>
      <w:tr>
        <w:trPr>
          <w:trHeight w:val="189"/>
        </w:trPr>
        <w:tc>
          <w:tcPr>
            <w:tcW w:w="1440" w:type="dxa"/>
            <w:vAlign w:val="bottom"/>
          </w:tcPr>
          <w:p>
            <w:pPr>
              <w:spacing w:after="0" w:line="189" w:lineRule="exact"/>
              <w:rPr>
                <w:sz w:val="20"/>
                <w:szCs w:val="20"/>
                <w:color w:val="auto"/>
              </w:rPr>
            </w:pPr>
            <w:r>
              <w:rPr>
                <w:rFonts w:ascii="Arial" w:cs="Arial" w:eastAsia="Arial" w:hAnsi="Arial"/>
                <w:sz w:val="18"/>
                <w:szCs w:val="18"/>
                <w:color w:val="auto"/>
              </w:rPr>
              <w:t>3.2</w:t>
            </w:r>
          </w:p>
        </w:tc>
        <w:tc>
          <w:tcPr>
            <w:tcW w:w="7080" w:type="dxa"/>
            <w:vAlign w:val="bottom"/>
            <w:tcBorders>
              <w:bottom w:val="single" w:sz="8" w:color="0000FF"/>
            </w:tcBorders>
            <w:gridSpan w:val="5"/>
          </w:tcPr>
          <w:p>
            <w:pPr>
              <w:spacing w:after="0" w:line="189"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Amended and Restated By-Laws of Registrant as amended through December 31, 2016.</w:t>
              </w:r>
            </w:hyperlink>
          </w:p>
        </w:tc>
        <w:tc>
          <w:tcPr>
            <w:tcW w:w="2320" w:type="dxa"/>
            <w:vAlign w:val="bottom"/>
          </w:tcPr>
          <w:p>
            <w:pPr>
              <w:spacing w:after="0"/>
              <w:rPr>
                <w:sz w:val="16"/>
                <w:szCs w:val="16"/>
                <w:color w:val="auto"/>
              </w:rPr>
            </w:pPr>
          </w:p>
        </w:tc>
      </w:tr>
      <w:tr>
        <w:trPr>
          <w:trHeight w:val="250"/>
        </w:trPr>
        <w:tc>
          <w:tcPr>
            <w:tcW w:w="1440" w:type="dxa"/>
            <w:vAlign w:val="bottom"/>
          </w:tcPr>
          <w:p>
            <w:pPr>
              <w:spacing w:after="0"/>
              <w:rPr>
                <w:sz w:val="21"/>
                <w:szCs w:val="21"/>
                <w:color w:val="auto"/>
              </w:rPr>
            </w:pPr>
          </w:p>
        </w:tc>
        <w:tc>
          <w:tcPr>
            <w:tcW w:w="9400" w:type="dxa"/>
            <w:vAlign w:val="bottom"/>
            <w:gridSpan w:val="6"/>
          </w:tcPr>
          <w:p>
            <w:pPr>
              <w:spacing w:after="0"/>
              <w:rPr>
                <w:sz w:val="20"/>
                <w:szCs w:val="20"/>
                <w:color w:val="auto"/>
              </w:rPr>
            </w:pPr>
            <w:r>
              <w:rPr>
                <w:rFonts w:ascii="Arial" w:cs="Arial" w:eastAsia="Arial" w:hAnsi="Arial"/>
                <w:sz w:val="18"/>
                <w:szCs w:val="18"/>
                <w:color w:val="auto"/>
              </w:rPr>
              <w:t>Incorporated by reference to Exhibit 3.2 to Registrant's Current Report on Form 8-K dated December 23, 2016.</w:t>
            </w:r>
          </w:p>
        </w:tc>
      </w:tr>
      <w:tr>
        <w:trPr>
          <w:trHeight w:val="189"/>
        </w:trPr>
        <w:tc>
          <w:tcPr>
            <w:tcW w:w="1440" w:type="dxa"/>
            <w:vAlign w:val="bottom"/>
          </w:tcPr>
          <w:p>
            <w:pPr>
              <w:spacing w:after="0" w:line="189" w:lineRule="exact"/>
              <w:rPr>
                <w:sz w:val="20"/>
                <w:szCs w:val="20"/>
                <w:color w:val="auto"/>
              </w:rPr>
            </w:pPr>
            <w:r>
              <w:rPr>
                <w:rFonts w:ascii="Arial" w:cs="Arial" w:eastAsia="Arial" w:hAnsi="Arial"/>
                <w:sz w:val="18"/>
                <w:szCs w:val="18"/>
                <w:color w:val="auto"/>
              </w:rPr>
              <w:t>10.1</w:t>
            </w:r>
          </w:p>
        </w:tc>
        <w:tc>
          <w:tcPr>
            <w:tcW w:w="9400" w:type="dxa"/>
            <w:vAlign w:val="bottom"/>
            <w:gridSpan w:val="6"/>
          </w:tcPr>
          <w:p>
            <w:pPr>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U.S. Executive Severance Policy, as amended</w:t>
              </w:r>
            </w:hyperlink>
            <w:r>
              <w:rPr>
                <w:rFonts w:ascii="Arial" w:cs="Arial" w:eastAsia="Arial" w:hAnsi="Arial"/>
                <w:sz w:val="18"/>
                <w:szCs w:val="18"/>
                <w:color w:val="000000"/>
              </w:rPr>
              <w:t>.</w:t>
            </w:r>
          </w:p>
        </w:tc>
      </w:tr>
      <w:tr>
        <w:trPr>
          <w:trHeight w:val="20"/>
        </w:trPr>
        <w:tc>
          <w:tcPr>
            <w:tcW w:w="1440" w:type="dxa"/>
            <w:vAlign w:val="bottom"/>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r>
      <w:tr>
        <w:trPr>
          <w:trHeight w:val="209"/>
        </w:trPr>
        <w:tc>
          <w:tcPr>
            <w:tcW w:w="1440" w:type="dxa"/>
            <w:vAlign w:val="bottom"/>
          </w:tcPr>
          <w:p>
            <w:pPr>
              <w:spacing w:after="0"/>
              <w:rPr>
                <w:sz w:val="20"/>
                <w:szCs w:val="20"/>
                <w:color w:val="auto"/>
              </w:rPr>
            </w:pPr>
            <w:r>
              <w:rPr>
                <w:rFonts w:ascii="Arial" w:cs="Arial" w:eastAsia="Arial" w:hAnsi="Arial"/>
                <w:sz w:val="18"/>
                <w:szCs w:val="18"/>
                <w:color w:val="auto"/>
              </w:rPr>
              <w:t>31(a)</w:t>
            </w:r>
          </w:p>
        </w:tc>
        <w:tc>
          <w:tcPr>
            <w:tcW w:w="530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44">
              <w:r>
                <w:rPr>
                  <w:rFonts w:ascii="Arial" w:cs="Arial" w:eastAsia="Arial" w:hAnsi="Arial"/>
                  <w:sz w:val="18"/>
                  <w:szCs w:val="18"/>
                  <w:color w:val="0000FF"/>
                  <w:w w:val="99"/>
                </w:rPr>
                <w:t>Certification of CEO pursuant to Rule 13a-14(a) or Rule 15d-14(a).</w:t>
              </w:r>
            </w:hyperlink>
          </w:p>
        </w:tc>
        <w:tc>
          <w:tcPr>
            <w:tcW w:w="4100" w:type="dxa"/>
            <w:vAlign w:val="bottom"/>
            <w:gridSpan w:val="2"/>
          </w:tcPr>
          <w:p>
            <w:pPr>
              <w:spacing w:after="0"/>
              <w:rPr>
                <w:sz w:val="18"/>
                <w:szCs w:val="18"/>
                <w:color w:val="auto"/>
              </w:rPr>
            </w:pPr>
          </w:p>
        </w:tc>
      </w:tr>
      <w:tr>
        <w:trPr>
          <w:trHeight w:val="210"/>
        </w:trPr>
        <w:tc>
          <w:tcPr>
            <w:tcW w:w="1440" w:type="dxa"/>
            <w:vAlign w:val="bottom"/>
          </w:tcPr>
          <w:p>
            <w:pPr>
              <w:spacing w:after="0"/>
              <w:rPr>
                <w:sz w:val="20"/>
                <w:szCs w:val="20"/>
                <w:color w:val="auto"/>
              </w:rPr>
            </w:pPr>
            <w:r>
              <w:rPr>
                <w:rFonts w:ascii="Arial" w:cs="Arial" w:eastAsia="Arial" w:hAnsi="Arial"/>
                <w:sz w:val="18"/>
                <w:szCs w:val="18"/>
                <w:color w:val="auto"/>
              </w:rPr>
              <w:t>31(b)</w:t>
            </w:r>
          </w:p>
        </w:tc>
        <w:tc>
          <w:tcPr>
            <w:tcW w:w="9400" w:type="dxa"/>
            <w:vAlign w:val="bottom"/>
            <w:gridSpan w:val="6"/>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of CFO pursuant to Rule 13a-14(a) or Rule 15d-14(a).</w:t>
              </w:r>
            </w:hyperlink>
          </w:p>
        </w:tc>
      </w:tr>
      <w:tr>
        <w:trPr>
          <w:trHeight w:val="20"/>
        </w:trPr>
        <w:tc>
          <w:tcPr>
            <w:tcW w:w="1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40" w:lineRule="exact"/>
        <w:rPr>
          <w:sz w:val="20"/>
          <w:szCs w:val="20"/>
          <w:color w:val="auto"/>
        </w:rPr>
      </w:pPr>
    </w:p>
    <w:p>
      <w:pPr>
        <w:ind w:left="1460" w:right="200" w:hanging="1434"/>
        <w:spacing w:after="0" w:line="227" w:lineRule="auto"/>
        <w:tabs>
          <w:tab w:leader="none" w:pos="1460" w:val="left"/>
        </w:tabs>
        <w:numPr>
          <w:ilvl w:val="0"/>
          <w:numId w:val="18"/>
        </w:numPr>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Certification of CEO and CFO pursuant to 18 U.S.C. Section 1350, as adopted pursuant to Section 906 of the Sarbanes-</w:t>
        </w:r>
      </w:hyperlink>
      <w:hyperlink w:anchor="page46">
        <w:r>
          <w:rPr>
            <w:rFonts w:ascii="Arial" w:cs="Arial" w:eastAsia="Arial" w:hAnsi="Arial"/>
            <w:sz w:val="18"/>
            <w:szCs w:val="18"/>
            <w:u w:val="single" w:color="auto"/>
            <w:color w:val="0000FF"/>
          </w:rPr>
          <w:t>Oxley Act of 2002.</w:t>
        </w:r>
      </w:hyperlink>
    </w:p>
    <w:p>
      <w:pPr>
        <w:spacing w:after="0" w:line="252" w:lineRule="exact"/>
        <w:rPr>
          <w:rFonts w:ascii="Arial" w:cs="Arial" w:eastAsia="Arial" w:hAnsi="Arial"/>
          <w:sz w:val="18"/>
          <w:szCs w:val="18"/>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tcPr>
          <w:p>
            <w:pPr>
              <w:ind w:left="360"/>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 XBRL</w:t>
            </w:r>
          </w:p>
        </w:tc>
      </w:tr>
      <w:tr>
        <w:trPr>
          <w:trHeight w:val="217"/>
        </w:trPr>
        <w:tc>
          <w:tcPr>
            <w:tcW w:w="108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tags are embedded within the Inline XBRL document.</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Definition Linkbase.</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Presentation Linkbase.</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Schema Linkbase.</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9840" w:type="dxa"/>
            <w:vAlign w:val="bottom"/>
          </w:tcPr>
          <w:p>
            <w:pPr>
              <w:ind w:left="36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0"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4"/>
          <w:szCs w:val="14"/>
          <w:color w:val="3051F2"/>
        </w:rPr>
        <w:t>CNDT Q2 2022 Form 10-Q</w:t>
      </w:r>
    </w:p>
    <w:p>
      <w:pPr>
        <w:spacing w:after="0" w:line="9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7" w:name="page38"/>
    <w:bookmarkEnd w:id="37"/>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SIGNATURES</w:t>
      </w:r>
    </w:p>
    <w:p>
      <w:pPr>
        <w:spacing w:after="0" w:line="26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80"/>
        <w:spacing w:after="0" w:line="229" w:lineRule="auto"/>
        <w:rPr>
          <w:sz w:val="20"/>
          <w:szCs w:val="20"/>
          <w:color w:val="auto"/>
        </w:rPr>
      </w:pPr>
      <w:r>
        <w:rPr>
          <w:rFonts w:ascii="Arial" w:cs="Arial" w:eastAsia="Arial" w:hAnsi="Arial"/>
          <w:sz w:val="18"/>
          <w:szCs w:val="18"/>
          <w:b w:val="1"/>
          <w:bCs w:val="1"/>
          <w:color w:val="auto"/>
        </w:rPr>
        <w:t>CONDUENT INCORPORATED</w:t>
      </w:r>
    </w:p>
    <w:p>
      <w:pPr>
        <w:ind w:left="80"/>
        <w:spacing w:after="0"/>
        <w:rPr>
          <w:sz w:val="20"/>
          <w:szCs w:val="20"/>
          <w:color w:val="auto"/>
        </w:rPr>
      </w:pPr>
      <w:r>
        <w:rPr>
          <w:rFonts w:ascii="Arial" w:cs="Arial" w:eastAsia="Arial" w:hAnsi="Arial"/>
          <w:sz w:val="18"/>
          <w:szCs w:val="18"/>
          <w:color w:val="auto"/>
        </w:rPr>
        <w:t>(Registrant)</w:t>
      </w:r>
    </w:p>
    <w:p>
      <w:pPr>
        <w:spacing w:after="0" w:line="90"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By:</w:t>
        <w:tab/>
        <w:t>/S/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6350</wp:posOffset>
            </wp:positionV>
            <wp:extent cx="28886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4"/>
          <w:szCs w:val="14"/>
          <w:b w:val="1"/>
          <w:bCs w:val="1"/>
          <w:color w:val="auto"/>
        </w:rPr>
        <w:t>Stephen Wood</w:t>
      </w:r>
    </w:p>
    <w:p>
      <w:pPr>
        <w:ind w:left="580"/>
        <w:spacing w:after="0" w:line="201" w:lineRule="auto"/>
        <w:rPr>
          <w:sz w:val="20"/>
          <w:szCs w:val="20"/>
          <w:color w:val="auto"/>
        </w:rPr>
      </w:pPr>
      <w:r>
        <w:rPr>
          <w:rFonts w:ascii="Arial" w:cs="Arial" w:eastAsia="Arial" w:hAnsi="Arial"/>
          <w:sz w:val="14"/>
          <w:szCs w:val="14"/>
          <w:b w:val="1"/>
          <w:bCs w:val="1"/>
          <w:color w:val="auto"/>
        </w:rPr>
        <w:t>Chief Financial Officer</w:t>
      </w:r>
    </w:p>
    <w:p>
      <w:pPr>
        <w:ind w:left="580"/>
        <w:spacing w:after="0"/>
        <w:rPr>
          <w:sz w:val="20"/>
          <w:szCs w:val="20"/>
          <w:color w:val="auto"/>
        </w:rPr>
      </w:pPr>
      <w:r>
        <w:rPr>
          <w:rFonts w:ascii="Arial" w:cs="Arial" w:eastAsia="Arial" w:hAnsi="Arial"/>
          <w:sz w:val="14"/>
          <w:szCs w:val="14"/>
          <w:b w:val="1"/>
          <w:bCs w:val="1"/>
          <w:color w:val="auto"/>
        </w:rPr>
        <w:t>(Principal Financial Officer)</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2022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52" w:right="35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99"/>
        </w:trPr>
        <w:tc>
          <w:tcPr>
            <w:tcW w:w="4840" w:type="dxa"/>
            <w:vAlign w:val="bottom"/>
          </w:tcPr>
          <w:p>
            <w:pPr>
              <w:spacing w:after="0"/>
              <w:rPr>
                <w:sz w:val="20"/>
                <w:szCs w:val="20"/>
                <w:color w:val="auto"/>
              </w:rPr>
            </w:pPr>
            <w:r>
              <w:rPr>
                <w:rFonts w:ascii="Arial" w:cs="Arial" w:eastAsia="Arial" w:hAnsi="Arial"/>
                <w:sz w:val="22"/>
                <w:szCs w:val="22"/>
                <w:b w:val="1"/>
                <w:bCs w:val="1"/>
                <w:color w:val="auto"/>
              </w:rPr>
              <w:t>Executive Severance Policy</w:t>
            </w:r>
          </w:p>
        </w:tc>
        <w:tc>
          <w:tcPr>
            <w:tcW w:w="6260" w:type="dxa"/>
            <w:vAlign w:val="bottom"/>
          </w:tcPr>
          <w:p>
            <w:pPr>
              <w:ind w:left="2000"/>
              <w:spacing w:after="0"/>
              <w:rPr>
                <w:sz w:val="20"/>
                <w:szCs w:val="20"/>
                <w:color w:val="auto"/>
              </w:rPr>
            </w:pPr>
            <w:r>
              <w:rPr>
                <w:rFonts w:ascii="Arial" w:cs="Arial" w:eastAsia="Arial" w:hAnsi="Arial"/>
                <w:sz w:val="20"/>
                <w:szCs w:val="20"/>
                <w:b w:val="1"/>
                <w:bCs w:val="1"/>
                <w:color w:val="auto"/>
              </w:rPr>
              <w:t xml:space="preserve">Region/Country: </w:t>
            </w:r>
            <w:r>
              <w:rPr>
                <w:rFonts w:ascii="Arial" w:cs="Arial" w:eastAsia="Arial" w:hAnsi="Arial"/>
                <w:sz w:val="21"/>
                <w:szCs w:val="21"/>
                <w:color w:val="auto"/>
              </w:rPr>
              <w:t>United States</w:t>
            </w:r>
          </w:p>
        </w:tc>
      </w:tr>
      <w:tr>
        <w:trPr>
          <w:trHeight w:val="283"/>
        </w:trPr>
        <w:tc>
          <w:tcPr>
            <w:tcW w:w="4840" w:type="dxa"/>
            <w:vAlign w:val="bottom"/>
          </w:tcPr>
          <w:p>
            <w:pPr>
              <w:spacing w:after="0"/>
              <w:rPr>
                <w:sz w:val="24"/>
                <w:szCs w:val="24"/>
                <w:color w:val="auto"/>
              </w:rPr>
            </w:pPr>
          </w:p>
        </w:tc>
        <w:tc>
          <w:tcPr>
            <w:tcW w:w="6260" w:type="dxa"/>
            <w:vAlign w:val="bottom"/>
          </w:tcPr>
          <w:p>
            <w:pPr>
              <w:ind w:left="2180"/>
              <w:spacing w:after="0"/>
              <w:rPr>
                <w:sz w:val="20"/>
                <w:szCs w:val="20"/>
                <w:color w:val="auto"/>
              </w:rPr>
            </w:pPr>
            <w:r>
              <w:rPr>
                <w:rFonts w:ascii="Arial" w:cs="Arial" w:eastAsia="Arial" w:hAnsi="Arial"/>
                <w:sz w:val="20"/>
                <w:szCs w:val="20"/>
                <w:b w:val="1"/>
                <w:bCs w:val="1"/>
                <w:color w:val="auto"/>
              </w:rPr>
              <w:t xml:space="preserve">Effective Date: </w:t>
            </w:r>
            <w:r>
              <w:rPr>
                <w:rFonts w:ascii="Arial" w:cs="Arial" w:eastAsia="Arial" w:hAnsi="Arial"/>
                <w:sz w:val="21"/>
                <w:szCs w:val="21"/>
                <w:color w:val="auto"/>
              </w:rPr>
              <w:t>May 24, 2022</w:t>
            </w:r>
          </w:p>
        </w:tc>
      </w:tr>
      <w:tr>
        <w:trPr>
          <w:trHeight w:val="324"/>
        </w:trPr>
        <w:tc>
          <w:tcPr>
            <w:tcW w:w="4840" w:type="dxa"/>
            <w:vAlign w:val="bottom"/>
          </w:tcPr>
          <w:p>
            <w:pPr>
              <w:spacing w:after="0"/>
              <w:rPr>
                <w:sz w:val="24"/>
                <w:szCs w:val="24"/>
                <w:color w:val="auto"/>
              </w:rPr>
            </w:pPr>
          </w:p>
        </w:tc>
        <w:tc>
          <w:tcPr>
            <w:tcW w:w="6260" w:type="dxa"/>
            <w:vAlign w:val="bottom"/>
          </w:tcPr>
          <w:p>
            <w:pPr>
              <w:ind w:left="2360"/>
              <w:spacing w:after="0"/>
              <w:rPr>
                <w:sz w:val="20"/>
                <w:szCs w:val="20"/>
                <w:color w:val="auto"/>
              </w:rPr>
            </w:pPr>
            <w:r>
              <w:rPr>
                <w:rFonts w:ascii="Arial" w:cs="Arial" w:eastAsia="Arial" w:hAnsi="Arial"/>
                <w:sz w:val="20"/>
                <w:szCs w:val="20"/>
                <w:b w:val="1"/>
                <w:bCs w:val="1"/>
                <w:color w:val="auto"/>
              </w:rPr>
              <w:t xml:space="preserve">Supersedes: </w:t>
            </w:r>
            <w:r>
              <w:rPr>
                <w:rFonts w:ascii="Arial" w:cs="Arial" w:eastAsia="Arial" w:hAnsi="Arial"/>
                <w:sz w:val="21"/>
                <w:szCs w:val="21"/>
                <w:color w:val="auto"/>
              </w:rPr>
              <w:t>Executive Severance Policy</w:t>
            </w:r>
          </w:p>
        </w:tc>
      </w:tr>
      <w:tr>
        <w:trPr>
          <w:trHeight w:val="473"/>
        </w:trPr>
        <w:tc>
          <w:tcPr>
            <w:tcW w:w="4840" w:type="dxa"/>
            <w:vAlign w:val="bottom"/>
          </w:tcPr>
          <w:p>
            <w:pPr>
              <w:spacing w:after="0"/>
              <w:rPr>
                <w:sz w:val="24"/>
                <w:szCs w:val="24"/>
                <w:color w:val="auto"/>
              </w:rPr>
            </w:pPr>
          </w:p>
        </w:tc>
        <w:tc>
          <w:tcPr>
            <w:tcW w:w="6260" w:type="dxa"/>
            <w:vAlign w:val="bottom"/>
          </w:tcPr>
          <w:p>
            <w:pPr>
              <w:ind w:left="2940"/>
              <w:spacing w:after="0"/>
              <w:rPr>
                <w:sz w:val="20"/>
                <w:szCs w:val="20"/>
                <w:color w:val="auto"/>
              </w:rPr>
            </w:pPr>
            <w:r>
              <w:rPr>
                <w:rFonts w:ascii="Arial" w:cs="Arial" w:eastAsia="Arial" w:hAnsi="Arial"/>
                <w:sz w:val="20"/>
                <w:szCs w:val="20"/>
                <w:b w:val="1"/>
                <w:bCs w:val="1"/>
                <w:color w:val="auto"/>
              </w:rPr>
              <w:t xml:space="preserve">Dated: </w:t>
            </w:r>
            <w:r>
              <w:rPr>
                <w:rFonts w:ascii="Arial" w:cs="Arial" w:eastAsia="Arial" w:hAnsi="Arial"/>
                <w:sz w:val="21"/>
                <w:szCs w:val="21"/>
                <w:color w:val="auto"/>
              </w:rPr>
              <w:t>December 1,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Scope</w:t>
      </w:r>
    </w:p>
    <w:p>
      <w:pPr>
        <w:ind w:right="480"/>
        <w:spacing w:after="0" w:line="245" w:lineRule="auto"/>
        <w:rPr>
          <w:sz w:val="20"/>
          <w:szCs w:val="20"/>
          <w:color w:val="auto"/>
        </w:rPr>
      </w:pPr>
      <w:r>
        <w:rPr>
          <w:rFonts w:ascii="Arial" w:cs="Arial" w:eastAsia="Arial" w:hAnsi="Arial"/>
          <w:sz w:val="17"/>
          <w:szCs w:val="17"/>
          <w:color w:val="auto"/>
        </w:rPr>
        <w:t>Conduent Business Services, LLC and its subsidiaries provide this policy as a guide for level C11, C12 and CXL associates. This policy applies to all C11, C12 and CXL associates of Conduent Business Services, LLC and its subsidiaries and any reference hereafter to Conduent is a reference to Conduent Business Services, LLC and its subsidiaries. This policy applies to US based associates only.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w:t>
      </w:r>
    </w:p>
    <w:p>
      <w:pPr>
        <w:spacing w:after="0"/>
        <w:rPr>
          <w:sz w:val="20"/>
          <w:szCs w:val="20"/>
          <w:color w:val="auto"/>
        </w:rPr>
      </w:pPr>
      <w:r>
        <w:rPr>
          <w:rFonts w:ascii="Arial" w:cs="Arial" w:eastAsia="Arial" w:hAnsi="Arial"/>
          <w:sz w:val="18"/>
          <w:szCs w:val="18"/>
          <w:color w:val="auto"/>
        </w:rPr>
        <w:t>The policy covers the terms and conditions for payment of severance to associates meeting the eligibility requirements contained in this</w:t>
      </w:r>
    </w:p>
    <w:p>
      <w:pPr>
        <w:spacing w:after="0" w:line="23"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Policy. This Policy only applies to associates who are impacted by a reduction-in-force and at the time of separation are in job grade level C11, C12 or CXL.</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w:t>
      </w:r>
    </w:p>
    <w:p>
      <w:pPr>
        <w:ind w:right="40"/>
        <w:spacing w:after="0" w:line="235" w:lineRule="auto"/>
        <w:rPr>
          <w:sz w:val="20"/>
          <w:szCs w:val="20"/>
          <w:color w:val="auto"/>
        </w:rPr>
      </w:pPr>
      <w:r>
        <w:rPr>
          <w:rFonts w:ascii="Arial" w:cs="Arial" w:eastAsia="Arial" w:hAnsi="Arial"/>
          <w:sz w:val="18"/>
          <w:szCs w:val="18"/>
          <w:color w:val="auto"/>
        </w:rPr>
        <w:t>Reduction in Force: As determined by the Company, the elimination of one or more job positions resulting in the separation of employment of one or more associates.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Eligible Associate: A C11, C12 or CXL level associate who meets all the criteria to receive severance under this Policy</w:t>
      </w:r>
    </w:p>
    <w:p>
      <w:pPr>
        <w:spacing w:after="0" w:line="225"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Release: A written document generally referred to as a Separation Agreement &amp; General Release in a form and containing such terms as conditions as may be acceptable to Conduent, in its sole discretion.</w:t>
      </w:r>
    </w:p>
    <w:p>
      <w:pPr>
        <w:spacing w:after="0" w:line="216"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Week of Base Pay: An amount equal to the Eligible Associate’s base weekly salary on the last day of active employment. It does not include any bonuses, equity grants, commissions, or other types of compensation other than base salary.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Policy</w:t>
      </w:r>
    </w:p>
    <w:p>
      <w:pPr>
        <w:spacing w:after="0" w:line="242" w:lineRule="exact"/>
        <w:rPr>
          <w:sz w:val="20"/>
          <w:szCs w:val="20"/>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Eligibility</w:t>
      </w:r>
    </w:p>
    <w:p>
      <w:pPr>
        <w:spacing w:after="0" w:line="212"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To be eligible to receive severance under this Policy, an associate must be a regular, full time, US associate excluding Puerto Rico and the Virgin Islands. The associate must be regularly assigned to work within the United States.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Determination of eligibility under this Policy will be made </w:t>
      </w:r>
      <w:r>
        <w:rPr>
          <w:rFonts w:ascii="Arial" w:cs="Arial" w:eastAsia="Arial" w:hAnsi="Arial"/>
          <w:sz w:val="21"/>
          <w:szCs w:val="21"/>
          <w:color w:val="auto"/>
        </w:rPr>
        <w:t>exclusively</w:t>
      </w:r>
      <w:r>
        <w:rPr>
          <w:rFonts w:ascii="Arial" w:cs="Arial" w:eastAsia="Arial" w:hAnsi="Arial"/>
          <w:sz w:val="18"/>
          <w:szCs w:val="18"/>
          <w:color w:val="auto"/>
        </w:rPr>
        <w:t xml:space="preserve"> by the Company, in its sole and absolute discretion.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Eligible Associate must also meet all the following requirements:</w:t>
      </w:r>
    </w:p>
    <w:p>
      <w:pPr>
        <w:spacing w:after="0" w:line="16" w:lineRule="exact"/>
        <w:rPr>
          <w:sz w:val="20"/>
          <w:szCs w:val="20"/>
          <w:color w:val="auto"/>
        </w:rPr>
      </w:pPr>
    </w:p>
    <w:p>
      <w:pPr>
        <w:ind w:left="1620" w:right="20" w:hanging="316"/>
        <w:spacing w:after="0" w:line="207" w:lineRule="auto"/>
        <w:tabs>
          <w:tab w:leader="none" w:pos="1608" w:val="left"/>
        </w:tabs>
        <w:numPr>
          <w:ilvl w:val="0"/>
          <w:numId w:val="20"/>
        </w:numPr>
        <w:rPr>
          <w:rFonts w:ascii="Arial" w:cs="Arial" w:eastAsia="Arial" w:hAnsi="Arial"/>
          <w:sz w:val="20"/>
          <w:szCs w:val="20"/>
          <w:color w:val="auto"/>
        </w:rPr>
      </w:pPr>
      <w:r>
        <w:rPr>
          <w:rFonts w:ascii="Arial" w:cs="Arial" w:eastAsia="Arial" w:hAnsi="Arial"/>
          <w:sz w:val="18"/>
          <w:szCs w:val="18"/>
          <w:color w:val="auto"/>
        </w:rPr>
        <w:t>the associate must be on the active payroll of Conduent and in position graded as a job grade level C11, C12 or CXL or on an approved leave of absence; and</w:t>
      </w:r>
    </w:p>
    <w:p>
      <w:pPr>
        <w:spacing w:after="0" w:line="1" w:lineRule="exact"/>
        <w:rPr>
          <w:rFonts w:ascii="Arial" w:cs="Arial" w:eastAsia="Arial" w:hAnsi="Arial"/>
          <w:sz w:val="20"/>
          <w:szCs w:val="20"/>
          <w:color w:val="auto"/>
        </w:rPr>
      </w:pPr>
    </w:p>
    <w:p>
      <w:pPr>
        <w:ind w:left="1620" w:hanging="316"/>
        <w:spacing w:after="0" w:line="219"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associate’s termination occurs solely as a result of a Reduction in Force; and</w:t>
      </w:r>
    </w:p>
    <w:p>
      <w:pPr>
        <w:jc w:val="both"/>
        <w:ind w:left="1620" w:hanging="316"/>
        <w:spacing w:after="0" w:line="268" w:lineRule="auto"/>
        <w:tabs>
          <w:tab w:leader="none" w:pos="1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associate is not offered other comparable employment (or fails to apply for a specifically offered comparable position), with (1) Conduent, or any of its parents, subsidiaries or affiliates, (2) a successor or parent of Conduent or one of their subsidiaries or affiliates, or (3) a purchaser of some or all of the assets of Conduent, or any of its parents, subsidiaries or affiliates, (4) a competitor or service provider assuming responsibility under a contract previously managed by Conduent; and</w:t>
      </w:r>
    </w:p>
    <w:p>
      <w:pPr>
        <w:sectPr>
          <w:pgSz w:w="11900" w:h="16838" w:orient="portrait"/>
          <w:cols w:equalWidth="0" w:num="1">
            <w:col w:w="11240"/>
          </w:cols>
          <w:pgMar w:left="320" w:top="14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20" w:right="20" w:hanging="316"/>
        <w:spacing w:after="0" w:line="266" w:lineRule="auto"/>
        <w:tabs>
          <w:tab w:leader="none" w:pos="16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associate is not otherwise eligible for severance upon termination of employment through Conduent, a successor, or purchaser; and</w:t>
      </w:r>
    </w:p>
    <w:p>
      <w:pPr>
        <w:ind w:left="1620" w:hanging="316"/>
        <w:spacing w:after="0" w:line="266" w:lineRule="auto"/>
        <w:tabs>
          <w:tab w:leader="none" w:pos="16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associate continues employment until the last day of active employment designated by the Company, as such date may be extended by the Company from time to time in its sole discretion; and</w:t>
      </w:r>
    </w:p>
    <w:p>
      <w:pPr>
        <w:jc w:val="both"/>
        <w:ind w:left="1620" w:hanging="316"/>
        <w:spacing w:after="0" w:line="250" w:lineRule="auto"/>
        <w:tabs>
          <w:tab w:leader="none" w:pos="16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during the period from the date the associate receives notice of termination until the last day of active employment, their performance and conduct are in accordance with all policies and procedures of the Company and are otherwise satisfactory to the Company; and</w:t>
      </w:r>
    </w:p>
    <w:p>
      <w:pPr>
        <w:spacing w:after="0" w:line="1" w:lineRule="exact"/>
        <w:rPr>
          <w:rFonts w:ascii="Arial" w:cs="Arial" w:eastAsia="Arial" w:hAnsi="Arial"/>
          <w:sz w:val="18"/>
          <w:szCs w:val="18"/>
          <w:color w:val="auto"/>
        </w:rPr>
      </w:pPr>
    </w:p>
    <w:p>
      <w:pPr>
        <w:ind w:left="1620" w:right="20" w:hanging="316"/>
        <w:spacing w:after="0" w:line="266" w:lineRule="auto"/>
        <w:tabs>
          <w:tab w:leader="none" w:pos="16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associate timely executes and does not revoke a Separation Agreement &amp; General Release (“Release”) in accordance with the terms stated therein; and</w:t>
      </w:r>
    </w:p>
    <w:p>
      <w:pPr>
        <w:jc w:val="both"/>
        <w:ind w:left="1620" w:hanging="316"/>
        <w:spacing w:after="0" w:line="259" w:lineRule="auto"/>
        <w:tabs>
          <w:tab w:leader="none" w:pos="16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the associate fulfills all their obligations to Conduent and its parents, subsidiaries, and affiliates with respect to confidential information, inventions, return of Company property, non-competition, restrictive covenants and the like and with respect to such other obligations as may from time to time be required by the Company. Each associate is expected to act professionally and extend their cooperation to their manager and to those who </w:t>
      </w:r>
      <w:r>
        <w:rPr>
          <w:rFonts w:ascii="Arial" w:cs="Arial" w:eastAsia="Arial" w:hAnsi="Arial"/>
          <w:sz w:val="21"/>
          <w:szCs w:val="21"/>
          <w:color w:val="auto"/>
        </w:rPr>
        <w:t>may</w:t>
      </w:r>
      <w:r>
        <w:rPr>
          <w:rFonts w:ascii="Arial" w:cs="Arial" w:eastAsia="Arial" w:hAnsi="Arial"/>
          <w:sz w:val="18"/>
          <w:szCs w:val="18"/>
          <w:color w:val="auto"/>
        </w:rPr>
        <w:t xml:space="preserve"> be assuming duties.</w:t>
      </w:r>
    </w:p>
    <w:p>
      <w:pPr>
        <w:spacing w:after="0" w:line="230"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Benefits Under this Policy</w:t>
      </w:r>
    </w:p>
    <w:p>
      <w:pPr>
        <w:spacing w:after="0" w:line="212" w:lineRule="exact"/>
        <w:rPr>
          <w:sz w:val="20"/>
          <w:szCs w:val="20"/>
          <w:color w:val="auto"/>
        </w:rPr>
      </w:pPr>
    </w:p>
    <w:p>
      <w:pPr>
        <w:ind w:left="500" w:right="100"/>
        <w:spacing w:after="0" w:line="264" w:lineRule="auto"/>
        <w:rPr>
          <w:sz w:val="20"/>
          <w:szCs w:val="20"/>
          <w:color w:val="auto"/>
        </w:rPr>
      </w:pPr>
      <w:r>
        <w:rPr>
          <w:rFonts w:ascii="Arial" w:cs="Arial" w:eastAsia="Arial" w:hAnsi="Arial"/>
          <w:sz w:val="18"/>
          <w:szCs w:val="18"/>
          <w:color w:val="auto"/>
        </w:rPr>
        <w:t>If a CXL Grade Level Eligible Associate executes a Release in a form acceptable to the Company no later than forty-five (45) days following receipt by the CXL Grade Level Eligible Associate of the Release for review and consideration, the CXL Grade Level Eligible Associate will receive salary continuation for fifty-two (52) weeks beyond their last day of active employment, less all applicable payroll taxes and any other authorized deductions. A CXL Grade Level Eligible Associate will also continue to receive certain benefits for fifty-two (52) weeks beyond their last day of active employment, subject to the continued Eligible Associate’s benefit premium contributions that were in effect for the Eligible Associate on their last day of active employment. For CXL Grade Level associates, the change from active employment status to an inactive status for fifty-two (52) weeks to facilitate the provision of salary and benefit continuance under this Policy is not a Qualifying Life Status Event that would allow the Eligible Associate to make any changes to their benefit elections. Benefits continuation for purposes of this Policy does not include any of the following:</w:t>
      </w:r>
    </w:p>
    <w:p>
      <w:pPr>
        <w:spacing w:after="0" w:line="3"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20"/>
          <w:szCs w:val="20"/>
          <w:color w:val="auto"/>
        </w:rPr>
      </w:pPr>
      <w:r>
        <w:rPr>
          <w:rFonts w:ascii="Arial" w:cs="Arial" w:eastAsia="Arial" w:hAnsi="Arial"/>
          <w:sz w:val="18"/>
          <w:szCs w:val="18"/>
          <w:color w:val="auto"/>
        </w:rPr>
        <w:t>Short-term Disability</w:t>
      </w:r>
    </w:p>
    <w:p>
      <w:pPr>
        <w:spacing w:after="0" w:line="12" w:lineRule="exact"/>
        <w:rPr>
          <w:rFonts w:ascii="Arial" w:cs="Arial" w:eastAsia="Arial" w:hAnsi="Arial"/>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Long-term Disability</w:t>
      </w:r>
    </w:p>
    <w:p>
      <w:pPr>
        <w:spacing w:after="0" w:line="22"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Savings Plan 401(k)</w:t>
      </w:r>
    </w:p>
    <w:p>
      <w:pPr>
        <w:spacing w:after="0" w:line="23" w:lineRule="exact"/>
        <w:rPr>
          <w:sz w:val="20"/>
          <w:szCs w:val="20"/>
          <w:color w:val="auto"/>
        </w:rPr>
      </w:pPr>
    </w:p>
    <w:p>
      <w:pPr>
        <w:ind w:left="500" w:right="60"/>
        <w:spacing w:after="0" w:line="268" w:lineRule="auto"/>
        <w:rPr>
          <w:sz w:val="20"/>
          <w:szCs w:val="20"/>
          <w:color w:val="auto"/>
        </w:rPr>
      </w:pPr>
      <w:r>
        <w:rPr>
          <w:rFonts w:ascii="Arial" w:cs="Arial" w:eastAsia="Arial" w:hAnsi="Arial"/>
          <w:sz w:val="18"/>
          <w:szCs w:val="18"/>
          <w:color w:val="auto"/>
        </w:rPr>
        <w:t>If a C11 or C12 Grade Level Eligible Associate executes a Release in a form acceptable to the Company no later than forty-five (45) days following the receipt by the C11 or C12 Grade Level Eligible Associate of the Release for review and consideration, the C11 or C12 Grade Level Eligible Associate will receive a one-time, lump sum payment equal to twenty-six (26) Weeks of Base Pay, less all applicable payroll taxes and any other authorized deductions. A C11 or C12 Grade Level Eligible Associate will not continue to receive any benefits beyond their last day of active employment.</w:t>
      </w:r>
    </w:p>
    <w:p>
      <w:pPr>
        <w:spacing w:after="0" w:line="194" w:lineRule="exact"/>
        <w:rPr>
          <w:sz w:val="20"/>
          <w:szCs w:val="20"/>
          <w:color w:val="auto"/>
        </w:rPr>
      </w:pPr>
    </w:p>
    <w:p>
      <w:pPr>
        <w:ind w:left="500" w:right="160"/>
        <w:spacing w:after="0" w:line="225" w:lineRule="auto"/>
        <w:rPr>
          <w:sz w:val="20"/>
          <w:szCs w:val="20"/>
          <w:color w:val="auto"/>
        </w:rPr>
      </w:pPr>
      <w:r>
        <w:rPr>
          <w:rFonts w:ascii="Arial" w:cs="Arial" w:eastAsia="Arial" w:hAnsi="Arial"/>
          <w:sz w:val="18"/>
          <w:szCs w:val="18"/>
          <w:color w:val="auto"/>
        </w:rPr>
        <w:t>Deductions for 401(k) savings cannot be taken from salary continuance or lump sum payments. Payments made pursuant to this Policy and any Release shall be deemed wages in lieu of notice during the applicable benefit year in the event the Eligible Associate files a claim for unemployment benefits and will be made in accordance with the provisions contained in the Release. In no event will any severance payment or benefit be made or provided to an Eligible Associate whose Release is received by the Company after the expiration of the forty-five (45) day period after receipt described above.</w:t>
      </w:r>
    </w:p>
    <w:p>
      <w:pPr>
        <w:sectPr>
          <w:pgSz w:w="11900" w:h="16838" w:orient="portrait"/>
          <w:cols w:equalWidth="0" w:num="1">
            <w:col w:w="11240"/>
          </w:cols>
          <w:pgMar w:left="320" w:top="147"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0" w:right="580"/>
        <w:spacing w:after="0" w:line="235" w:lineRule="auto"/>
        <w:rPr>
          <w:sz w:val="20"/>
          <w:szCs w:val="20"/>
          <w:color w:val="auto"/>
        </w:rPr>
      </w:pPr>
      <w:r>
        <w:rPr>
          <w:rFonts w:ascii="Arial" w:cs="Arial" w:eastAsia="Arial" w:hAnsi="Arial"/>
          <w:sz w:val="18"/>
          <w:szCs w:val="18"/>
          <w:color w:val="auto"/>
        </w:rPr>
        <w:t>The following events will exclude an associate from receiving severance benefits (including, but not limited to, salary and benefit continuation or a lump sum payment (whichever would be applicable based on their job grade level) under this Policy:</w:t>
      </w:r>
    </w:p>
    <w:p>
      <w:pPr>
        <w:spacing w:after="0" w:line="13"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associate resigns, retires or otherwise voluntarily leaves their employment with the Company; or</w:t>
      </w:r>
    </w:p>
    <w:p>
      <w:pPr>
        <w:spacing w:after="0" w:line="22" w:lineRule="exact"/>
        <w:rPr>
          <w:rFonts w:ascii="Arial" w:cs="Arial" w:eastAsia="Arial" w:hAnsi="Arial"/>
          <w:sz w:val="18"/>
          <w:szCs w:val="18"/>
          <w:color w:val="auto"/>
        </w:rPr>
      </w:pPr>
    </w:p>
    <w:p>
      <w:pPr>
        <w:ind w:left="1300" w:right="340" w:hanging="320"/>
        <w:spacing w:after="0" w:line="254"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associate’s employment is terminated by Conduent for any reason other than as a result of a Reduction in Force, this would include, but not be limited to, failure to adhere to Conduent’s policies and procedures or failure to comply with any continuing obligations related to the associate’s job or any of their duties regarding confidentiality and trade secrets, restrictive covenants, and non-competition agreements under law or contract; or</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associate’s employment ends as a result of death or failure to return from a leave of absence; or</w:t>
      </w:r>
    </w:p>
    <w:p>
      <w:pPr>
        <w:spacing w:after="0" w:line="22" w:lineRule="exact"/>
        <w:rPr>
          <w:rFonts w:ascii="Arial" w:cs="Arial" w:eastAsia="Arial" w:hAnsi="Arial"/>
          <w:sz w:val="18"/>
          <w:szCs w:val="18"/>
          <w:color w:val="auto"/>
        </w:rPr>
      </w:pPr>
    </w:p>
    <w:p>
      <w:pPr>
        <w:ind w:left="1300" w:right="340" w:hanging="320"/>
        <w:spacing w:after="0" w:line="250"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associate is offered a comparable position (or fails to apply for a specifically offered comparable open position) with Conduent, one of its parents, subsidiaries or affiliates, a successor company, purchaser, competitor, or another service provider at the time of the elimination of the associate’s position; or</w:t>
      </w:r>
    </w:p>
    <w:p>
      <w:pPr>
        <w:spacing w:after="0" w:line="1" w:lineRule="exact"/>
        <w:rPr>
          <w:rFonts w:ascii="Arial" w:cs="Arial" w:eastAsia="Arial" w:hAnsi="Arial"/>
          <w:sz w:val="18"/>
          <w:szCs w:val="18"/>
          <w:color w:val="auto"/>
        </w:rPr>
      </w:pPr>
    </w:p>
    <w:p>
      <w:pPr>
        <w:ind w:left="1300" w:right="700" w:hanging="320"/>
        <w:spacing w:after="0" w:line="235"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associate is entitled to severance through Conduent, a successor, or purchaser pursuant to a written agreement, commitment or understanding or mandated by applicable laws or regulations; or</w:t>
      </w:r>
    </w:p>
    <w:p>
      <w:pPr>
        <w:spacing w:after="0" w:line="13" w:lineRule="exact"/>
        <w:rPr>
          <w:rFonts w:ascii="Arial" w:cs="Arial" w:eastAsia="Arial" w:hAnsi="Arial"/>
          <w:sz w:val="18"/>
          <w:szCs w:val="18"/>
          <w:color w:val="auto"/>
        </w:rPr>
      </w:pPr>
    </w:p>
    <w:p>
      <w:pPr>
        <w:ind w:left="1300" w:right="120" w:hanging="320"/>
        <w:spacing w:after="0" w:line="235"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associate elects not to execute the Release or, having executed the Release, revokes it in a timely manner thereafter; or</w:t>
      </w:r>
    </w:p>
    <w:p>
      <w:pPr>
        <w:spacing w:after="0" w:line="13" w:lineRule="exact"/>
        <w:rPr>
          <w:rFonts w:ascii="Arial" w:cs="Arial" w:eastAsia="Arial" w:hAnsi="Arial"/>
          <w:sz w:val="18"/>
          <w:szCs w:val="18"/>
          <w:color w:val="auto"/>
        </w:rPr>
      </w:pPr>
    </w:p>
    <w:p>
      <w:pPr>
        <w:ind w:left="1300" w:right="260" w:hanging="320"/>
        <w:spacing w:after="0" w:line="277"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associate is on long term disability as determined by the Conduent long term disability administrator on the last day of active employment.</w:t>
      </w:r>
    </w:p>
    <w:p>
      <w:pPr>
        <w:spacing w:after="0" w:line="22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Any CXL Grade Level Eligible Associate who obtains other employment with an unrelated third party during the salary and benefit continuance period, will continue to receive salary and benefit continuance payments through the end of the scheduled salary and benefits continuance period, except, however, the payment of such salary and benefits continuance may be discontinued, and any outstanding salary and benefit continuance payments may be forfeited, if the associate fails to comply with any post-employment obligation (e.g., non-disclosure/use of confidential information, non-compete/non or non-solicitation restrictions, etc.). CXL Grade Level Eligible Associates are not permitted or entitled to receive a lump sum payment in lieu of receiving all or any portion of the salary and benefits continuation provided in this Policy. The CXL Grade Level Eligible Associate will be formally separated from Conduent on the last day of the fifty-two (52) week period immediately following the last day of active employment. If an Eligible Associate chooses to end salary and benefit continuance and separate from Conduent, the Eligible Associate will no longer be eligible for salary and benefit continuance. A CXL Grade Level associate</w:t>
      </w:r>
    </w:p>
    <w:p>
      <w:pPr>
        <w:spacing w:after="0" w:line="1"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who obtains other benefit coverage during salary and benefits continuance may, but is not required, cancel benefit coverage provided through Conduent.</w:t>
      </w:r>
    </w:p>
    <w:p>
      <w:pPr>
        <w:spacing w:after="0" w:line="256"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Status of Other Benefits</w:t>
      </w:r>
    </w:p>
    <w:p>
      <w:pPr>
        <w:spacing w:after="0" w:line="266" w:lineRule="exact"/>
        <w:rPr>
          <w:sz w:val="20"/>
          <w:szCs w:val="20"/>
          <w:color w:val="auto"/>
        </w:rPr>
      </w:pPr>
    </w:p>
    <w:p>
      <w:pPr>
        <w:ind w:left="500" w:right="220"/>
        <w:spacing w:after="0" w:line="245" w:lineRule="auto"/>
        <w:rPr>
          <w:sz w:val="20"/>
          <w:szCs w:val="20"/>
          <w:color w:val="auto"/>
        </w:rPr>
      </w:pPr>
      <w:r>
        <w:rPr>
          <w:rFonts w:ascii="Arial" w:cs="Arial" w:eastAsia="Arial" w:hAnsi="Arial"/>
          <w:sz w:val="18"/>
          <w:szCs w:val="18"/>
          <w:color w:val="auto"/>
        </w:rPr>
        <w:t>If a CXL Grade Level Eligible Associate has an outstanding 401(k) savings plan loan on the last day of active employment, loan repayments related to such 401(k)</w:t>
      </w:r>
      <w:r>
        <w:rPr>
          <w:rFonts w:ascii="Arial" w:cs="Arial" w:eastAsia="Arial" w:hAnsi="Arial"/>
          <w:sz w:val="21"/>
          <w:szCs w:val="21"/>
          <w:color w:val="auto"/>
        </w:rPr>
        <w:t>-savings plan</w:t>
      </w:r>
      <w:r>
        <w:rPr>
          <w:rFonts w:ascii="Arial" w:cs="Arial" w:eastAsia="Arial" w:hAnsi="Arial"/>
          <w:sz w:val="18"/>
          <w:szCs w:val="18"/>
          <w:color w:val="auto"/>
        </w:rPr>
        <w:t xml:space="preserve"> loan will continue during salary and benefit continuance. At the end of the salary</w:t>
      </w:r>
    </w:p>
    <w:p>
      <w:pPr>
        <w:spacing w:after="0" w:line="1" w:lineRule="exact"/>
        <w:rPr>
          <w:sz w:val="20"/>
          <w:szCs w:val="20"/>
          <w:color w:val="auto"/>
        </w:rPr>
      </w:pPr>
    </w:p>
    <w:p>
      <w:pPr>
        <w:ind w:left="500" w:right="40"/>
        <w:spacing w:after="0" w:line="256" w:lineRule="auto"/>
        <w:rPr>
          <w:sz w:val="20"/>
          <w:szCs w:val="20"/>
          <w:color w:val="auto"/>
        </w:rPr>
      </w:pPr>
      <w:r>
        <w:rPr>
          <w:rFonts w:ascii="Arial" w:cs="Arial" w:eastAsia="Arial" w:hAnsi="Arial"/>
          <w:sz w:val="17"/>
          <w:szCs w:val="17"/>
          <w:color w:val="auto"/>
        </w:rPr>
        <w:t>and benefits continuance period, the loan(s) must be repaid in full. If a loan is not repaid within ninety (90) days from following the end of the salary and benefits continuation period, it will be treated as a loan default and plan distribution subject to ordinary taxes and may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 subject to a ten percent (10%) additional tax.</w:t>
      </w:r>
    </w:p>
    <w:p>
      <w:pPr>
        <w:sectPr>
          <w:pgSz w:w="11900" w:h="16838" w:orient="portrait"/>
          <w:cols w:equalWidth="0" w:num="1">
            <w:col w:w="11240"/>
          </w:cols>
          <w:pgMar w:left="320" w:top="147"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 w:right="120"/>
        <w:spacing w:after="0" w:line="258" w:lineRule="auto"/>
        <w:rPr>
          <w:sz w:val="20"/>
          <w:szCs w:val="20"/>
          <w:color w:val="auto"/>
        </w:rPr>
      </w:pPr>
      <w:r>
        <w:rPr>
          <w:rFonts w:ascii="Arial" w:cs="Arial" w:eastAsia="Arial" w:hAnsi="Arial"/>
          <w:sz w:val="17"/>
          <w:szCs w:val="17"/>
          <w:color w:val="auto"/>
        </w:rPr>
        <w:t>Unless required by applicable law, Conduent does not accrue or pay out flexible vacation time or floating holidays to C11, C12 or CXL associates. Conduent also does not pay out any accrued but unused sick at the time at termination to C11, C12 or CXL associates.</w:t>
      </w:r>
    </w:p>
    <w:p>
      <w:pPr>
        <w:spacing w:after="0" w:line="241" w:lineRule="exact"/>
        <w:rPr>
          <w:sz w:val="20"/>
          <w:szCs w:val="20"/>
          <w:color w:val="auto"/>
        </w:rPr>
      </w:pPr>
    </w:p>
    <w:p>
      <w:pPr>
        <w:ind w:left="500" w:right="140"/>
        <w:spacing w:after="0" w:line="235" w:lineRule="auto"/>
        <w:rPr>
          <w:sz w:val="20"/>
          <w:szCs w:val="20"/>
          <w:color w:val="auto"/>
        </w:rPr>
      </w:pPr>
      <w:r>
        <w:rPr>
          <w:rFonts w:ascii="Arial" w:cs="Arial" w:eastAsia="Arial" w:hAnsi="Arial"/>
          <w:sz w:val="18"/>
          <w:szCs w:val="18"/>
          <w:color w:val="auto"/>
        </w:rPr>
        <w:t>Associates should refer to their specific bonus plan documentation to determine their eligibility or treatment upon termination due to a Reduction in Force.</w:t>
      </w:r>
    </w:p>
    <w:p>
      <w:pPr>
        <w:spacing w:after="0" w:line="216" w:lineRule="exact"/>
        <w:rPr>
          <w:sz w:val="20"/>
          <w:szCs w:val="20"/>
          <w:color w:val="auto"/>
        </w:rPr>
      </w:pPr>
    </w:p>
    <w:p>
      <w:pPr>
        <w:jc w:val="right"/>
        <w:ind w:right="60"/>
        <w:spacing w:after="0" w:line="235" w:lineRule="auto"/>
        <w:rPr>
          <w:sz w:val="20"/>
          <w:szCs w:val="20"/>
          <w:color w:val="auto"/>
        </w:rPr>
      </w:pPr>
      <w:r>
        <w:rPr>
          <w:rFonts w:ascii="Arial" w:cs="Arial" w:eastAsia="Arial" w:hAnsi="Arial"/>
          <w:sz w:val="18"/>
          <w:szCs w:val="18"/>
          <w:color w:val="auto"/>
        </w:rPr>
        <w:t>IV.  For Long-Term Incentive Plan (LTIP) vesting purposes, CXL associates will continue to vest during the fifty-two (52) weeks they receive salary and benefit continuation and C12 associates will be deemed to vest during the twenty-six (26) weeks immediately following their</w:t>
      </w:r>
    </w:p>
    <w:p>
      <w:pPr>
        <w:spacing w:after="0" w:line="13" w:lineRule="exact"/>
        <w:rPr>
          <w:sz w:val="20"/>
          <w:szCs w:val="20"/>
          <w:color w:val="auto"/>
        </w:rPr>
      </w:pPr>
    </w:p>
    <w:p>
      <w:pPr>
        <w:ind w:left="500" w:right="220"/>
        <w:spacing w:after="0" w:line="235" w:lineRule="auto"/>
        <w:rPr>
          <w:sz w:val="20"/>
          <w:szCs w:val="20"/>
          <w:color w:val="auto"/>
        </w:rPr>
      </w:pPr>
      <w:r>
        <w:rPr>
          <w:rFonts w:ascii="Arial" w:cs="Arial" w:eastAsia="Arial" w:hAnsi="Arial"/>
          <w:sz w:val="18"/>
          <w:szCs w:val="18"/>
          <w:color w:val="auto"/>
        </w:rPr>
        <w:t>termination date. In accordance with the terms and conditions of the LTIP, C12s and CXLs will only get vesting credit for full calendar months.</w:t>
      </w:r>
    </w:p>
    <w:p>
      <w:pPr>
        <w:spacing w:after="0" w:line="216"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Disability</w:t>
      </w:r>
    </w:p>
    <w:p>
      <w:pPr>
        <w:spacing w:after="0" w:line="266" w:lineRule="exact"/>
        <w:rPr>
          <w:sz w:val="20"/>
          <w:szCs w:val="20"/>
          <w:color w:val="auto"/>
        </w:rPr>
      </w:pPr>
    </w:p>
    <w:p>
      <w:pPr>
        <w:ind w:left="500" w:right="100"/>
        <w:spacing w:after="0" w:line="266" w:lineRule="auto"/>
        <w:rPr>
          <w:sz w:val="20"/>
          <w:szCs w:val="20"/>
          <w:color w:val="auto"/>
        </w:rPr>
      </w:pPr>
      <w:r>
        <w:rPr>
          <w:rFonts w:ascii="Arial" w:cs="Arial" w:eastAsia="Arial" w:hAnsi="Arial"/>
          <w:sz w:val="18"/>
          <w:szCs w:val="18"/>
          <w:color w:val="auto"/>
        </w:rPr>
        <w:t>Eligibility for short- and long-term disability benefits ends on the last day of active employment. If an associate becomes disabled after receiving a notice of termination under this Policy, the associate remains eligible to apply for disability benefits under the same terms</w:t>
      </w:r>
    </w:p>
    <w:p>
      <w:pPr>
        <w:ind w:left="500" w:right="40"/>
        <w:spacing w:after="0" w:line="256" w:lineRule="auto"/>
        <w:rPr>
          <w:sz w:val="20"/>
          <w:szCs w:val="20"/>
          <w:color w:val="auto"/>
        </w:rPr>
      </w:pPr>
      <w:r>
        <w:rPr>
          <w:rFonts w:ascii="Arial" w:cs="Arial" w:eastAsia="Arial" w:hAnsi="Arial"/>
          <w:sz w:val="17"/>
          <w:szCs w:val="17"/>
          <w:color w:val="auto"/>
        </w:rPr>
        <w:t>and conditions as before receiving a notice of termination. If an associate files for disability, severance benefits, including salary and benefits continuance or lump sum payments will begin or be paid after the associate is no longer eligible to receive short term-disability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benefits and provided the other eligibility requirements set forth in this Policy are met.</w:t>
      </w:r>
    </w:p>
    <w:p>
      <w:pPr>
        <w:spacing w:after="0" w:line="266" w:lineRule="exact"/>
        <w:rPr>
          <w:sz w:val="20"/>
          <w:szCs w:val="20"/>
          <w:color w:val="auto"/>
        </w:rPr>
      </w:pPr>
    </w:p>
    <w:p>
      <w:pPr>
        <w:ind w:left="500" w:right="20"/>
        <w:spacing w:after="0" w:line="266" w:lineRule="auto"/>
        <w:rPr>
          <w:sz w:val="20"/>
          <w:szCs w:val="20"/>
          <w:color w:val="auto"/>
        </w:rPr>
      </w:pPr>
      <w:r>
        <w:rPr>
          <w:rFonts w:ascii="Arial" w:cs="Arial" w:eastAsia="Arial" w:hAnsi="Arial"/>
          <w:sz w:val="18"/>
          <w:szCs w:val="18"/>
          <w:color w:val="auto"/>
        </w:rPr>
        <w:t>If a CXL Grade Level associate becomes disabled during salary continuance and receives disability income from another source (e.g., state statutory plan, worker's compensation, no-fault insurance), their salary continuance payments will be reduced by an amount equal to any disability income. If an associate is on short-term disability at the time they’re identified for termination under this Policy, the salary continuance period or lump sum payment will be paid after the associate is no longer eligible to receive short term disability benefits and provided the other eligibility requirement set forth in this Policy are met. For associates who receive notice of termination under this Policy while on disability, the notice will be deemed to run while they are out on disability.</w:t>
      </w:r>
    </w:p>
    <w:p>
      <w:pPr>
        <w:spacing w:after="0" w:line="1" w:lineRule="exact"/>
        <w:rPr>
          <w:sz w:val="20"/>
          <w:szCs w:val="20"/>
          <w:color w:val="auto"/>
        </w:rPr>
      </w:pPr>
    </w:p>
    <w:p>
      <w:pPr>
        <w:ind w:left="500" w:right="500"/>
        <w:spacing w:after="0" w:line="277" w:lineRule="auto"/>
        <w:rPr>
          <w:sz w:val="20"/>
          <w:szCs w:val="20"/>
          <w:color w:val="auto"/>
        </w:rPr>
      </w:pPr>
      <w:r>
        <w:rPr>
          <w:rFonts w:ascii="Arial" w:cs="Arial" w:eastAsia="Arial" w:hAnsi="Arial"/>
          <w:sz w:val="18"/>
          <w:szCs w:val="18"/>
          <w:color w:val="auto"/>
        </w:rPr>
        <w:t>Associates on Conduent long term disability as determined by the Conduent long term disability administrator on the last day of active employment are not eligible to receive severance under this Policy.</w:t>
      </w:r>
    </w:p>
    <w:p>
      <w:pPr>
        <w:spacing w:after="0" w:line="22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VI.</w:t>
        <w:tab/>
        <w:t>Employment at Will</w:t>
      </w:r>
    </w:p>
    <w:p>
      <w:pPr>
        <w:spacing w:after="0" w:line="266" w:lineRule="exact"/>
        <w:rPr>
          <w:sz w:val="20"/>
          <w:szCs w:val="20"/>
          <w:color w:val="auto"/>
        </w:rPr>
      </w:pPr>
    </w:p>
    <w:p>
      <w:pPr>
        <w:jc w:val="both"/>
        <w:ind w:left="500" w:right="20"/>
        <w:spacing w:after="0" w:line="271" w:lineRule="auto"/>
        <w:rPr>
          <w:sz w:val="20"/>
          <w:szCs w:val="20"/>
          <w:color w:val="auto"/>
        </w:rPr>
      </w:pPr>
      <w:r>
        <w:rPr>
          <w:rFonts w:ascii="Arial" w:cs="Arial" w:eastAsia="Arial" w:hAnsi="Arial"/>
          <w:sz w:val="18"/>
          <w:szCs w:val="18"/>
          <w:color w:val="auto"/>
        </w:rPr>
        <w:t>Nothing in this Policy shall be deemed to alter the at will employment relationship between Conduent and its associates. The Conduent general policy concerning separation of associates is in accord with the traditional legal principle of “employment at will” and the other principles governing separation of all associates.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Exceptions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Within the boundaries of each policy there may be ‘allowable’ exceptions, and where this is the case the policy owner (e.g. Vice President, Total Rewards) will oversee and grant the exception subject to approval of the Chief Human Resources Officer.</w:t>
      </w:r>
    </w:p>
    <w:p>
      <w:pPr>
        <w:sectPr>
          <w:pgSz w:w="11900" w:h="16838" w:orient="portrait"/>
          <w:cols w:equalWidth="0" w:num="1">
            <w:col w:w="11240"/>
          </w:cols>
          <w:pgMar w:left="320" w:top="147" w:right="339" w:bottom="1440" w:gutter="0" w:footer="0" w:header="0"/>
        </w:sectPr>
      </w:pPr>
    </w:p>
    <w:bookmarkStart w:id="42" w:name="page43"/>
    <w:bookmarkEnd w:id="42"/>
    <w:p>
      <w:pPr>
        <w:ind w:left="10120"/>
        <w:spacing w:after="0"/>
        <w:rPr>
          <w:sz w:val="20"/>
          <w:szCs w:val="20"/>
          <w:color w:val="auto"/>
        </w:rPr>
      </w:pPr>
      <w:r>
        <w:rPr>
          <w:rFonts w:ascii="Arial" w:cs="Arial" w:eastAsia="Arial" w:hAnsi="Arial"/>
          <w:sz w:val="21"/>
          <w:szCs w:val="2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Without the necessary approvals, no exceptions may be made to the existing HR policy nor granted to specific individuals. Any other exception would be classified as unauthorized and would be considered a policy violation. Where a policy exception is made without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appropriate approvals corrective action, up to and including termination may be taken against the associate(s) who authorized the exception</w:t>
      </w:r>
      <w:r>
        <w:rPr>
          <w:rFonts w:ascii="Arial" w:cs="Arial" w:eastAsia="Arial" w:hAnsi="Arial"/>
          <w:sz w:val="21"/>
          <w:szCs w:val="21"/>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Conduent Ethics Helpline </w:t>
      </w:r>
      <w:r>
        <w:rPr>
          <w:rFonts w:ascii="Arial" w:cs="Arial" w:eastAsia="Arial" w:hAnsi="Arial"/>
          <w:sz w:val="17"/>
          <w:szCs w:val="17"/>
          <w:color w:val="auto"/>
        </w:rPr>
        <w:t>– Contact our Ethics Helpline if you have questions or concerns about potential unethical conduct:</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www.conduent.com/ethicshelpline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Revision History</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1480" w:type="dxa"/>
            <w:vAlign w:val="bottom"/>
            <w:tcBorders>
              <w:top w:val="single" w:sz="8" w:color="auto"/>
              <w:left w:val="single" w:sz="8" w:color="auto"/>
              <w:bottom w:val="single" w:sz="8" w:color="auto"/>
              <w:right w:val="single" w:sz="8" w:color="auto"/>
            </w:tcBorders>
            <w:shd w:val="clear" w:color="auto" w:fill="D9D9D9"/>
          </w:tcPr>
          <w:p>
            <w:pPr>
              <w:ind w:left="500"/>
              <w:spacing w:after="0"/>
              <w:rPr>
                <w:sz w:val="20"/>
                <w:szCs w:val="20"/>
                <w:color w:val="auto"/>
              </w:rPr>
            </w:pPr>
            <w:r>
              <w:rPr>
                <w:rFonts w:ascii="Arial" w:cs="Arial" w:eastAsia="Arial" w:hAnsi="Arial"/>
                <w:sz w:val="22"/>
                <w:szCs w:val="22"/>
                <w:b w:val="1"/>
                <w:bCs w:val="1"/>
                <w:color w:val="auto"/>
              </w:rPr>
              <w:t>Date</w:t>
            </w:r>
          </w:p>
        </w:tc>
        <w:tc>
          <w:tcPr>
            <w:tcW w:w="9780" w:type="dxa"/>
            <w:vAlign w:val="bottom"/>
            <w:tcBorders>
              <w:top w:val="single" w:sz="8" w:color="auto"/>
              <w:bottom w:val="single" w:sz="8" w:color="auto"/>
              <w:right w:val="single" w:sz="8" w:color="auto"/>
            </w:tcBorders>
            <w:shd w:val="clear" w:color="auto" w:fill="D9D9D9"/>
          </w:tcPr>
          <w:p>
            <w:pPr>
              <w:spacing w:after="0"/>
              <w:rPr>
                <w:sz w:val="20"/>
                <w:szCs w:val="20"/>
                <w:color w:val="auto"/>
              </w:rPr>
            </w:pPr>
            <w:r>
              <w:rPr>
                <w:rFonts w:ascii="Arial" w:cs="Arial" w:eastAsia="Arial" w:hAnsi="Arial"/>
                <w:sz w:val="22"/>
                <w:szCs w:val="22"/>
                <w:b w:val="1"/>
                <w:bCs w:val="1"/>
                <w:color w:val="auto"/>
              </w:rPr>
              <w:t>Description</w:t>
            </w:r>
          </w:p>
        </w:tc>
      </w:tr>
      <w:tr>
        <w:trPr>
          <w:trHeight w:val="230"/>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8/1/2018</w:t>
            </w:r>
          </w:p>
        </w:tc>
        <w:tc>
          <w:tcPr>
            <w:tcW w:w="9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Replacing Executive Salary Continuance Policy</w:t>
            </w:r>
          </w:p>
        </w:tc>
      </w:tr>
      <w:tr>
        <w:trPr>
          <w:trHeight w:val="237"/>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12/1/2021</w:t>
            </w:r>
          </w:p>
        </w:tc>
        <w:tc>
          <w:tcPr>
            <w:tcW w:w="9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Policy update</w:t>
            </w:r>
          </w:p>
        </w:tc>
      </w:tr>
      <w:tr>
        <w:trPr>
          <w:trHeight w:val="237"/>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5/22/2022</w:t>
            </w:r>
          </w:p>
        </w:tc>
        <w:tc>
          <w:tcPr>
            <w:tcW w:w="9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Update policy</w:t>
            </w:r>
          </w:p>
        </w:tc>
      </w:tr>
    </w:tbl>
    <w:p>
      <w:pPr>
        <w:sectPr>
          <w:pgSz w:w="11900" w:h="16838" w:orient="portrait"/>
          <w:cols w:equalWidth="0" w:num="1">
            <w:col w:w="11260"/>
          </w:cols>
          <w:pgMar w:left="320" w:top="147" w:right="3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1269BC"/>
        </w:rPr>
        <w:t>EXHIBIT 31(a)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CEO 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Clifford Skelton, certify that:</w:t>
      </w:r>
    </w:p>
    <w:p>
      <w:pPr>
        <w:spacing w:after="0" w:line="117"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644"/>
        <w:spacing w:after="0" w:line="256" w:lineRule="auto"/>
        <w:tabs>
          <w:tab w:leader="none" w:pos="12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60" w:hanging="644"/>
        <w:spacing w:after="0" w:line="256" w:lineRule="auto"/>
        <w:tabs>
          <w:tab w:leader="none" w:pos="12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60" w:hanging="652"/>
        <w:spacing w:after="0" w:line="256"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August 2, 2022</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18859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b w:val="1"/>
          <w:bCs w:val="1"/>
          <w:color w:val="auto"/>
        </w:rPr>
        <w:t>Clifford Skelton</w:t>
      </w:r>
    </w:p>
    <w:p>
      <w:pPr>
        <w:ind w:left="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18"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1269BC"/>
        </w:rPr>
        <w:t>EXHIBIT 31(b)</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CFO CERTIFICATIONS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Stephen Wood, certify that:</w:t>
      </w:r>
    </w:p>
    <w:p>
      <w:pPr>
        <w:spacing w:after="0" w:line="198"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644"/>
        <w:spacing w:after="0" w:line="256" w:lineRule="auto"/>
        <w:tabs>
          <w:tab w:leader="none" w:pos="1294"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60" w:hanging="644"/>
        <w:spacing w:after="0" w:line="256" w:lineRule="auto"/>
        <w:tabs>
          <w:tab w:leader="none" w:pos="129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60" w:hanging="652"/>
        <w:spacing w:after="0" w:line="256"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August 2,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632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Stephen Wood</w:t>
      </w:r>
    </w:p>
    <w:p>
      <w:pPr>
        <w:ind w:left="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1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1269BC"/>
        </w:rPr>
        <w:t>EXHIBIT 32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CERTIFICATION OF CEO AND CFO PURSUANT TO 18 U.S.C. § 1350,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AS ADOPTED PURSUANT TO § 906 OF THE SARBANES-OXLEY ACT OF 2002</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connection with the Form 10-Q of Conduent Incorporated, a New York corporation (the “Company”), for the quarter ended June 30, 2022, as filed with the Securities and Exchange Commission on the date hereof (the “Report”), Clifford Skelton, Chief Executive Officer of the Company, and Stephen Wood, Chief Financial Officer of the Company, each hereby certifies, pursuant to 18 U.S.C. § 1350, as adopted pursuant to § 906 of the Sarbanes-Oxley Act of 2002, to the best of his/her knowledge, that:</w:t>
      </w:r>
    </w:p>
    <w:p>
      <w:pPr>
        <w:spacing w:after="0" w:line="177"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831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4"/>
          <w:szCs w:val="14"/>
          <w:b w:val="1"/>
          <w:bCs w:val="1"/>
          <w:color w:val="auto"/>
        </w:rPr>
        <w:t>Clifford Skelton</w:t>
      </w:r>
    </w:p>
    <w:p>
      <w:pPr>
        <w:ind w:left="680"/>
        <w:spacing w:after="0"/>
        <w:rPr>
          <w:sz w:val="20"/>
          <w:szCs w:val="20"/>
          <w:color w:val="auto"/>
        </w:rPr>
      </w:pPr>
      <w:r>
        <w:rPr>
          <w:rFonts w:ascii="Arial" w:cs="Arial" w:eastAsia="Arial" w:hAnsi="Arial"/>
          <w:sz w:val="14"/>
          <w:szCs w:val="14"/>
          <w:b w:val="1"/>
          <w:bCs w:val="1"/>
          <w:color w:val="auto"/>
        </w:rPr>
        <w:t>Chief Executive Officer</w:t>
      </w:r>
    </w:p>
    <w:p>
      <w:pPr>
        <w:spacing w:after="0" w:line="1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August 2, 2022</w:t>
      </w:r>
    </w:p>
    <w:p>
      <w:pPr>
        <w:spacing w:after="0" w:line="200" w:lineRule="exact"/>
        <w:rPr>
          <w:sz w:val="20"/>
          <w:szCs w:val="20"/>
          <w:color w:val="auto"/>
        </w:rPr>
      </w:pPr>
    </w:p>
    <w:p>
      <w:pPr>
        <w:spacing w:after="0" w:line="3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831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4"/>
          <w:szCs w:val="14"/>
          <w:b w:val="1"/>
          <w:bCs w:val="1"/>
          <w:color w:val="auto"/>
        </w:rPr>
        <w:t>Stephen Wood</w:t>
      </w:r>
    </w:p>
    <w:p>
      <w:pPr>
        <w:ind w:left="680"/>
        <w:spacing w:after="0"/>
        <w:rPr>
          <w:sz w:val="20"/>
          <w:szCs w:val="20"/>
          <w:color w:val="auto"/>
        </w:rPr>
      </w:pPr>
      <w:r>
        <w:rPr>
          <w:rFonts w:ascii="Arial" w:cs="Arial" w:eastAsia="Arial" w:hAnsi="Arial"/>
          <w:sz w:val="14"/>
          <w:szCs w:val="14"/>
          <w:b w:val="1"/>
          <w:bCs w:val="1"/>
          <w:color w:val="auto"/>
        </w:rPr>
        <w:t>Chief Financial Officer</w:t>
      </w:r>
    </w:p>
    <w:p>
      <w:pPr>
        <w:spacing w:after="0" w:line="1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August 2, 2022</w:t>
      </w:r>
    </w:p>
    <w:p>
      <w:pPr>
        <w:spacing w:after="0" w:line="36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14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 signed original of this written statement required by § 906 has been provided to Conduent Incorporated and will be retained by Conduent Incorporated and furnished to the Securities and Exchange Commission or its staff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endash "/>
      <w:numFmt w:val="bullet"/>
      <w:start w:val="1"/>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1)"/>
      <w:numFmt w:val="lowerLetter"/>
      <w:start w:val="2"/>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lowerLetter"/>
      <w:start w:val="2"/>
    </w:lvl>
  </w:abstractNum>
  <w:abstractNum w:abstractNumId="17">
    <w:nsid w:val="2D1D5AE9"/>
    <w:multiLevelType w:val="hybridMultilevel"/>
    <w:lvl w:ilvl="0">
      <w:lvlJc w:val="left"/>
      <w:lvlText w:val="%1"/>
      <w:numFmt w:val="decimal"/>
      <w:start w:val="32"/>
    </w:lvl>
  </w:abstractNum>
  <w:abstractNum w:abstractNumId="18">
    <w:nsid w:val="6763845E"/>
    <w:multiLevelType w:val="hybridMultilevel"/>
    <w:lvl w:ilvl="0">
      <w:lvlJc w:val="left"/>
      <w:lvlText w:val="%1."/>
      <w:numFmt w:val="upperLetter"/>
      <w:start w:val="9"/>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upperLetter"/>
      <w:start w:val="34"/>
    </w:lvl>
    <w:lvl w:ilvl="1">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upperLetter"/>
      <w:start w:val="61"/>
    </w:lvl>
  </w:abstractNum>
  <w:abstractNum w:abstractNumId="24">
    <w:nsid w:val="189A769B"/>
    <w:multiLevelType w:val="hybridMultilevel"/>
    <w:lvl w:ilvl="0">
      <w:lvlJc w:val="left"/>
      <w:lvlText w:val="%1."/>
      <w:numFmt w:val="upperLetter"/>
      <w:start w:val="22"/>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47" Type="http://schemas.openxmlformats.org/officeDocument/2006/relationships/hyperlink" Target="http://www.sec.gov/Archives/edgar/data/1677703/000119312516803247/d275811dex31.htm" TargetMode="External"/><Relationship Id="rId48" Type="http://schemas.openxmlformats.org/officeDocument/2006/relationships/hyperlink" Target="http://www.sec.gov/Archives/edgar/data/1677703/000119312516803247/d27581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2022-08-02T15:16:01Z</dcterms:created>
  <dcterms:modified xsi:type="dcterms:W3CDTF">2022-08-02T15:16:01Z</dcterms:modified>
</cp:coreProperties>
</file>