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5" w:lineRule="exact"/>
        <w:rPr>
          <w:sz w:val="24"/>
          <w:szCs w:val="24"/>
          <w:color w:val="auto"/>
        </w:rPr>
      </w:pPr>
    </w:p>
    <w:p>
      <w:pPr>
        <w:ind w:left="6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20" w:hanging="427"/>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80" w:hanging="387"/>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1"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CONDUENT INCORPORATED</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49"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80"/>
        <w:spacing w:after="0"/>
        <w:rPr>
          <w:sz w:val="20"/>
          <w:szCs w:val="20"/>
          <w:color w:val="auto"/>
        </w:rPr>
      </w:pPr>
      <w:r>
        <w:rPr>
          <w:rFonts w:ascii="Arial" w:cs="Arial" w:eastAsia="Arial" w:hAnsi="Arial"/>
          <w:sz w:val="14"/>
          <w:szCs w:val="14"/>
          <w:b w:val="1"/>
          <w:bCs w:val="1"/>
          <w:color w:val="auto"/>
        </w:rPr>
        <w:t>(State or other jurisdiction of</w:t>
      </w:r>
    </w:p>
    <w:p>
      <w:pPr>
        <w:ind w:left="11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4"/>
          <w:szCs w:val="14"/>
          <w:b w:val="1"/>
          <w:bCs w:val="1"/>
          <w:color w:val="auto"/>
        </w:rPr>
        <w:t>(IRS Employer</w:t>
      </w:r>
    </w:p>
    <w:p>
      <w:pPr>
        <w:jc w:val="center"/>
        <w:ind w:right="1480"/>
        <w:spacing w:after="0"/>
        <w:rPr>
          <w:sz w:val="20"/>
          <w:szCs w:val="20"/>
          <w:color w:val="auto"/>
        </w:rPr>
      </w:pPr>
      <w:r>
        <w:rPr>
          <w:rFonts w:ascii="Arial" w:cs="Arial" w:eastAsia="Arial" w:hAnsi="Arial"/>
          <w:sz w:val="14"/>
          <w:szCs w:val="14"/>
          <w:b w:val="1"/>
          <w:bCs w:val="1"/>
          <w:color w:val="auto"/>
        </w:rPr>
        <w:t>Identification No.)</w:t>
      </w:r>
    </w:p>
    <w:p>
      <w:pPr>
        <w:spacing w:after="0" w:line="95" w:lineRule="exact"/>
        <w:rPr>
          <w:sz w:val="24"/>
          <w:szCs w:val="24"/>
          <w:color w:val="auto"/>
        </w:rPr>
      </w:pPr>
    </w:p>
    <w:p>
      <w:pPr>
        <w:sectPr>
          <w:pgSz w:w="11900" w:h="16838" w:orient="portrait"/>
          <w:cols w:equalWidth="0" w:num="2">
            <w:col w:w="7820" w:space="720"/>
            <w:col w:w="2700"/>
          </w:cols>
          <w:pgMar w:left="320" w:top="260" w:right="339" w:bottom="1440" w:gutter="0" w:footer="0" w:header="0"/>
          <w:type w:val="continuous"/>
        </w:sectPr>
      </w:pPr>
    </w:p>
    <w:p>
      <w:pPr>
        <w:ind w:left="940" w:hanging="323"/>
        <w:spacing w:after="0" w:line="294"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4" w:lineRule="exact"/>
        <w:rPr>
          <w:sz w:val="24"/>
          <w:szCs w:val="24"/>
          <w:color w:val="auto"/>
        </w:rPr>
      </w:pPr>
    </w:p>
    <w:p>
      <w:pPr>
        <w:sectPr>
          <w:pgSz w:w="11900" w:h="16838" w:orient="portrait"/>
          <w:cols w:equalWidth="0" w:num="3">
            <w:col w:w="2220" w:space="560"/>
            <w:col w:w="5400" w:space="720"/>
            <w:col w:w="2340"/>
          </w:cols>
          <w:pgMar w:left="320" w:top="260" w:right="339" w:bottom="1440" w:gutter="0" w:footer="0" w:header="0"/>
          <w:type w:val="continuous"/>
        </w:sectPr>
      </w:pPr>
    </w:p>
    <w:p>
      <w:pPr>
        <w:ind w:left="11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55" w:lineRule="exact"/>
        <w:rPr>
          <w:sz w:val="24"/>
          <w:szCs w:val="24"/>
          <w:color w:val="auto"/>
        </w:rPr>
      </w:pPr>
    </w:p>
    <w:p>
      <w:pPr>
        <w:sectPr>
          <w:pgSz w:w="11900" w:h="16838" w:orient="portrait"/>
          <w:cols w:equalWidth="0" w:num="2">
            <w:col w:w="8080" w:space="720"/>
            <w:col w:w="244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pacing w:after="0" w:line="37"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52" w:lineRule="exact"/>
        <w:rPr>
          <w:sz w:val="24"/>
          <w:szCs w:val="24"/>
          <w:color w:val="auto"/>
        </w:rPr>
      </w:pPr>
    </w:p>
    <w:p>
      <w:pPr>
        <w:ind w:left="15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1" w:lineRule="exact"/>
        <w:rPr>
          <w:sz w:val="24"/>
          <w:szCs w:val="24"/>
          <w:color w:val="auto"/>
        </w:rPr>
      </w:pPr>
    </w:p>
    <w:p>
      <w:pPr>
        <w:sectPr>
          <w:pgSz w:w="11900" w:h="16838" w:orient="portrait"/>
          <w:cols w:equalWidth="0" w:num="3">
            <w:col w:w="4060" w:space="720"/>
            <w:col w:w="1960" w:space="720"/>
            <w:col w:w="3780"/>
          </w:cols>
          <w:pgMar w:left="320" w:top="260" w:right="339" w:bottom="1440" w:gutter="0" w:footer="0" w:header="0"/>
          <w:type w:val="continuous"/>
        </w:sectPr>
      </w:pPr>
    </w:p>
    <w:p>
      <w:pPr>
        <w:ind w:left="760"/>
        <w:spacing w:after="0"/>
        <w:rPr>
          <w:sz w:val="20"/>
          <w:szCs w:val="20"/>
          <w:color w:val="auto"/>
        </w:rPr>
      </w:pPr>
      <w:r>
        <w:rPr>
          <w:rFonts w:ascii="Arial" w:cs="Arial" w:eastAsia="Arial" w:hAnsi="Arial"/>
          <w:sz w:val="17"/>
          <w:szCs w:val="17"/>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4400" w:space="720"/>
            <w:col w:w="1740" w:space="720"/>
            <w:col w:w="3660"/>
          </w:cols>
          <w:pgMar w:left="320" w:top="260" w:right="339" w:bottom="1440" w:gutter="0" w:footer="0" w:header="0"/>
          <w:type w:val="continuous"/>
        </w:sectPr>
      </w:pPr>
    </w:p>
    <w:p>
      <w:pPr>
        <w:ind w:right="300" w:firstLine="162"/>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 w:lineRule="exact"/>
        <w:rPr>
          <w:sz w:val="24"/>
          <w:szCs w:val="24"/>
          <w:color w:val="auto"/>
        </w:rPr>
      </w:pPr>
    </w:p>
    <w:p>
      <w:pPr>
        <w:ind w:right="320" w:firstLine="162"/>
        <w:spacing w:after="0" w:line="27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4" w:lineRule="exact"/>
        <w:rPr>
          <w:sz w:val="24"/>
          <w:szCs w:val="24"/>
          <w:color w:val="auto"/>
        </w:rPr>
      </w:pPr>
    </w:p>
    <w:p>
      <w:pPr>
        <w:ind w:right="20" w:firstLine="162"/>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40"/>
        <w:spacing w:after="0" w:line="181" w:lineRule="exact"/>
        <w:tabs>
          <w:tab w:leader="none" w:pos="1980" w:val="left"/>
          <w:tab w:leader="none" w:pos="2440" w:val="left"/>
          <w:tab w:leader="none" w:pos="3760" w:val="left"/>
          <w:tab w:leader="none" w:pos="4260" w:val="left"/>
          <w:tab w:leader="none" w:pos="5900" w:val="left"/>
          <w:tab w:leader="none" w:pos="6420" w:val="left"/>
          <w:tab w:leader="none" w:pos="8340" w:val="left"/>
          <w:tab w:leader="none" w:pos="8860" w:val="left"/>
          <w:tab w:leader="none" w:pos="109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1" w:lineRule="exact"/>
        <w:rPr>
          <w:sz w:val="24"/>
          <w:szCs w:val="24"/>
          <w:color w:val="auto"/>
        </w:rPr>
      </w:pPr>
    </w:p>
    <w:p>
      <w:pPr>
        <w:ind w:right="160" w:firstLine="162"/>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78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9"/>
                <w:szCs w:val="19"/>
                <w:color w:val="auto"/>
              </w:rPr>
            </w:pPr>
          </w:p>
        </w:tc>
        <w:tc>
          <w:tcPr>
            <w:tcW w:w="4640" w:type="dxa"/>
            <w:vAlign w:val="bottom"/>
          </w:tcPr>
          <w:p>
            <w:pPr>
              <w:spacing w:after="0"/>
              <w:rPr>
                <w:sz w:val="19"/>
                <w:szCs w:val="19"/>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July 31, 2023</w:t>
            </w:r>
          </w:p>
        </w:tc>
      </w:tr>
      <w:tr>
        <w:trPr>
          <w:trHeight w:val="203"/>
        </w:trPr>
        <w:tc>
          <w:tcPr>
            <w:tcW w:w="17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8140" w:type="dxa"/>
            <w:vAlign w:val="bottom"/>
            <w:gridSpan w:val="2"/>
          </w:tcPr>
          <w:p>
            <w:pPr>
              <w:jc w:val="right"/>
              <w:ind w:right="1224"/>
              <w:spacing w:after="0"/>
              <w:rPr>
                <w:sz w:val="20"/>
                <w:szCs w:val="20"/>
                <w:color w:val="auto"/>
              </w:rPr>
            </w:pPr>
            <w:r>
              <w:rPr>
                <w:rFonts w:ascii="Arial" w:cs="Arial" w:eastAsia="Arial" w:hAnsi="Arial"/>
                <w:sz w:val="16"/>
                <w:szCs w:val="16"/>
                <w:color w:val="auto"/>
              </w:rPr>
              <w:t>217,743,723</w:t>
            </w:r>
          </w:p>
        </w:tc>
      </w:tr>
      <w:tr>
        <w:trPr>
          <w:trHeight w:val="399"/>
        </w:trPr>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Q2 2023 Form 10-Q</w:t>
            </w:r>
          </w:p>
        </w:tc>
      </w:tr>
      <w:tr>
        <w:trPr>
          <w:trHeight w:val="694"/>
        </w:trPr>
        <w:tc>
          <w:tcPr>
            <w:tcW w:w="17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2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w:t>
      </w:r>
    </w:p>
    <w:p>
      <w:pPr>
        <w:spacing w:after="0" w:line="13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risk and impact of geopolitical events and increasing geopolitical tensions (such as the war in Ukraine), macroeconomic conditions, natural disasters and other factors (such as pandemics, including coronavirus) in a particular country or region on our workforce, customers and vendors; conditions abroad, including local economics, political environments, fluctuating foreign currencies and shifting regulatory schemes; relying on third 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the continuing effects of the COVID-19 pandemic on our business, operations, financial results and financial condition, which is dependent on developments which are uncertain and cannot be predicted; expectations relating to environmental, social and governance considerations expose us to potential liabilities, increased costs, reputational harm, and other adverse effects on our business; we cannot guarantee that our stock repurchase program will be utilized to the full value approved or that it will enhance long-term stockholder value and repurchases we consummate could increase the volatility of the price of our common stock and could have a negative impact on our available cash balance;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changes in tax and other laws and regulations; risk and impact of potential goodwill and other asset impairments; our significant indebtedness and the terms of such indebtedness; our failure to obtain or maintain a satisfactory credit rating and financial performance; our ability to receive dividends or other payments from our subsidiaries;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changes in government regulation and economic, strategic, political and social conditions; volatility of our stock price and the risk of litigation following a decline in the price of our stock; economic factors such as inflation, the level of economic activity and labor market conditions, as well as rising interest rates; and other factors that are set forth in the “Risk Factors” section, the “Legal Proceedings” section, the “Management's Discussion and Analysis of Financial Condition and Results of Operations” section and other sections of this Quarterly Report on Form 10-Q as well as in our 2022 Annual Report on Form 10-K filed with the Securities and Exchange Commission (SEC) and any subsequent Quarterly Report on Form 10-Q and Current Report on Form 8-K. Any forward-looking statements made by us in this Quarterly Report on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7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FORM 10-Q</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June 30, 2023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269BC"/>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Borders>
              <w:bottom w:val="single" w:sz="8" w:color="CCEEFF"/>
            </w:tcBorders>
          </w:tcPr>
          <w:p>
            <w:pPr>
              <w:spacing w:after="0"/>
              <w:rPr>
                <w:sz w:val="20"/>
                <w:szCs w:val="20"/>
                <w:color w:val="auto"/>
              </w:rPr>
            </w:pPr>
          </w:p>
        </w:tc>
        <w:tc>
          <w:tcPr>
            <w:tcW w:w="87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23"/>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9"/>
                <w:szCs w:val="19"/>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tcPr>
          <w:p>
            <w:pPr>
              <w:ind w:left="20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6"/>
        </w:trPr>
        <w:tc>
          <w:tcPr>
            <w:tcW w:w="1160" w:type="dxa"/>
            <w:vAlign w:val="bottom"/>
          </w:tcPr>
          <w:p>
            <w:pPr>
              <w:spacing w:after="0"/>
              <w:rPr>
                <w:sz w:val="20"/>
                <w:szCs w:val="20"/>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36"/>
        </w:trPr>
        <w:tc>
          <w:tcPr>
            <w:tcW w:w="1160" w:type="dxa"/>
            <w:vAlign w:val="bottom"/>
            <w:shd w:val="clear" w:color="auto" w:fill="CCEEFF"/>
          </w:tcPr>
          <w:p>
            <w:pPr>
              <w:spacing w:after="0"/>
              <w:rPr>
                <w:sz w:val="20"/>
                <w:szCs w:val="20"/>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16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43"/>
        </w:trPr>
        <w:tc>
          <w:tcPr>
            <w:tcW w:w="1160" w:type="dxa"/>
            <w:vAlign w:val="bottom"/>
            <w:shd w:val="clear" w:color="auto" w:fill="CCEEFF"/>
          </w:tcPr>
          <w:p>
            <w:pPr>
              <w:spacing w:after="0"/>
              <w:rPr>
                <w:sz w:val="21"/>
                <w:szCs w:val="21"/>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16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22</w:t>
            </w:r>
          </w:p>
        </w:tc>
      </w:tr>
      <w:tr>
        <w:trPr>
          <w:trHeight w:val="236"/>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32</w:t>
            </w:r>
          </w:p>
        </w:tc>
      </w:tr>
      <w:tr>
        <w:trPr>
          <w:trHeight w:val="236"/>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32</w:t>
            </w:r>
          </w:p>
        </w:tc>
      </w:tr>
      <w:tr>
        <w:trPr>
          <w:trHeight w:val="149"/>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 Information</w:t>
            </w:r>
          </w:p>
        </w:tc>
        <w:tc>
          <w:tcPr>
            <w:tcW w:w="134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33</w:t>
            </w:r>
          </w:p>
        </w:tc>
      </w:tr>
      <w:tr>
        <w:trPr>
          <w:trHeight w:val="236"/>
        </w:trPr>
        <w:tc>
          <w:tcPr>
            <w:tcW w:w="116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720" w:type="dxa"/>
            <w:vAlign w:val="bottom"/>
          </w:tcPr>
          <w:p>
            <w:pPr>
              <w:ind w:left="20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33</w:t>
            </w:r>
          </w:p>
        </w:tc>
      </w:tr>
      <w:tr>
        <w:trPr>
          <w:trHeight w:val="236"/>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33</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20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43"/>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5.</w:t>
            </w:r>
          </w:p>
        </w:tc>
        <w:tc>
          <w:tcPr>
            <w:tcW w:w="8720" w:type="dxa"/>
            <w:vAlign w:val="bottom"/>
          </w:tcPr>
          <w:p>
            <w:pPr>
              <w:ind w:left="20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51"/>
        </w:trPr>
        <w:tc>
          <w:tcPr>
            <w:tcW w:w="116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7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35</w:t>
            </w:r>
          </w:p>
        </w:tc>
      </w:tr>
    </w:tbl>
    <w:p>
      <w:pPr>
        <w:spacing w:after="0" w:line="30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8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42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528"/>
              <w:spacing w:after="0"/>
              <w:rPr>
                <w:sz w:val="20"/>
                <w:szCs w:val="20"/>
                <w:color w:val="auto"/>
              </w:rPr>
            </w:pPr>
            <w:r>
              <w:rPr>
                <w:rFonts w:ascii="Arial" w:cs="Arial" w:eastAsia="Arial" w:hAnsi="Arial"/>
                <w:sz w:val="14"/>
                <w:szCs w:val="14"/>
                <w:color w:val="auto"/>
              </w:rPr>
              <w:t>Six Months Ended</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626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60" w:type="dxa"/>
            <w:vAlign w:val="bottom"/>
          </w:tcPr>
          <w:p>
            <w:pPr>
              <w:spacing w:after="0"/>
              <w:rPr>
                <w:sz w:val="13"/>
                <w:szCs w:val="13"/>
                <w:color w:val="auto"/>
              </w:rPr>
            </w:pPr>
          </w:p>
        </w:tc>
        <w:tc>
          <w:tcPr>
            <w:tcW w:w="860" w:type="dxa"/>
            <w:vAlign w:val="bottom"/>
          </w:tcPr>
          <w:p>
            <w:pPr>
              <w:jc w:val="right"/>
              <w:ind w:right="328"/>
              <w:spacing w:after="0" w:line="15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328"/>
              <w:spacing w:after="0" w:line="15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28"/>
              <w:spacing w:after="0" w:line="15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328"/>
              <w:spacing w:after="0" w:line="159"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1,895</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1,482</w:t>
            </w:r>
          </w:p>
        </w:tc>
      </w:tr>
      <w:tr>
        <w:trPr>
          <w:trHeight w:val="195"/>
        </w:trPr>
        <w:tc>
          <w:tcPr>
            <w:tcW w:w="20" w:type="dxa"/>
            <w:vAlign w:val="bottom"/>
            <w:shd w:val="clear" w:color="auto" w:fill="CCEEFF"/>
          </w:tcPr>
          <w:p>
            <w:pPr>
              <w:spacing w:after="0"/>
              <w:rPr>
                <w:sz w:val="16"/>
                <w:szCs w:val="16"/>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r>
      <w:tr>
        <w:trPr>
          <w:trHeight w:val="197"/>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208"/>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r>
      <w:tr>
        <w:trPr>
          <w:trHeight w:val="189"/>
        </w:trPr>
        <w:tc>
          <w:tcPr>
            <w:tcW w:w="20" w:type="dxa"/>
            <w:vAlign w:val="bottom"/>
          </w:tcPr>
          <w:p>
            <w:pPr>
              <w:spacing w:after="0"/>
              <w:rPr>
                <w:sz w:val="16"/>
                <w:szCs w:val="16"/>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203"/>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95"/>
        </w:trPr>
        <w:tc>
          <w:tcPr>
            <w:tcW w:w="20" w:type="dxa"/>
            <w:vAlign w:val="bottom"/>
            <w:shd w:val="clear" w:color="auto" w:fill="CCEEFF"/>
          </w:tcPr>
          <w:p>
            <w:pPr>
              <w:spacing w:after="0"/>
              <w:rPr>
                <w:sz w:val="16"/>
                <w:szCs w:val="16"/>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03"/>
        </w:trPr>
        <w:tc>
          <w:tcPr>
            <w:tcW w:w="20" w:type="dxa"/>
            <w:vAlign w:val="bottom"/>
            <w:tcBorders>
              <w:bottom w:val="single" w:sz="8" w:color="CCEEFF"/>
            </w:tcBorders>
          </w:tcPr>
          <w:p>
            <w:pPr>
              <w:spacing w:after="0"/>
              <w:rPr>
                <w:sz w:val="17"/>
                <w:szCs w:val="17"/>
                <w:color w:val="auto"/>
              </w:rPr>
            </w:pPr>
          </w:p>
        </w:tc>
        <w:tc>
          <w:tcPr>
            <w:tcW w:w="6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(income) expenses, net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5"/>
        </w:trPr>
        <w:tc>
          <w:tcPr>
            <w:tcW w:w="20" w:type="dxa"/>
            <w:vAlign w:val="bottom"/>
            <w:shd w:val="clear" w:color="auto" w:fill="CCEEFF"/>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1,680</w:t>
            </w:r>
          </w:p>
        </w:tc>
      </w:tr>
      <w:tr>
        <w:trPr>
          <w:trHeight w:val="143"/>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r>
      <w:tr>
        <w:trPr>
          <w:trHeight w:val="169"/>
        </w:trPr>
        <w:tc>
          <w:tcPr>
            <w:tcW w:w="2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4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Net Income (Loss) per Share: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0"/>
        </w:trPr>
        <w:tc>
          <w:tcPr>
            <w:tcW w:w="20" w:type="dxa"/>
            <w:vAlign w:val="bottom"/>
            <w:shd w:val="clear" w:color="auto" w:fill="CCEEFF"/>
          </w:tcPr>
          <w:p>
            <w:pPr>
              <w:spacing w:after="0"/>
              <w:rPr>
                <w:sz w:val="16"/>
                <w:szCs w:val="16"/>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0.61</w:t>
            </w:r>
          </w:p>
        </w:tc>
      </w:tr>
      <w:tr>
        <w:trPr>
          <w:trHeight w:val="191"/>
        </w:trPr>
        <w:tc>
          <w:tcPr>
            <w:tcW w:w="20" w:type="dxa"/>
            <w:vAlign w:val="bottom"/>
          </w:tcPr>
          <w:p>
            <w:pPr>
              <w:spacing w:after="0"/>
              <w:rPr>
                <w:sz w:val="16"/>
                <w:szCs w:val="16"/>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(0.04)</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(0.08)</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0.60</w:t>
            </w:r>
          </w:p>
        </w:tc>
      </w:tr>
    </w:tbl>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0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588"/>
              <w:spacing w:after="0"/>
              <w:rPr>
                <w:sz w:val="20"/>
                <w:szCs w:val="20"/>
                <w:color w:val="auto"/>
              </w:rPr>
            </w:pPr>
            <w:r>
              <w:rPr>
                <w:rFonts w:ascii="Arial" w:cs="Arial" w:eastAsia="Arial" w:hAnsi="Arial"/>
                <w:sz w:val="14"/>
                <w:szCs w:val="14"/>
                <w:color w:val="auto"/>
              </w:rPr>
              <w:t>Six Months Ended</w:t>
            </w: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594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2"/>
                <w:szCs w:val="12"/>
                <w:color w:val="auto"/>
              </w:rPr>
            </w:pPr>
          </w:p>
        </w:tc>
        <w:tc>
          <w:tcPr>
            <w:tcW w:w="92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48"/>
              <w:spacing w:after="0" w:line="12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r>
      <w:tr>
        <w:trPr>
          <w:trHeight w:val="203"/>
        </w:trPr>
        <w:tc>
          <w:tcPr>
            <w:tcW w:w="20" w:type="dxa"/>
            <w:vAlign w:val="bottom"/>
          </w:tcPr>
          <w:p>
            <w:pPr>
              <w:spacing w:after="0"/>
              <w:rPr>
                <w:sz w:val="17"/>
                <w:szCs w:val="17"/>
                <w:color w:val="auto"/>
              </w:rPr>
            </w:pPr>
          </w:p>
        </w:tc>
        <w:tc>
          <w:tcPr>
            <w:tcW w:w="594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Currency translation adjustments,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9"/>
        </w:trPr>
        <w:tc>
          <w:tcPr>
            <w:tcW w:w="20" w:type="dxa"/>
            <w:vAlign w:val="bottom"/>
            <w:tcBorders>
              <w:bottom w:val="single" w:sz="8" w:color="CCEEFF"/>
            </w:tcBorders>
          </w:tcPr>
          <w:p>
            <w:pPr>
              <w:spacing w:after="0"/>
              <w:rPr>
                <w:sz w:val="16"/>
                <w:szCs w:val="16"/>
                <w:color w:val="auto"/>
              </w:rPr>
            </w:pPr>
          </w:p>
        </w:tc>
        <w:tc>
          <w:tcPr>
            <w:tcW w:w="5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Unrecognized gains (losses), net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2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3"/>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(40)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tax. Tax effects were immaterial.</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4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June 30, 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582</w:t>
            </w:r>
          </w:p>
        </w:tc>
      </w:tr>
      <w:tr>
        <w:trPr>
          <w:trHeight w:val="195"/>
        </w:trPr>
        <w:tc>
          <w:tcPr>
            <w:tcW w:w="20" w:type="dxa"/>
            <w:vAlign w:val="bottom"/>
            <w:shd w:val="clear" w:color="auto" w:fill="CCEEFF"/>
          </w:tcPr>
          <w:p>
            <w:pPr>
              <w:spacing w:after="0"/>
              <w:rPr>
                <w:sz w:val="16"/>
                <w:szCs w:val="16"/>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r>
      <w:tr>
        <w:trPr>
          <w:trHeight w:val="197"/>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208"/>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183"/>
        </w:trPr>
        <w:tc>
          <w:tcPr>
            <w:tcW w:w="20" w:type="dxa"/>
            <w:vAlign w:val="bottom"/>
          </w:tcPr>
          <w:p>
            <w:pPr>
              <w:spacing w:after="0"/>
              <w:rPr>
                <w:sz w:val="15"/>
                <w:szCs w:val="15"/>
                <w:color w:val="auto"/>
              </w:rPr>
            </w:pPr>
          </w:p>
        </w:tc>
        <w:tc>
          <w:tcPr>
            <w:tcW w:w="7640" w:type="dxa"/>
            <w:vAlign w:val="bottom"/>
            <w:gridSpan w:val="2"/>
          </w:tcPr>
          <w:p>
            <w:pPr>
              <w:ind w:left="3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r>
      <w:tr>
        <w:trPr>
          <w:trHeight w:val="196"/>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96"/>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95"/>
        </w:trPr>
        <w:tc>
          <w:tcPr>
            <w:tcW w:w="20" w:type="dxa"/>
            <w:vAlign w:val="bottom"/>
            <w:shd w:val="clear" w:color="auto" w:fill="CCEEFF"/>
          </w:tcPr>
          <w:p>
            <w:pPr>
              <w:spacing w:after="0"/>
              <w:rPr>
                <w:sz w:val="16"/>
                <w:szCs w:val="16"/>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7"/>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955</w:t>
            </w:r>
          </w:p>
        </w:tc>
      </w:tr>
      <w:tr>
        <w:trPr>
          <w:trHeight w:val="208"/>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r>
      <w:tr>
        <w:trPr>
          <w:trHeight w:val="183"/>
        </w:trPr>
        <w:tc>
          <w:tcPr>
            <w:tcW w:w="20" w:type="dxa"/>
            <w:vAlign w:val="bottom"/>
          </w:tcPr>
          <w:p>
            <w:pPr>
              <w:spacing w:after="0"/>
              <w:rPr>
                <w:sz w:val="15"/>
                <w:szCs w:val="15"/>
                <w:color w:val="auto"/>
              </w:rPr>
            </w:pPr>
          </w:p>
        </w:tc>
        <w:tc>
          <w:tcPr>
            <w:tcW w:w="764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3,453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3,571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97"/>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5"/>
        </w:trPr>
        <w:tc>
          <w:tcPr>
            <w:tcW w:w="20" w:type="dxa"/>
            <w:vAlign w:val="bottom"/>
            <w:shd w:val="clear" w:color="auto" w:fill="CCEEFF"/>
          </w:tcPr>
          <w:p>
            <w:pPr>
              <w:spacing w:after="0"/>
              <w:rPr>
                <w:sz w:val="16"/>
                <w:szCs w:val="16"/>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96"/>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09"/>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9"/>
        </w:trPr>
        <w:tc>
          <w:tcPr>
            <w:tcW w:w="20" w:type="dxa"/>
            <w:vAlign w:val="bottom"/>
          </w:tcPr>
          <w:p>
            <w:pPr>
              <w:spacing w:after="0"/>
              <w:rPr>
                <w:sz w:val="16"/>
                <w:szCs w:val="16"/>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r>
      <w:tr>
        <w:trPr>
          <w:trHeight w:val="196"/>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190"/>
        </w:trPr>
        <w:tc>
          <w:tcPr>
            <w:tcW w:w="20" w:type="dxa"/>
            <w:vAlign w:val="bottom"/>
          </w:tcPr>
          <w:p>
            <w:pPr>
              <w:spacing w:after="0"/>
              <w:rPr>
                <w:sz w:val="16"/>
                <w:szCs w:val="16"/>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1,277</w:t>
            </w:r>
          </w:p>
        </w:tc>
      </w:tr>
      <w:tr>
        <w:trPr>
          <w:trHeight w:val="195"/>
        </w:trPr>
        <w:tc>
          <w:tcPr>
            <w:tcW w:w="20" w:type="dxa"/>
            <w:vAlign w:val="bottom"/>
            <w:shd w:val="clear" w:color="auto" w:fill="CCEEFF"/>
          </w:tcPr>
          <w:p>
            <w:pPr>
              <w:spacing w:after="0"/>
              <w:rPr>
                <w:sz w:val="16"/>
                <w:szCs w:val="16"/>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6"/>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09"/>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3"/>
        </w:trPr>
        <w:tc>
          <w:tcPr>
            <w:tcW w:w="20" w:type="dxa"/>
            <w:vAlign w:val="bottom"/>
          </w:tcPr>
          <w:p>
            <w:pPr>
              <w:spacing w:after="0"/>
              <w:rPr>
                <w:sz w:val="15"/>
                <w:szCs w:val="15"/>
                <w:color w:val="auto"/>
              </w:rPr>
            </w:pPr>
          </w:p>
        </w:tc>
        <w:tc>
          <w:tcPr>
            <w:tcW w:w="764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2,512</w:t>
            </w:r>
          </w:p>
        </w:tc>
      </w:tr>
      <w:tr>
        <w:trPr>
          <w:trHeight w:val="209"/>
        </w:trPr>
        <w:tc>
          <w:tcPr>
            <w:tcW w:w="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w:t>
            </w:r>
          </w:p>
        </w:tc>
      </w:tr>
      <w:tr>
        <w:trPr>
          <w:trHeight w:val="197"/>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(2,543)</w:t>
            </w:r>
          </w:p>
        </w:tc>
      </w:tr>
      <w:tr>
        <w:trPr>
          <w:trHeight w:val="195"/>
        </w:trPr>
        <w:tc>
          <w:tcPr>
            <w:tcW w:w="20" w:type="dxa"/>
            <w:vAlign w:val="bottom"/>
            <w:shd w:val="clear" w:color="auto" w:fill="CCEEFF"/>
          </w:tcPr>
          <w:p>
            <w:pPr>
              <w:spacing w:after="0"/>
              <w:rPr>
                <w:sz w:val="16"/>
                <w:szCs w:val="16"/>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83"/>
        </w:trPr>
        <w:tc>
          <w:tcPr>
            <w:tcW w:w="20" w:type="dxa"/>
            <w:vAlign w:val="bottom"/>
          </w:tcPr>
          <w:p>
            <w:pPr>
              <w:spacing w:after="0"/>
              <w:rPr>
                <w:sz w:val="15"/>
                <w:szCs w:val="15"/>
                <w:color w:val="auto"/>
              </w:rPr>
            </w:pPr>
          </w:p>
        </w:tc>
        <w:tc>
          <w:tcPr>
            <w:tcW w:w="764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218,348</w:t>
            </w:r>
          </w:p>
        </w:tc>
      </w:tr>
      <w:tr>
        <w:trPr>
          <w:trHeight w:val="189"/>
        </w:trPr>
        <w:tc>
          <w:tcPr>
            <w:tcW w:w="20" w:type="dxa"/>
            <w:vAlign w:val="bottom"/>
          </w:tcPr>
          <w:p>
            <w:pPr>
              <w:spacing w:after="0"/>
              <w:rPr>
                <w:sz w:val="16"/>
                <w:szCs w:val="16"/>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03"/>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804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2022</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5"/>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95"/>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183"/>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5"/>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196"/>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196"/>
        </w:trPr>
        <w:tc>
          <w:tcPr>
            <w:tcW w:w="20" w:type="dxa"/>
            <w:vAlign w:val="bottom"/>
          </w:tcPr>
          <w:p>
            <w:pPr>
              <w:spacing w:after="0"/>
              <w:rPr>
                <w:sz w:val="17"/>
                <w:szCs w:val="17"/>
                <w:color w:val="auto"/>
              </w:rPr>
            </w:pPr>
          </w:p>
        </w:tc>
        <w:tc>
          <w:tcPr>
            <w:tcW w:w="8040" w:type="dxa"/>
            <w:vAlign w:val="bottom"/>
            <w:gridSpan w:val="2"/>
          </w:tcPr>
          <w:p>
            <w:pPr>
              <w:spacing w:after="0" w:line="196"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505</w:t>
            </w:r>
          </w:p>
        </w:tc>
        <w:tc>
          <w:tcPr>
            <w:tcW w:w="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ind w:left="340" w:right="60" w:hanging="332"/>
        <w:spacing w:after="0" w:line="299" w:lineRule="auto"/>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 million and $11 million of restricted cash as of June 30, 2023 and 2022,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Three Months Ended June 30, 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Additional Paid-in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ind w:left="100"/>
              <w:spacing w:after="0" w:line="156" w:lineRule="exact"/>
              <w:rPr>
                <w:sz w:val="20"/>
                <w:szCs w:val="20"/>
                <w:color w:val="auto"/>
              </w:rPr>
            </w:pPr>
            <w:r>
              <w:rPr>
                <w:rFonts w:ascii="Arial" w:cs="Arial" w:eastAsia="Arial" w:hAnsi="Arial"/>
                <w:sz w:val="14"/>
                <w:szCs w:val="14"/>
                <w:color w:val="auto"/>
              </w:rPr>
              <w:t>Retained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8"/>
              <w:spacing w:after="0" w:line="156"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gridSpan w:val="2"/>
          </w:tcPr>
          <w:p>
            <w:pPr>
              <w:spacing w:after="0" w:line="154"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3"/>
                <w:szCs w:val="13"/>
                <w:color w:val="auto"/>
              </w:rPr>
            </w:pPr>
          </w:p>
        </w:tc>
        <w:tc>
          <w:tcPr>
            <w:tcW w:w="1100" w:type="dxa"/>
            <w:vAlign w:val="bottom"/>
          </w:tcPr>
          <w:p>
            <w:pPr>
              <w:jc w:val="right"/>
              <w:ind w:right="48"/>
              <w:spacing w:after="0" w:line="154" w:lineRule="exact"/>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line="154" w:lineRule="exact"/>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60"/>
              <w:spacing w:after="0" w:line="154" w:lineRule="exact"/>
              <w:rPr>
                <w:sz w:val="20"/>
                <w:szCs w:val="20"/>
                <w:color w:val="auto"/>
              </w:rPr>
            </w:pPr>
            <w:r>
              <w:rPr>
                <w:rFonts w:ascii="Arial" w:cs="Arial" w:eastAsia="Arial" w:hAnsi="Arial"/>
                <w:sz w:val="14"/>
                <w:szCs w:val="14"/>
                <w:color w:val="auto"/>
              </w:rPr>
              <w:t>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Earnings (Deficit)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8"/>
              <w:spacing w:after="0" w:line="154"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3,926</w:t>
            </w: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340" w:type="dxa"/>
            <w:vAlign w:val="bottom"/>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Treasury stock purchases</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comprehensive income (loss), net</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Comprehensive Income (Loss), Net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3,931</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Three Months Ended June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Additional 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ind w:left="120"/>
              <w:spacing w:after="0" w:line="148" w:lineRule="exact"/>
              <w:rPr>
                <w:sz w:val="20"/>
                <w:szCs w:val="20"/>
                <w:color w:val="auto"/>
              </w:rPr>
            </w:pPr>
            <w:r>
              <w:rPr>
                <w:rFonts w:ascii="Arial" w:cs="Arial" w:eastAsia="Arial" w:hAnsi="Arial"/>
                <w:sz w:val="14"/>
                <w:szCs w:val="14"/>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8"/>
              <w:spacing w:after="0" w:line="148"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Earnings (Deficit)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340" w:type="dxa"/>
            <w:vAlign w:val="bottom"/>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Treasury stock purchases</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Other comprehensive income (loss), net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Total Comprehensive Income (Loss), Net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8"/>
              <w:spacing w:after="0"/>
              <w:rPr>
                <w:sz w:val="20"/>
                <w:szCs w:val="20"/>
                <w:color w:val="auto"/>
              </w:rPr>
            </w:pPr>
            <w:r>
              <w:rPr>
                <w:rFonts w:ascii="Arial" w:cs="Arial" w:eastAsia="Arial" w:hAnsi="Arial"/>
                <w:sz w:val="14"/>
                <w:szCs w:val="14"/>
                <w:color w:val="auto"/>
              </w:rPr>
              <w:t>Six Months Ended June 30,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Additional Paid-in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ind w:left="100"/>
              <w:spacing w:after="0" w:line="156" w:lineRule="exact"/>
              <w:rPr>
                <w:sz w:val="20"/>
                <w:szCs w:val="20"/>
                <w:color w:val="auto"/>
              </w:rPr>
            </w:pPr>
            <w:r>
              <w:rPr>
                <w:rFonts w:ascii="Arial" w:cs="Arial" w:eastAsia="Arial" w:hAnsi="Arial"/>
                <w:sz w:val="14"/>
                <w:szCs w:val="14"/>
                <w:color w:val="auto"/>
              </w:rPr>
              <w:t>Retained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8"/>
              <w:spacing w:after="0" w:line="156"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gridSpan w:val="2"/>
          </w:tcPr>
          <w:p>
            <w:pPr>
              <w:spacing w:after="0" w:line="154"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3"/>
                <w:szCs w:val="13"/>
                <w:color w:val="auto"/>
              </w:rPr>
            </w:pPr>
          </w:p>
        </w:tc>
        <w:tc>
          <w:tcPr>
            <w:tcW w:w="1100" w:type="dxa"/>
            <w:vAlign w:val="bottom"/>
          </w:tcPr>
          <w:p>
            <w:pPr>
              <w:jc w:val="right"/>
              <w:ind w:right="48"/>
              <w:spacing w:after="0" w:line="154" w:lineRule="exact"/>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line="154" w:lineRule="exact"/>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60"/>
              <w:spacing w:after="0" w:line="154" w:lineRule="exact"/>
              <w:rPr>
                <w:sz w:val="20"/>
                <w:szCs w:val="20"/>
                <w:color w:val="auto"/>
              </w:rPr>
            </w:pPr>
            <w:r>
              <w:rPr>
                <w:rFonts w:ascii="Arial" w:cs="Arial" w:eastAsia="Arial" w:hAnsi="Arial"/>
                <w:sz w:val="14"/>
                <w:szCs w:val="14"/>
                <w:color w:val="auto"/>
              </w:rPr>
              <w:t>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Earnings (Deficit)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8"/>
              <w:spacing w:after="0" w:line="154"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3,924</w:t>
            </w: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340" w:type="dxa"/>
            <w:vAlign w:val="bottom"/>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Treasury stock purchases</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comprehensive income (loss), net</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Comprehensive Income (Loss), Net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3,931</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8"/>
              <w:spacing w:after="0"/>
              <w:rPr>
                <w:sz w:val="20"/>
                <w:szCs w:val="20"/>
                <w:color w:val="auto"/>
              </w:rPr>
            </w:pPr>
            <w:r>
              <w:rPr>
                <w:rFonts w:ascii="Arial" w:cs="Arial" w:eastAsia="Arial" w:hAnsi="Arial"/>
                <w:sz w:val="14"/>
                <w:szCs w:val="14"/>
                <w:color w:val="auto"/>
              </w:rPr>
              <w:t>Six Months Ended June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Additional 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ind w:left="120"/>
              <w:spacing w:after="0" w:line="148" w:lineRule="exact"/>
              <w:rPr>
                <w:sz w:val="20"/>
                <w:szCs w:val="20"/>
                <w:color w:val="auto"/>
              </w:rPr>
            </w:pPr>
            <w:r>
              <w:rPr>
                <w:rFonts w:ascii="Arial" w:cs="Arial" w:eastAsia="Arial" w:hAnsi="Arial"/>
                <w:sz w:val="14"/>
                <w:szCs w:val="14"/>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8"/>
              <w:spacing w:after="0" w:line="148"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Earnings (Deficit)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340" w:type="dxa"/>
            <w:vAlign w:val="bottom"/>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Treasury stock purchases</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Other comprehensive income (loss), net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Total Comprehensive Income (Loss), Net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340" w:type="dxa"/>
            <w:vAlign w:val="bottom"/>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jc w:val="right"/>
        <w:ind w:left="2700" w:right="2020" w:hanging="2692"/>
        <w:spacing w:after="0" w:line="460" w:lineRule="auto"/>
        <w:tabs>
          <w:tab w:leader="none" w:pos="327"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85"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8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Conduent Incorporated is a New York corporation, organized in 2016. As a global technology-led business process solutions company, Conduent delivers digital business solutions and services spanning the commercial, government and transportation spectrum – creating exceptional outcomes for its clients and the millions of people who count on them. The Company leverages cloud computing, artificial intelligence, machine learning, automation and advanced analytics to deliver mission-critical solutions. Through a dedicated global team of associates, process expertise, and advanced technologies, Conduent’s solutions and services digitally transform its clients’ operations to enhance customer experiences, improve performance, increase efficiencies and reduce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8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2022.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2022.</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$ 7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is not expected to be material to the year ending December 31,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August 2, 2023, and no material subsequent events were identified.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3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As of June 30, 2023, the effects of global macroeconomic and geopolitical uncertainty on the Company's business, results of operations and financial condition continue to evolve.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34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 the extent there are significant contract losses, potential disposition or sale of assets and rising interest rates in response to persistent inflation, there exists a risk that the fair value of the Commercial reporting unit could fall below its carrying value, resulting in a goodwill impairment charge.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8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There have been no changes to the Company's Significant Accounting Policies as described in the Company's Annual Report on Form 10-K for the year ended December 31, 2022 other than the addition of a policy related to a share repurchase program as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On May 16, 2023, the Board of Directors authorized a share repurchase program, granting approval for the Company to repurchase up to</w:t>
      </w:r>
    </w:p>
    <w:p>
      <w:pPr>
        <w:spacing w:after="0" w:line="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$75 million of its common stock over the next three years. The Company has the discretion to repurchase shares periodically through open market transactions and may include Rule 10b5-1 trading plans.</w:t>
      </w:r>
    </w:p>
    <w:p>
      <w:pPr>
        <w:spacing w:after="0" w:line="13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This share repurchase program does not obligate the Company to acquire a specific number of shares and the program may be modified, suspended or discontinued at any time at the Company’s discretion without prior notice.</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holds repurchased shares of common stock as treasury stock. The Company accounts for treasury stock under the cost method and includes treasury stock as a component of shareholders' equity. The Company accrues the cost of repurchased shares and excludes such shares from the calculation of basic and diluted earnings per share, as of the trade date. The Company recognizes a liability for share repurchases which have not settled and for which cash has not been paid in Other current liabilities on the Company's Condensed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7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2023 that had a material impact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8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Company has considered all recent accounting standards issued, but not yet effective, and does not expect any to have a material impact on its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8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94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48"/>
              <w:spacing w:after="0" w:line="12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Healthcare claims and administration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Human capital solutions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96"/>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81"/>
        </w:trPr>
        <w:tc>
          <w:tcPr>
            <w:tcW w:w="6040" w:type="dxa"/>
            <w:vAlign w:val="bottom"/>
            <w:gridSpan w:val="3"/>
          </w:tcPr>
          <w:p>
            <w:pPr>
              <w:ind w:left="20"/>
              <w:spacing w:after="0"/>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6"/>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Government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1"/>
        </w:trPr>
        <w:tc>
          <w:tcPr>
            <w:tcW w:w="604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6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60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95"/>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Divestitures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60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915</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928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1,837</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040" w:type="dxa"/>
            <w:vAlign w:val="bottom"/>
            <w:gridSpan w:val="3"/>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Point in time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216"/>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38"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640" w:type="dxa"/>
            <w:vAlign w:val="bottom"/>
            <w:tcBorders>
              <w:bottom w:val="single" w:sz="8" w:color="auto"/>
            </w:tcBorders>
          </w:tcPr>
          <w:p>
            <w:pPr>
              <w:spacing w:after="0" w:line="126" w:lineRule="exact"/>
              <w:rPr>
                <w:sz w:val="20"/>
                <w:szCs w:val="20"/>
                <w:color w:val="auto"/>
              </w:rPr>
            </w:pPr>
            <w:r>
              <w:rPr>
                <w:rFonts w:ascii="Arial" w:cs="Arial" w:eastAsia="Arial" w:hAnsi="Arial"/>
                <w:sz w:val="13"/>
                <w:szCs w:val="13"/>
                <w:color w:val="auto"/>
                <w:w w:val="94"/>
              </w:rPr>
              <w:t>(in millions)</w:t>
            </w:r>
          </w:p>
        </w:tc>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ind w:right="348"/>
              <w:spacing w:after="0" w:line="126" w:lineRule="exact"/>
              <w:rPr>
                <w:sz w:val="20"/>
                <w:szCs w:val="20"/>
                <w:color w:val="auto"/>
              </w:rPr>
            </w:pPr>
            <w:r>
              <w:rPr>
                <w:rFonts w:ascii="Arial" w:cs="Arial" w:eastAsia="Arial" w:hAnsi="Arial"/>
                <w:sz w:val="14"/>
                <w:szCs w:val="14"/>
                <w:color w:val="auto"/>
              </w:rPr>
              <w:t>June 30, 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right"/>
              <w:ind w:right="188"/>
              <w:spacing w:after="0" w:line="126" w:lineRule="exact"/>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tcPr>
          <w:p>
            <w:pPr>
              <w:spacing w:after="0" w:line="189"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583</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70"/>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Revenues of $13 million and $42 million were recognized during the three and six months ended June 30, 2023, respectively, related to the Company's unearned income at December 31, 2022. Revenues of $18 million and $53 million were recognized during the three and six months ended June 30, 2022, respectively, related to the Company's unearned income at December 31, 2021.</w:t>
      </w:r>
    </w:p>
    <w:p>
      <w:pPr>
        <w:spacing w:after="0" w:line="13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Company had no material asset impairment charges related to contract assets for the three and six months ended June 30, 2023 or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8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June 30, 2023 was approximately $1.6 billion. The Company expects to recognize approximately 61% of this revenue over the next two years and the remainder thereafter.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(CODM). The Company's segments involve the delivery of business process services and include service arrangements where it manages a customer's business activity or process.</w:t>
      </w:r>
    </w:p>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Company's financial performance is based on Segment Profit (Loss) for its three reportable segments (Commercial, Government and Transportation), Divestitures and Unallocated Costs. The Company's CODM does not evaluate operating segments using discrete asset information.</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to clients in a variety of industries.</w:t>
      </w:r>
      <w:r>
        <w:rPr>
          <w:rFonts w:ascii="Arial" w:cs="Arial" w:eastAsia="Arial" w:hAnsi="Arial"/>
          <w:sz w:val="18"/>
          <w:szCs w:val="18"/>
          <w:b w:val="1"/>
          <w:bCs w:val="1"/>
          <w:color w:val="0066CC"/>
        </w:rPr>
        <w:t xml:space="preserve"> </w:t>
      </w:r>
      <w:r>
        <w:rPr>
          <w:rFonts w:ascii="Arial" w:cs="Arial" w:eastAsia="Arial" w:hAnsi="Arial"/>
          <w:sz w:val="18"/>
          <w:szCs w:val="18"/>
          <w:color w:val="000000"/>
        </w:rPr>
        <w:t>Across the Commercial segment, the Company operates on its clients’ behalf to deliver mission-critical solutions and services to reduce costs, improve efficiencies and enable revenue growth for the Company's clients and their consumers and employees.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to U.S. federal, state and local and foreign</w:t>
      </w:r>
      <w:r>
        <w:rPr>
          <w:rFonts w:ascii="Arial" w:cs="Arial" w:eastAsia="Arial" w:hAnsi="Arial"/>
          <w:sz w:val="18"/>
          <w:szCs w:val="18"/>
          <w:b w:val="1"/>
          <w:bCs w:val="1"/>
          <w:color w:val="0066CC"/>
        </w:rPr>
        <w:t xml:space="preserve"> </w:t>
      </w:r>
      <w:r>
        <w:rPr>
          <w:rFonts w:ascii="Arial" w:cs="Arial" w:eastAsia="Arial" w:hAnsi="Arial"/>
          <w:sz w:val="18"/>
          <w:szCs w:val="18"/>
          <w:color w:val="000000"/>
        </w:rPr>
        <w:t>governments for public assistance, health services, program administration, transaction processing and payment services. The solutions in this segment help governments respond to changing rules for eligibility and increasing citizen expectations.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support, and revenue-generating solutions, to government transportation</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agency clients. The Company delivers mission-critical public safety, mobility and digital payment solutions that streamline operations, have a positive impact on the environment and increase revenue and reduce congestion while creating safe, seamless travel experiences for consumers.</w:t>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Divestitures includes the Company's Midas Suite of patient safety, quality and advanced analytics solutions which it sold to a third party in the first quarter of 2022.</w:t>
      </w:r>
    </w:p>
    <w:p>
      <w:pPr>
        <w:spacing w:after="0" w:line="12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4"/>
          </w:tcPr>
          <w:p>
            <w:pPr>
              <w:ind w:left="40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34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04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68"/>
              <w:spacing w:after="0" w:line="159"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ind w:left="60"/>
              <w:spacing w:after="0" w:line="159" w:lineRule="exact"/>
              <w:rPr>
                <w:sz w:val="20"/>
                <w:szCs w:val="20"/>
                <w:color w:val="auto"/>
              </w:rPr>
            </w:pPr>
            <w:r>
              <w:rPr>
                <w:rFonts w:ascii="Arial" w:cs="Arial" w:eastAsia="Arial" w:hAnsi="Arial"/>
                <w:sz w:val="14"/>
                <w:szCs w:val="14"/>
                <w:color w:val="auto"/>
              </w:rPr>
              <w:t>Divestitures</w:t>
            </w:r>
          </w:p>
        </w:tc>
        <w:tc>
          <w:tcPr>
            <w:tcW w:w="100" w:type="dxa"/>
            <w:vAlign w:val="bottom"/>
          </w:tcPr>
          <w:p>
            <w:pPr>
              <w:spacing w:after="0"/>
              <w:rPr>
                <w:sz w:val="13"/>
                <w:szCs w:val="13"/>
                <w:color w:val="auto"/>
              </w:rPr>
            </w:pPr>
          </w:p>
        </w:tc>
        <w:tc>
          <w:tcPr>
            <w:tcW w:w="13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Unallocated Costs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08"/>
              <w:spacing w:after="0" w:line="159"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left="408"/>
              <w:spacing w:after="0"/>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915</w:t>
            </w:r>
          </w:p>
        </w:tc>
      </w:tr>
      <w:tr>
        <w:trPr>
          <w:trHeight w:val="203"/>
        </w:trPr>
        <w:tc>
          <w:tcPr>
            <w:tcW w:w="20" w:type="dxa"/>
            <w:vAlign w:val="bottom"/>
            <w:shd w:val="clear" w:color="auto" w:fill="CCEEFF"/>
          </w:tcPr>
          <w:p>
            <w:pPr>
              <w:spacing w:after="0"/>
              <w:rPr>
                <w:sz w:val="17"/>
                <w:szCs w:val="17"/>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(79)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9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6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34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279</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179</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left="408"/>
              <w:spacing w:after="0"/>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928</w:t>
            </w:r>
          </w:p>
        </w:tc>
      </w:tr>
      <w:tr>
        <w:trPr>
          <w:trHeight w:val="203"/>
        </w:trPr>
        <w:tc>
          <w:tcPr>
            <w:tcW w:w="20" w:type="dxa"/>
            <w:vAlign w:val="bottom"/>
            <w:shd w:val="clear" w:color="auto" w:fill="CCEEFF"/>
          </w:tcPr>
          <w:p>
            <w:pPr>
              <w:spacing w:after="0"/>
              <w:rPr>
                <w:sz w:val="17"/>
                <w:szCs w:val="17"/>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(72)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bl>
    <w:p>
      <w:pPr>
        <w:spacing w:after="0" w:line="200" w:lineRule="exact"/>
        <w:rPr>
          <w:sz w:val="20"/>
          <w:szCs w:val="20"/>
          <w:color w:val="auto"/>
        </w:rPr>
      </w:pPr>
    </w:p>
    <w:p>
      <w:pPr>
        <w:spacing w:after="0" w:line="28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ind w:left="44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gridSpan w:val="4"/>
          </w:tcPr>
          <w:p>
            <w:pPr>
              <w:spacing w:after="0" w:line="129" w:lineRule="exact"/>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2"/>
                <w:szCs w:val="12"/>
                <w:color w:val="auto"/>
              </w:rPr>
            </w:pPr>
          </w:p>
        </w:tc>
        <w:tc>
          <w:tcPr>
            <w:tcW w:w="104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68"/>
              <w:spacing w:after="0" w:line="129"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spacing w:after="0" w:line="12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28"/>
              <w:spacing w:after="0" w:line="129" w:lineRule="exact"/>
              <w:rPr>
                <w:sz w:val="20"/>
                <w:szCs w:val="20"/>
                <w:color w:val="auto"/>
              </w:rPr>
            </w:pPr>
            <w:r>
              <w:rPr>
                <w:rFonts w:ascii="Arial" w:cs="Arial" w:eastAsia="Arial" w:hAnsi="Arial"/>
                <w:sz w:val="14"/>
                <w:szCs w:val="14"/>
                <w:color w:val="auto"/>
              </w:rPr>
              <w:t>Divestitures</w:t>
            </w:r>
          </w:p>
        </w:tc>
        <w:tc>
          <w:tcPr>
            <w:tcW w:w="100" w:type="dxa"/>
            <w:vAlign w:val="bottom"/>
          </w:tcPr>
          <w:p>
            <w:pPr>
              <w:spacing w:after="0"/>
              <w:rPr>
                <w:sz w:val="12"/>
                <w:szCs w:val="12"/>
                <w:color w:val="auto"/>
              </w:rPr>
            </w:pPr>
          </w:p>
        </w:tc>
        <w:tc>
          <w:tcPr>
            <w:tcW w:w="1300" w:type="dxa"/>
            <w:vAlign w:val="bottom"/>
            <w:gridSpan w:val="3"/>
          </w:tcPr>
          <w:p>
            <w:pPr>
              <w:jc w:val="right"/>
              <w:ind w:right="60"/>
              <w:spacing w:after="0" w:line="129" w:lineRule="exact"/>
              <w:rPr>
                <w:sz w:val="20"/>
                <w:szCs w:val="20"/>
                <w:color w:val="auto"/>
              </w:rPr>
            </w:pPr>
            <w:r>
              <w:rPr>
                <w:rFonts w:ascii="Arial" w:cs="Arial" w:eastAsia="Arial" w:hAnsi="Arial"/>
                <w:sz w:val="14"/>
                <w:szCs w:val="14"/>
                <w:color w:val="auto"/>
              </w:rPr>
              <w:t>Unallocated Costs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979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534</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324</w:t>
            </w:r>
          </w:p>
        </w:tc>
        <w:tc>
          <w:tcPr>
            <w:tcW w:w="40" w:type="dxa"/>
            <w:vAlign w:val="bottom"/>
          </w:tcPr>
          <w:p>
            <w:pPr>
              <w:spacing w:after="0"/>
              <w:rPr>
                <w:sz w:val="16"/>
                <w:szCs w:val="16"/>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982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341</w:t>
            </w:r>
          </w:p>
        </w:tc>
        <w:tc>
          <w:tcPr>
            <w:tcW w:w="40" w:type="dxa"/>
            <w:vAlign w:val="bottom"/>
          </w:tcPr>
          <w:p>
            <w:pPr>
              <w:spacing w:after="0"/>
              <w:rPr>
                <w:sz w:val="16"/>
                <w:szCs w:val="16"/>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ind w:left="4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5"/>
          </w:tcPr>
          <w:p>
            <w:pPr>
              <w:jc w:val="right"/>
              <w:ind w:right="58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right"/>
              <w:spacing w:after="0" w:line="154" w:lineRule="exact"/>
              <w:rPr>
                <w:sz w:val="20"/>
                <w:szCs w:val="20"/>
                <w:color w:val="auto"/>
              </w:rPr>
            </w:pPr>
            <w:r>
              <w:rPr>
                <w:rFonts w:ascii="Arial" w:cs="Arial" w:eastAsia="Arial" w:hAnsi="Arial"/>
                <w:sz w:val="14"/>
                <w:szCs w:val="14"/>
                <w:color w:val="auto"/>
              </w:rPr>
              <w:t>June 30,</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4"/>
          </w:tcPr>
          <w:p>
            <w:pPr>
              <w:jc w:val="right"/>
              <w:ind w:right="100"/>
              <w:spacing w:after="0" w:line="154" w:lineRule="exact"/>
              <w:rPr>
                <w:sz w:val="20"/>
                <w:szCs w:val="20"/>
                <w:color w:val="auto"/>
              </w:rPr>
            </w:pPr>
            <w:r>
              <w:rPr>
                <w:rFonts w:ascii="Arial" w:cs="Arial" w:eastAsia="Arial" w:hAnsi="Arial"/>
                <w:sz w:val="14"/>
                <w:szCs w:val="14"/>
                <w:color w:val="auto"/>
              </w:rPr>
              <w:t>June 30,</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4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5"/>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 net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gridSpan w:val="4"/>
          </w:tcPr>
          <w:p>
            <w:pPr>
              <w:ind w:left="120"/>
              <w:spacing w:after="0"/>
              <w:rPr>
                <w:sz w:val="20"/>
                <w:szCs w:val="20"/>
                <w:color w:val="auto"/>
              </w:rPr>
            </w:pPr>
            <w:r>
              <w:rPr>
                <w:rFonts w:ascii="Arial" w:cs="Arial" w:eastAsia="Arial" w:hAnsi="Arial"/>
                <w:sz w:val="14"/>
                <w:szCs w:val="14"/>
                <w:color w:val="auto"/>
              </w:rPr>
              <w:t>Other (income) expenses, net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8, 2022, the Company completed the sale of its Midas business to Symplr Software, Inc. The Company received $322 million of cash consideration for this divestiture ($321 million in the first quarter of 2022 and $1 million in the second quarter of 2022). The divestiture generated a pre-tax gain of $166 million ($ 165 million in the first quarter of 2022 and $1 million in the second quarter of 2022), which is included in (Gain) loss on divestitures and transaction costs, net. The Company recorded approximately $ 62 million of income taxes in connection with the divestiture. The revenue generated by this business was $7 million for the six months ended June 30, 2022. There was no revenue generated by this business for the three months ended June 30, 2022.</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(ROU) impairments and other related costs. Also included in Restructuring and related costs are incremental, non-recurring costs related to the consolidation of the Company's data centers, which totaled $2 million and $3 million for the three months ended June 30, 2023 and 2022, respectively, and $4 million and $7 million for the six months ended June 30, 2023 and 2022,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200" w:lineRule="exact"/>
        <w:rPr>
          <w:sz w:val="20"/>
          <w:szCs w:val="20"/>
          <w:color w:val="auto"/>
        </w:rPr>
      </w:pP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six months ended June 30, 2023 and 2022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color w:val="auto"/>
              </w:rPr>
              <w:t>Severance and Related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color w:val="auto"/>
              </w:rPr>
              <w:t>Termination and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42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center"/>
              <w:ind w:right="268"/>
              <w:spacing w:after="0" w:line="154" w:lineRule="exact"/>
              <w:rPr>
                <w:sz w:val="20"/>
                <w:szCs w:val="20"/>
                <w:color w:val="auto"/>
              </w:rPr>
            </w:pPr>
            <w:r>
              <w:rPr>
                <w:rFonts w:ascii="Arial" w:cs="Arial" w:eastAsia="Arial" w:hAnsi="Arial"/>
                <w:sz w:val="14"/>
                <w:szCs w:val="14"/>
                <w:color w:val="auto"/>
              </w:rPr>
              <w:t>Costs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28"/>
              <w:spacing w:after="0" w:line="154" w:lineRule="exact"/>
              <w:rPr>
                <w:sz w:val="20"/>
                <w:szCs w:val="20"/>
                <w:color w:val="auto"/>
              </w:rPr>
            </w:pPr>
            <w:r>
              <w:rPr>
                <w:rFonts w:ascii="Arial" w:cs="Arial" w:eastAsia="Arial" w:hAnsi="Arial"/>
                <w:sz w:val="14"/>
                <w:szCs w:val="14"/>
                <w:color w:val="auto"/>
              </w:rPr>
              <w:t>Costs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68"/>
              <w:spacing w:after="0" w:line="154" w:lineRule="exact"/>
              <w:rPr>
                <w:sz w:val="20"/>
                <w:szCs w:val="20"/>
                <w:color w:val="auto"/>
              </w:rPr>
            </w:pPr>
            <w:r>
              <w:rPr>
                <w:rFonts w:ascii="Arial" w:cs="Arial" w:eastAsia="Arial" w:hAnsi="Arial"/>
                <w:sz w:val="14"/>
                <w:szCs w:val="14"/>
                <w:color w:val="auto"/>
              </w:rPr>
              <w:t>Asset Impairments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88"/>
              <w:spacing w:after="0" w:line="154"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2022</w:t>
            </w: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20" w:type="dxa"/>
            <w:vAlign w:val="bottom"/>
            <w:tcBorders>
              <w:top w:val="single" w:sz="8" w:color="CCEEFF"/>
            </w:tcBorders>
          </w:tcPr>
          <w:p>
            <w:pPr>
              <w:spacing w:after="0"/>
              <w:rPr>
                <w:sz w:val="16"/>
                <w:szCs w:val="16"/>
                <w:color w:val="auto"/>
              </w:rPr>
            </w:pPr>
          </w:p>
        </w:tc>
        <w:tc>
          <w:tcPr>
            <w:tcW w:w="4240" w:type="dxa"/>
            <w:vAlign w:val="bottom"/>
            <w:tcBorders>
              <w:top w:val="single" w:sz="8" w:color="CCEEFF"/>
            </w:tcBorders>
            <w:gridSpan w:val="2"/>
          </w:tcPr>
          <w:p>
            <w:pPr>
              <w:ind w:left="200"/>
              <w:spacing w:after="0"/>
              <w:rPr>
                <w:sz w:val="20"/>
                <w:szCs w:val="20"/>
                <w:color w:val="auto"/>
              </w:rPr>
            </w:pPr>
            <w:r>
              <w:rPr>
                <w:rFonts w:ascii="Arial" w:cs="Arial" w:eastAsia="Arial" w:hAnsi="Arial"/>
                <w:sz w:val="14"/>
                <w:szCs w:val="14"/>
                <w:color w:val="auto"/>
              </w:rPr>
              <w:t>Provision</w:t>
            </w:r>
          </w:p>
        </w:tc>
        <w:tc>
          <w:tcPr>
            <w:tcW w:w="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08"/>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June 30, 2023</w:t>
            </w:r>
          </w:p>
        </w:tc>
        <w:tc>
          <w:tcPr>
            <w:tcW w:w="3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color w:val="auto"/>
              </w:rPr>
              <w:t>Severance and Related</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color w:val="auto"/>
              </w:rPr>
              <w:t>Termination and Other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54"/>
        </w:trPr>
        <w:tc>
          <w:tcPr>
            <w:tcW w:w="20" w:type="dxa"/>
            <w:vAlign w:val="bottom"/>
          </w:tcPr>
          <w:p>
            <w:pPr>
              <w:spacing w:after="0"/>
              <w:rPr>
                <w:sz w:val="13"/>
                <w:szCs w:val="13"/>
                <w:color w:val="auto"/>
              </w:rPr>
            </w:pPr>
          </w:p>
        </w:tc>
        <w:tc>
          <w:tcPr>
            <w:tcW w:w="42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center"/>
              <w:ind w:right="308"/>
              <w:spacing w:after="0" w:line="154" w:lineRule="exact"/>
              <w:rPr>
                <w:sz w:val="20"/>
                <w:szCs w:val="20"/>
                <w:color w:val="auto"/>
              </w:rPr>
            </w:pPr>
            <w:r>
              <w:rPr>
                <w:rFonts w:ascii="Arial" w:cs="Arial" w:eastAsia="Arial" w:hAnsi="Arial"/>
                <w:sz w:val="14"/>
                <w:szCs w:val="14"/>
                <w:color w:val="auto"/>
              </w:rPr>
              <w:t>Costs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48"/>
              <w:spacing w:after="0" w:line="154" w:lineRule="exact"/>
              <w:rPr>
                <w:sz w:val="20"/>
                <w:szCs w:val="20"/>
                <w:color w:val="auto"/>
              </w:rPr>
            </w:pPr>
            <w:r>
              <w:rPr>
                <w:rFonts w:ascii="Arial" w:cs="Arial" w:eastAsia="Arial" w:hAnsi="Arial"/>
                <w:sz w:val="14"/>
                <w:szCs w:val="14"/>
                <w:color w:val="auto"/>
              </w:rPr>
              <w:t>Costs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68"/>
              <w:spacing w:after="0" w:line="154" w:lineRule="exact"/>
              <w:rPr>
                <w:sz w:val="20"/>
                <w:szCs w:val="20"/>
                <w:color w:val="auto"/>
              </w:rPr>
            </w:pPr>
            <w:r>
              <w:rPr>
                <w:rFonts w:ascii="Arial" w:cs="Arial" w:eastAsia="Arial" w:hAnsi="Arial"/>
                <w:sz w:val="14"/>
                <w:szCs w:val="14"/>
                <w:color w:val="auto"/>
              </w:rPr>
              <w:t>Asset Impairments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88"/>
              <w:spacing w:after="0" w:line="154"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2021</w:t>
            </w:r>
          </w:p>
        </w:tc>
        <w:tc>
          <w:tcPr>
            <w:tcW w:w="3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rPr>
              <w:t>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0"/>
        </w:trPr>
        <w:tc>
          <w:tcPr>
            <w:tcW w:w="20" w:type="dxa"/>
            <w:vAlign w:val="bottom"/>
            <w:tcBorders>
              <w:top w:val="single" w:sz="8" w:color="CCEEFF"/>
            </w:tcBorders>
          </w:tcPr>
          <w:p>
            <w:pPr>
              <w:spacing w:after="0"/>
              <w:rPr>
                <w:sz w:val="16"/>
                <w:szCs w:val="16"/>
                <w:color w:val="auto"/>
              </w:rPr>
            </w:pPr>
          </w:p>
        </w:tc>
        <w:tc>
          <w:tcPr>
            <w:tcW w:w="4240" w:type="dxa"/>
            <w:vAlign w:val="bottom"/>
            <w:tcBorders>
              <w:top w:val="single" w:sz="8" w:color="CCEEFF"/>
            </w:tcBorders>
            <w:gridSpan w:val="2"/>
          </w:tcPr>
          <w:p>
            <w:pPr>
              <w:ind w:left="200"/>
              <w:spacing w:after="0"/>
              <w:rPr>
                <w:sz w:val="20"/>
                <w:szCs w:val="20"/>
                <w:color w:val="auto"/>
              </w:rPr>
            </w:pPr>
            <w:r>
              <w:rPr>
                <w:rFonts w:ascii="Arial" w:cs="Arial" w:eastAsia="Arial" w:hAnsi="Arial"/>
                <w:sz w:val="14"/>
                <w:szCs w:val="14"/>
                <w:color w:val="auto"/>
              </w:rPr>
              <w:t>Provision</w:t>
            </w: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left="98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08"/>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ind w:left="9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2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center"/>
              <w:ind w:left="9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center"/>
              <w:ind w:left="96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June 30, 2022</w:t>
            </w:r>
          </w:p>
        </w:tc>
        <w:tc>
          <w:tcPr>
            <w:tcW w:w="3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center"/>
              <w:ind w:left="988"/>
              <w:spacing w:after="0"/>
              <w:rPr>
                <w:sz w:val="20"/>
                <w:szCs w:val="20"/>
                <w:color w:val="auto"/>
              </w:rPr>
            </w:pPr>
            <w:r>
              <w:rPr>
                <w:rFonts w:ascii="Arial" w:cs="Arial" w:eastAsia="Arial" w:hAnsi="Arial"/>
                <w:sz w:val="14"/>
                <w:szCs w:val="14"/>
                <w:color w:val="auto"/>
              </w:rPr>
              <w:t>1</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amounts recognized within the Consolidated Statements of Income (Loss) for the years shown.</w:t>
      </w:r>
    </w:p>
    <w:p>
      <w:pPr>
        <w:spacing w:after="0" w:line="25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During the three and six months ended June 30, 2023, the Company incurred $2 million and $6 million, respectively, of professional support costs associated with bringing certain technology functions in-house.</w:t>
      </w:r>
    </w:p>
    <w:p>
      <w:pPr>
        <w:spacing w:after="0" w:line="12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360" w:type="dxa"/>
            <w:vAlign w:val="bottom"/>
            <w:gridSpan w:val="4"/>
          </w:tcPr>
          <w:p>
            <w:pPr>
              <w:jc w:val="right"/>
              <w:ind w:right="340"/>
              <w:spacing w:after="0" w:line="154" w:lineRule="exact"/>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4"/>
          </w:tcPr>
          <w:p>
            <w:pPr>
              <w:jc w:val="right"/>
              <w:ind w:right="708"/>
              <w:spacing w:after="0" w:line="154" w:lineRule="exact"/>
              <w:rPr>
                <w:sz w:val="20"/>
                <w:szCs w:val="20"/>
                <w:color w:val="auto"/>
              </w:rPr>
            </w:pPr>
            <w:r>
              <w:rPr>
                <w:rFonts w:ascii="Arial" w:cs="Arial" w:eastAsia="Arial" w:hAnsi="Arial"/>
                <w:sz w:val="14"/>
                <w:szCs w:val="14"/>
                <w:color w:val="auto"/>
              </w:rPr>
              <w:t>Six Months Ended</w:t>
            </w: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56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940" w:type="dxa"/>
            <w:vAlign w:val="bottom"/>
          </w:tcPr>
          <w:p>
            <w:pPr>
              <w:jc w:val="right"/>
              <w:ind w:right="68"/>
              <w:spacing w:after="0" w:line="129" w:lineRule="exact"/>
              <w:rPr>
                <w:sz w:val="20"/>
                <w:szCs w:val="20"/>
                <w:color w:val="auto"/>
              </w:rPr>
            </w:pPr>
            <w:r>
              <w:rPr>
                <w:rFonts w:ascii="Arial" w:cs="Arial" w:eastAsia="Arial" w:hAnsi="Arial"/>
                <w:sz w:val="14"/>
                <w:szCs w:val="14"/>
                <w:color w:val="auto"/>
              </w:rPr>
              <w:t>2023</w:t>
            </w:r>
          </w:p>
        </w:tc>
        <w:tc>
          <w:tcPr>
            <w:tcW w:w="360" w:type="dxa"/>
            <w:vAlign w:val="bottom"/>
          </w:tcPr>
          <w:p>
            <w:pPr>
              <w:spacing w:after="0"/>
              <w:rPr>
                <w:sz w:val="12"/>
                <w:szCs w:val="12"/>
                <w:color w:val="auto"/>
              </w:rPr>
            </w:pPr>
          </w:p>
        </w:tc>
        <w:tc>
          <w:tcPr>
            <w:tcW w:w="106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2022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2022</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5660" w:type="dxa"/>
            <w:vAlign w:val="bottom"/>
            <w:tcBorders>
              <w:bottom w:val="single" w:sz="8" w:color="CCEEFF"/>
            </w:tcBorders>
            <w:gridSpan w:val="2"/>
            <w:shd w:val="clear" w:color="auto" w:fill="CCEEFF"/>
          </w:tcPr>
          <w:p>
            <w:pPr>
              <w:spacing w:after="0" w:line="195"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9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06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5" w:lineRule="exact"/>
        <w:rPr>
          <w:sz w:val="20"/>
          <w:szCs w:val="20"/>
          <w:color w:val="auto"/>
        </w:rPr>
      </w:pPr>
    </w:p>
    <w:p>
      <w:pPr>
        <w:ind w:left="340" w:right="340" w:hanging="332"/>
        <w:spacing w:after="0" w:line="279" w:lineRule="auto"/>
        <w:tabs>
          <w:tab w:leader="none" w:pos="3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December 31, 2022</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510</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196"/>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1,274</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1,277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of June 30, 2023, the Company had no outstanding borrowings under its Revolver. However, the Company utilized $2 million of the Revolver to issue letters of credit as of June 30, 2023. The net Revolver available to be drawn upon as of June 30, 2023 was $548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Company was in compliance with all debt covenants related to the borrowings in the table above.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June 30, 2023 and December 31, 2022, the Company had outstanding forward exchange contracts with gross notional values of $119 million and $104 million, respectively. At June 30, 2023, approximately 69% of these contracts mature within three months, 12% in three to six months, 15% in six to twelve months and 4% in greater than twelve months. Most of these foreign currency derivative contracts are designated as cash flow hedges and did not have a material impact on the Company's balance sheet, income statement or cash flows for the periods presented.</w:t>
      </w:r>
    </w:p>
    <w:p>
      <w:pPr>
        <w:spacing w:after="0" w:line="13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7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8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540" w:type="dxa"/>
            <w:vAlign w:val="bottom"/>
          </w:tcPr>
          <w:p>
            <w:pPr>
              <w:jc w:val="right"/>
              <w:ind w:right="368"/>
              <w:spacing w:after="0" w:line="159" w:lineRule="exact"/>
              <w:rPr>
                <w:sz w:val="20"/>
                <w:szCs w:val="20"/>
                <w:color w:val="auto"/>
              </w:rPr>
            </w:pPr>
            <w:r>
              <w:rPr>
                <w:rFonts w:ascii="Arial" w:cs="Arial" w:eastAsia="Arial" w:hAnsi="Arial"/>
                <w:sz w:val="14"/>
                <w:szCs w:val="14"/>
                <w:color w:val="auto"/>
              </w:rPr>
              <w:t>June 30, 2023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228"/>
              <w:spacing w:after="0" w:line="159" w:lineRule="exact"/>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 2023</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color w:val="auto"/>
              </w:rPr>
              <w:t>December 31, 2022</w:t>
            </w: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08"/>
              <w:spacing w:after="0" w:line="148" w:lineRule="exact"/>
              <w:rPr>
                <w:sz w:val="20"/>
                <w:szCs w:val="20"/>
                <w:color w:val="auto"/>
              </w:rPr>
            </w:pPr>
            <w:r>
              <w:rPr>
                <w:rFonts w:ascii="Arial" w:cs="Arial" w:eastAsia="Arial" w:hAnsi="Arial"/>
                <w:sz w:val="14"/>
                <w:szCs w:val="14"/>
                <w:color w:val="auto"/>
              </w:rPr>
              <w:t>Carrying</w:t>
            </w:r>
          </w:p>
        </w:tc>
        <w:tc>
          <w:tcPr>
            <w:tcW w:w="520" w:type="dxa"/>
            <w:vAlign w:val="bottom"/>
          </w:tcPr>
          <w:p>
            <w:pPr>
              <w:spacing w:after="0"/>
              <w:rPr>
                <w:sz w:val="12"/>
                <w:szCs w:val="12"/>
                <w:color w:val="auto"/>
              </w:rPr>
            </w:pPr>
          </w:p>
        </w:tc>
        <w:tc>
          <w:tcPr>
            <w:tcW w:w="860" w:type="dxa"/>
            <w:vAlign w:val="bottom"/>
          </w:tcPr>
          <w:p>
            <w:pPr>
              <w:jc w:val="center"/>
              <w:ind w:right="348"/>
              <w:spacing w:after="0" w:line="148" w:lineRule="exact"/>
              <w:rPr>
                <w:sz w:val="20"/>
                <w:szCs w:val="20"/>
                <w:color w:val="auto"/>
              </w:rPr>
            </w:pPr>
            <w:r>
              <w:rPr>
                <w:rFonts w:ascii="Arial" w:cs="Arial" w:eastAsia="Arial" w:hAnsi="Arial"/>
                <w:sz w:val="14"/>
                <w:szCs w:val="14"/>
                <w:color w:val="auto"/>
                <w:w w:val="99"/>
              </w:rPr>
              <w:t>Fair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88"/>
              <w:spacing w:after="0" w:line="148" w:lineRule="exact"/>
              <w:rPr>
                <w:sz w:val="20"/>
                <w:szCs w:val="20"/>
                <w:color w:val="auto"/>
              </w:rPr>
            </w:pPr>
            <w:r>
              <w:rPr>
                <w:rFonts w:ascii="Arial" w:cs="Arial" w:eastAsia="Arial" w:hAnsi="Arial"/>
                <w:sz w:val="14"/>
                <w:szCs w:val="14"/>
                <w:color w:val="auto"/>
              </w:rPr>
              <w:t>Carrying</w:t>
            </w:r>
          </w:p>
        </w:tc>
        <w:tc>
          <w:tcPr>
            <w:tcW w:w="380" w:type="dxa"/>
            <w:vAlign w:val="bottom"/>
          </w:tcPr>
          <w:p>
            <w:pPr>
              <w:spacing w:after="0"/>
              <w:rPr>
                <w:sz w:val="12"/>
                <w:szCs w:val="12"/>
                <w:color w:val="auto"/>
              </w:rPr>
            </w:pPr>
          </w:p>
        </w:tc>
        <w:tc>
          <w:tcPr>
            <w:tcW w:w="1020" w:type="dxa"/>
            <w:vAlign w:val="bottom"/>
          </w:tcPr>
          <w:p>
            <w:pPr>
              <w:jc w:val="center"/>
              <w:ind w:right="208"/>
              <w:spacing w:after="0" w:line="148" w:lineRule="exact"/>
              <w:rPr>
                <w:sz w:val="20"/>
                <w:szCs w:val="20"/>
                <w:color w:val="auto"/>
              </w:rPr>
            </w:pPr>
            <w:r>
              <w:rPr>
                <w:rFonts w:ascii="Arial" w:cs="Arial" w:eastAsia="Arial" w:hAnsi="Arial"/>
                <w:sz w:val="14"/>
                <w:szCs w:val="14"/>
                <w:color w:val="auto"/>
              </w:rPr>
              <w:t>Fair</w:t>
            </w:r>
          </w:p>
        </w:tc>
      </w:tr>
      <w:tr>
        <w:trPr>
          <w:trHeight w:val="148"/>
        </w:trPr>
        <w:tc>
          <w:tcPr>
            <w:tcW w:w="20" w:type="dxa"/>
            <w:vAlign w:val="bottom"/>
          </w:tcPr>
          <w:p>
            <w:pPr>
              <w:spacing w:after="0"/>
              <w:rPr>
                <w:sz w:val="12"/>
                <w:szCs w:val="12"/>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2"/>
                <w:szCs w:val="12"/>
                <w:color w:val="auto"/>
              </w:rPr>
            </w:pPr>
          </w:p>
        </w:tc>
        <w:tc>
          <w:tcPr>
            <w:tcW w:w="860" w:type="dxa"/>
            <w:vAlign w:val="bottom"/>
          </w:tcPr>
          <w:p>
            <w:pPr>
              <w:jc w:val="center"/>
              <w:ind w:right="348"/>
              <w:spacing w:after="0" w:line="149" w:lineRule="exact"/>
              <w:rPr>
                <w:sz w:val="20"/>
                <w:szCs w:val="20"/>
                <w:color w:val="auto"/>
              </w:rPr>
            </w:pPr>
            <w:r>
              <w:rPr>
                <w:rFonts w:ascii="Arial" w:cs="Arial" w:eastAsia="Arial" w:hAnsi="Arial"/>
                <w:sz w:val="14"/>
                <w:szCs w:val="14"/>
                <w:color w:val="auto"/>
              </w:rPr>
              <w:t>Value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9"/>
              </w:rPr>
              <w:t>Amount</w:t>
            </w:r>
          </w:p>
        </w:tc>
        <w:tc>
          <w:tcPr>
            <w:tcW w:w="380" w:type="dxa"/>
            <w:vAlign w:val="bottom"/>
          </w:tcPr>
          <w:p>
            <w:pPr>
              <w:spacing w:after="0"/>
              <w:rPr>
                <w:sz w:val="12"/>
                <w:szCs w:val="12"/>
                <w:color w:val="auto"/>
              </w:rPr>
            </w:pPr>
          </w:p>
        </w:tc>
        <w:tc>
          <w:tcPr>
            <w:tcW w:w="1020" w:type="dxa"/>
            <w:vAlign w:val="bottom"/>
          </w:tcPr>
          <w:p>
            <w:pPr>
              <w:jc w:val="center"/>
              <w:ind w:right="228"/>
              <w:spacing w:after="0" w:line="149"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562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1,274</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1,173</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1,155</w:t>
            </w:r>
          </w:p>
        </w:tc>
      </w:tr>
    </w:tbl>
    <w:p>
      <w:pPr>
        <w:spacing w:after="0" w:line="24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7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Company has post-retirement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3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Company recognized an expense related to its defined contribution plans of $3 million and $ 3 million for the three months ended June 30, 2023 and 2022, respectively, and $6 million and $8 million for the six months ended June 30, 2023 and 2022, respectively. The balance sheet and income statement impacts of any remaining defined benefit plans are immaterial for all periods presented in these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8" w:lineRule="exact"/>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Arial" w:cs="Arial" w:eastAsia="Arial" w:hAnsi="Arial"/>
                <w:sz w:val="14"/>
                <w:szCs w:val="14"/>
                <w:color w:val="auto"/>
              </w:rPr>
              <w:t>Defined Benefit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550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3"/>
                <w:szCs w:val="13"/>
                <w:color w:val="auto"/>
              </w:rPr>
            </w:pPr>
          </w:p>
        </w:tc>
        <w:tc>
          <w:tcPr>
            <w:tcW w:w="1160" w:type="dxa"/>
            <w:vAlign w:val="bottom"/>
          </w:tcPr>
          <w:p>
            <w:pPr>
              <w:jc w:val="center"/>
              <w:ind w:right="128"/>
              <w:spacing w:after="0" w:line="154" w:lineRule="exact"/>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jc w:val="center"/>
              <w:spacing w:after="0" w:line="154" w:lineRule="exact"/>
              <w:rPr>
                <w:sz w:val="20"/>
                <w:szCs w:val="20"/>
                <w:color w:val="auto"/>
              </w:rPr>
            </w:pPr>
            <w:r>
              <w:rPr>
                <w:rFonts w:ascii="Arial" w:cs="Arial" w:eastAsia="Arial" w:hAnsi="Arial"/>
                <w:sz w:val="14"/>
                <w:szCs w:val="14"/>
                <w:color w:val="auto"/>
              </w:rPr>
              <w:t>Cash Flow Hedges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68"/>
              <w:spacing w:after="0" w:line="154" w:lineRule="exact"/>
              <w:rPr>
                <w:sz w:val="20"/>
                <w:szCs w:val="20"/>
                <w:color w:val="auto"/>
              </w:rPr>
            </w:pPr>
            <w:r>
              <w:rPr>
                <w:rFonts w:ascii="Arial" w:cs="Arial" w:eastAsia="Arial" w:hAnsi="Arial"/>
                <w:sz w:val="14"/>
                <w:szCs w:val="14"/>
                <w:color w:val="auto"/>
              </w:rPr>
              <w:t>Pension Items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8"/>
              <w:spacing w:after="0" w:line="154"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720" w:type="dxa"/>
            <w:vAlign w:val="bottom"/>
            <w:gridSpan w:val="3"/>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89"/>
        </w:trPr>
        <w:tc>
          <w:tcPr>
            <w:tcW w:w="20" w:type="dxa"/>
            <w:vAlign w:val="bottom"/>
          </w:tcPr>
          <w:p>
            <w:pPr>
              <w:spacing w:after="0"/>
              <w:rPr>
                <w:sz w:val="16"/>
                <w:szCs w:val="16"/>
                <w:color w:val="auto"/>
              </w:rPr>
            </w:pPr>
          </w:p>
        </w:tc>
        <w:tc>
          <w:tcPr>
            <w:tcW w:w="548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r>
      <w:tr>
        <w:trPr>
          <w:trHeight w:val="216"/>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720" w:type="dxa"/>
            <w:vAlign w:val="bottom"/>
            <w:gridSpan w:val="3"/>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Defined Benefit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550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3"/>
                <w:szCs w:val="13"/>
                <w:color w:val="auto"/>
              </w:rPr>
            </w:pPr>
          </w:p>
        </w:tc>
        <w:tc>
          <w:tcPr>
            <w:tcW w:w="1160" w:type="dxa"/>
            <w:vAlign w:val="bottom"/>
          </w:tcPr>
          <w:p>
            <w:pPr>
              <w:jc w:val="center"/>
              <w:ind w:right="128"/>
              <w:spacing w:after="0" w:line="154" w:lineRule="exact"/>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jc w:val="center"/>
              <w:spacing w:after="0" w:line="154" w:lineRule="exact"/>
              <w:rPr>
                <w:sz w:val="20"/>
                <w:szCs w:val="20"/>
                <w:color w:val="auto"/>
              </w:rPr>
            </w:pPr>
            <w:r>
              <w:rPr>
                <w:rFonts w:ascii="Arial" w:cs="Arial" w:eastAsia="Arial" w:hAnsi="Arial"/>
                <w:sz w:val="14"/>
                <w:szCs w:val="14"/>
                <w:color w:val="auto"/>
              </w:rPr>
              <w:t>Cash Flow Hedges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68"/>
              <w:spacing w:after="0" w:line="154" w:lineRule="exact"/>
              <w:rPr>
                <w:sz w:val="20"/>
                <w:szCs w:val="20"/>
                <w:color w:val="auto"/>
              </w:rPr>
            </w:pPr>
            <w:r>
              <w:rPr>
                <w:rFonts w:ascii="Arial" w:cs="Arial" w:eastAsia="Arial" w:hAnsi="Arial"/>
                <w:sz w:val="14"/>
                <w:szCs w:val="14"/>
                <w:color w:val="auto"/>
              </w:rPr>
              <w:t>Pension Items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8"/>
              <w:spacing w:after="0" w:line="154"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720" w:type="dxa"/>
            <w:vAlign w:val="bottom"/>
            <w:gridSpan w:val="3"/>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189"/>
        </w:trPr>
        <w:tc>
          <w:tcPr>
            <w:tcW w:w="20" w:type="dxa"/>
            <w:vAlign w:val="bottom"/>
          </w:tcPr>
          <w:p>
            <w:pPr>
              <w:spacing w:after="0"/>
              <w:rPr>
                <w:sz w:val="16"/>
                <w:szCs w:val="16"/>
                <w:color w:val="auto"/>
              </w:rPr>
            </w:pPr>
          </w:p>
        </w:tc>
        <w:tc>
          <w:tcPr>
            <w:tcW w:w="548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16"/>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720" w:type="dxa"/>
            <w:vAlign w:val="bottom"/>
            <w:gridSpan w:val="3"/>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tax. Tax effects were immaterial.</w:t>
      </w:r>
    </w:p>
    <w:p>
      <w:pPr>
        <w:spacing w:after="0" w:line="200" w:lineRule="exact"/>
        <w:rPr>
          <w:sz w:val="20"/>
          <w:szCs w:val="20"/>
          <w:color w:val="auto"/>
        </w:rPr>
      </w:pPr>
    </w:p>
    <w:p>
      <w:pPr>
        <w:spacing w:after="0" w:line="22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2023 Form 10-Q</w:t>
      </w:r>
    </w:p>
    <w:p>
      <w:pPr>
        <w:sectPr>
          <w:pgSz w:w="11900" w:h="16838" w:orient="portrait"/>
          <w:cols w:equalWidth="0" w:num="1">
            <w:col w:w="11240"/>
          </w:cols>
          <w:pgMar w:left="320" w:top="152" w:right="3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June 30, 2023.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June 30, 2023, the Company had accrued its estimate of liability incurred under its indemnification arrangements and guarantees.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i w:val="1"/>
          <w:iCs w:val="1"/>
          <w:color w:val="1269BC"/>
        </w:rPr>
        <w:t xml:space="preserve">Employees’ Retirement System of the Puerto Rico Electric Power Authority et al v. Conduent Inc. et al.: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the Company's financial guidance and business and operations was filed against the Company, its former Chief Executive Officer, and its former Chief Financial Officer in the United States District Court for the District of New Jersey (the Court). The complaint sought certification of a class of all persons who purchased or otherwise acquired the Company's securities from February 21, 2018 through November 6, 2018, and also sought unspecified monetary damages, costs, and attorneys’ fees. The Company moved to dismiss the class action complaint in its entirety. In June 2020, the Court denied the motion to dismiss and allowed the claims to proceed. The Court granted Class Certification on February 28, 2022. Upon the substantial completion of document discovery, the parties agreed to engage in mediation, and the Court administratively terminated the litigation to permit those efforts to proceed. Without any admission of liability or damages, in the third quarter of 2022, the parties settled this matter following that mediation, and filed the necessary documentation for preliminary approval by the court, class notice, and the claims administration process. The Court granted preliminary approval of the settlement terms and related documentation on January 27, 2023, and conducted the final Settlement Hearing on May 24, 2023, at which time the settlement received final approval as did plaintiffs' fee request. The Court's preliminary order had previously noted that it "will likely be able to approve the proposed Settlement as fair, reasonable and adequate under Federal Rule of Civil Procedure 23(e)(2)." As a result, during the fourth quarter of 2022, the Company reversed the reserve pertaining to this matter. The Company maintains insurance that covers the costs arising out of this litigation and resulting settlement having met the deductible and other terms and conditions thereof.</w:t>
      </w:r>
    </w:p>
    <w:p>
      <w:pPr>
        <w:spacing w:after="0" w:line="200" w:lineRule="exact"/>
        <w:rPr>
          <w:sz w:val="20"/>
          <w:szCs w:val="20"/>
          <w:color w:val="auto"/>
        </w:rPr>
      </w:pPr>
    </w:p>
    <w:p>
      <w:pPr>
        <w:spacing w:after="0" w:line="35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LLC (Skyview) filed 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Fact and expert discovery has been concluded and the parties filed summary judgment motions on July 24, 2023. Conduent denies all of the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1269BC"/>
        </w:rPr>
        <w:t xml:space="preserve">Conduent Business Services, LLC v. Cognizant Business Services Corporation: </w:t>
      </w:r>
      <w:r>
        <w:rPr>
          <w:rFonts w:ascii="Arial" w:cs="Arial" w:eastAsia="Arial" w:hAnsi="Arial"/>
          <w:sz w:val="18"/>
          <w:szCs w:val="18"/>
          <w:color w:val="000000"/>
        </w:rPr>
        <w:t>On April 12, 2017, CBS filed a lawsuit against</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The parties participated in a mediation in late February 2023, and this matter settled, following negotiations that continued thereafter. The parties executed the Settlement Agreement and Mutual Release on March 30, 2023, with no admission of liability or wrongdoing by either party. In April 2023, each side made reciprocal payments of $6 million to the other, with Conduent’s payment made toward the termination fee payable under the applicable service delivery contract. As a result of the settlement, during the first quarter of 2023, the Company adjusted the balance sheet amounts recorded pertaining to this matter. As such, the Company recognized a $17 million benefit in Cost of services (excluding depreciation and amortization) and a $26 million benefit in Litigation settlements (recoveries), net.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Matters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included in the Company’s Annual Report on Form 10-K for the year ended December 31, 2020. As a result of the settlement agreements entered with the insurers, in the three months ended March 31, 2022, the Company received an aggregate sum of $38 million, of which $14 million was recognized as defense costs recovery in Selling, general and administrative and $24 million was recognized in Litigation settlements (recoveries), net.</w:t>
      </w:r>
    </w:p>
    <w:p>
      <w:pPr>
        <w:spacing w:after="0" w:line="200" w:lineRule="exact"/>
        <w:rPr>
          <w:sz w:val="20"/>
          <w:szCs w:val="20"/>
          <w:color w:val="auto"/>
        </w:rPr>
      </w:pP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Since 2014, Conduent Education Services, LLC, formerly Xerox Education Services LLC (CES), has cooperated with several federal and state agencies regarding a variety of matters, including CES' self-disclosure to the U.S. Department of Education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CES serviced third-party student loans, or another party will not ultimately commence a legal action against CES in which fines, penalties or other liabilities are sought from CES.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June 30, 2023, the Company had $639 million of outstanding surety bonds issued to secure its performance of contractual obligations with its clients and $97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ind w:right="24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w:t>
            </w:r>
          </w:p>
        </w:tc>
      </w:tr>
      <w:tr>
        <w:trPr>
          <w:trHeight w:val="186"/>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3"/>
                <w:szCs w:val="13"/>
                <w:color w:val="auto"/>
              </w:rPr>
            </w:pPr>
          </w:p>
        </w:tc>
        <w:tc>
          <w:tcPr>
            <w:tcW w:w="960" w:type="dxa"/>
            <w:vAlign w:val="bottom"/>
          </w:tcPr>
          <w:p>
            <w:pPr>
              <w:jc w:val="right"/>
              <w:ind w:right="388"/>
              <w:spacing w:after="0" w:line="15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388"/>
              <w:spacing w:after="0" w:line="15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68"/>
              <w:spacing w:after="0" w:line="159" w:lineRule="exact"/>
              <w:rPr>
                <w:sz w:val="20"/>
                <w:szCs w:val="20"/>
                <w:color w:val="auto"/>
              </w:rPr>
            </w:pPr>
            <w:r>
              <w:rPr>
                <w:rFonts w:ascii="Arial" w:cs="Arial" w:eastAsia="Arial" w:hAnsi="Arial"/>
                <w:sz w:val="14"/>
                <w:szCs w:val="14"/>
                <w:color w:val="auto"/>
              </w:rPr>
              <w:t>2023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388"/>
              <w:spacing w:after="0" w:line="159" w:lineRule="exact"/>
              <w:rPr>
                <w:sz w:val="20"/>
                <w:szCs w:val="20"/>
                <w:color w:val="auto"/>
              </w:rPr>
            </w:pPr>
            <w:r>
              <w:rPr>
                <w:rFonts w:ascii="Arial" w:cs="Arial" w:eastAsia="Arial" w:hAnsi="Arial"/>
                <w:sz w:val="14"/>
                <w:szCs w:val="14"/>
                <w:color w:val="auto"/>
              </w:rPr>
              <w:t>2022</w:t>
            </w: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97"/>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8"/>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218,394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215,629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218,396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215,561</w:t>
            </w:r>
          </w:p>
        </w:tc>
      </w:tr>
      <w:tr>
        <w:trPr>
          <w:trHeight w:val="197"/>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w:t>
            </w:r>
          </w:p>
        </w:tc>
      </w:tr>
      <w:tr>
        <w:trPr>
          <w:trHeight w:val="203"/>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218,394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215,629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218,396</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(0.04)</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(0.01)</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0.61</w:t>
            </w: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6" w:lineRule="exact"/>
        <w:rPr>
          <w:sz w:val="20"/>
          <w:szCs w:val="20"/>
          <w:color w:val="auto"/>
        </w:rPr>
      </w:pPr>
    </w:p>
    <w:p>
      <w:pPr>
        <w:ind w:left="20" w:right="340"/>
        <w:spacing w:after="0" w:line="251"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12,985</w:t>
            </w:r>
          </w:p>
        </w:tc>
        <w:tc>
          <w:tcPr>
            <w:tcW w:w="1340" w:type="dxa"/>
            <w:vAlign w:val="bottom"/>
            <w:gridSpan w:val="2"/>
          </w:tcPr>
          <w:p>
            <w:pPr>
              <w:jc w:val="right"/>
              <w:ind w:right="8"/>
              <w:spacing w:after="0"/>
              <w:rPr>
                <w:sz w:val="20"/>
                <w:szCs w:val="20"/>
                <w:color w:val="auto"/>
              </w:rPr>
            </w:pPr>
            <w:r>
              <w:rPr>
                <w:rFonts w:ascii="Arial" w:cs="Arial" w:eastAsia="Arial" w:hAnsi="Arial"/>
                <w:sz w:val="14"/>
                <w:szCs w:val="14"/>
                <w:color w:val="auto"/>
              </w:rPr>
              <w:t>5,852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12,985</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6,405</w:t>
            </w:r>
          </w:p>
        </w:tc>
      </w:tr>
      <w:tr>
        <w:trPr>
          <w:trHeight w:val="208"/>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18,378</w:t>
            </w:r>
          </w:p>
        </w:tc>
        <w:tc>
          <w:tcPr>
            <w:tcW w:w="1340" w:type="dxa"/>
            <w:vAlign w:val="bottom"/>
            <w:gridSpan w:val="2"/>
          </w:tcPr>
          <w:p>
            <w:pPr>
              <w:jc w:val="right"/>
              <w:ind w:right="8"/>
              <w:spacing w:after="0"/>
              <w:rPr>
                <w:sz w:val="20"/>
                <w:szCs w:val="20"/>
                <w:color w:val="auto"/>
              </w:rPr>
            </w:pPr>
            <w:r>
              <w:rPr>
                <w:rFonts w:ascii="Arial" w:cs="Arial" w:eastAsia="Arial" w:hAnsi="Arial"/>
                <w:sz w:val="14"/>
                <w:szCs w:val="14"/>
                <w:color w:val="auto"/>
              </w:rPr>
              <w:t>11,245</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18,378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11,798</w:t>
            </w:r>
          </w:p>
        </w:tc>
      </w:tr>
      <w:tr>
        <w:trPr>
          <w:trHeight w:val="20"/>
        </w:trPr>
        <w:tc>
          <w:tcPr>
            <w:tcW w:w="59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5"/>
                <w:szCs w:val="15"/>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Current Assets</w:t>
            </w: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Prepaid expenses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 receivable</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Value-added tax (VAT) receivable</w:t>
            </w:r>
          </w:p>
        </w:tc>
        <w:tc>
          <w:tcPr>
            <w:tcW w:w="2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Other Current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Other Current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Litigation related accruals</w:t>
            </w:r>
          </w:p>
        </w:tc>
        <w:tc>
          <w:tcPr>
            <w:tcW w:w="2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operating lease liabilities</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Restructuring liabilities</w:t>
            </w:r>
          </w:p>
        </w:tc>
        <w:tc>
          <w:tcPr>
            <w:tcW w:w="2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payable</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Other taxes payable</w:t>
            </w:r>
          </w:p>
        </w:tc>
        <w:tc>
          <w:tcPr>
            <w:tcW w:w="2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interest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Other Current Liabilities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Other Long-term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5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Internal use software, net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Deferred contract costs, net</w:t>
            </w:r>
          </w:p>
        </w:tc>
        <w:tc>
          <w:tcPr>
            <w:tcW w:w="2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Product software, net</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Total Other Long-term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489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Long-term Liabilities</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Income tax liabilities</w:t>
            </w:r>
          </w:p>
        </w:tc>
        <w:tc>
          <w:tcPr>
            <w:tcW w:w="2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Other Long-term Liabilities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Related Party Transactions</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Condensed Consolidated Statements of Income (Loss).</w:t>
      </w:r>
    </w:p>
    <w:p>
      <w:pPr>
        <w:spacing w:after="0" w:line="200" w:lineRule="exact"/>
        <w:rPr>
          <w:sz w:val="20"/>
          <w:szCs w:val="20"/>
          <w:color w:val="auto"/>
        </w:rPr>
      </w:pPr>
    </w:p>
    <w:p>
      <w:pPr>
        <w:spacing w:after="0" w:line="33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56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22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ind w:right="568"/>
              <w:spacing w:after="0" w:line="129" w:lineRule="exact"/>
              <w:rPr>
                <w:sz w:val="20"/>
                <w:szCs w:val="20"/>
                <w:color w:val="auto"/>
              </w:rPr>
            </w:pPr>
            <w:r>
              <w:rPr>
                <w:rFonts w:ascii="Arial" w:cs="Arial" w:eastAsia="Arial" w:hAnsi="Arial"/>
                <w:sz w:val="14"/>
                <w:szCs w:val="14"/>
                <w:color w:val="auto"/>
                <w:w w:val="96"/>
              </w:rPr>
              <w:t>2022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0"/>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7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receivable and payable balances with related party entities were not material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80"/>
        <w:spacing w:after="0" w:line="302"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5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14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18"/>
          <w:szCs w:val="18"/>
          <w:color w:val="auto"/>
        </w:rPr>
        <w:t>Overview;</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Estimates and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Recent Accounting Changes.</w:t>
      </w:r>
    </w:p>
    <w:p>
      <w:pPr>
        <w:spacing w:after="0" w:line="15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global technology-led business process solutions company, we deliver digital business solutions and services spanning the commercial, government and transportation spectrum – creating exceptional outcomes for our clients and the millions of people who count on them. We leverage cloud computing, artificial intelligence, machine learning, automation and advanced analytics to deliver mission-critical services. Through a dedicated global team of associates, process expertise, and advanced technologies, our solutions and services digitally transform our clients’ operations to enhance customer experiences, improve performance, increase efficiencies and reduce costs. We add momentum to our clients’ missions in many ways including delivering 43 percent of nutrition assistance payments in the U.S., enabling 1.3 billion customer service interactions annually, empowering millions of employees through HR services every year and processing nearly 12 million tolling transactions every day.</w:t>
      </w:r>
    </w:p>
    <w:p>
      <w:pPr>
        <w:spacing w:after="0" w:line="13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Headquartered in Florham Park, New Jersey, we have a team of approximately 57,000 associates as of June 30, 2023, servicing customers from service centers in 25 countries.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correspond to how we organize and manage the business and are aligned to the solutions we offer our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61" w:lineRule="exact"/>
        <w:rPr>
          <w:sz w:val="20"/>
          <w:szCs w:val="20"/>
          <w:color w:val="auto"/>
        </w:rPr>
      </w:pPr>
    </w:p>
    <w:p>
      <w:pPr>
        <w:ind w:left="340" w:right="12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and customized solutions to clients in a variety of</w:t>
      </w:r>
      <w:r>
        <w:rPr>
          <w:rFonts w:ascii="Arial" w:cs="Arial" w:eastAsia="Arial" w:hAnsi="Arial"/>
          <w:sz w:val="18"/>
          <w:szCs w:val="18"/>
          <w:b w:val="1"/>
          <w:bCs w:val="1"/>
          <w:color w:val="3051F2"/>
        </w:rPr>
        <w:t xml:space="preserve"> </w:t>
      </w:r>
      <w:r>
        <w:rPr>
          <w:rFonts w:ascii="Arial" w:cs="Arial" w:eastAsia="Arial" w:hAnsi="Arial"/>
          <w:sz w:val="18"/>
          <w:szCs w:val="18"/>
          <w:color w:val="000000"/>
        </w:rPr>
        <w:t>industries. Across the Commercial segment, we operate on our clients’ behalf to deliver mission-critical solutions and services to reduce costs, improve efficiencies and enable revenue growth for our clients and their consumers and employees.</w:t>
      </w:r>
    </w:p>
    <w:p>
      <w:pPr>
        <w:spacing w:after="0" w:line="116" w:lineRule="exact"/>
        <w:rPr>
          <w:rFonts w:ascii="Arial" w:cs="Arial" w:eastAsia="Arial" w:hAnsi="Arial"/>
          <w:sz w:val="18"/>
          <w:szCs w:val="18"/>
          <w:color w:val="auto"/>
        </w:rPr>
      </w:pPr>
    </w:p>
    <w:p>
      <w:pPr>
        <w:jc w:val="both"/>
        <w:ind w:left="340" w:right="22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to U.S. federal, state and local and</w:t>
      </w:r>
      <w:r>
        <w:rPr>
          <w:rFonts w:ascii="Arial" w:cs="Arial" w:eastAsia="Arial" w:hAnsi="Arial"/>
          <w:sz w:val="18"/>
          <w:szCs w:val="18"/>
          <w:b w:val="1"/>
          <w:bCs w:val="1"/>
          <w:color w:val="3051F2"/>
        </w:rPr>
        <w:t xml:space="preserve"> </w:t>
      </w:r>
      <w:r>
        <w:rPr>
          <w:rFonts w:ascii="Arial" w:cs="Arial" w:eastAsia="Arial" w:hAnsi="Arial"/>
          <w:sz w:val="18"/>
          <w:szCs w:val="18"/>
          <w:color w:val="000000"/>
        </w:rPr>
        <w:t>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16" w:lineRule="exact"/>
        <w:rPr>
          <w:rFonts w:ascii="Arial" w:cs="Arial" w:eastAsia="Arial" w:hAnsi="Arial"/>
          <w:sz w:val="18"/>
          <w:szCs w:val="18"/>
          <w:color w:val="auto"/>
        </w:rPr>
      </w:pPr>
    </w:p>
    <w:p>
      <w:pPr>
        <w:ind w:left="340" w:right="100" w:hanging="332"/>
        <w:spacing w:after="0" w:line="26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first quarter of 2023, we held an investor briefing to communicate the next chapter in the Conduent journey. Our intense emphasis on growth, quality, and efficiency, beginning in the first quarter of 2020 resulted in a strengthened foundation and we remain focused on accelerating growth and enhancing value for our stakeholders. We intend to achieve this by doubling down on key themes outlined in the briefing, as well as through a process of portfolio rationalization, divesting certain solutions which have either scarcity value outside of Conduent or are capital intensive relative to their growth opportunity, enabling management bandwidth and capital investments to be focused on solutions where we believe we have competitive advantages or higher growth expectations.</w:t>
      </w:r>
    </w:p>
    <w:p>
      <w:pPr>
        <w:spacing w:after="0" w:line="138"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This renewed portfolio focus will result in a more nimble and faster growing Conduent with modest levels of net leverage, enhanced valuation, and significant excess capital to be deployed over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2023 we achieved the following:</w:t>
      </w:r>
    </w:p>
    <w:p>
      <w:pPr>
        <w:spacing w:after="0" w:line="50" w:lineRule="exact"/>
        <w:rPr>
          <w:sz w:val="20"/>
          <w:szCs w:val="20"/>
          <w:color w:val="auto"/>
        </w:rPr>
      </w:pPr>
    </w:p>
    <w:p>
      <w:pPr>
        <w:ind w:left="660" w:right="420" w:hanging="328"/>
        <w:spacing w:after="0" w:line="231"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Signed our largest TCV deal in the history of Conduent within our Transportation segment, growing our international presence in Australia;</w:t>
      </w:r>
    </w:p>
    <w:p>
      <w:pPr>
        <w:spacing w:after="0" w:line="1" w:lineRule="exact"/>
        <w:rPr>
          <w:rFonts w:ascii="Arial" w:cs="Arial" w:eastAsia="Arial" w:hAnsi="Arial"/>
          <w:sz w:val="22"/>
          <w:szCs w:val="22"/>
          <w:color w:val="auto"/>
        </w:rPr>
      </w:pPr>
    </w:p>
    <w:p>
      <w:pPr>
        <w:ind w:left="660" w:right="30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Positioned our digital payments offering, in partnership with BNY Mellon, to leverage the newly released FedNow</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capability and provide enhanced real-time payment coverage to our clients;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Had significantly less client attrition in the quarter, progressing towards the 3% to 5% range articulated in the investor briefing, and drove our Net ARR activity metric higher;</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make progress in our portfolio rationalization strategy; and</w:t>
      </w:r>
    </w:p>
    <w:p>
      <w:pPr>
        <w:spacing w:after="0" w:line="9" w:lineRule="exact"/>
        <w:rPr>
          <w:rFonts w:ascii="Arial" w:cs="Arial" w:eastAsia="Arial" w:hAnsi="Arial"/>
          <w:sz w:val="18"/>
          <w:szCs w:val="18"/>
          <w:color w:val="auto"/>
        </w:rPr>
      </w:pPr>
    </w:p>
    <w:p>
      <w:pPr>
        <w:ind w:left="660" w:right="5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May 16, 2023, the Board of Directors authorized a share repurchase program, granting approval for us to repurchase up to $75 million of our common stock over the next three years. See additional information included in Part II, Item 2.</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Macroeconomic and Geopolitical Uncertainty</w:t>
      </w:r>
    </w:p>
    <w:p>
      <w:pPr>
        <w:spacing w:after="0" w:line="17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Given the nature of our business and our global operations, the effects of global macroeconomic and geopolitical uncertainty could have a materially adverse effect on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color w:val="auto"/>
              </w:rPr>
              <w:t>2023 vs. 2022</w:t>
            </w:r>
          </w:p>
        </w:tc>
      </w:tr>
      <w:tr>
        <w:trPr>
          <w:trHeight w:val="156"/>
        </w:trPr>
        <w:tc>
          <w:tcPr>
            <w:tcW w:w="20" w:type="dxa"/>
            <w:vAlign w:val="bottom"/>
          </w:tcPr>
          <w:p>
            <w:pPr>
              <w:spacing w:after="0"/>
              <w:rPr>
                <w:sz w:val="13"/>
                <w:szCs w:val="13"/>
                <w:color w:val="auto"/>
              </w:rPr>
            </w:pPr>
          </w:p>
        </w:tc>
        <w:tc>
          <w:tcPr>
            <w:tcW w:w="56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3"/>
                <w:szCs w:val="13"/>
                <w:color w:val="auto"/>
              </w:rPr>
            </w:pPr>
          </w:p>
        </w:tc>
        <w:tc>
          <w:tcPr>
            <w:tcW w:w="14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 Change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9"/>
        </w:trPr>
        <w:tc>
          <w:tcPr>
            <w:tcW w:w="20" w:type="dxa"/>
            <w:vAlign w:val="bottom"/>
          </w:tcPr>
          <w:p>
            <w:pPr>
              <w:spacing w:after="0"/>
              <w:rPr>
                <w:sz w:val="16"/>
                <w:szCs w:val="16"/>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203"/>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97"/>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18 %</w:t>
            </w:r>
          </w:p>
        </w:tc>
      </w:tr>
      <w:tr>
        <w:trPr>
          <w:trHeight w:val="195"/>
        </w:trPr>
        <w:tc>
          <w:tcPr>
            <w:tcW w:w="20" w:type="dxa"/>
            <w:vAlign w:val="bottom"/>
            <w:shd w:val="clear" w:color="auto" w:fill="CCEEFF"/>
          </w:tcPr>
          <w:p>
            <w:pPr>
              <w:spacing w:after="0"/>
              <w:rPr>
                <w:sz w:val="16"/>
                <w:szCs w:val="16"/>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r>
      <w:tr>
        <w:trPr>
          <w:trHeight w:val="197"/>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8"/>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20" w:type="dxa"/>
            <w:vAlign w:val="bottom"/>
          </w:tcPr>
          <w:p>
            <w:pPr>
              <w:spacing w:after="0"/>
              <w:rPr>
                <w:sz w:val="16"/>
                <w:szCs w:val="16"/>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right"/>
              <w:ind w:right="668"/>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color w:val="auto"/>
              </w:rPr>
              <w:t>2023 vs. 2022</w:t>
            </w: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2"/>
                <w:szCs w:val="12"/>
                <w:color w:val="auto"/>
              </w:rPr>
            </w:pPr>
          </w:p>
        </w:tc>
        <w:tc>
          <w:tcPr>
            <w:tcW w:w="10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48"/>
              <w:spacing w:after="0" w:line="129" w:lineRule="exact"/>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2"/>
                <w:szCs w:val="12"/>
                <w:color w:val="auto"/>
              </w:rPr>
            </w:pPr>
          </w:p>
        </w:tc>
        <w:tc>
          <w:tcPr>
            <w:tcW w:w="1400" w:type="dxa"/>
            <w:vAlign w:val="bottom"/>
          </w:tcPr>
          <w:p>
            <w:pPr>
              <w:jc w:val="right"/>
              <w:ind w:right="288"/>
              <w:spacing w:after="0" w:line="129" w:lineRule="exact"/>
              <w:rPr>
                <w:sz w:val="20"/>
                <w:szCs w:val="20"/>
                <w:color w:val="auto"/>
              </w:rPr>
            </w:pPr>
            <w:r>
              <w:rPr>
                <w:rFonts w:ascii="Arial" w:cs="Arial" w:eastAsia="Arial" w:hAnsi="Arial"/>
                <w:sz w:val="14"/>
                <w:szCs w:val="14"/>
                <w:color w:val="auto"/>
              </w:rPr>
              <w:t>% Change</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97"/>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5"/>
        </w:trPr>
        <w:tc>
          <w:tcPr>
            <w:tcW w:w="20" w:type="dxa"/>
            <w:vAlign w:val="bottom"/>
            <w:shd w:val="clear" w:color="auto" w:fill="CCEEFF"/>
          </w:tcPr>
          <w:p>
            <w:pPr>
              <w:spacing w:after="0"/>
              <w:rPr>
                <w:sz w:val="16"/>
                <w:szCs w:val="16"/>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96"/>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110 %</w:t>
            </w: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46 %</w:t>
            </w:r>
          </w:p>
        </w:tc>
      </w:tr>
      <w:tr>
        <w:trPr>
          <w:trHeight w:val="189"/>
        </w:trPr>
        <w:tc>
          <w:tcPr>
            <w:tcW w:w="20" w:type="dxa"/>
            <w:vAlign w:val="bottom"/>
          </w:tcPr>
          <w:p>
            <w:pPr>
              <w:spacing w:after="0"/>
              <w:rPr>
                <w:sz w:val="16"/>
                <w:szCs w:val="16"/>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3"/>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9"/>
        </w:trPr>
        <w:tc>
          <w:tcPr>
            <w:tcW w:w="20" w:type="dxa"/>
            <w:vAlign w:val="bottom"/>
            <w:shd w:val="clear" w:color="auto" w:fill="CCEEFF"/>
          </w:tcPr>
          <w:p>
            <w:pPr>
              <w:spacing w:after="0"/>
              <w:rPr>
                <w:sz w:val="16"/>
                <w:szCs w:val="16"/>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8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Revenue for the three months ended June 30, 2023 decreased moderately, compared to the prior year period, primarily due to lost business from prior periods, lower volumes in our Commercial segment and prior year non-repeating federal stimulus revenue in our Government segment, partially offset by higher interest rates positively impacting our Benefit Wallet business, new business ramp and higher volumes in our Government segment.</w:t>
      </w:r>
    </w:p>
    <w:p>
      <w:pPr>
        <w:spacing w:after="0" w:line="13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 for the six months ended June 30, 2023 decreased, compared to the prior year period, primarily due to prior year non-repeating federal stimulus revenue, lost business in our Government and Commercial segments, extended completion timelines to meet client requirements in the Transit solutions division of our Transportation segment and the impact of an out of period adjustment in our Government segment in the first quarter of 2023, partially offset by higher interest rates positively impacting our Benefit Wallet business and new business ramp.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for the three months ended June 30, 2023 decreased, compared to the prior year period, due to favorable revenue mix.</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Cost of services for the six months ended June 30, 2023 decreased, compared to the prior year period, primarily driven by the impact of reduced revenue and a $17 million reversal of liabilities due to the settlement of the Cognizant matter described in Note 12 – Contingencies and Litigation to the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8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SG&amp;A for the three months ended June 30, 2023 increased, compared to the prior year period, driven by higher variable employee costs and expense credits in the prior year, partially offset by cost efficiencies.</w:t>
      </w:r>
    </w:p>
    <w:p>
      <w:pPr>
        <w:spacing w:after="0" w:line="12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SG&amp;A for the six months ended June 30, 2023 increased, compared to the prior year period, driven by the absence of the recovery of $14 million of defense costs as part of the settlement with insurance carriers relating to the previously disclosed State of Texas matter that occurred in 2022.</w:t>
      </w:r>
    </w:p>
    <w:p>
      <w:pPr>
        <w:spacing w:after="0" w:line="200" w:lineRule="exact"/>
        <w:rPr>
          <w:sz w:val="20"/>
          <w:szCs w:val="20"/>
          <w:color w:val="auto"/>
        </w:rPr>
      </w:pPr>
    </w:p>
    <w:p>
      <w:pPr>
        <w:spacing w:after="0" w:line="32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8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Depreciation and amortization for the three and six months ended June 30, 2023 increased compared to the prior year periods, driven by completed capital investments being placed into service.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8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During the three and six months ended June 30, 2023, the Company incurred $2 million and $6 million, respectively, of professional support costs associated with bringing certain technology functions in-house. The following are the components of our Restructuring and related costs: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580" w:type="dxa"/>
            <w:vAlign w:val="bottom"/>
            <w:gridSpan w:val="4"/>
          </w:tcPr>
          <w:p>
            <w:pPr>
              <w:jc w:val="right"/>
              <w:ind w:right="42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1020" w:type="dxa"/>
            <w:vAlign w:val="bottom"/>
          </w:tcPr>
          <w:p>
            <w:pPr>
              <w:jc w:val="right"/>
              <w:ind w:right="88"/>
              <w:spacing w:after="0" w:line="129" w:lineRule="exact"/>
              <w:rPr>
                <w:sz w:val="20"/>
                <w:szCs w:val="20"/>
                <w:color w:val="auto"/>
              </w:rPr>
            </w:pPr>
            <w:r>
              <w:rPr>
                <w:rFonts w:ascii="Arial" w:cs="Arial" w:eastAsia="Arial" w:hAnsi="Arial"/>
                <w:sz w:val="14"/>
                <w:szCs w:val="14"/>
                <w:color w:val="auto"/>
              </w:rPr>
              <w:t>2023</w:t>
            </w:r>
          </w:p>
        </w:tc>
        <w:tc>
          <w:tcPr>
            <w:tcW w:w="380" w:type="dxa"/>
            <w:vAlign w:val="bottom"/>
          </w:tcPr>
          <w:p>
            <w:pPr>
              <w:spacing w:after="0"/>
              <w:rPr>
                <w:sz w:val="12"/>
                <w:szCs w:val="12"/>
                <w:color w:val="auto"/>
              </w:rPr>
            </w:pPr>
          </w:p>
        </w:tc>
        <w:tc>
          <w:tcPr>
            <w:tcW w:w="1180" w:type="dxa"/>
            <w:vAlign w:val="bottom"/>
            <w:gridSpan w:val="2"/>
          </w:tcPr>
          <w:p>
            <w:pPr>
              <w:jc w:val="right"/>
              <w:ind w:right="160"/>
              <w:spacing w:after="0" w:line="129" w:lineRule="exact"/>
              <w:rPr>
                <w:sz w:val="20"/>
                <w:szCs w:val="20"/>
                <w:color w:val="auto"/>
              </w:rPr>
            </w:pPr>
            <w:r>
              <w:rPr>
                <w:rFonts w:ascii="Arial" w:cs="Arial" w:eastAsia="Arial" w:hAnsi="Arial"/>
                <w:sz w:val="14"/>
                <w:szCs w:val="14"/>
                <w:color w:val="auto"/>
              </w:rPr>
              <w:t>2022</w:t>
            </w:r>
          </w:p>
        </w:tc>
        <w:tc>
          <w:tcPr>
            <w:tcW w:w="400" w:type="dxa"/>
            <w:vAlign w:val="bottom"/>
          </w:tcPr>
          <w:p>
            <w:pPr>
              <w:spacing w:after="0"/>
              <w:rPr>
                <w:sz w:val="12"/>
                <w:szCs w:val="12"/>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2023</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ind w:right="488"/>
              <w:spacing w:after="0" w:line="129" w:lineRule="exact"/>
              <w:rPr>
                <w:sz w:val="20"/>
                <w:szCs w:val="20"/>
                <w:color w:val="auto"/>
              </w:rPr>
            </w:pPr>
            <w:r>
              <w:rPr>
                <w:rFonts w:ascii="Arial" w:cs="Arial" w:eastAsia="Arial" w:hAnsi="Arial"/>
                <w:sz w:val="14"/>
                <w:szCs w:val="14"/>
                <w:color w:val="auto"/>
                <w:w w:val="96"/>
              </w:rPr>
              <w:t>2022</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180" w:type="dxa"/>
            <w:vAlign w:val="bottom"/>
            <w:gridSpan w:val="2"/>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10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Total net current period charges</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9"/>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1180" w:type="dxa"/>
            <w:vAlign w:val="bottom"/>
            <w:gridSpan w:val="2"/>
          </w:tcPr>
          <w:p>
            <w:pPr>
              <w:jc w:val="right"/>
              <w:ind w:right="9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980" w:type="dxa"/>
            <w:vAlign w:val="bottom"/>
            <w:gridSpan w:val="2"/>
          </w:tcPr>
          <w:p>
            <w:pPr>
              <w:jc w:val="right"/>
              <w:ind w:right="7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professional support costs associated with certain strategic transformation programs.</w:t>
      </w:r>
    </w:p>
    <w:p>
      <w:pPr>
        <w:spacing w:after="0" w:line="15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Severance and related costs for the six months ended June 30, 2023 include costs related to the closure of one of our Commercial segment operations in Europe.</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expense represents interest on long-term debt and the amortization of debt issuance costs. The increase in Interest expense for the three and six months ended June 30, 2023, compared to the prior year periods, was driven by higher interest rates on our credit facilities, partially offset by a lower total outstanding debt balance.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divestiture of the Midas business in the first quarter of 2022 resulted in a gain of $166 million ($165 million in the first quarter of 2022 and $1 million in the second quarter of 2022). Additionally, professional fees and other costs related to certain consummated and non-consummated transactions considered by the Company are included in this financial statement line item for both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8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Litigation settlements (recoveries), net for the six months ended June 30, 2023 primarily consist of a $26 million reversal of reserves due to the settlement of the Cognizant matter.</w:t>
      </w:r>
    </w:p>
    <w:p>
      <w:pPr>
        <w:spacing w:after="0" w:line="106"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Litigation settlements (recoveries), net for the six months ended June 30, 2022 primarily consist of $24 million of insurance recoveries recorded in the first quarter of 2022 related to the previously disclosed State of Texas matter.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 Contingencies and Litigation to the Condensed Consolidated Financial Statements for additional information.</w:t>
      </w:r>
    </w:p>
    <w:p>
      <w:pPr>
        <w:spacing w:after="0" w:line="200" w:lineRule="exact"/>
        <w:rPr>
          <w:sz w:val="20"/>
          <w:szCs w:val="20"/>
          <w:color w:val="auto"/>
        </w:rPr>
      </w:pPr>
    </w:p>
    <w:p>
      <w:pPr>
        <w:spacing w:after="0" w:line="37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effective tax rate for the three months ended June 30, 2023 was (3.3)%, compared to 99.6% for the three months ended June 30, 2022. The June 30, 2023 rate was lower than the U.S. statutory rate of 21% primarily due to the geographic mix of income, valuation allowances, and other non-deductible permanent differences, partially offset by tax credits.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effective tax rate for the three months ended June 30, 2022 was higher than the U.S. statutory rate of 21%, primarily due to the geographic mix of income, state and local taxes, other non-deductible permanent differences, and valuation allowances, partially offset by tax credits.</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Excluding the impact of discrete tax adjustments, amortization of intangible assets and restructuring costs, the normalized effective tax rate for the three months ended June 30, 2023 was 42.2%. The normalized effective tax rate for the three months ended June 30, 2022 was 46.7%, predominantly due to excluding the impact of discrete tax adjustments, amortization of intangible assets, litigation reserves and restructuring costs. The normalized effective tax rate for the three months ended June 30, 2023 was lower than the three months ended June 30, 2022, primarily due to the geographic mix of income.</w:t>
      </w:r>
    </w:p>
    <w:p>
      <w:pPr>
        <w:spacing w:after="0" w:line="13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for the six months ended June 30, 2023 was 9.2%, compared to 37.0% for the six months ended June 30, 2022. The June 30, 2023 rate was lower than the U.S. statutory rate of 21%, primarily due to the geographic mix of income, valuation allowances, and state and local taxes on pre-tax losses.</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effective tax rate for the six months ended June 30, 2022 was higher than the U.S. statutory rate of 21%, primarily due to the geographic mix of income, state and local taxes and permanently non-deductible amounts related to the divestiture transaction, partially offset by the tax benefit of valuation allowances released due to the gain from divestiture and tax credits.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Excluding the impact of the amortization of intangible assets, restructuring costs and litigation reserve releases, the normalized effective tax rate for the six months ended June 30, 2023 was 40.5%. The normalized effective tax rate for the six months ended June 30, 2022 was</w:t>
      </w:r>
    </w:p>
    <w:p>
      <w:pPr>
        <w:spacing w:after="0" w:line="1"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35.2%, predominantly due to excluding the impact of the Midas divestiture, the litigation insurance recoveries, amortization of intangible assets, restructuring costs and certain discrete tax items. The normalized effective tax rate for the six months ended June 30, 2023 was lower than the six months ended June 30, 2022 due to the geographic mix of income and lower adjusted pre-tax income.</w:t>
      </w:r>
    </w:p>
    <w:p>
      <w:pPr>
        <w:spacing w:after="0" w:line="13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In recent months, government agencies and global organizations have had an increased focus on the issues of taxation of multinational corporations. At both the European Union and Organization for Economic Co-operation and Development level, significant legislative developments are anticipated regarding global tax initiatives in the second half of this year. The Company is monitoring such developments and assessing any potential impact and disclosure requirement. We do not anticipate a material impact based on current guidance.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6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includes our Midas business which was sold in the first quarter of 2022.</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00" w:lineRule="exact"/>
        <w:rPr>
          <w:sz w:val="20"/>
          <w:szCs w:val="20"/>
          <w:color w:val="auto"/>
        </w:rPr>
      </w:pPr>
    </w:p>
    <w:p>
      <w:pPr>
        <w:spacing w:after="0" w:line="31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4"/>
          </w:tcPr>
          <w:p>
            <w:pPr>
              <w:jc w:val="center"/>
              <w:ind w:right="14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3160" w:type="dxa"/>
            <w:vAlign w:val="bottom"/>
            <w:gridSpan w:val="3"/>
          </w:tcPr>
          <w:p>
            <w:pPr>
              <w:spacing w:after="0" w:line="129" w:lineRule="exact"/>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2"/>
                <w:szCs w:val="12"/>
                <w:color w:val="auto"/>
              </w:rPr>
            </w:pPr>
          </w:p>
        </w:tc>
        <w:tc>
          <w:tcPr>
            <w:tcW w:w="1080" w:type="dxa"/>
            <w:vAlign w:val="bottom"/>
          </w:tcPr>
          <w:p>
            <w:pPr>
              <w:jc w:val="right"/>
              <w:ind w:right="168"/>
              <w:spacing w:after="0" w:line="12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68"/>
              <w:spacing w:after="0" w:line="129" w:lineRule="exact"/>
              <w:rPr>
                <w:sz w:val="20"/>
                <w:szCs w:val="20"/>
                <w:color w:val="auto"/>
              </w:rPr>
            </w:pPr>
            <w:r>
              <w:rPr>
                <w:rFonts w:ascii="Arial" w:cs="Arial" w:eastAsia="Arial" w:hAnsi="Arial"/>
                <w:sz w:val="14"/>
                <w:szCs w:val="14"/>
                <w:color w:val="auto"/>
              </w:rPr>
              <w:t>Government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ind w:left="60"/>
              <w:spacing w:after="0" w:line="129" w:lineRule="exact"/>
              <w:rPr>
                <w:sz w:val="20"/>
                <w:szCs w:val="20"/>
                <w:color w:val="auto"/>
              </w:rPr>
            </w:pPr>
            <w:r>
              <w:rPr>
                <w:rFonts w:ascii="Arial" w:cs="Arial" w:eastAsia="Arial" w:hAnsi="Arial"/>
                <w:sz w:val="14"/>
                <w:szCs w:val="14"/>
                <w:color w:val="auto"/>
              </w:rPr>
              <w:t>Divestitures</w:t>
            </w:r>
          </w:p>
        </w:tc>
        <w:tc>
          <w:tcPr>
            <w:tcW w:w="100" w:type="dxa"/>
            <w:vAlign w:val="bottom"/>
          </w:tcPr>
          <w:p>
            <w:pPr>
              <w:spacing w:after="0"/>
              <w:rPr>
                <w:sz w:val="12"/>
                <w:szCs w:val="12"/>
                <w:color w:val="auto"/>
              </w:rPr>
            </w:pPr>
          </w:p>
        </w:tc>
        <w:tc>
          <w:tcPr>
            <w:tcW w:w="12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Unallocated Costs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Total</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471</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270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ind w:left="500"/>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915</w:t>
            </w:r>
          </w:p>
        </w:tc>
      </w:tr>
      <w:tr>
        <w:trPr>
          <w:trHeight w:val="208"/>
        </w:trPr>
        <w:tc>
          <w:tcPr>
            <w:tcW w:w="2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r>
      <w:tr>
        <w:trPr>
          <w:trHeight w:val="189"/>
        </w:trPr>
        <w:tc>
          <w:tcPr>
            <w:tcW w:w="20" w:type="dxa"/>
            <w:vAlign w:val="bottom"/>
          </w:tcPr>
          <w:p>
            <w:pPr>
              <w:spacing w:after="0"/>
              <w:rPr>
                <w:sz w:val="16"/>
                <w:szCs w:val="16"/>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Segment depreciation and amortization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10</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56</w:t>
            </w: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8"/>
              </w:rPr>
              <w:t>—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89"/>
        </w:trPr>
        <w:tc>
          <w:tcPr>
            <w:tcW w:w="20" w:type="dxa"/>
            <w:vAlign w:val="bottom"/>
          </w:tcPr>
          <w:p>
            <w:pPr>
              <w:spacing w:after="0"/>
              <w:rPr>
                <w:sz w:val="16"/>
                <w:szCs w:val="16"/>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ind w:left="7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ind w:left="500"/>
              <w:spacing w:after="0"/>
              <w:rPr>
                <w:sz w:val="20"/>
                <w:szCs w:val="20"/>
                <w:color w:val="auto"/>
              </w:rPr>
            </w:pPr>
            <w:r>
              <w:rPr>
                <w:rFonts w:ascii="Arial" w:cs="Arial" w:eastAsia="Arial" w:hAnsi="Arial"/>
                <w:sz w:val="14"/>
                <w:szCs w:val="14"/>
                <w:color w:val="auto"/>
                <w:w w:val="98"/>
              </w:rPr>
              <w:t>—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10.2 %</w:t>
            </w: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7"/>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2022</w:t>
            </w:r>
          </w:p>
        </w:tc>
        <w:tc>
          <w:tcPr>
            <w:tcW w:w="2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928</w:t>
            </w:r>
          </w:p>
        </w:tc>
      </w:tr>
      <w:tr>
        <w:trPr>
          <w:trHeight w:val="189"/>
        </w:trPr>
        <w:tc>
          <w:tcPr>
            <w:tcW w:w="20" w:type="dxa"/>
            <w:vAlign w:val="bottom"/>
          </w:tcPr>
          <w:p>
            <w:pPr>
              <w:spacing w:after="0"/>
              <w:rPr>
                <w:sz w:val="16"/>
                <w:szCs w:val="16"/>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36</w:t>
            </w: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11</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w:t>
            </w:r>
          </w:p>
        </w:tc>
      </w:tr>
      <w:tr>
        <w:trPr>
          <w:trHeight w:val="197"/>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46</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87</w:t>
            </w:r>
          </w:p>
        </w:tc>
      </w:tr>
      <w:tr>
        <w:trPr>
          <w:trHeight w:val="168"/>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 of Total Revenue</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50.6 %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ind w:left="7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ind w:left="500"/>
              <w:spacing w:after="0"/>
              <w:rPr>
                <w:sz w:val="20"/>
                <w:szCs w:val="20"/>
                <w:color w:val="auto"/>
              </w:rPr>
            </w:pPr>
            <w:r>
              <w:rPr>
                <w:rFonts w:ascii="Arial" w:cs="Arial" w:eastAsia="Arial" w:hAnsi="Arial"/>
                <w:sz w:val="14"/>
                <w:szCs w:val="14"/>
                <w:color w:val="auto"/>
                <w:w w:val="98"/>
              </w:rPr>
              <w:t>—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8"/>
              </w:rPr>
              <w:t>—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9.4 %</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gridSpan w:val="4"/>
          </w:tcPr>
          <w:p>
            <w:pPr>
              <w:jc w:val="center"/>
              <w:ind w:right="148"/>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31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080" w:type="dxa"/>
            <w:vAlign w:val="bottom"/>
          </w:tcPr>
          <w:p>
            <w:pPr>
              <w:jc w:val="right"/>
              <w:ind w:right="168"/>
              <w:spacing w:after="0" w:line="15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68"/>
              <w:spacing w:after="0" w:line="159" w:lineRule="exact"/>
              <w:rPr>
                <w:sz w:val="20"/>
                <w:szCs w:val="20"/>
                <w:color w:val="auto"/>
              </w:rPr>
            </w:pPr>
            <w:r>
              <w:rPr>
                <w:rFonts w:ascii="Arial" w:cs="Arial" w:eastAsia="Arial" w:hAnsi="Arial"/>
                <w:sz w:val="14"/>
                <w:szCs w:val="14"/>
                <w:color w:val="auto"/>
              </w:rPr>
              <w:t>Government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ind w:left="60"/>
              <w:spacing w:after="0" w:line="159" w:lineRule="exact"/>
              <w:rPr>
                <w:sz w:val="20"/>
                <w:szCs w:val="20"/>
                <w:color w:val="auto"/>
              </w:rPr>
            </w:pPr>
            <w:r>
              <w:rPr>
                <w:rFonts w:ascii="Arial" w:cs="Arial" w:eastAsia="Arial" w:hAnsi="Arial"/>
                <w:sz w:val="14"/>
                <w:szCs w:val="14"/>
                <w:color w:val="auto"/>
              </w:rPr>
              <w:t>Divestitures</w:t>
            </w:r>
          </w:p>
        </w:tc>
        <w:tc>
          <w:tcPr>
            <w:tcW w:w="100" w:type="dxa"/>
            <w:vAlign w:val="bottom"/>
          </w:tcPr>
          <w:p>
            <w:pPr>
              <w:spacing w:after="0"/>
              <w:rPr>
                <w:sz w:val="13"/>
                <w:szCs w:val="13"/>
                <w:color w:val="auto"/>
              </w:rPr>
            </w:pPr>
          </w:p>
        </w:tc>
        <w:tc>
          <w:tcPr>
            <w:tcW w:w="12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Unallocated Costs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68"/>
              <w:spacing w:after="0" w:line="159" w:lineRule="exact"/>
              <w:rPr>
                <w:sz w:val="20"/>
                <w:szCs w:val="20"/>
                <w:color w:val="auto"/>
              </w:rPr>
            </w:pPr>
            <w:r>
              <w:rPr>
                <w:rFonts w:ascii="Arial" w:cs="Arial" w:eastAsia="Arial" w:hAnsi="Arial"/>
                <w:sz w:val="14"/>
                <w:szCs w:val="14"/>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6"/>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979</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534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1,837</w:t>
            </w: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(149)</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r>
      <w:tr>
        <w:trPr>
          <w:trHeight w:val="197"/>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Segment depreciation and amortization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116</w:t>
            </w:r>
          </w:p>
        </w:tc>
      </w:tr>
      <w:tr>
        <w:trPr>
          <w:trHeight w:val="195"/>
        </w:trPr>
        <w:tc>
          <w:tcPr>
            <w:tcW w:w="20" w:type="dxa"/>
            <w:vAlign w:val="bottom"/>
            <w:shd w:val="clear" w:color="auto" w:fill="CCEEFF"/>
          </w:tcPr>
          <w:p>
            <w:pPr>
              <w:spacing w:after="0"/>
              <w:rPr>
                <w:sz w:val="16"/>
                <w:szCs w:val="16"/>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137</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(130)</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183</w:t>
            </w:r>
          </w:p>
        </w:tc>
      </w:tr>
      <w:tr>
        <w:trPr>
          <w:trHeight w:val="162"/>
        </w:trPr>
        <w:tc>
          <w:tcPr>
            <w:tcW w:w="20" w:type="dxa"/>
            <w:vAlign w:val="bottom"/>
          </w:tcPr>
          <w:p>
            <w:pPr>
              <w:spacing w:after="0"/>
              <w:rPr>
                <w:sz w:val="14"/>
                <w:szCs w:val="14"/>
                <w:color w:val="auto"/>
              </w:rPr>
            </w:pPr>
          </w:p>
        </w:tc>
        <w:tc>
          <w:tcPr>
            <w:tcW w:w="316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7"/>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ind w:left="7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76"/>
        </w:trPr>
        <w:tc>
          <w:tcPr>
            <w:tcW w:w="660" w:type="dxa"/>
            <w:vAlign w:val="bottom"/>
            <w:gridSpan w:val="2"/>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2022</w:t>
            </w:r>
          </w:p>
        </w:tc>
        <w:tc>
          <w:tcPr>
            <w:tcW w:w="2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982</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1,895</w:t>
            </w:r>
          </w:p>
        </w:tc>
      </w:tr>
      <w:tr>
        <w:trPr>
          <w:trHeight w:val="197"/>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145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ind w:left="320"/>
              <w:spacing w:after="0"/>
              <w:rPr>
                <w:sz w:val="20"/>
                <w:szCs w:val="20"/>
                <w:color w:val="auto"/>
              </w:rPr>
            </w:pPr>
            <w:r>
              <w:rPr>
                <w:rFonts w:ascii="Arial" w:cs="Arial" w:eastAsia="Arial" w:hAnsi="Arial"/>
                <w:sz w:val="14"/>
                <w:szCs w:val="14"/>
                <w:color w:val="auto"/>
              </w:rPr>
              <w:t>(131)</w:t>
            </w: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90</w:t>
            </w:r>
          </w:p>
        </w:tc>
      </w:tr>
      <w:tr>
        <w:trPr>
          <w:trHeight w:val="195"/>
        </w:trPr>
        <w:tc>
          <w:tcPr>
            <w:tcW w:w="20" w:type="dxa"/>
            <w:vAlign w:val="bottom"/>
            <w:shd w:val="clear" w:color="auto" w:fill="CCEEFF"/>
          </w:tcPr>
          <w:p>
            <w:pPr>
              <w:spacing w:after="0"/>
              <w:rPr>
                <w:sz w:val="16"/>
                <w:szCs w:val="16"/>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w:t>
            </w:r>
          </w:p>
        </w:tc>
      </w:tr>
      <w:tr>
        <w:trPr>
          <w:trHeight w:val="197"/>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161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ind w:left="320"/>
              <w:spacing w:after="0"/>
              <w:rPr>
                <w:sz w:val="20"/>
                <w:szCs w:val="20"/>
                <w:color w:val="auto"/>
              </w:rPr>
            </w:pPr>
            <w:r>
              <w:rPr>
                <w:rFonts w:ascii="Arial" w:cs="Arial" w:eastAsia="Arial" w:hAnsi="Arial"/>
                <w:sz w:val="14"/>
                <w:szCs w:val="14"/>
                <w:color w:val="auto"/>
              </w:rPr>
              <w:t>(108)</w:t>
            </w: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196</w:t>
            </w:r>
          </w:p>
        </w:tc>
      </w:tr>
      <w:tr>
        <w:trPr>
          <w:trHeight w:val="168"/>
        </w:trPr>
        <w:tc>
          <w:tcPr>
            <w:tcW w:w="20" w:type="dxa"/>
            <w:vAlign w:val="bottom"/>
            <w:shd w:val="clear" w:color="auto" w:fill="CCEEFF"/>
          </w:tcPr>
          <w:p>
            <w:pPr>
              <w:spacing w:after="0"/>
              <w:rPr>
                <w:sz w:val="14"/>
                <w:szCs w:val="14"/>
                <w:color w:val="auto"/>
              </w:rPr>
            </w:pPr>
          </w:p>
        </w:tc>
        <w:tc>
          <w:tcPr>
            <w:tcW w:w="3160" w:type="dxa"/>
            <w:vAlign w:val="bottom"/>
            <w:gridSpan w:val="3"/>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Arial" w:cs="Arial" w:eastAsia="Arial" w:hAnsi="Arial"/>
                <w:sz w:val="14"/>
                <w:szCs w:val="14"/>
                <w:color w:val="auto"/>
              </w:rPr>
              <w:t>% of Total Revenue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51.8 %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195"/>
        </w:trPr>
        <w:tc>
          <w:tcPr>
            <w:tcW w:w="20" w:type="dxa"/>
            <w:vAlign w:val="bottom"/>
            <w:shd w:val="clear" w:color="auto" w:fill="CCEEFF"/>
          </w:tcPr>
          <w:p>
            <w:pPr>
              <w:spacing w:after="0"/>
              <w:rPr>
                <w:sz w:val="16"/>
                <w:szCs w:val="16"/>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10.3 %</w:t>
            </w:r>
          </w:p>
        </w:tc>
      </w:tr>
    </w:tbl>
    <w:p>
      <w:pPr>
        <w:spacing w:after="0" w:line="200" w:lineRule="exact"/>
        <w:rPr>
          <w:sz w:val="20"/>
          <w:szCs w:val="20"/>
          <w:color w:val="auto"/>
        </w:rPr>
      </w:pPr>
    </w:p>
    <w:p>
      <w:pPr>
        <w:spacing w:after="0" w:line="29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gridSpan w:val="4"/>
          </w:tcPr>
          <w:p>
            <w:pPr>
              <w:jc w:val="right"/>
              <w:ind w:right="14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168"/>
              <w:spacing w:after="0"/>
              <w:rPr>
                <w:sz w:val="20"/>
                <w:szCs w:val="20"/>
                <w:color w:val="auto"/>
              </w:rPr>
            </w:pPr>
            <w:r>
              <w:rPr>
                <w:rFonts w:ascii="Arial" w:cs="Arial" w:eastAsia="Arial" w:hAnsi="Arial"/>
                <w:sz w:val="14"/>
                <w:szCs w:val="14"/>
                <w:color w:val="auto"/>
              </w:rPr>
              <w:t>Six Months Ended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spacing w:after="0"/>
              <w:rPr>
                <w:sz w:val="13"/>
                <w:szCs w:val="13"/>
                <w:color w:val="auto"/>
              </w:rPr>
            </w:pPr>
          </w:p>
        </w:tc>
        <w:tc>
          <w:tcPr>
            <w:tcW w:w="1280" w:type="dxa"/>
            <w:vAlign w:val="bottom"/>
            <w:gridSpan w:val="3"/>
          </w:tcPr>
          <w:p>
            <w:pPr>
              <w:jc w:val="right"/>
              <w:ind w:right="548"/>
              <w:spacing w:after="0" w:line="154" w:lineRule="exact"/>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3"/>
          </w:tcPr>
          <w:p>
            <w:pPr>
              <w:jc w:val="right"/>
              <w:ind w:right="468"/>
              <w:spacing w:after="0" w:line="154" w:lineRule="exact"/>
              <w:rPr>
                <w:sz w:val="20"/>
                <w:szCs w:val="20"/>
                <w:color w:val="auto"/>
              </w:rPr>
            </w:pPr>
            <w:r>
              <w:rPr>
                <w:rFonts w:ascii="Arial" w:cs="Arial" w:eastAsia="Arial" w:hAnsi="Arial"/>
                <w:sz w:val="14"/>
                <w:szCs w:val="14"/>
                <w:color w:val="auto"/>
              </w:rPr>
              <w:t>June 30,</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gridSpan w:val="4"/>
            <w:vMerge w:val="continue"/>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320" w:type="dxa"/>
            <w:vAlign w:val="bottom"/>
          </w:tcPr>
          <w:p>
            <w:pPr>
              <w:spacing w:after="0"/>
              <w:rPr>
                <w:sz w:val="13"/>
                <w:szCs w:val="13"/>
                <w:color w:val="auto"/>
              </w:rPr>
            </w:pPr>
          </w:p>
        </w:tc>
        <w:tc>
          <w:tcPr>
            <w:tcW w:w="96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2022</w:t>
            </w:r>
          </w:p>
        </w:tc>
        <w:tc>
          <w:tcPr>
            <w:tcW w:w="34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2023</w:t>
            </w:r>
          </w:p>
        </w:tc>
        <w:tc>
          <w:tcPr>
            <w:tcW w:w="38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2022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920" w:type="dxa"/>
            <w:vAlign w:val="bottom"/>
            <w:gridSpan w:val="2"/>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60" w:type="dxa"/>
            <w:vAlign w:val="bottom"/>
            <w:gridSpan w:val="2"/>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8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8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880" w:type="dxa"/>
            <w:vAlign w:val="bottom"/>
            <w:tcBorders>
              <w:bottom w:val="single" w:sz="8" w:color="CCEEFF"/>
            </w:tcBorders>
            <w:gridSpan w:val="4"/>
          </w:tcPr>
          <w:p>
            <w:pPr>
              <w:ind w:left="120"/>
              <w:spacing w:after="0"/>
              <w:rPr>
                <w:sz w:val="20"/>
                <w:szCs w:val="20"/>
                <w:color w:val="auto"/>
              </w:rPr>
            </w:pPr>
            <w:r>
              <w:rPr>
                <w:rFonts w:ascii="Arial" w:cs="Arial" w:eastAsia="Arial" w:hAnsi="Arial"/>
                <w:sz w:val="14"/>
                <w:szCs w:val="14"/>
                <w:color w:val="auto"/>
              </w:rPr>
              <w:t>Other (income) expenses, net</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80" w:type="dxa"/>
            <w:vAlign w:val="bottom"/>
            <w:gridSpan w:val="4"/>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920" w:type="dxa"/>
            <w:vAlign w:val="bottom"/>
            <w:gridSpan w:val="2"/>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860" w:type="dxa"/>
            <w:vAlign w:val="bottom"/>
            <w:gridSpan w:val="2"/>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Commercial revenue for the three and six months ended June 30, 2023 was substantially unchanged compared to the prior year periods, with higher interest rates positively impacting our Benefit Wallet business, lower volumes in certain industries of our client base, and new business substantially offsetting lost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7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Increases in the Commercial segment profit, adjusted EBITDA and adjusted EBITDA margin for the three and six months ended June 30, 2023, compared to the prior year periods, were mainly driven by higher interest rates positively impacting our Benefit Wallet business and cost efficiency.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Government revenue for the three months ended June 30, 2023 decreased compared to the prior year period primarily driven by lost business from prior years and non-repeating federal stimulus revenue in the second quarter of 2022, partially offset by the ramping of new business in Government Healthcare solutions, including the recognition of revenue that was previously constrained, and higher volumes in Government services solutions.</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Government revenue for the six months ended June 30, 2023 decreased, compared to the prior year period, primarily driven by lost business from prior years, non-repeating federal stimulus revenue in the prior year and an out of period adjustment in Q1 2023, partially offset by the ramping of new business in Government Healthcare solutions, including the recognition of revenue that was previously constrained, and higher volumes in Government services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7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Government segment profit, adjusted EBITDA and adjusted EBITDA margin for the three months ended June 30, 2023 were substantially unchanged compared to the prior year period with increased depreciation negatively impacting profit. The high margin non-repeating federal stimulus revenue in the second quarter of 2022 and lost business from prior years was offset by the fall through of the revenue recognized due to the recognition of revenue that was previously constrained, margin on higher volumes and cost efficiency.</w:t>
      </w:r>
    </w:p>
    <w:p>
      <w:pPr>
        <w:spacing w:after="0" w:line="1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Government segment profit and adjusted EBITDA for the six months ended June 30, 2023 were substantially unchanged compared to the prior year period with increased depreciation negatively impacting profit. The $17 million reversal of reserves due to the settlement of the Cognizant matter, margin on higher volumes, fall through of the recognition of revenue that was previously constrained and cost efficiency, were offset by lost business, the high margin non-repeating federal stimulus revenue in the prior year and the out of period adjustment in the first quarter of 2023. Adjusted EBITDA margin improved due to the substantially unchanged adjusted EBITDA resulting from items mentioned above on lower revenue.</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Transportation revenue for the three months ended June 30, 2023 decreased compared to the prior year period, primarily driven by the completion of smaller projects and lower revenue recognition from larger implementations in our Transit solutions service offering and lost business from prior years, partially offset by new business.</w:t>
      </w:r>
    </w:p>
    <w:p>
      <w:pPr>
        <w:spacing w:after="0" w:line="13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Transportation revenue for the six months ended June 30, 2023 decreased compared to the prior year period, primarily driven by extended completion timelines to meet client requirements in our Transit solutions service offering, which affected the recognition timeframe for revenue, the completion of smaller projects in our Transit solutions service offering and lost business from prior years, partially offset by new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Transportation segment profit, adjusted EBITDA and adjusted EBITDA margin for the three months ended June 30, 2023 decreased primarily due to the completion of smaller projects and lower revenue recognition from larger implementations in our Transit solutions service offering and lost business from prior years.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Transportation segment profit, adjusted EBITDA and adjusted EBITDA margin for the six months ended June 30, 2023 decreased primarily due to extended completion timelines on our larger implementations to meet client requirements, which affected the recognition timeframe for revenue and the completion of smaller projects in our Transit solutions service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(Loss) and Adjusted EBITDA</w:t>
      </w:r>
    </w:p>
    <w:p>
      <w:pPr>
        <w:spacing w:after="0" w:line="177"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color w:val="auto"/>
        </w:rPr>
        <w:t>The decline in revenue, segment profit and Adjusted EBITDA for the three and six months ended June 30, 2023 was due to the sale of the Midas Suite of products. The prior year included activity through the date of disposition whereas there was no activity in the current year.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8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Unallocated Costs for the three months ended June 30, 2023 increased compared to the prior year period primarily due to technology supplier credits in the prior year, partially offset by progress with our efficiency initiatives.</w:t>
      </w:r>
    </w:p>
    <w:p>
      <w:pPr>
        <w:spacing w:after="0" w:line="12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Unallocated Costs for the six months ended June 30, 2023 increased compared to the prior year period primarily due to the prior year reflecting the recovery of defense costs as part of the settlement with insurance carriers relating to the previously disclosed State of Texas matter and technology supplier credits in the prior year, partially offset by progress with our efficiency initiatives.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ACV is calculated as TCV divided by the contract term, in months, multiplied by 12 for an annual measure.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the Company signed $208 million and $333 million of new business ACV,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these amounts is ACV related to the May 2023 award of a significant contract in the Transportation segment.</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six months ended June 30, 2023 and 2022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4"/>
          </w:tcPr>
          <w:p>
            <w:pPr>
              <w:jc w:val="center"/>
              <w:ind w:right="26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color w:val="auto"/>
              </w:rPr>
              <w:t>2023 vs. 2022</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4"/>
                <w:szCs w:val="14"/>
                <w:color w:val="auto"/>
              </w:rPr>
            </w:pPr>
          </w:p>
        </w:tc>
        <w:tc>
          <w:tcPr>
            <w:tcW w:w="1220" w:type="dxa"/>
            <w:vAlign w:val="bottom"/>
          </w:tcPr>
          <w:p>
            <w:pPr>
              <w:jc w:val="right"/>
              <w:ind w:right="488"/>
              <w:spacing w:after="0" w:line="162" w:lineRule="exact"/>
              <w:rPr>
                <w:sz w:val="20"/>
                <w:szCs w:val="20"/>
                <w:color w:val="auto"/>
              </w:rPr>
            </w:pPr>
            <w:r>
              <w:rPr>
                <w:rFonts w:ascii="Arial" w:cs="Arial" w:eastAsia="Arial" w:hAnsi="Arial"/>
                <w:sz w:val="14"/>
                <w:szCs w:val="14"/>
                <w:color w:val="auto"/>
              </w:rPr>
              <w:t>2023</w:t>
            </w:r>
            <w:r>
              <w:rPr>
                <w:rFonts w:ascii="Arial" w:cs="Arial" w:eastAsia="Arial" w:hAnsi="Arial"/>
                <w:sz w:val="18"/>
                <w:szCs w:val="18"/>
                <w:color w:val="auto"/>
                <w:vertAlign w:val="superscript"/>
              </w:rPr>
              <w:t>(3)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right"/>
              <w:ind w:right="488"/>
              <w:spacing w:after="0" w:line="162" w:lineRule="exact"/>
              <w:rPr>
                <w:sz w:val="20"/>
                <w:szCs w:val="20"/>
                <w:color w:val="auto"/>
              </w:rPr>
            </w:pPr>
            <w:r>
              <w:rPr>
                <w:rFonts w:ascii="Arial" w:cs="Arial" w:eastAsia="Arial" w:hAnsi="Arial"/>
                <w:sz w:val="14"/>
                <w:szCs w:val="14"/>
                <w:color w:val="auto"/>
                <w:w w:val="91"/>
              </w:rPr>
              <w:t>2022</w:t>
            </w:r>
            <w:r>
              <w:rPr>
                <w:rFonts w:ascii="Arial" w:cs="Arial" w:eastAsia="Arial" w:hAnsi="Arial"/>
                <w:sz w:val="18"/>
                <w:szCs w:val="18"/>
                <w:color w:val="auto"/>
                <w:w w:val="91"/>
                <w:vertAlign w:val="superscript"/>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color w:val="auto"/>
              </w:rPr>
              <w:t>$ Change</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244 %</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354</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4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332 %</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center"/>
              <w:ind w:left="588"/>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20"/>
              <w:spacing w:after="0"/>
              <w:rPr>
                <w:sz w:val="20"/>
                <w:szCs w:val="20"/>
                <w:color w:val="auto"/>
              </w:rPr>
            </w:pPr>
            <w:r>
              <w:rPr>
                <w:rFonts w:ascii="Arial" w:cs="Arial" w:eastAsia="Arial" w:hAnsi="Arial"/>
                <w:sz w:val="14"/>
                <w:szCs w:val="14"/>
                <w:color w:val="auto"/>
              </w:rPr>
              <w:t>2023 vs. 2022</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88"/>
              <w:spacing w:after="0" w:line="159" w:lineRule="exact"/>
              <w:rPr>
                <w:sz w:val="20"/>
                <w:szCs w:val="20"/>
                <w:color w:val="auto"/>
              </w:rPr>
            </w:pPr>
            <w:r>
              <w:rPr>
                <w:rFonts w:ascii="Arial" w:cs="Arial" w:eastAsia="Arial" w:hAnsi="Arial"/>
                <w:sz w:val="14"/>
                <w:szCs w:val="14"/>
                <w:color w:val="auto"/>
              </w:rPr>
              <w:t>2023</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jc w:val="right"/>
              <w:ind w:right="488"/>
              <w:spacing w:after="0" w:line="159" w:lineRule="exact"/>
              <w:rPr>
                <w:sz w:val="20"/>
                <w:szCs w:val="20"/>
                <w:color w:val="auto"/>
              </w:rPr>
            </w:pPr>
            <w:r>
              <w:rPr>
                <w:rFonts w:ascii="Arial" w:cs="Arial" w:eastAsia="Arial" w:hAnsi="Arial"/>
                <w:sz w:val="14"/>
                <w:szCs w:val="14"/>
                <w:color w:val="auto"/>
                <w:w w:val="91"/>
              </w:rPr>
              <w:t>2022</w:t>
            </w:r>
            <w:r>
              <w:rPr>
                <w:rFonts w:ascii="Arial" w:cs="Arial" w:eastAsia="Arial" w:hAnsi="Arial"/>
                <w:sz w:val="18"/>
                <w:szCs w:val="18"/>
                <w:color w:val="auto"/>
                <w:w w:val="91"/>
                <w:vertAlign w:val="superscript"/>
              </w:rPr>
              <w:t>(3)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9" w:lineRule="exact"/>
              <w:rPr>
                <w:sz w:val="20"/>
                <w:szCs w:val="20"/>
                <w:color w:val="auto"/>
              </w:rPr>
            </w:pPr>
            <w:r>
              <w:rPr>
                <w:rFonts w:ascii="Arial" w:cs="Arial" w:eastAsia="Arial" w:hAnsi="Arial"/>
                <w:sz w:val="14"/>
                <w:szCs w:val="14"/>
                <w:color w:val="auto"/>
              </w:rPr>
              <w:t>$ Change</w:t>
            </w:r>
          </w:p>
        </w:tc>
        <w:tc>
          <w:tcPr>
            <w:tcW w:w="1180" w:type="dxa"/>
            <w:vAlign w:val="bottom"/>
          </w:tcPr>
          <w:p>
            <w:pPr>
              <w:jc w:val="right"/>
              <w:ind w:right="428"/>
              <w:spacing w:after="0" w:line="15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9"/>
                <w:szCs w:val="9"/>
                <w:color w:val="auto"/>
              </w:rPr>
              <w:t>(2)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421</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144</w:t>
            </w:r>
          </w:p>
        </w:tc>
        <w:tc>
          <w:tcPr>
            <w:tcW w:w="4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Midas new business signings.</w:t>
      </w:r>
    </w:p>
    <w:p>
      <w:pPr>
        <w:spacing w:after="0" w:line="17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total new business pipeline at the end of June 30, 2023 and 2022 was $20.7 billion and $ 22.0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2023</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97"/>
        </w:trPr>
        <w:tc>
          <w:tcPr>
            <w:tcW w:w="20" w:type="dxa"/>
            <w:vAlign w:val="bottom"/>
          </w:tcPr>
          <w:p>
            <w:pPr>
              <w:spacing w:after="0"/>
              <w:rPr>
                <w:sz w:val="17"/>
                <w:szCs w:val="17"/>
                <w:color w:val="auto"/>
              </w:rPr>
            </w:pPr>
          </w:p>
        </w:tc>
        <w:tc>
          <w:tcPr>
            <w:tcW w:w="8860" w:type="dxa"/>
            <w:vAlign w:val="bottom"/>
            <w:gridSpan w:val="2"/>
          </w:tcPr>
          <w:p>
            <w:pPr>
              <w:spacing w:after="0"/>
              <w:rPr>
                <w:sz w:val="20"/>
                <w:szCs w:val="20"/>
                <w:color w:val="auto"/>
              </w:rPr>
            </w:pPr>
            <w:r>
              <w:rPr>
                <w:rFonts w:ascii="Arial" w:cs="Arial" w:eastAsia="Arial" w:hAnsi="Arial"/>
                <w:sz w:val="14"/>
                <w:szCs w:val="14"/>
                <w:color w:val="auto"/>
              </w:rPr>
              <w:t>March 31, 2023</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95"/>
        </w:trPr>
        <w:tc>
          <w:tcPr>
            <w:tcW w:w="20" w:type="dxa"/>
            <w:vAlign w:val="bottom"/>
            <w:shd w:val="clear" w:color="auto" w:fill="CCEEFF"/>
          </w:tcPr>
          <w:p>
            <w:pPr>
              <w:spacing w:after="0"/>
              <w:rPr>
                <w:sz w:val="16"/>
                <w:szCs w:val="16"/>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2022</w:t>
            </w:r>
          </w:p>
        </w:tc>
        <w:tc>
          <w:tcPr>
            <w:tcW w:w="26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97"/>
        </w:trPr>
        <w:tc>
          <w:tcPr>
            <w:tcW w:w="20" w:type="dxa"/>
            <w:vAlign w:val="bottom"/>
          </w:tcPr>
          <w:p>
            <w:pPr>
              <w:spacing w:after="0"/>
              <w:rPr>
                <w:sz w:val="17"/>
                <w:szCs w:val="17"/>
                <w:color w:val="auto"/>
              </w:rPr>
            </w:pPr>
          </w:p>
        </w:tc>
        <w:tc>
          <w:tcPr>
            <w:tcW w:w="8860" w:type="dxa"/>
            <w:vAlign w:val="bottom"/>
            <w:gridSpan w:val="2"/>
          </w:tcPr>
          <w:p>
            <w:pPr>
              <w:spacing w:after="0"/>
              <w:rPr>
                <w:sz w:val="20"/>
                <w:szCs w:val="20"/>
                <w:color w:val="auto"/>
              </w:rPr>
            </w:pPr>
            <w:r>
              <w:rPr>
                <w:rFonts w:ascii="Arial" w:cs="Arial" w:eastAsia="Arial" w:hAnsi="Arial"/>
                <w:sz w:val="14"/>
                <w:szCs w:val="14"/>
                <w:color w:val="auto"/>
              </w:rPr>
              <w:t>September 30, 2022</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8"/>
        </w:trPr>
        <w:tc>
          <w:tcPr>
            <w:tcW w:w="20" w:type="dxa"/>
            <w:vAlign w:val="bottom"/>
            <w:shd w:val="clear" w:color="auto" w:fill="CCEEFF"/>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2022</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June 30, 2023 and December 31, 2022, total cash and cash equivalents were $500 million and $582 million, respectively. We also have a $550 million revolving line of credit for our various cash needs, of which $2 million was used for letters of credit. The net amount available to be drawn upon under our revolving line of credit as of June 30, 2023, was $548 million.</w:t>
      </w:r>
    </w:p>
    <w:p>
      <w:pPr>
        <w:spacing w:after="0" w:line="13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As of June 30, 2023, our total debt outstanding was $1,336 million of which $41 million was due within one year. Refer to Note 7 – Debt in the Condensed Consolidated Financial Statements for additional debt information.</w:t>
      </w:r>
    </w:p>
    <w:p>
      <w:pPr>
        <w:spacing w:after="0" w:line="120"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In order 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2023</w:t>
            </w:r>
          </w:p>
        </w:tc>
        <w:tc>
          <w:tcPr>
            <w:tcW w:w="440" w:type="dxa"/>
            <w:vAlign w:val="bottom"/>
          </w:tcPr>
          <w:p>
            <w:pPr>
              <w:spacing w:after="0"/>
              <w:rPr>
                <w:sz w:val="13"/>
                <w:szCs w:val="13"/>
                <w:color w:val="auto"/>
              </w:rPr>
            </w:pPr>
          </w:p>
        </w:tc>
        <w:tc>
          <w:tcPr>
            <w:tcW w:w="11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2022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140" w:type="dxa"/>
            <w:vAlign w:val="bottom"/>
            <w:gridSpan w:val="2"/>
            <w:shd w:val="clear" w:color="auto" w:fill="CCEEFF"/>
          </w:tcPr>
          <w:p>
            <w:pPr>
              <w:jc w:val="right"/>
              <w:ind w:right="9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(42)</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03"/>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140" w:type="dxa"/>
            <w:vAlign w:val="bottom"/>
            <w:gridSpan w:val="2"/>
            <w:shd w:val="clear" w:color="auto" w:fill="CCEEFF"/>
          </w:tcPr>
          <w:p>
            <w:pPr>
              <w:jc w:val="right"/>
              <w:ind w:right="9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net increase in cash used in operating activities of $17 million, compared to the prior year period, was primarily related to the absence of the $38 million of insurance recoveries related to the State of Texas matter and higher cash interest payments, partially offset by improved working capital performance and lower cash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8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Investing cash flow decreased by $284 million mainly due to the proceeds from the divestiture of the Midas business in the prior year. This was partially offset by decreased capital spending in the current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8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decrease in cash used in financing activities was mainly driven by the repayment of the $100 million borrowed under the revolver in the prior year. This was partially offset by higher taxes paid for settlement of stock-based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Consolidated Statements of Cash Flows.</w:t>
      </w:r>
    </w:p>
    <w:p>
      <w:pPr>
        <w:spacing w:after="0" w:line="13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six months ended June 30, 2023 and 2022 was $(24) million and $(14)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believes its balances of cash and cash equivalents, which totaled $500 million as of June 30, 2023, along with cash generated by operations and amounts available for borrowing under its 2021 Revolving Credit Facility, will be sufficient to satisfy its cash requirements over the next 12 months and beyond.</w:t>
      </w:r>
    </w:p>
    <w:p>
      <w:pPr>
        <w:spacing w:after="0" w:line="200" w:lineRule="exact"/>
        <w:rPr>
          <w:sz w:val="20"/>
          <w:szCs w:val="20"/>
          <w:color w:val="auto"/>
        </w:rPr>
      </w:pPr>
    </w:p>
    <w:p>
      <w:pPr>
        <w:spacing w:after="0" w:line="32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Company’s material cash requirements include debt, leases and estimated purchase commitments. See Part II, Item 7</w:t>
      </w:r>
    </w:p>
    <w:p>
      <w:pPr>
        <w:spacing w:after="0" w:line="2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Management's Discussion and Analysis of Financial Condition and Results of Operation of our Annual Report on Form 10-K for the year ended December 31, 2022 for additional information on our material cash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8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Condensed Consolidated Financial Statements and notes thereto. There have been no significant changes during the six months ended June 30, 2023 to our critical accounting estimates and policies from those disclosed in our Annual Report on Form 10-K for the year ended December 31, 2022.</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7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138"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Recent market and economic events have not caused us to materially modify nor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81"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32"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81" w:lineRule="exact"/>
        <w:rPr>
          <w:sz w:val="20"/>
          <w:szCs w:val="20"/>
          <w:color w:val="auto"/>
        </w:rPr>
      </w:pPr>
    </w:p>
    <w:p>
      <w:pPr>
        <w:ind w:left="340" w:right="260"/>
        <w:spacing w:after="0" w:line="275"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7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Below is an addition to our risk factors as previously reported on our Annual Report on Form 10-K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Supplemental Risk Factor</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light of the launch the share repurchase program approved by our Board of Directors on May 16, 2023, we are supplementing the risk factors previously disclosed in Item 1A of our Annual Report on Form 10-K for the year ended December 31, 2022, as filed with the Securities and Exchange Commission on February 22, 2023, to include the following risk factor:</w:t>
      </w:r>
    </w:p>
    <w:p>
      <w:pPr>
        <w:spacing w:after="0" w:line="12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0066CC"/>
        </w:rPr>
        <w:t>We cannot guarantee that our stock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10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May 2023, our Board of Directors authorized a three-year stock repurchase program for up to $75 million of our common stock. Under the repurchase program, repurchases can be made from time to time using open market transactions, and may include Rule 10b5-1 trading plans, all in accordance with the rules of the SEC and other applicable legal requirements. The specific timing, price and size of the purchases will depend on prevailing stock prices, general economic and market conditions, and other considerations consistent with our capital allocation strategy. Stock repurchases could have an impact on our common stock trading prices, increase the volatility of the price of our common stock, or reduce our available cash balance such that we will be required to seek financing to support our operations. The repurchase program does not obligate us to acquire a particular amount of common stock, and the repurchase program may be suspended or discontinued at any time at our discretion, which may result in a decrease in the trading prices of our common stock. Even if our share repurchase program is fully implemented, it may not enhance long-term stockholder value.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June 30, 2023</w:t>
      </w:r>
    </w:p>
    <w:p>
      <w:pPr>
        <w:spacing w:after="0" w:line="181" w:lineRule="exact"/>
        <w:rPr>
          <w:sz w:val="20"/>
          <w:szCs w:val="20"/>
          <w:color w:val="auto"/>
        </w:rPr>
      </w:pPr>
    </w:p>
    <w:p>
      <w:pPr>
        <w:ind w:left="420"/>
        <w:spacing w:after="0" w:line="275" w:lineRule="auto"/>
        <w:rPr>
          <w:sz w:val="20"/>
          <w:szCs w:val="20"/>
          <w:color w:val="auto"/>
        </w:rPr>
      </w:pPr>
      <w:r>
        <w:rPr>
          <w:rFonts w:ascii="Arial" w:cs="Arial" w:eastAsia="Arial" w:hAnsi="Arial"/>
          <w:sz w:val="18"/>
          <w:szCs w:val="18"/>
          <w:color w:val="auto"/>
        </w:rPr>
        <w:t>During the quarter ended June 30, 2023, the Company did not issue any securities in transactions that were not registered under the Securities Act of 1933, as amended.</w:t>
      </w:r>
    </w:p>
    <w:p>
      <w:pPr>
        <w:spacing w:after="0" w:line="11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 repurchase activity during the three months ended June 30, 2023 was as follows:</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 Price Paid Per</w:t>
            </w:r>
          </w:p>
        </w:tc>
        <w:tc>
          <w:tcPr>
            <w:tcW w:w="1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2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48"/>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Purchased as a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May Yet Be Purchased Under Plan (in</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Purchased</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9"/>
                <w:szCs w:val="9"/>
                <w:b w:val="1"/>
                <w:bCs w:val="1"/>
                <w:color w:val="auto"/>
              </w:rPr>
              <w:t>(2)</w:t>
            </w: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37"/>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1-30, 2023</w:t>
            </w:r>
          </w:p>
        </w:tc>
        <w:tc>
          <w:tcPr>
            <w:tcW w:w="10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4"/>
                <w:szCs w:val="14"/>
                <w:color w:val="auto"/>
              </w:rPr>
              <w:t>May 1-31, 2023</w:t>
            </w:r>
          </w:p>
        </w:tc>
        <w:tc>
          <w:tcPr>
            <w:tcW w:w="100" w:type="dxa"/>
            <w:vAlign w:val="bottom"/>
          </w:tcPr>
          <w:p>
            <w:pPr>
              <w:spacing w:after="0"/>
              <w:rPr>
                <w:sz w:val="19"/>
                <w:szCs w:val="19"/>
                <w:color w:val="auto"/>
              </w:rPr>
            </w:pPr>
          </w:p>
        </w:tc>
        <w:tc>
          <w:tcPr>
            <w:tcW w:w="17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1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1-30, 2023</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266,765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266,765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3"/>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266,765</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3.29</w:t>
            </w:r>
          </w:p>
        </w:tc>
        <w:tc>
          <w:tcPr>
            <w:tcW w:w="2220" w:type="dxa"/>
            <w:vAlign w:val="bottom"/>
            <w:gridSpan w:val="2"/>
          </w:tcPr>
          <w:p>
            <w:pPr>
              <w:jc w:val="right"/>
              <w:ind w:right="2"/>
              <w:spacing w:after="0"/>
              <w:rPr>
                <w:sz w:val="20"/>
                <w:szCs w:val="20"/>
                <w:color w:val="auto"/>
              </w:rPr>
            </w:pPr>
            <w:r>
              <w:rPr>
                <w:rFonts w:ascii="Arial" w:cs="Arial" w:eastAsia="Arial" w:hAnsi="Arial"/>
                <w:sz w:val="14"/>
                <w:szCs w:val="14"/>
                <w:color w:val="auto"/>
              </w:rPr>
              <w:t>266,765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78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80" w:right="180" w:hanging="167"/>
        <w:spacing w:after="0" w:line="223" w:lineRule="auto"/>
        <w:tabs>
          <w:tab w:leader="none" w:pos="611"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On May 16, 2023, the Board of Directors authorized a share repurchase program, granting approval for the Company to repurchase up to $75 million of its common stock from time to time as market and business conditions warrant, including through open market purchases or Rule 10b5-1 trading plans.</w:t>
      </w:r>
    </w:p>
    <w:p>
      <w:pPr>
        <w:spacing w:after="0" w:line="2" w:lineRule="exact"/>
        <w:rPr>
          <w:rFonts w:ascii="Arial" w:cs="Arial" w:eastAsia="Arial" w:hAnsi="Arial"/>
          <w:sz w:val="23"/>
          <w:szCs w:val="23"/>
          <w:color w:val="auto"/>
          <w:vertAlign w:val="superscript"/>
        </w:rPr>
      </w:pPr>
    </w:p>
    <w:p>
      <w:pPr>
        <w:ind w:left="600" w:hanging="187"/>
        <w:spacing w:after="0" w:line="205" w:lineRule="auto"/>
        <w:tabs>
          <w:tab w:leader="none" w:pos="6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Average share price includes transaction commissions.</w:t>
      </w:r>
    </w:p>
    <w:p>
      <w:pPr>
        <w:spacing w:after="0" w:line="38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3.1</w:t>
            </w:r>
          </w:p>
        </w:tc>
        <w:tc>
          <w:tcPr>
            <w:tcW w:w="9400" w:type="dxa"/>
            <w:vAlign w:val="bottom"/>
            <w:tcBorders>
              <w:bottom w:val="single" w:sz="8" w:color="0000FF"/>
            </w:tcBorders>
            <w:gridSpan w:val="4"/>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Restated Certificate of Incorporation of Registrant filed with the Department of the State of New York on December 31,</w:t>
              </w:r>
            </w:hyperlink>
          </w:p>
        </w:tc>
      </w:tr>
      <w:tr>
        <w:trPr>
          <w:trHeight w:val="156"/>
        </w:trPr>
        <w:tc>
          <w:tcPr>
            <w:tcW w:w="146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97"/>
              </w:rPr>
            </w:pPr>
            <w:hyperlink r:id="rId45">
              <w:r>
                <w:rPr>
                  <w:rFonts w:ascii="Arial" w:cs="Arial" w:eastAsia="Arial" w:hAnsi="Arial"/>
                  <w:sz w:val="18"/>
                  <w:szCs w:val="18"/>
                  <w:color w:val="0000FF"/>
                  <w:w w:val="97"/>
                </w:rPr>
                <w:t>2016.</w:t>
              </w:r>
            </w:hyperlink>
          </w:p>
        </w:tc>
        <w:tc>
          <w:tcPr>
            <w:tcW w:w="4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63"/>
        </w:trPr>
        <w:tc>
          <w:tcPr>
            <w:tcW w:w="1460" w:type="dxa"/>
            <w:vAlign w:val="bottom"/>
          </w:tcPr>
          <w:p>
            <w:pPr>
              <w:spacing w:after="0"/>
              <w:rPr>
                <w:sz w:val="22"/>
                <w:szCs w:val="22"/>
                <w:color w:val="auto"/>
              </w:rPr>
            </w:pPr>
          </w:p>
        </w:tc>
        <w:tc>
          <w:tcPr>
            <w:tcW w:w="9400" w:type="dxa"/>
            <w:vAlign w:val="bottom"/>
            <w:gridSpan w:val="4"/>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9400" w:type="dxa"/>
            <w:vAlign w:val="bottom"/>
            <w:gridSpan w:val="4"/>
          </w:tcPr>
          <w:p>
            <w:pPr>
              <w:spacing w:after="0" w:line="189" w:lineRule="exact"/>
              <w:rPr>
                <w:rFonts w:ascii="Arial" w:cs="Arial" w:eastAsia="Arial" w:hAnsi="Arial"/>
                <w:sz w:val="18"/>
                <w:szCs w:val="18"/>
                <w:color w:val="0000FF"/>
              </w:rPr>
            </w:pPr>
            <w:hyperlink r:id="rId46">
              <w:r>
                <w:rPr>
                  <w:rFonts w:ascii="Arial" w:cs="Arial" w:eastAsia="Arial" w:hAnsi="Arial"/>
                  <w:sz w:val="18"/>
                  <w:szCs w:val="18"/>
                  <w:color w:val="0000FF"/>
                </w:rPr>
                <w:t>Amended and Restated By-Laws of Registrant as amended through December 31, 2016.</w:t>
              </w:r>
            </w:hyperlink>
          </w:p>
        </w:tc>
      </w:tr>
      <w:tr>
        <w:trPr>
          <w:trHeight w:val="20"/>
        </w:trPr>
        <w:tc>
          <w:tcPr>
            <w:tcW w:w="1460" w:type="dxa"/>
            <w:vAlign w:val="bottom"/>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0"/>
        </w:trPr>
        <w:tc>
          <w:tcPr>
            <w:tcW w:w="1460" w:type="dxa"/>
            <w:vAlign w:val="bottom"/>
          </w:tcPr>
          <w:p>
            <w:pPr>
              <w:spacing w:after="0"/>
              <w:rPr>
                <w:sz w:val="21"/>
                <w:szCs w:val="21"/>
                <w:color w:val="auto"/>
              </w:rPr>
            </w:pPr>
          </w:p>
        </w:tc>
        <w:tc>
          <w:tcPr>
            <w:tcW w:w="9400" w:type="dxa"/>
            <w:vAlign w:val="bottom"/>
            <w:gridSpan w:val="4"/>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r>
      <w:tr>
        <w:trPr>
          <w:trHeight w:val="202"/>
        </w:trPr>
        <w:tc>
          <w:tcPr>
            <w:tcW w:w="1460" w:type="dxa"/>
            <w:vAlign w:val="bottom"/>
          </w:tcPr>
          <w:p>
            <w:pPr>
              <w:spacing w:after="0" w:line="202" w:lineRule="exact"/>
              <w:rPr>
                <w:sz w:val="20"/>
                <w:szCs w:val="20"/>
                <w:color w:val="auto"/>
              </w:rPr>
            </w:pPr>
            <w:r>
              <w:rPr>
                <w:rFonts w:ascii="Arial" w:cs="Arial" w:eastAsia="Arial" w:hAnsi="Arial"/>
                <w:sz w:val="18"/>
                <w:szCs w:val="18"/>
                <w:color w:val="auto"/>
              </w:rPr>
              <w:t>31(a)</w:t>
            </w:r>
          </w:p>
        </w:tc>
        <w:tc>
          <w:tcPr>
            <w:tcW w:w="9400" w:type="dxa"/>
            <w:vAlign w:val="bottom"/>
            <w:gridSpan w:val="4"/>
          </w:tcPr>
          <w:p>
            <w:pPr>
              <w:spacing w:after="0" w:line="202" w:lineRule="exact"/>
              <w:rPr>
                <w:sz w:val="20"/>
                <w:szCs w:val="20"/>
                <w:color w:val="auto"/>
              </w:rPr>
            </w:pPr>
            <w:r>
              <w:rPr>
                <w:rFonts w:ascii="Arial" w:cs="Arial" w:eastAsia="Arial" w:hAnsi="Arial"/>
                <w:sz w:val="18"/>
                <w:szCs w:val="18"/>
                <w:color w:val="0000FF"/>
              </w:rPr>
              <w:t>Certification of CEO pursuant to Rule 13a-14(a) or Rule 15d-14(a).</w:t>
            </w:r>
          </w:p>
        </w:tc>
      </w:tr>
      <w:tr>
        <w:trPr>
          <w:trHeight w:val="209"/>
        </w:trPr>
        <w:tc>
          <w:tcPr>
            <w:tcW w:w="1460" w:type="dxa"/>
            <w:vAlign w:val="bottom"/>
          </w:tcPr>
          <w:p>
            <w:pPr>
              <w:spacing w:after="0"/>
              <w:rPr>
                <w:sz w:val="20"/>
                <w:szCs w:val="20"/>
                <w:color w:val="auto"/>
              </w:rPr>
            </w:pPr>
            <w:r>
              <w:rPr>
                <w:rFonts w:ascii="Arial" w:cs="Arial" w:eastAsia="Arial" w:hAnsi="Arial"/>
                <w:sz w:val="18"/>
                <w:szCs w:val="18"/>
                <w:color w:val="auto"/>
              </w:rPr>
              <w:t>31(b)</w:t>
            </w:r>
          </w:p>
        </w:tc>
        <w:tc>
          <w:tcPr>
            <w:tcW w:w="5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CFO pursuant to Rule 13a-14(a) or Rule 15d-14(a).</w:t>
            </w:r>
          </w:p>
        </w:tc>
        <w:tc>
          <w:tcPr>
            <w:tcW w:w="4100" w:type="dxa"/>
            <w:vAlign w:val="bottom"/>
            <w:gridSpan w:val="2"/>
          </w:tcPr>
          <w:p>
            <w:pPr>
              <w:spacing w:after="0"/>
              <w:rPr>
                <w:sz w:val="18"/>
                <w:szCs w:val="18"/>
                <w:color w:val="auto"/>
              </w:rPr>
            </w:pPr>
          </w:p>
        </w:tc>
      </w:tr>
    </w:tbl>
    <w:p>
      <w:pPr>
        <w:spacing w:after="0" w:line="28" w:lineRule="exact"/>
        <w:rPr>
          <w:sz w:val="20"/>
          <w:szCs w:val="20"/>
          <w:color w:val="auto"/>
        </w:rPr>
      </w:pPr>
    </w:p>
    <w:p>
      <w:pPr>
        <w:ind w:left="1480" w:right="180" w:hanging="1454"/>
        <w:spacing w:after="0" w:line="244"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FF"/>
        </w:rPr>
        <w:t>Certification of CEO and CFO pursuant to 18 U.S.C. Section 1350, as adopted pursuant to Section 906 of the Sarbanes-Oxley Act of 2002.</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29"/>
        </w:trPr>
        <w:tc>
          <w:tcPr>
            <w:tcW w:w="1100" w:type="dxa"/>
            <w:vAlign w:val="bottom"/>
          </w:tcPr>
          <w:p>
            <w:pPr>
              <w:spacing w:after="0"/>
              <w:rPr>
                <w:sz w:val="19"/>
                <w:szCs w:val="19"/>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6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78"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22225</wp:posOffset>
            </wp:positionV>
            <wp:extent cx="2871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Stephen Wood</w:t>
      </w:r>
    </w:p>
    <w:p>
      <w:pPr>
        <w:ind w:left="600"/>
        <w:spacing w:after="0" w:line="221" w:lineRule="auto"/>
        <w:rPr>
          <w:sz w:val="20"/>
          <w:szCs w:val="20"/>
          <w:color w:val="auto"/>
        </w:rPr>
      </w:pPr>
      <w:r>
        <w:rPr>
          <w:rFonts w:ascii="Arial" w:cs="Arial" w:eastAsia="Arial" w:hAnsi="Arial"/>
          <w:sz w:val="14"/>
          <w:szCs w:val="14"/>
          <w:b w:val="1"/>
          <w:bCs w:val="1"/>
          <w:color w:val="auto"/>
        </w:rPr>
        <w:t>Chief Financial Officer</w:t>
      </w:r>
    </w:p>
    <w:p>
      <w:pPr>
        <w:ind w:left="600"/>
        <w:spacing w:after="0"/>
        <w:rPr>
          <w:sz w:val="20"/>
          <w:szCs w:val="20"/>
          <w:color w:val="auto"/>
        </w:rPr>
      </w:pPr>
      <w:r>
        <w:rPr>
          <w:rFonts w:ascii="Arial" w:cs="Arial" w:eastAsia="Arial" w:hAnsi="Arial"/>
          <w:sz w:val="14"/>
          <w:szCs w:val="14"/>
          <w:b w:val="1"/>
          <w:bCs w:val="1"/>
          <w:color w:val="auto"/>
        </w:rPr>
        <w:t>(Principal Financial Officer)</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52"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4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August 2, 2023</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13970</wp:posOffset>
            </wp:positionV>
            <wp:extent cx="18859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4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August 2,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863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Stephen Wood</w:t>
      </w: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June 30, 2023,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6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22225</wp:posOffset>
            </wp:positionV>
            <wp:extent cx="23914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2, 2023</w:t>
      </w:r>
    </w:p>
    <w:p>
      <w:pPr>
        <w:spacing w:after="0" w:line="200" w:lineRule="exact"/>
        <w:rPr>
          <w:sz w:val="20"/>
          <w:szCs w:val="20"/>
          <w:color w:val="auto"/>
        </w:rPr>
      </w:pPr>
    </w:p>
    <w:p>
      <w:pPr>
        <w:spacing w:after="0" w:line="3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23914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Stephen Wood</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2, 2023</w:t>
      </w:r>
    </w:p>
    <w:p>
      <w:pPr>
        <w:spacing w:after="0" w:line="35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3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endash "/>
      <w:numFmt w:val="bullet"/>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32"/>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5" Type="http://schemas.openxmlformats.org/officeDocument/2006/relationships/hyperlink" Target="http://www.sec.gov/Archives/edgar/data/1677703/000119312516803247/d275811dex31.htm" TargetMode="External"/><Relationship Id="rId46" Type="http://schemas.openxmlformats.org/officeDocument/2006/relationships/hyperlink" Target="http://www.sec.gov/Archives/edgar/data/1677703/000119312516803247/d2758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2023-08-02T07:07:38Z</dcterms:created>
  <dcterms:modified xsi:type="dcterms:W3CDTF">2023-08-02T07:07:38Z</dcterms:modified>
</cp:coreProperties>
</file>