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80645</wp:posOffset>
            </wp:positionV>
            <wp:extent cx="15087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CONDUENT INCORPORATED</w:t>
      </w:r>
    </w:p>
    <w:p>
      <w:pPr>
        <w:spacing w:after="0" w:line="79" w:lineRule="exact"/>
        <w:rPr>
          <w:sz w:val="24"/>
          <w:szCs w:val="24"/>
          <w:color w:val="auto"/>
        </w:rPr>
      </w:pPr>
    </w:p>
    <w:tbl>
      <w:tblPr>
        <w:tblLayout w:type="fixed"/>
        <w:tblInd w:w="60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540" w:type="dxa"/>
            <w:vAlign w:val="bottom"/>
          </w:tcPr>
          <w:p>
            <w:pPr>
              <w:spacing w:after="0"/>
              <w:rPr>
                <w:sz w:val="21"/>
                <w:szCs w:val="21"/>
                <w:color w:val="auto"/>
              </w:rPr>
            </w:pPr>
          </w:p>
        </w:tc>
      </w:tr>
      <w:tr>
        <w:trPr>
          <w:trHeight w:val="245"/>
        </w:trPr>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7"/>
              </w:rPr>
              <w:t>New York</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001-37817</w:t>
            </w:r>
          </w:p>
        </w:tc>
        <w:tc>
          <w:tcPr>
            <w:tcW w:w="1540" w:type="dxa"/>
            <w:vAlign w:val="bottom"/>
          </w:tcPr>
          <w:p>
            <w:pPr>
              <w:jc w:val="center"/>
              <w:ind w:left="342"/>
              <w:spacing w:after="0"/>
              <w:rPr>
                <w:sz w:val="20"/>
                <w:szCs w:val="20"/>
                <w:color w:val="auto"/>
              </w:rPr>
            </w:pPr>
            <w:r>
              <w:rPr>
                <w:rFonts w:ascii="Arial" w:cs="Arial" w:eastAsia="Arial" w:hAnsi="Arial"/>
                <w:sz w:val="18"/>
                <w:szCs w:val="18"/>
                <w:b w:val="1"/>
                <w:bCs w:val="1"/>
                <w:color w:val="auto"/>
                <w:w w:val="99"/>
              </w:rPr>
              <w:t>81-2983623</w:t>
            </w:r>
          </w:p>
        </w:tc>
      </w:tr>
      <w:tr>
        <w:trPr>
          <w:trHeight w:val="144"/>
        </w:trPr>
        <w:tc>
          <w:tcPr>
            <w:tcW w:w="2320" w:type="dxa"/>
            <w:vAlign w:val="bottom"/>
          </w:tcPr>
          <w:p>
            <w:pPr>
              <w:jc w:val="center"/>
              <w:ind w:right="362"/>
              <w:spacing w:after="0" w:line="145" w:lineRule="exact"/>
              <w:rPr>
                <w:sz w:val="20"/>
                <w:szCs w:val="20"/>
                <w:color w:val="auto"/>
              </w:rPr>
            </w:pPr>
            <w:r>
              <w:rPr>
                <w:rFonts w:ascii="Arial" w:cs="Arial" w:eastAsia="Arial" w:hAnsi="Arial"/>
                <w:sz w:val="14"/>
                <w:szCs w:val="14"/>
                <w:color w:val="auto"/>
              </w:rPr>
              <w:t>(State or other jurisdiction of</w:t>
            </w:r>
          </w:p>
        </w:tc>
        <w:tc>
          <w:tcPr>
            <w:tcW w:w="5300" w:type="dxa"/>
            <w:vAlign w:val="bottom"/>
          </w:tcPr>
          <w:p>
            <w:pPr>
              <w:ind w:left="2040"/>
              <w:spacing w:after="0" w:line="145" w:lineRule="exact"/>
              <w:rPr>
                <w:sz w:val="20"/>
                <w:szCs w:val="20"/>
                <w:color w:val="auto"/>
              </w:rPr>
            </w:pPr>
            <w:r>
              <w:rPr>
                <w:rFonts w:ascii="Arial" w:cs="Arial" w:eastAsia="Arial" w:hAnsi="Arial"/>
                <w:sz w:val="14"/>
                <w:szCs w:val="14"/>
                <w:color w:val="auto"/>
              </w:rPr>
              <w:t>(Commission</w:t>
            </w:r>
          </w:p>
        </w:tc>
        <w:tc>
          <w:tcPr>
            <w:tcW w:w="1540" w:type="dxa"/>
            <w:vAlign w:val="bottom"/>
          </w:tcPr>
          <w:p>
            <w:pPr>
              <w:jc w:val="center"/>
              <w:ind w:left="36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320" w:type="dxa"/>
            <w:vAlign w:val="bottom"/>
          </w:tcPr>
          <w:p>
            <w:pPr>
              <w:jc w:val="center"/>
              <w:ind w:right="362"/>
              <w:spacing w:after="0"/>
              <w:rPr>
                <w:sz w:val="20"/>
                <w:szCs w:val="20"/>
                <w:color w:val="auto"/>
              </w:rPr>
            </w:pPr>
            <w:r>
              <w:rPr>
                <w:rFonts w:ascii="Arial" w:cs="Arial" w:eastAsia="Arial" w:hAnsi="Arial"/>
                <w:sz w:val="14"/>
                <w:szCs w:val="14"/>
                <w:color w:val="auto"/>
              </w:rPr>
              <w:t>incorporation or organization)</w:t>
            </w:r>
          </w:p>
        </w:tc>
        <w:tc>
          <w:tcPr>
            <w:tcW w:w="5300" w:type="dxa"/>
            <w:vAlign w:val="bottom"/>
          </w:tcPr>
          <w:p>
            <w:pPr>
              <w:ind w:left="2040"/>
              <w:spacing w:after="0"/>
              <w:rPr>
                <w:sz w:val="20"/>
                <w:szCs w:val="20"/>
                <w:color w:val="auto"/>
              </w:rPr>
            </w:pPr>
            <w:r>
              <w:rPr>
                <w:rFonts w:ascii="Arial" w:cs="Arial" w:eastAsia="Arial" w:hAnsi="Arial"/>
                <w:sz w:val="14"/>
                <w:szCs w:val="14"/>
                <w:color w:val="auto"/>
              </w:rPr>
              <w:t>File Number)</w:t>
            </w:r>
          </w:p>
        </w:tc>
        <w:tc>
          <w:tcPr>
            <w:tcW w:w="1540" w:type="dxa"/>
            <w:vAlign w:val="bottom"/>
          </w:tcPr>
          <w:p>
            <w:pPr>
              <w:jc w:val="center"/>
              <w:ind w:left="342"/>
              <w:spacing w:after="0"/>
              <w:rPr>
                <w:sz w:val="20"/>
                <w:szCs w:val="20"/>
                <w:color w:val="auto"/>
              </w:rPr>
            </w:pPr>
            <w:r>
              <w:rPr>
                <w:rFonts w:ascii="Arial" w:cs="Arial" w:eastAsia="Arial" w:hAnsi="Arial"/>
                <w:sz w:val="14"/>
                <w:szCs w:val="14"/>
                <w:color w:val="auto"/>
              </w:rPr>
              <w:t>Identification No.)</w:t>
            </w:r>
          </w:p>
        </w:tc>
      </w:tr>
    </w:tbl>
    <w:p>
      <w:pPr>
        <w:spacing w:after="0" w:line="101" w:lineRule="exact"/>
        <w:rPr>
          <w:sz w:val="24"/>
          <w:szCs w:val="24"/>
          <w:color w:val="auto"/>
        </w:rPr>
      </w:pPr>
    </w:p>
    <w:p>
      <w:pPr>
        <w:ind w:left="4060"/>
        <w:spacing w:after="0"/>
        <w:tabs>
          <w:tab w:leader="none" w:pos="6080" w:val="left"/>
        </w:tabs>
        <w:rPr>
          <w:sz w:val="20"/>
          <w:szCs w:val="20"/>
          <w:color w:val="auto"/>
        </w:rPr>
      </w:pPr>
      <w:r>
        <w:rPr>
          <w:rFonts w:ascii="Arial" w:cs="Arial" w:eastAsia="Arial" w:hAnsi="Arial"/>
          <w:sz w:val="18"/>
          <w:szCs w:val="18"/>
          <w:b w:val="1"/>
          <w:bCs w:val="1"/>
          <w:color w:val="auto"/>
        </w:rPr>
        <w:t>100 Campus Drive,</w:t>
      </w:r>
      <w:r>
        <w:rPr>
          <w:sz w:val="20"/>
          <w:szCs w:val="20"/>
          <w:color w:val="auto"/>
        </w:rPr>
        <w:tab/>
      </w:r>
      <w:r>
        <w:rPr>
          <w:rFonts w:ascii="Arial" w:cs="Arial" w:eastAsia="Arial" w:hAnsi="Arial"/>
          <w:sz w:val="17"/>
          <w:szCs w:val="17"/>
          <w:b w:val="1"/>
          <w:bCs w:val="1"/>
          <w:color w:val="auto"/>
        </w:rPr>
        <w:t>Suite 200,</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Florham Park, New Jersey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07932</w:t>
      </w:r>
    </w:p>
    <w:p>
      <w:pPr>
        <w:spacing w:after="0" w:line="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(Address of principal executive offices) (Zip Code)</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50" w:right="339" w:bottom="1440" w:gutter="0" w:footer="0" w:header="0"/>
        </w:sectPr>
      </w:pPr>
    </w:p>
    <w:p>
      <w:pPr>
        <w:spacing w:after="0" w:line="50"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3420" w:space="720"/>
            <w:col w:w="2220" w:space="720"/>
            <w:col w:w="4160"/>
          </w:cols>
          <w:pgMar w:left="320" w:top="1050" w:right="339" w:bottom="1440" w:gutter="0" w:footer="0" w:header="0"/>
          <w:type w:val="continuous"/>
        </w:sectPr>
      </w:pPr>
    </w:p>
    <w:p>
      <w:pPr>
        <w:ind w:left="48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3760" w:space="720"/>
            <w:col w:w="2000" w:space="720"/>
            <w:col w:w="4040"/>
          </w:cols>
          <w:pgMar w:left="320" w:top="1050" w:right="339" w:bottom="1440" w:gutter="0" w:footer="0" w:header="0"/>
          <w:type w:val="continuous"/>
        </w:sectPr>
      </w:pPr>
    </w:p>
    <w:p>
      <w:pPr>
        <w:spacing w:after="0" w:line="12" w:lineRule="exact"/>
        <w:rPr>
          <w:sz w:val="24"/>
          <w:szCs w:val="24"/>
          <w:color w:val="auto"/>
        </w:rPr>
      </w:pPr>
    </w:p>
    <w:p>
      <w:pPr>
        <w:ind w:right="38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May 14, 2026, the board of directors (the “Board”) of Conduent Incorporated (the “Company”) elected Adam Demuyakor, Founder and Managing Partner of Wilshire Lane Capital, to the Board, effective June 1, 2026. Mr. Demuyakor will serve on the Compensation, Risk Oversight, and Corporate Governance Committees of the Board.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Demuyakor will receive the standard director compensation that the Company provides to its non-employee directors (on a pro rata basis for fiscal year 2026) as described in the “Annual Director Compensation” section of the Company’s Proxy Statement on Schedule 14A filed with the Securities and Exchange Commission on April 3, 2026. As of the date hereof, there are no transactions between Mr. Demuyakor and the Company that would be reportable under Item 404(a) of Regulation S-K. There is no arrangement or understanding between Mr. Demuyakor and any other person relating to the selection of Mr. Demuyakor as a director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May 20, 2026, the Company issued a press release announcing the election of Mr. Demuyakor to the Board, a copy of which is furnished as Exhibit 99.1 hereto.</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contained in Item 7.01, including Exhibit 99.1, will not be deemed “filed” for purposes of Section 18 of the Exchange Act of 1934, as amended (the Exchange Act"), or incorporated by reference in any filing under the Securities Act of 1934, as amended, or the Exchange Act, except as may be expressly set forth by specific reference in such a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Regulation FD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120" w:type="dxa"/>
            <w:vAlign w:val="bottom"/>
            <w:gridSpan w:val="4"/>
          </w:tcPr>
          <w:p>
            <w:pPr>
              <w:ind w:left="460"/>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840" w:type="dxa"/>
            <w:vAlign w:val="bottom"/>
            <w:tcBorders>
              <w:top w:val="single" w:sz="8" w:color="auto"/>
            </w:tcBorders>
            <w:gridSpan w:val="3"/>
          </w:tcPr>
          <w:p>
            <w:pPr>
              <w:jc w:val="center"/>
              <w:ind w:right="720"/>
              <w:spacing w:after="0" w:line="182"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80" w:type="dxa"/>
            <w:vAlign w:val="bottom"/>
          </w:tcPr>
          <w:p>
            <w:pPr>
              <w:spacing w:after="0"/>
              <w:rPr>
                <w:sz w:val="15"/>
                <w:szCs w:val="15"/>
                <w:color w:val="auto"/>
              </w:rPr>
            </w:pPr>
          </w:p>
        </w:tc>
        <w:tc>
          <w:tcPr>
            <w:tcW w:w="91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Press Release dated May 20, 2026 (furnished pursuant to Item 7.01).</w:t>
            </w:r>
          </w:p>
        </w:tc>
      </w:tr>
      <w:tr>
        <w:trPr>
          <w:trHeight w:val="254"/>
        </w:trPr>
        <w:tc>
          <w:tcPr>
            <w:tcW w:w="760" w:type="dxa"/>
            <w:vAlign w:val="bottom"/>
          </w:tcPr>
          <w:p>
            <w:pPr>
              <w:spacing w:after="0"/>
              <w:rPr>
                <w:sz w:val="22"/>
                <w:szCs w:val="22"/>
                <w:color w:val="auto"/>
              </w:rPr>
            </w:pPr>
          </w:p>
        </w:tc>
        <w:tc>
          <w:tcPr>
            <w:tcW w:w="34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9"/>
              </w:rPr>
              <w:t>104</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5"/>
        </w:trPr>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CONDUENT INCORPORATED</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MICHAEL FISHERMAN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6351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Fisherman</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160"/>
          </w:cols>
          <w:pgMar w:left="320" w:top="998"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News from Conduent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31750</wp:posOffset>
            </wp:positionV>
            <wp:extent cx="1131570" cy="28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2825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Conduent</w:t>
      </w:r>
    </w:p>
    <w:p>
      <w:pPr>
        <w:ind w:left="7160"/>
        <w:spacing w:after="0" w:line="205" w:lineRule="auto"/>
        <w:rPr>
          <w:sz w:val="20"/>
          <w:szCs w:val="20"/>
          <w:color w:val="auto"/>
        </w:rPr>
      </w:pPr>
      <w:r>
        <w:rPr>
          <w:rFonts w:ascii="Times New Roman" w:cs="Times New Roman" w:eastAsia="Times New Roman" w:hAnsi="Times New Roman"/>
          <w:sz w:val="18"/>
          <w:szCs w:val="18"/>
          <w:color w:val="auto"/>
        </w:rPr>
        <w:t>Incorporated 100</w:t>
      </w:r>
    </w:p>
    <w:p>
      <w:pPr>
        <w:ind w:left="7160"/>
        <w:spacing w:after="0" w:line="204" w:lineRule="auto"/>
        <w:rPr>
          <w:sz w:val="20"/>
          <w:szCs w:val="20"/>
          <w:color w:val="auto"/>
        </w:rPr>
      </w:pPr>
      <w:r>
        <w:rPr>
          <w:rFonts w:ascii="Times New Roman" w:cs="Times New Roman" w:eastAsia="Times New Roman" w:hAnsi="Times New Roman"/>
          <w:sz w:val="18"/>
          <w:szCs w:val="18"/>
          <w:color w:val="auto"/>
        </w:rPr>
        <w:t>Campus Drive</w:t>
      </w:r>
    </w:p>
    <w:p>
      <w:pPr>
        <w:ind w:left="7160"/>
        <w:spacing w:after="0" w:line="219" w:lineRule="auto"/>
        <w:rPr>
          <w:sz w:val="20"/>
          <w:szCs w:val="20"/>
          <w:color w:val="auto"/>
        </w:rPr>
      </w:pPr>
      <w:r>
        <w:rPr>
          <w:rFonts w:ascii="Times New Roman" w:cs="Times New Roman" w:eastAsia="Times New Roman" w:hAnsi="Times New Roman"/>
          <w:sz w:val="18"/>
          <w:szCs w:val="18"/>
          <w:color w:val="auto"/>
        </w:rPr>
        <w:t>Florham Park, N.J.</w:t>
      </w:r>
    </w:p>
    <w:p>
      <w:pPr>
        <w:ind w:left="7160"/>
        <w:spacing w:after="0" w:line="203" w:lineRule="auto"/>
        <w:rPr>
          <w:sz w:val="20"/>
          <w:szCs w:val="20"/>
          <w:color w:val="auto"/>
        </w:rPr>
      </w:pPr>
      <w:r>
        <w:rPr>
          <w:rFonts w:ascii="Times New Roman" w:cs="Times New Roman" w:eastAsia="Times New Roman" w:hAnsi="Times New Roman"/>
          <w:sz w:val="18"/>
          <w:szCs w:val="18"/>
          <w:color w:val="auto"/>
        </w:rPr>
        <w:t>07932</w:t>
      </w:r>
    </w:p>
    <w:p>
      <w:pPr>
        <w:spacing w:after="0" w:line="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www.Conduent.com</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Conduent Appoints Adam Demuyakor to Board of Directors</w:t>
      </w:r>
    </w:p>
    <w:p>
      <w:pPr>
        <w:spacing w:after="0" w:line="345" w:lineRule="exact"/>
        <w:rPr>
          <w:sz w:val="20"/>
          <w:szCs w:val="20"/>
          <w:color w:val="auto"/>
        </w:rPr>
      </w:pPr>
    </w:p>
    <w:p>
      <w:pPr>
        <w:jc w:val="center"/>
        <w:spacing w:after="0" w:line="236" w:lineRule="auto"/>
        <w:rPr>
          <w:sz w:val="20"/>
          <w:szCs w:val="20"/>
          <w:color w:val="auto"/>
        </w:rPr>
      </w:pPr>
      <w:r>
        <w:rPr>
          <w:rFonts w:ascii="Arial" w:cs="Arial" w:eastAsia="Arial" w:hAnsi="Arial"/>
          <w:sz w:val="22"/>
          <w:szCs w:val="22"/>
          <w:i w:val="1"/>
          <w:iCs w:val="1"/>
          <w:color w:val="auto"/>
        </w:rPr>
        <w:t>Technology Investor and Digital Transformation Leader Brings Deep Expertise in AI, Innovation and Enterprise Technology Strategy</w:t>
      </w:r>
    </w:p>
    <w:p>
      <w:pPr>
        <w:spacing w:after="0" w:line="28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 xml:space="preserve">FLORHAM PARK, N.J., May 20, 2026 </w:t>
      </w:r>
      <w:r>
        <w:rPr>
          <w:rFonts w:ascii="Arial" w:cs="Arial" w:eastAsia="Arial" w:hAnsi="Arial"/>
          <w:sz w:val="20"/>
          <w:szCs w:val="20"/>
          <w:color w:val="auto"/>
        </w:rPr>
        <w:t>— Conduent Incorporated (Nasdaq: CNDT), a global technology-driven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solutions and services company, today announced the appointment of Adam Demuyakor to its Board of Directors, effective June 1, 2026. Mr. Demuyakor brings experience in technology, strategic investing, and business transformation, with a track record of advising organizations on innovation, enterprise modernization, and growth.</w:t>
      </w:r>
    </w:p>
    <w:p>
      <w:pPr>
        <w:spacing w:after="0" w:line="213" w:lineRule="exact"/>
        <w:rPr>
          <w:sz w:val="20"/>
          <w:szCs w:val="20"/>
          <w:color w:val="auto"/>
        </w:rPr>
      </w:pPr>
    </w:p>
    <w:p>
      <w:pPr>
        <w:ind w:right="300"/>
        <w:spacing w:after="0" w:line="259" w:lineRule="auto"/>
        <w:rPr>
          <w:sz w:val="20"/>
          <w:szCs w:val="20"/>
          <w:color w:val="auto"/>
        </w:rPr>
      </w:pPr>
      <w:r>
        <w:rPr>
          <w:rFonts w:ascii="Arial" w:cs="Arial" w:eastAsia="Arial" w:hAnsi="Arial"/>
          <w:sz w:val="20"/>
          <w:szCs w:val="20"/>
          <w:color w:val="auto"/>
        </w:rPr>
        <w:t>Mr. Demuyakor is Founder and Managing Partner of Wilshire Lane Capital, a venture capital firm focused on high-growth, technology-enabled businesses, and transformative technologies. In this role, he advises corporate partners on business modernization initiatives and has led investments across generative AI applications, enterprise software, financial technology, and infrastructure platforms.</w:t>
      </w:r>
    </w:p>
    <w:p>
      <w:pPr>
        <w:spacing w:after="0" w:line="195"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In addition to his role at Wilshire Lane Capital, Mr. Demuyakor serves as Vice Chairman of the Housing Authority of the City of Los Angeles, the second-largest public housing authority in the United States, and he brings direct governance experience with complex governmental enterprises. Prior to founding Wilshire Lane Capital, he also held investment and advisory roles at Andreessen Horowitz, The Carlyle Group, and Morgan Stanley. Mr. Demuyakor holds a bachelor’s degree, with high honors, from Harvard College and an MBA from Harvard Business School.</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“A key priority for our Board is ensuring we continue to broaden the range of skills, experiences, and perspectives represented around the table,” said Margarita Paláu-Hernández, Chair of the Board, Conduent Incorporated. “Adam’s background expands the breadth of expertise represented on our Board and enhances the diversity of thought that supports effective governance and long-term value creation.”</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“Adam brings valuable experience at the intersection of technology, investment, and business transformation that will complement the capabilities of our Board,” said Harsha V. Agadi, Chief Executive Officer of Conduent. “His perspective on innovation, enterprise modernization, and AI-enabled technologies will support Conduent as we continue strengthening how we operate, advancing our technology agenda, and delivering strong outcomes for clients, associates, and shareholders.”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“I am honored to join Conduent’s Board at an important time in the company’s transformation,” said Mr. Demuyakor. “Conduent’s focus on operational excellence, client service, and technology-enabled solutions creates a strong foundation for future growth. I look forward to working with the Board and leadership team to help support the company’s long-term strategy and continued transformation.”</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Conduent</w:t>
      </w:r>
    </w:p>
    <w:p>
      <w:pPr>
        <w:spacing w:after="0" w:line="20"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Conduent delivers digital business solutions and services spanning the commercial, government and 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48,000 associates, process expertise and advanced technologies, Conduent’s solutions and services digitally transform its clients’ operations to enhance customer experiences, improve performance, increase efficiencies and reduce costs. Conduent adds momentum to its clients’ missions in many ways including disbursing approximately $80 billion in government payments annually, enabling approximately 2.0 billion customer service interactions annually, empowering millions of employees through HR services every year and processing over 14 million tolling transactions every day. Learn more at www.conduent.com.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Remy Kaul, remy.kaul@conduent.com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Conduent, ir@conduent.com</w:t>
      </w:r>
    </w:p>
    <w:p>
      <w:pPr>
        <w:spacing w:after="0" w:line="200" w:lineRule="exact"/>
        <w:rPr>
          <w:sz w:val="20"/>
          <w:szCs w:val="20"/>
          <w:color w:val="auto"/>
        </w:rPr>
      </w:pPr>
    </w:p>
    <w:p>
      <w:pPr>
        <w:spacing w:after="0" w:line="284" w:lineRule="exact"/>
        <w:rPr>
          <w:sz w:val="20"/>
          <w:szCs w:val="20"/>
          <w:color w:val="auto"/>
        </w:rPr>
      </w:pPr>
    </w:p>
    <w:p>
      <w:pPr>
        <w:ind w:right="1500"/>
        <w:spacing w:after="0" w:line="287"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 www.news.conduent.com. For open commentary, industry perspectives and views,</w:t>
      </w:r>
      <w:r>
        <w:rPr>
          <w:rFonts w:ascii="Arial" w:cs="Arial" w:eastAsia="Arial" w:hAnsi="Arial"/>
          <w:sz w:val="18"/>
          <w:szCs w:val="18"/>
          <w:b w:val="1"/>
          <w:bCs w:val="1"/>
          <w:color w:val="auto"/>
        </w:rPr>
        <w:t xml:space="preserve"> </w:t>
      </w:r>
      <w:r>
        <w:rPr>
          <w:rFonts w:ascii="Arial" w:cs="Arial" w:eastAsia="Arial" w:hAnsi="Arial"/>
          <w:sz w:val="18"/>
          <w:szCs w:val="18"/>
          <w:color w:val="auto"/>
        </w:rPr>
        <w:t>https://x.com/Conduent, http://www.linkedin.com/company/Conduent or http://www.facebook.com/Conduent.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Conduent is a trademark of Conduent Incorporated in the United States and/or other countries. Other names may be trademarks of their respective owners.</w:t>
      </w:r>
    </w:p>
    <w:sectPr>
      <w:pgSz w:w="11900" w:h="16838" w:orient="portrait"/>
      <w:cols w:equalWidth="0" w:num="1">
        <w:col w:w="11240"/>
      </w:cols>
      <w:pgMar w:left="32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2026-05-20T15:27:07Z</dcterms:created>
  <dcterms:modified xsi:type="dcterms:W3CDTF">2026-05-20T15:27:07Z</dcterms:modified>
</cp:coreProperties>
</file>