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November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3081020</wp:posOffset>
            </wp:positionH>
            <wp:positionV relativeFrom="paragraph">
              <wp:posOffset>57785</wp:posOffset>
            </wp:positionV>
            <wp:extent cx="1005840" cy="251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5840" cy="25146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CONDUENT INCORPORATED</w:t>
      </w:r>
    </w:p>
    <w:p>
      <w:pPr>
        <w:spacing w:after="0" w:line="45" w:lineRule="exact"/>
        <w:rPr>
          <w:sz w:val="24"/>
          <w:szCs w:val="24"/>
          <w:color w:val="auto"/>
        </w:rPr>
      </w:pPr>
    </w:p>
    <w:p>
      <w:pPr>
        <w:jc w:val="center"/>
        <w:ind w:right="60"/>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80"/>
          </w:cols>
          <w:pgMar w:left="300" w:top="747" w:right="319" w:bottom="1440" w:gutter="0" w:footer="0" w:header="0"/>
        </w:sectPr>
      </w:pPr>
    </w:p>
    <w:p>
      <w:pPr>
        <w:spacing w:after="0" w:line="39" w:lineRule="exact"/>
        <w:rPr>
          <w:sz w:val="24"/>
          <w:szCs w:val="24"/>
          <w:color w:val="auto"/>
        </w:rPr>
      </w:pPr>
    </w:p>
    <w:p>
      <w:pPr>
        <w:ind w:left="1280"/>
        <w:spacing w:after="0"/>
        <w:rPr>
          <w:sz w:val="20"/>
          <w:szCs w:val="20"/>
          <w:color w:val="auto"/>
        </w:rPr>
      </w:pPr>
      <w:r>
        <w:rPr>
          <w:rFonts w:ascii="Arial" w:cs="Arial" w:eastAsia="Arial" w:hAnsi="Arial"/>
          <w:sz w:val="11"/>
          <w:szCs w:val="11"/>
          <w:b w:val="1"/>
          <w:bCs w:val="1"/>
          <w:color w:val="auto"/>
        </w:rPr>
        <w:t>New York</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520"/>
        <w:spacing w:after="0"/>
        <w:rPr>
          <w:sz w:val="20"/>
          <w:szCs w:val="20"/>
          <w:color w:val="auto"/>
        </w:rPr>
      </w:pPr>
      <w:r>
        <w:rPr>
          <w:rFonts w:ascii="Arial" w:cs="Arial" w:eastAsia="Arial" w:hAnsi="Arial"/>
          <w:sz w:val="12"/>
          <w:szCs w:val="12"/>
          <w:b w:val="1"/>
          <w:bCs w:val="1"/>
          <w:color w:val="auto"/>
        </w:rPr>
        <w:t>001-37817</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81-2983623</w:t>
      </w:r>
    </w:p>
    <w:p>
      <w:pPr>
        <w:spacing w:after="0" w:line="26" w:lineRule="exact"/>
        <w:rPr>
          <w:sz w:val="24"/>
          <w:szCs w:val="24"/>
          <w:color w:val="auto"/>
        </w:rPr>
      </w:pPr>
    </w:p>
    <w:p>
      <w:pPr>
        <w:sectPr>
          <w:pgSz w:w="11900" w:h="16838" w:orient="portrait"/>
          <w:cols w:equalWidth="0" w:num="3">
            <w:col w:w="4400" w:space="720"/>
            <w:col w:w="3100" w:space="720"/>
            <w:col w:w="2340"/>
          </w:cols>
          <w:pgMar w:left="300" w:top="747" w:right="319" w:bottom="1440" w:gutter="0" w:footer="0" w:header="0"/>
          <w:type w:val="continuous"/>
        </w:sectPr>
      </w:pPr>
    </w:p>
    <w:p>
      <w:pPr>
        <w:spacing w:after="0" w:line="17" w:lineRule="exact"/>
        <w:rPr>
          <w:sz w:val="24"/>
          <w:szCs w:val="24"/>
          <w:color w:val="auto"/>
        </w:rPr>
      </w:pPr>
    </w:p>
    <w:p>
      <w:pPr>
        <w:ind w:left="940"/>
        <w:spacing w:after="0"/>
        <w:rPr>
          <w:sz w:val="20"/>
          <w:szCs w:val="20"/>
          <w:color w:val="auto"/>
        </w:rPr>
      </w:pPr>
      <w:r>
        <w:rPr>
          <w:rFonts w:ascii="Arial" w:cs="Arial" w:eastAsia="Arial" w:hAnsi="Arial"/>
          <w:sz w:val="8"/>
          <w:szCs w:val="8"/>
          <w:color w:val="auto"/>
        </w:rPr>
        <w:t>(State or other jurisdiction of</w:t>
      </w:r>
    </w:p>
    <w:p>
      <w:pPr>
        <w:spacing w:after="0" w:line="6" w:lineRule="exact"/>
        <w:rPr>
          <w:sz w:val="24"/>
          <w:szCs w:val="24"/>
          <w:color w:val="auto"/>
        </w:rPr>
      </w:pPr>
    </w:p>
    <w:p>
      <w:pPr>
        <w:ind w:left="920"/>
        <w:spacing w:after="0"/>
        <w:rPr>
          <w:sz w:val="20"/>
          <w:szCs w:val="20"/>
          <w:color w:val="auto"/>
        </w:rPr>
      </w:pPr>
      <w:r>
        <w:rPr>
          <w:rFonts w:ascii="Arial" w:cs="Arial" w:eastAsia="Arial" w:hAnsi="Arial"/>
          <w:sz w:val="8"/>
          <w:szCs w:val="8"/>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(Commission</w:t>
      </w:r>
    </w:p>
    <w:p>
      <w:pPr>
        <w:spacing w:after="0" w:line="6" w:lineRule="exact"/>
        <w:rPr>
          <w:sz w:val="24"/>
          <w:szCs w:val="24"/>
          <w:color w:val="auto"/>
        </w:rPr>
      </w:pPr>
    </w:p>
    <w:p>
      <w:pPr>
        <w:spacing w:after="0"/>
        <w:rPr>
          <w:sz w:val="20"/>
          <w:szCs w:val="20"/>
          <w:color w:val="auto"/>
        </w:rPr>
      </w:pPr>
      <w:r>
        <w:rPr>
          <w:rFonts w:ascii="Arial" w:cs="Arial" w:eastAsia="Arial" w:hAnsi="Arial"/>
          <w:sz w:val="8"/>
          <w:szCs w:val="8"/>
          <w:color w:val="auto"/>
        </w:rPr>
        <w:t>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0"/>
          <w:szCs w:val="10"/>
          <w:color w:val="auto"/>
        </w:rPr>
        <w:t>(IRS Employer</w:t>
      </w:r>
    </w:p>
    <w:p>
      <w:pPr>
        <w:jc w:val="center"/>
        <w:ind w:right="1660"/>
        <w:spacing w:after="0"/>
        <w:rPr>
          <w:sz w:val="20"/>
          <w:szCs w:val="20"/>
          <w:color w:val="auto"/>
        </w:rPr>
      </w:pPr>
      <w:r>
        <w:rPr>
          <w:rFonts w:ascii="Arial" w:cs="Arial" w:eastAsia="Arial" w:hAnsi="Arial"/>
          <w:sz w:val="8"/>
          <w:szCs w:val="8"/>
          <w:color w:val="auto"/>
        </w:rPr>
        <w:t>Identification No.)</w:t>
      </w:r>
    </w:p>
    <w:p>
      <w:pPr>
        <w:spacing w:after="0" w:line="108" w:lineRule="exact"/>
        <w:rPr>
          <w:sz w:val="24"/>
          <w:szCs w:val="24"/>
          <w:color w:val="auto"/>
        </w:rPr>
      </w:pPr>
    </w:p>
    <w:p>
      <w:pPr>
        <w:sectPr>
          <w:pgSz w:w="11900" w:h="16838" w:orient="portrait"/>
          <w:cols w:equalWidth="0" w:num="3">
            <w:col w:w="4400" w:space="720"/>
            <w:col w:w="3040" w:space="720"/>
            <w:col w:w="2400"/>
          </w:cols>
          <w:pgMar w:left="300" w:top="747" w:right="319" w:bottom="1440" w:gutter="0" w:footer="0" w:header="0"/>
          <w:type w:val="continuous"/>
        </w:sectPr>
      </w:pPr>
    </w:p>
    <w:p>
      <w:pPr>
        <w:jc w:val="center"/>
        <w:spacing w:after="0"/>
        <w:tabs>
          <w:tab w:leader="none" w:pos="420" w:val="left"/>
        </w:tabs>
        <w:rPr>
          <w:sz w:val="20"/>
          <w:szCs w:val="20"/>
          <w:color w:val="auto"/>
        </w:rPr>
      </w:pPr>
      <w:r>
        <w:rPr>
          <w:rFonts w:ascii="Arial" w:cs="Arial" w:eastAsia="Arial" w:hAnsi="Arial"/>
          <w:sz w:val="12"/>
          <w:szCs w:val="12"/>
          <w:b w:val="1"/>
          <w:bCs w:val="1"/>
          <w:color w:val="auto"/>
        </w:rPr>
        <w:t>100 Campus Drive,</w:t>
      </w:r>
      <w:r>
        <w:rPr>
          <w:sz w:val="20"/>
          <w:szCs w:val="20"/>
          <w:color w:val="auto"/>
        </w:rPr>
        <w:tab/>
      </w:r>
      <w:r>
        <w:rPr>
          <w:rFonts w:ascii="Arial" w:cs="Arial" w:eastAsia="Arial" w:hAnsi="Arial"/>
          <w:sz w:val="11"/>
          <w:szCs w:val="11"/>
          <w:b w:val="1"/>
          <w:bCs w:val="1"/>
          <w:color w:val="auto"/>
        </w:rPr>
        <w:t>Suite 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Florham Park, New Jersey</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07932</w:t>
      </w:r>
    </w:p>
    <w:p>
      <w:pPr>
        <w:spacing w:after="0" w:line="29" w:lineRule="exact"/>
        <w:rPr>
          <w:sz w:val="24"/>
          <w:szCs w:val="24"/>
          <w:color w:val="auto"/>
        </w:rPr>
      </w:pPr>
    </w:p>
    <w:p>
      <w:pPr>
        <w:ind w:left="3620"/>
        <w:spacing w:after="0"/>
        <w:rPr>
          <w:sz w:val="20"/>
          <w:szCs w:val="20"/>
          <w:color w:val="auto"/>
        </w:rPr>
      </w:pPr>
      <w:r>
        <w:rPr>
          <w:rFonts w:ascii="Arial" w:cs="Arial" w:eastAsia="Arial" w:hAnsi="Arial"/>
          <w:sz w:val="10"/>
          <w:szCs w:val="10"/>
          <w:color w:val="auto"/>
        </w:rPr>
        <w:t>(Address of principal executive offices) (Zip Code)</w:t>
      </w:r>
    </w:p>
    <w:p>
      <w:pPr>
        <w:sectPr>
          <w:pgSz w:w="11900" w:h="16838" w:orient="portrait"/>
          <w:cols w:equalWidth="0" w:num="1">
            <w:col w:w="11280"/>
          </w:cols>
          <w:pgMar w:left="300" w:top="747" w:right="319" w:bottom="1440" w:gutter="0" w:footer="0" w:header="0"/>
          <w:type w:val="continuous"/>
        </w:sect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(844) 663-2638</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35"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3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24"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24"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3"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1280"/>
          </w:cols>
          <w:pgMar w:left="300" w:top="747" w:right="319" w:bottom="1440" w:gutter="0" w:footer="0" w:header="0"/>
          <w:type w:val="continuous"/>
        </w:sectPr>
      </w:pPr>
    </w:p>
    <w:p>
      <w:pPr>
        <w:spacing w:after="0" w:line="39" w:lineRule="exact"/>
        <w:rPr>
          <w:sz w:val="24"/>
          <w:szCs w:val="24"/>
          <w:color w:val="auto"/>
        </w:rPr>
      </w:pPr>
    </w:p>
    <w:p>
      <w:pPr>
        <w:ind w:left="1460"/>
        <w:spacing w:after="0"/>
        <w:rPr>
          <w:sz w:val="20"/>
          <w:szCs w:val="20"/>
          <w:color w:val="auto"/>
        </w:rPr>
      </w:pPr>
      <w:r>
        <w:rPr>
          <w:rFonts w:ascii="Arial" w:cs="Arial" w:eastAsia="Arial" w:hAnsi="Arial"/>
          <w:sz w:val="8"/>
          <w:szCs w:val="8"/>
          <w:color w:val="auto"/>
        </w:rPr>
        <w:t>Title of each class</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8"/>
          <w:szCs w:val="8"/>
          <w:color w:val="auto"/>
        </w:rPr>
        <w:t>Trading Symbol(s)</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8"/>
          <w:szCs w:val="8"/>
          <w:color w:val="auto"/>
        </w:rPr>
        <w:t>Name of each exchange on which registered</w:t>
      </w:r>
    </w:p>
    <w:p>
      <w:pPr>
        <w:spacing w:after="0" w:line="44" w:lineRule="exact"/>
        <w:rPr>
          <w:sz w:val="24"/>
          <w:szCs w:val="24"/>
          <w:color w:val="auto"/>
        </w:rPr>
      </w:pPr>
    </w:p>
    <w:p>
      <w:pPr>
        <w:sectPr>
          <w:pgSz w:w="11900" w:h="16838" w:orient="portrait"/>
          <w:cols w:equalWidth="0" w:num="3">
            <w:col w:w="3640" w:space="720"/>
            <w:col w:w="2520" w:space="720"/>
            <w:col w:w="3680"/>
          </w:cols>
          <w:pgMar w:left="300" w:top="747" w:right="319" w:bottom="1440" w:gutter="0" w:footer="0" w:header="0"/>
          <w:type w:val="continuous"/>
        </w:sectPr>
      </w:pPr>
    </w:p>
    <w:p>
      <w:pPr>
        <w:ind w:left="940"/>
        <w:spacing w:after="0"/>
        <w:rPr>
          <w:sz w:val="20"/>
          <w:szCs w:val="20"/>
          <w:color w:val="auto"/>
        </w:rPr>
      </w:pPr>
      <w:r>
        <w:rPr>
          <w:rFonts w:ascii="Arial" w:cs="Arial" w:eastAsia="Arial" w:hAnsi="Arial"/>
          <w:sz w:val="11"/>
          <w:szCs w:val="11"/>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NASDAQ Global Select Market</w:t>
      </w:r>
    </w:p>
    <w:p>
      <w:pPr>
        <w:spacing w:after="0" w:line="211" w:lineRule="exact"/>
        <w:rPr>
          <w:sz w:val="24"/>
          <w:szCs w:val="24"/>
          <w:color w:val="auto"/>
        </w:rPr>
      </w:pPr>
    </w:p>
    <w:p>
      <w:pPr>
        <w:sectPr>
          <w:pgSz w:w="11900" w:h="16838" w:orient="portrait"/>
          <w:cols w:equalWidth="0" w:num="3">
            <w:col w:w="3860" w:space="720"/>
            <w:col w:w="2380" w:space="720"/>
            <w:col w:w="3600"/>
          </w:cols>
          <w:pgMar w:left="300" w:top="747" w:right="319" w:bottom="1440" w:gutter="0" w:footer="0" w:header="0"/>
          <w:type w:val="continuous"/>
        </w:sectPr>
      </w:pPr>
    </w:p>
    <w:p>
      <w:pPr>
        <w:spacing w:after="0" w:line="31" w:lineRule="exact"/>
        <w:rPr>
          <w:sz w:val="24"/>
          <w:szCs w:val="24"/>
          <w:color w:val="auto"/>
        </w:rPr>
      </w:pPr>
    </w:p>
    <w:p>
      <w:pPr>
        <w:ind w:right="360"/>
        <w:spacing w:after="0" w:line="156" w:lineRule="exact"/>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(CFR 230.405) or Rule 12b-2 of the Securities Exchange Act of 1934 (CFR 240.12b-2).</w:t>
      </w:r>
      <w:r>
        <w:rPr>
          <w:rFonts w:ascii="MS PGothic" w:cs="MS PGothic" w:eastAsia="MS PGothic" w:hAnsi="MS PGothic"/>
          <w:sz w:val="10"/>
          <w:szCs w:val="10"/>
          <w:color w:val="auto"/>
        </w:rPr>
        <w:t>☐</w:t>
      </w:r>
      <w:r>
        <w:rPr>
          <w:rFonts w:ascii="Arial" w:cs="Arial" w:eastAsia="Arial" w:hAnsi="Arial"/>
          <w:sz w:val="12"/>
          <w:szCs w:val="12"/>
          <w:color w:val="auto"/>
        </w:rPr>
        <w:t xml:space="preserve"> Emerging growth company</w:t>
      </w:r>
    </w:p>
    <w:p>
      <w:pPr>
        <w:spacing w:after="0" w:line="138" w:lineRule="exact"/>
        <w:rPr>
          <w:sz w:val="24"/>
          <w:szCs w:val="24"/>
          <w:color w:val="auto"/>
        </w:rPr>
      </w:pPr>
    </w:p>
    <w:p>
      <w:pPr>
        <w:spacing w:after="0" w:line="15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78"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On November 5, 2026, Conduent Incorporated (the "Company") released its third quarter 2026 financial results and is furnishing to the Securities and Exchange Commission (the "Commission") a copy of the financial results press release as Exhibit 99.1 to this Current Report on Form 8-K (this "Report") under Item 2.02 of Form 8-K.</w:t>
      </w:r>
    </w:p>
    <w:p>
      <w:pPr>
        <w:spacing w:after="0" w:line="103"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The information contained in Item 2.02 of this Report and in Exhibit 99.1 shall not be deemed “filed” with the Commission for purposes of Section 18 of the Exchange Act of 1934, as amended, or otherwise subject to the liability of that section.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0"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On November 5, 2026, the Company conducted a financial results call regarding its 2026 third quarter results and is furnishing to the Commission a copy of the presentation used during the financial results call as Exhibit 99.2 to this Report under Item 7.01 of Form 8-K.</w:t>
      </w:r>
    </w:p>
    <w:p>
      <w:pPr>
        <w:spacing w:after="0" w:line="67" w:lineRule="exact"/>
        <w:rPr>
          <w:sz w:val="20"/>
          <w:szCs w:val="20"/>
          <w:color w:val="auto"/>
        </w:rPr>
      </w:pPr>
    </w:p>
    <w:p>
      <w:pPr>
        <w:ind w:right="280"/>
        <w:spacing w:after="0" w:line="286" w:lineRule="auto"/>
        <w:rPr>
          <w:sz w:val="20"/>
          <w:szCs w:val="20"/>
          <w:color w:val="auto"/>
        </w:rPr>
      </w:pPr>
      <w:r>
        <w:rPr>
          <w:rFonts w:ascii="Arial" w:cs="Arial" w:eastAsia="Arial" w:hAnsi="Arial"/>
          <w:sz w:val="12"/>
          <w:szCs w:val="12"/>
          <w:color w:val="auto"/>
        </w:rPr>
        <w:t>The information contained in Item 7.01 of this Report and in Exhibit 99.2 to this Report shall not be deemed “filed” with the Commission for purposes of Section 18 of the Exchange Act of 1934, as amended, or otherwise subject to the liability of that section.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00" w:type="dxa"/>
            <w:vAlign w:val="bottom"/>
            <w:gridSpan w:val="4"/>
          </w:tcPr>
          <w:p>
            <w:pPr>
              <w:spacing w:after="0"/>
              <w:rPr>
                <w:sz w:val="20"/>
                <w:szCs w:val="20"/>
                <w:color w:val="auto"/>
              </w:rPr>
            </w:pPr>
            <w:r>
              <w:rPr>
                <w:rFonts w:ascii="Arial" w:cs="Arial" w:eastAsia="Arial" w:hAnsi="Arial"/>
                <w:sz w:val="12"/>
                <w:szCs w:val="12"/>
                <w:color w:val="auto"/>
              </w:rPr>
              <w:t>(d) Exhibits.</w:t>
            </w:r>
          </w:p>
        </w:tc>
        <w:tc>
          <w:tcPr>
            <w:tcW w:w="9200" w:type="dxa"/>
            <w:vAlign w:val="bottom"/>
          </w:tcPr>
          <w:p>
            <w:pPr>
              <w:spacing w:after="0"/>
              <w:rPr>
                <w:sz w:val="13"/>
                <w:szCs w:val="13"/>
                <w:color w:val="auto"/>
              </w:rPr>
            </w:pPr>
          </w:p>
        </w:tc>
      </w:tr>
      <w:tr>
        <w:trPr>
          <w:trHeight w:val="178"/>
        </w:trPr>
        <w:tc>
          <w:tcPr>
            <w:tcW w:w="2100" w:type="dxa"/>
            <w:vAlign w:val="bottom"/>
            <w:gridSpan w:val="4"/>
          </w:tcPr>
          <w:p>
            <w:pPr>
              <w:ind w:left="600"/>
              <w:spacing w:after="0"/>
              <w:rPr>
                <w:sz w:val="20"/>
                <w:szCs w:val="20"/>
                <w:color w:val="auto"/>
              </w:rPr>
            </w:pPr>
            <w:r>
              <w:rPr>
                <w:rFonts w:ascii="Arial" w:cs="Arial" w:eastAsia="Arial" w:hAnsi="Arial"/>
                <w:sz w:val="12"/>
                <w:szCs w:val="12"/>
                <w:b w:val="1"/>
                <w:bCs w:val="1"/>
                <w:color w:val="auto"/>
              </w:rPr>
              <w:t>Exhibit No.</w:t>
            </w:r>
          </w:p>
        </w:tc>
        <w:tc>
          <w:tcPr>
            <w:tcW w:w="9200" w:type="dxa"/>
            <w:vAlign w:val="bottom"/>
          </w:tcPr>
          <w:p>
            <w:pPr>
              <w:ind w:left="20"/>
              <w:spacing w:after="0"/>
              <w:rPr>
                <w:sz w:val="20"/>
                <w:szCs w:val="20"/>
                <w:color w:val="auto"/>
              </w:rPr>
            </w:pPr>
            <w:r>
              <w:rPr>
                <w:rFonts w:ascii="Arial" w:cs="Arial" w:eastAsia="Arial" w:hAnsi="Arial"/>
                <w:sz w:val="12"/>
                <w:szCs w:val="12"/>
                <w:b w:val="1"/>
                <w:bCs w:val="1"/>
                <w:color w:val="auto"/>
              </w:rPr>
              <w:t>Description</w:t>
            </w:r>
          </w:p>
        </w:tc>
      </w:tr>
      <w:tr>
        <w:trPr>
          <w:trHeight w:val="124"/>
        </w:trPr>
        <w:tc>
          <w:tcPr>
            <w:tcW w:w="1040" w:type="dxa"/>
            <w:vAlign w:val="bottom"/>
            <w:tcBorders>
              <w:top w:val="single" w:sz="8" w:color="auto"/>
            </w:tcBorders>
            <w:gridSpan w:val="2"/>
          </w:tcPr>
          <w:p>
            <w:pPr>
              <w:jc w:val="center"/>
              <w:ind w:left="740"/>
              <w:spacing w:after="0" w:line="124" w:lineRule="exact"/>
              <w:rPr>
                <w:sz w:val="20"/>
                <w:szCs w:val="20"/>
                <w:color w:val="auto"/>
              </w:rPr>
            </w:pPr>
            <w:r>
              <w:rPr>
                <w:rFonts w:ascii="Arial" w:cs="Arial" w:eastAsia="Arial" w:hAnsi="Arial"/>
                <w:sz w:val="12"/>
                <w:szCs w:val="12"/>
                <w:color w:val="0000FF"/>
              </w:rPr>
              <w:t>99.</w:t>
            </w:r>
            <w:r>
              <w:rPr>
                <w:rFonts w:ascii="Arial" w:cs="Arial" w:eastAsia="Arial" w:hAnsi="Arial"/>
                <w:sz w:val="12"/>
                <w:szCs w:val="12"/>
                <w:u w:val="single" w:color="auto"/>
                <w:color w:val="0000FF"/>
              </w:rPr>
              <w:t>1</w:t>
            </w: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2"/>
                <w:szCs w:val="12"/>
                <w:color w:val="auto"/>
              </w:rPr>
              <w:t>Registrant’s third quarter 2026 financial results press release dated November 5, 2026</w:t>
            </w:r>
          </w:p>
        </w:tc>
      </w:tr>
      <w:tr>
        <w:trPr>
          <w:trHeight w:val="20"/>
        </w:trPr>
        <w:tc>
          <w:tcPr>
            <w:tcW w:w="8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142"/>
        </w:trPr>
        <w:tc>
          <w:tcPr>
            <w:tcW w:w="1040" w:type="dxa"/>
            <w:vAlign w:val="bottom"/>
            <w:gridSpan w:val="2"/>
          </w:tcPr>
          <w:p>
            <w:pPr>
              <w:jc w:val="center"/>
              <w:ind w:left="740"/>
              <w:spacing w:after="0"/>
              <w:rPr>
                <w:sz w:val="20"/>
                <w:szCs w:val="20"/>
                <w:color w:val="auto"/>
              </w:rPr>
            </w:pPr>
            <w:r>
              <w:rPr>
                <w:rFonts w:ascii="Arial" w:cs="Arial" w:eastAsia="Arial" w:hAnsi="Arial"/>
                <w:sz w:val="12"/>
                <w:szCs w:val="12"/>
                <w:color w:val="0000FF"/>
              </w:rPr>
              <w:t>99.</w:t>
            </w:r>
            <w:r>
              <w:rPr>
                <w:rFonts w:ascii="Arial" w:cs="Arial" w:eastAsia="Arial" w:hAnsi="Arial"/>
                <w:sz w:val="12"/>
                <w:szCs w:val="12"/>
                <w:u w:val="single" w:color="auto"/>
                <w:color w:val="0000FF"/>
              </w:rPr>
              <w:t>2</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0" w:type="dxa"/>
            <w:vAlign w:val="bottom"/>
          </w:tcPr>
          <w:p>
            <w:pPr>
              <w:ind w:left="20"/>
              <w:spacing w:after="0"/>
              <w:rPr>
                <w:sz w:val="20"/>
                <w:szCs w:val="20"/>
                <w:color w:val="auto"/>
              </w:rPr>
            </w:pPr>
            <w:r>
              <w:rPr>
                <w:rFonts w:ascii="Arial" w:cs="Arial" w:eastAsia="Arial" w:hAnsi="Arial"/>
                <w:sz w:val="12"/>
                <w:szCs w:val="12"/>
                <w:color w:val="auto"/>
              </w:rPr>
              <w:t>Registrant’s investor presentation dated November 5, 2026</w:t>
            </w:r>
          </w:p>
        </w:tc>
      </w:tr>
      <w:tr>
        <w:trPr>
          <w:trHeight w:val="171"/>
        </w:trPr>
        <w:tc>
          <w:tcPr>
            <w:tcW w:w="800" w:type="dxa"/>
            <w:vAlign w:val="bottom"/>
          </w:tcPr>
          <w:p>
            <w:pPr>
              <w:spacing w:after="0"/>
              <w:rPr>
                <w:sz w:val="14"/>
                <w:szCs w:val="14"/>
                <w:color w:val="auto"/>
              </w:rPr>
            </w:pPr>
          </w:p>
        </w:tc>
        <w:tc>
          <w:tcPr>
            <w:tcW w:w="24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auto"/>
                <w:w w:val="99"/>
              </w:rPr>
              <w:t>104</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0" w:type="dxa"/>
            <w:vAlign w:val="bottom"/>
          </w:tcPr>
          <w:p>
            <w:pPr>
              <w:ind w:left="20"/>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1132"/>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Forward-Looking Statements</w:t>
      </w:r>
    </w:p>
    <w:p>
      <w:pPr>
        <w:spacing w:after="0" w:line="114" w:lineRule="exact"/>
        <w:rPr>
          <w:sz w:val="20"/>
          <w:szCs w:val="20"/>
          <w:color w:val="auto"/>
        </w:rPr>
      </w:pPr>
    </w:p>
    <w:p>
      <w:pPr>
        <w:ind w:right="60"/>
        <w:spacing w:after="0" w:line="285" w:lineRule="auto"/>
        <w:rPr>
          <w:sz w:val="20"/>
          <w:szCs w:val="20"/>
          <w:color w:val="auto"/>
        </w:rPr>
      </w:pPr>
      <w:r>
        <w:rPr>
          <w:rFonts w:ascii="Arial" w:cs="Arial" w:eastAsia="Arial" w:hAnsi="Arial"/>
          <w:sz w:val="11"/>
          <w:szCs w:val="11"/>
          <w:color w:val="auto"/>
        </w:rPr>
        <w:t>This Report and any exhibits to this Report may contain "forward-looking statements" as defined in the Private Securities Litigation Reform Act of 1995, as amended (the "Litigation Reform Act"). The words “anticipate,” “believe,” “estimate,” “expect,” "plan," “intend,” “will,” “aim,” “should,” “could,” “forecast,” “target,” “may,” "continue to," "endeavor," "if,” “growing,” “projected,” “potential,” “likely,” "see," "ahead," "further," "going forward," "on the horizon," "as we progress," "going to," "path from here forward," "think," "path to deliver," "from here," “on track”, “remain”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Should one or more of these risks or uncertainties materialize, or should underlying assumptions prove incorrect, actual results may vary materially from those expressed or implied in this Report, any exhibits to this Report and other public statements we make.</w:t>
      </w:r>
    </w:p>
    <w:p>
      <w:pPr>
        <w:spacing w:after="0" w:line="71"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Important factors and uncertainties that could cause our actual results to differ materially from those in our forward-looking statements include, but are not limited to: risks related to recently announced divestitures including the sale of the Company’s (i) Transit Business and (ii) Tolling Business, including but not limited to our ability to realize the benefits anticipated from such transactions, unexpected costs, liabilities or delays associated with such transactions, the risk of litigation or regulatory actions and our inability to retain and hire key personnel; with respect to the sale of the Transit Business, risks that we do not receive some or all of the holdback amounts, including as a result of post-closing purchase price adjustments, indemnification claims or the failure to satisfy the conditions to release; the risk that transaction costs, taxes or other amounts payable in connection with the sale of the Transit Business exceed our current expectations; with respect to the pending sale of our Tolling Business, risks related to the equity interest in Quarterhill Inc. to be received as partial consideration in the Tolling transaction, including fluctuations in the value of such interest, the risk that required regulatory approvals, third-party consents or other closing conditions are not satisfied such that the closing is delayed or does not occur; government appropriations and termination rights contained in our government contracts; the impact of changes in government spending levels, budget priorities or efficiency initiatives, including federal cost-reduction programs, on demand for our government solutions and services; the competitiveness of the markets in which we operate and our ability to renew commercial and government contracts, including contracts awarded through competitive bidding processes; our ability to recover capital and other investments in connection with our contracts; the impact of geopolitical events and geopolitical tensions (such as the war in Ukraine and conflict in the Middle East), macroeconomic conditions, natural disasters and other factors in a particular country or region on our workforce, customers and vendors; the impact of changes in trade policies, tariffs or export controls on our cost structure, supply chain and business operations; our reliance on third-party providers; our ability to deliver on our contractual obligations properly and on time; changes in continued interest in outsourced business process services; the adverse effect of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effects related to our use of artificial intelligence ("AI") on our business;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our investigation of such incident and mitigation and remediation efforts, the nature and extent of such incident, the potential disruption to our business or operations, the potential impact on our reputation, and our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including with respect to the class action settlement related to the January 2025 Cyber Event, and the possibility that the court may materially alter or fail to approve the settlement agreement, uncertainties regarding the outcome of other legal proceedings or government investigations related to the January 2025 Cyber Event, unexpected costs or liabilities in connection with the settlement agreement and January 2025 Cyber Event, the risk of litigation or regulatory actions related to the January 2025 Cyber Event, and the availability and timing of cyber insurance recovery; the impact of potential goodwill and other asset impairments on our results of operations;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421640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0" w:right="319" w:bottom="1440" w:gutter="0" w:footer="0" w:header="0"/>
        </w:sectPr>
      </w:pPr>
    </w:p>
    <w:bookmarkStart w:id="3" w:name="page4"/>
    <w:bookmarkEnd w:id="3"/>
    <w:p>
      <w:pPr>
        <w:spacing w:after="0" w:line="256" w:lineRule="auto"/>
        <w:rPr>
          <w:sz w:val="20"/>
          <w:szCs w:val="20"/>
          <w:color w:val="auto"/>
        </w:rPr>
      </w:pPr>
      <w:r>
        <w:rPr>
          <w:rFonts w:ascii="Arial" w:cs="Arial" w:eastAsia="Arial" w:hAnsi="Arial"/>
          <w:sz w:val="12"/>
          <w:szCs w:val="12"/>
          <w:color w:val="auto"/>
        </w:rPr>
        <w:t>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or other payments from our subsidiaries; and other factors that are set forth in the “Risk Factors” section, the “Legal Proceedings” section, the “Management's Discussion and Analysis of Financial Condition and Results of Operations” section and other sections in our Annual Reports on Form 10-K, as well as in our Quarterly Reports on Form 10-Q and Current Reports on Form 8-K filed with or furnished to the Commission. Any forward-looking statements made by us in this Report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registrant has duly authorized this report to be signed on its behalf by the undersigned hereunto duly authorized.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 November 5, 2026</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2"/>
          <w:szCs w:val="12"/>
          <w:color w:val="auto"/>
        </w:rPr>
        <w:t>CONDUENT INCORPORATED</w:t>
      </w:r>
    </w:p>
    <w:p>
      <w:pPr>
        <w:ind w:left="40"/>
        <w:spacing w:after="0"/>
        <w:rPr>
          <w:sz w:val="20"/>
          <w:szCs w:val="20"/>
          <w:color w:val="auto"/>
        </w:rPr>
      </w:pPr>
      <w:r>
        <w:rPr>
          <w:rFonts w:ascii="Arial" w:cs="Arial" w:eastAsia="Arial" w:hAnsi="Arial"/>
          <w:sz w:val="12"/>
          <w:szCs w:val="12"/>
          <w:color w:val="auto"/>
        </w:rPr>
        <w:t>(Registrant)</w:t>
      </w:r>
    </w:p>
    <w:p>
      <w:pPr>
        <w:spacing w:after="0" w:line="165"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GEORGE ABATE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12065</wp:posOffset>
            </wp:positionV>
            <wp:extent cx="31032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03245" cy="5715"/>
                    </a:xfrm>
                    <a:prstGeom prst="rect">
                      <a:avLst/>
                    </a:prstGeom>
                    <a:noFill/>
                  </pic:spPr>
                </pic:pic>
              </a:graphicData>
            </a:graphic>
          </wp:anchor>
        </w:drawing>
      </w:r>
    </w:p>
    <w:p>
      <w:pPr>
        <w:spacing w:after="0" w:line="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George Abate</w:t>
      </w:r>
    </w:p>
    <w:p>
      <w:pPr>
        <w:ind w:left="560"/>
        <w:spacing w:after="0" w:line="219" w:lineRule="auto"/>
        <w:rPr>
          <w:sz w:val="20"/>
          <w:szCs w:val="20"/>
          <w:color w:val="auto"/>
        </w:rPr>
      </w:pPr>
      <w:r>
        <w:rPr>
          <w:rFonts w:ascii="Arial" w:cs="Arial" w:eastAsia="Arial" w:hAnsi="Arial"/>
          <w:sz w:val="12"/>
          <w:szCs w:val="12"/>
          <w:color w:val="auto"/>
        </w:rPr>
        <w:t>Vice President and Chief Accounting Officer</w:t>
      </w:r>
    </w:p>
    <w:p>
      <w:pPr>
        <w:ind w:left="560"/>
        <w:spacing w:after="0"/>
        <w:rPr>
          <w:sz w:val="20"/>
          <w:szCs w:val="20"/>
          <w:color w:val="auto"/>
        </w:rPr>
      </w:pPr>
      <w:r>
        <w:rPr>
          <w:rFonts w:ascii="Arial" w:cs="Arial" w:eastAsia="Arial" w:hAnsi="Arial"/>
          <w:sz w:val="12"/>
          <w:szCs w:val="12"/>
          <w:color w:val="auto"/>
        </w:rPr>
        <w:t>(Duly Authorized Officer and Principal Accounting Officer)</w:t>
      </w:r>
    </w:p>
    <w:p>
      <w:pPr>
        <w:sectPr>
          <w:pgSz w:w="11900" w:h="16838" w:orient="portrait"/>
          <w:cols w:equalWidth="0" w:num="1">
            <w:col w:w="11180"/>
          </w:cols>
          <w:pgMar w:left="300" w:top="640"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6418580</wp:posOffset>
            </wp:positionH>
            <wp:positionV relativeFrom="paragraph">
              <wp:posOffset>291465</wp:posOffset>
            </wp:positionV>
            <wp:extent cx="75438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News from Conduent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Conduent Reports Third Quarter 2026 Results; Reaffirms 2026 Outlook, Bolsters Liquidity Position and Completes Transit Sale</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Key Q3 2026 Highlights (from Continuing Operations)</w:t>
      </w:r>
    </w:p>
    <w:p>
      <w:pPr>
        <w:spacing w:after="0" w:line="76"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Revenue: $534 million</w:t>
      </w:r>
    </w:p>
    <w:p>
      <w:pPr>
        <w:spacing w:after="0" w:line="84"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Pre-tax Income (Loss): $(35) million</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 EBITDA</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 </w:t>
      </w:r>
      <w:r>
        <w:rPr>
          <w:rFonts w:ascii="Arial" w:cs="Arial" w:eastAsia="Arial" w:hAnsi="Arial"/>
          <w:sz w:val="13"/>
          <w:szCs w:val="13"/>
          <w:b w:val="1"/>
          <w:bCs w:val="1"/>
          <w:color w:val="auto"/>
        </w:rPr>
        <w:t>$36 million, up 16.1% year over year</w:t>
      </w:r>
    </w:p>
    <w:p>
      <w:pPr>
        <w:spacing w:after="0" w:line="38"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 EBITDA Margin</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w:t>
      </w:r>
      <w:r>
        <w:rPr>
          <w:rFonts w:ascii="Arial" w:cs="Arial" w:eastAsia="Arial" w:hAnsi="Arial"/>
          <w:sz w:val="13"/>
          <w:szCs w:val="13"/>
          <w:b w:val="1"/>
          <w:bCs w:val="1"/>
          <w:color w:val="auto"/>
        </w:rPr>
        <w:t>6.7%, up 160 basis points year over year</w:t>
      </w:r>
    </w:p>
    <w:p>
      <w:pPr>
        <w:spacing w:after="0" w:line="33"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New Business Signings ACV</w:t>
      </w:r>
      <w:r>
        <w:rPr>
          <w:rFonts w:ascii="Arial" w:cs="Arial" w:eastAsia="Arial" w:hAnsi="Arial"/>
          <w:sz w:val="17"/>
          <w:szCs w:val="17"/>
          <w:color w:val="auto"/>
          <w:vertAlign w:val="superscript"/>
        </w:rPr>
        <w:t>(2)</w:t>
      </w:r>
      <w:r>
        <w:rPr>
          <w:rFonts w:ascii="Arial" w:cs="Arial" w:eastAsia="Arial" w:hAnsi="Arial"/>
          <w:sz w:val="13"/>
          <w:szCs w:val="13"/>
          <w:color w:val="auto"/>
        </w:rPr>
        <w:t>: $61M</w:t>
      </w:r>
    </w:p>
    <w:p>
      <w:pPr>
        <w:spacing w:after="0" w:line="34"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Cost transformation: Identified $106M of $120M of cost-savings target, contributing to significant EBITDA margin improvement</w:t>
      </w:r>
    </w:p>
    <w:p>
      <w:pPr>
        <w:spacing w:after="0" w:line="84"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Financial position: Completed financing of $447 million in revolving credit commitments, maturing in May 2029</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FY 2026 outlook: Reaffirmed revenue of $2.15 billion–$2.25 billion and Adjusted EBITDA of $140 million–$170 million</w:t>
      </w:r>
    </w:p>
    <w:p>
      <w:pPr>
        <w:spacing w:after="0" w:line="247" w:lineRule="exact"/>
        <w:rPr>
          <w:sz w:val="20"/>
          <w:szCs w:val="20"/>
          <w:color w:val="auto"/>
        </w:rPr>
      </w:pPr>
    </w:p>
    <w:p>
      <w:pPr>
        <w:ind w:right="20"/>
        <w:spacing w:after="0" w:line="387" w:lineRule="auto"/>
        <w:rPr>
          <w:sz w:val="20"/>
          <w:szCs w:val="20"/>
          <w:color w:val="auto"/>
        </w:rPr>
      </w:pPr>
      <w:r>
        <w:rPr>
          <w:rFonts w:ascii="Arial" w:cs="Arial" w:eastAsia="Arial" w:hAnsi="Arial"/>
          <w:sz w:val="13"/>
          <w:szCs w:val="13"/>
          <w:color w:val="auto"/>
        </w:rPr>
        <w:t>FLORHAM PARK, NJ, November 5, 2026 - Conduent Incorporated (Nasdaq: CNDT), a global technology-enabled operating partner, today announced its third quarter 2026 financial results, highlighting continued execution of ASCEND 2026–2028. The company’s transformation plan is focused on standardizing operations and infrastructure, specializing in core solutions where it can lead and win, and scaling go-to-market capabilities around priority industries and opportunities.</w:t>
      </w:r>
    </w:p>
    <w:p>
      <w:pPr>
        <w:spacing w:after="0" w:line="123" w:lineRule="exact"/>
        <w:rPr>
          <w:sz w:val="20"/>
          <w:szCs w:val="20"/>
          <w:color w:val="auto"/>
        </w:rPr>
      </w:pPr>
    </w:p>
    <w:p>
      <w:pPr>
        <w:ind w:right="20"/>
        <w:spacing w:after="0" w:line="414" w:lineRule="auto"/>
        <w:rPr>
          <w:sz w:val="20"/>
          <w:szCs w:val="20"/>
          <w:color w:val="auto"/>
        </w:rPr>
      </w:pPr>
      <w:r>
        <w:rPr>
          <w:rFonts w:ascii="Arial" w:cs="Arial" w:eastAsia="Arial" w:hAnsi="Arial"/>
          <w:sz w:val="13"/>
          <w:szCs w:val="13"/>
          <w:color w:val="auto"/>
        </w:rPr>
        <w:t>Harsha V. Agadi, Chief Executive Officer, stated: “In the third quarter, we continued to make progress in improving Conduent’s operating performance. Adjusted EBITDA increased year-over-year and sequentially, and we are reaffirming our full-year 2026 outlook."</w:t>
      </w:r>
    </w:p>
    <w:p>
      <w:pPr>
        <w:spacing w:after="0" w:line="105" w:lineRule="exact"/>
        <w:rPr>
          <w:sz w:val="20"/>
          <w:szCs w:val="20"/>
          <w:color w:val="auto"/>
        </w:rPr>
      </w:pPr>
    </w:p>
    <w:p>
      <w:pPr>
        <w:jc w:val="both"/>
        <w:ind w:right="180"/>
        <w:spacing w:after="0" w:line="387" w:lineRule="auto"/>
        <w:rPr>
          <w:sz w:val="20"/>
          <w:szCs w:val="20"/>
          <w:color w:val="auto"/>
        </w:rPr>
      </w:pPr>
      <w:r>
        <w:rPr>
          <w:rFonts w:ascii="Arial" w:cs="Arial" w:eastAsia="Arial" w:hAnsi="Arial"/>
          <w:sz w:val="13"/>
          <w:szCs w:val="13"/>
          <w:color w:val="auto"/>
        </w:rPr>
        <w:t>“We have taken decisive steps to strengthen our financial foundation, including refinancing our existing $357 million revolving credit facilities and adding $90 million of new commitments, while simplifying our portfolio and reducing costs. To date, we have identified $106 million in cost savings toward our $120 million target. At the same time, we continue to build our Commercial and Government businesses, with $249 million in year-to-date new-business ACV wins and $473 million in TCV wins."</w:t>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28" w:right="299" w:bottom="1440" w:gutter="0" w:footer="0" w:header="0"/>
        </w:sectPr>
      </w:pPr>
    </w:p>
    <w:bookmarkStart w:id="5" w:name="page6"/>
    <w:bookmarkEnd w:id="5"/>
    <w:p>
      <w:pPr>
        <w:ind w:left="10580"/>
        <w:spacing w:after="0"/>
        <w:rPr>
          <w:sz w:val="20"/>
          <w:szCs w:val="20"/>
          <w:color w:val="auto"/>
        </w:rPr>
      </w:pPr>
      <w:r>
        <w:rPr>
          <w:rFonts w:ascii="Arial" w:cs="Arial" w:eastAsia="Arial" w:hAnsi="Arial"/>
          <w:sz w:val="11"/>
          <w:szCs w:val="11"/>
          <w:b w:val="1"/>
          <w:bCs w:val="1"/>
          <w:color w:val="auto"/>
        </w:rPr>
        <w:t>EXHIBIT 99.1</w:t>
      </w:r>
    </w:p>
    <w:p>
      <w:pPr>
        <w:spacing w:after="0" w:line="200" w:lineRule="exact"/>
        <w:rPr>
          <w:sz w:val="20"/>
          <w:szCs w:val="20"/>
          <w:color w:val="auto"/>
        </w:rPr>
      </w:pPr>
    </w:p>
    <w:p>
      <w:pPr>
        <w:spacing w:after="0" w:line="220" w:lineRule="exact"/>
        <w:rPr>
          <w:sz w:val="20"/>
          <w:szCs w:val="20"/>
          <w:color w:val="auto"/>
        </w:rPr>
      </w:pPr>
    </w:p>
    <w:p>
      <w:pPr>
        <w:ind w:left="20" w:right="20"/>
        <w:spacing w:after="0" w:line="387" w:lineRule="auto"/>
        <w:rPr>
          <w:sz w:val="20"/>
          <w:szCs w:val="20"/>
          <w:color w:val="auto"/>
        </w:rPr>
      </w:pPr>
      <w:r>
        <w:rPr>
          <w:rFonts w:ascii="Arial" w:cs="Arial" w:eastAsia="Arial" w:hAnsi="Arial"/>
          <w:sz w:val="13"/>
          <w:szCs w:val="13"/>
          <w:color w:val="auto"/>
        </w:rPr>
        <w:t>“ASCEND 2026–2028 is our framework for turning this transformation into sustained performance. We are standardizing our operations and infrastructure, specializing in core solutions where we can lead and win, and scaling our go-to-market capabilities around priority industries and opportunities. Our focus is on disciplined execution—converting our pipeline into profitable growth and continuing to improve operating performance.”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Key Financial Q3 2026 Results</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7500" w:type="dxa"/>
            <w:vAlign w:val="bottom"/>
            <w:tcBorders>
              <w:top w:val="single" w:sz="8" w:color="auto"/>
              <w:left w:val="single" w:sz="8" w:color="auto"/>
              <w:right w:val="single" w:sz="8" w:color="B2B2B2"/>
            </w:tcBorders>
            <w:vMerge w:val="restart"/>
            <w:shd w:val="clear" w:color="auto" w:fill="002855"/>
          </w:tcPr>
          <w:p>
            <w:pPr>
              <w:ind w:left="2380"/>
              <w:spacing w:after="0"/>
              <w:rPr>
                <w:sz w:val="20"/>
                <w:szCs w:val="20"/>
                <w:color w:val="auto"/>
              </w:rPr>
            </w:pPr>
            <w:r>
              <w:rPr>
                <w:rFonts w:ascii="Arial" w:cs="Arial" w:eastAsia="Arial" w:hAnsi="Arial"/>
                <w:sz w:val="12"/>
                <w:szCs w:val="12"/>
                <w:b w:val="1"/>
                <w:bCs w:val="1"/>
                <w:color w:val="FFFFFF"/>
              </w:rPr>
              <w:t>($ in millions, except margin and per share data)</w:t>
            </w:r>
          </w:p>
        </w:tc>
        <w:tc>
          <w:tcPr>
            <w:tcW w:w="1380" w:type="dxa"/>
            <w:vAlign w:val="bottom"/>
            <w:tcBorders>
              <w:top w:val="single" w:sz="8" w:color="auto"/>
              <w:right w:val="single" w:sz="8" w:color="B2B2B2"/>
            </w:tcBorders>
            <w:vMerge w:val="restart"/>
            <w:shd w:val="clear" w:color="auto" w:fill="002855"/>
          </w:tcPr>
          <w:p>
            <w:pPr>
              <w:jc w:val="center"/>
              <w:spacing w:after="0"/>
              <w:rPr>
                <w:sz w:val="20"/>
                <w:szCs w:val="20"/>
                <w:color w:val="auto"/>
              </w:rPr>
            </w:pPr>
            <w:r>
              <w:rPr>
                <w:rFonts w:ascii="Arial" w:cs="Arial" w:eastAsia="Arial" w:hAnsi="Arial"/>
                <w:sz w:val="12"/>
                <w:szCs w:val="12"/>
                <w:b w:val="1"/>
                <w:bCs w:val="1"/>
                <w:color w:val="FFFFFF"/>
                <w:w w:val="99"/>
              </w:rPr>
              <w:t>Q3 2026</w:t>
            </w:r>
          </w:p>
        </w:tc>
        <w:tc>
          <w:tcPr>
            <w:tcW w:w="1320" w:type="dxa"/>
            <w:vAlign w:val="bottom"/>
            <w:tcBorders>
              <w:top w:val="single" w:sz="8" w:color="auto"/>
            </w:tcBorders>
            <w:vMerge w:val="restart"/>
            <w:shd w:val="clear" w:color="auto" w:fill="002855"/>
          </w:tcPr>
          <w:p>
            <w:pPr>
              <w:jc w:val="center"/>
              <w:spacing w:after="0"/>
              <w:rPr>
                <w:sz w:val="20"/>
                <w:szCs w:val="20"/>
                <w:color w:val="auto"/>
              </w:rPr>
            </w:pPr>
            <w:r>
              <w:rPr>
                <w:rFonts w:ascii="Arial" w:cs="Arial" w:eastAsia="Arial" w:hAnsi="Arial"/>
                <w:sz w:val="12"/>
                <w:szCs w:val="12"/>
                <w:b w:val="1"/>
                <w:bCs w:val="1"/>
                <w:color w:val="FFFFFF"/>
                <w:w w:val="99"/>
              </w:rPr>
              <w:t>Q3 2025</w:t>
            </w:r>
          </w:p>
        </w:tc>
        <w:tc>
          <w:tcPr>
            <w:tcW w:w="1120" w:type="dxa"/>
            <w:vAlign w:val="bottom"/>
            <w:tcBorders>
              <w:top w:val="single" w:sz="8" w:color="auto"/>
              <w:right w:val="single" w:sz="8" w:color="auto"/>
            </w:tcBorders>
            <w:shd w:val="clear" w:color="auto" w:fill="002855"/>
          </w:tcPr>
          <w:p>
            <w:pPr>
              <w:jc w:val="center"/>
              <w:spacing w:after="0"/>
              <w:rPr>
                <w:sz w:val="20"/>
                <w:szCs w:val="20"/>
                <w:color w:val="auto"/>
              </w:rPr>
            </w:pPr>
            <w:r>
              <w:rPr>
                <w:rFonts w:ascii="Arial" w:cs="Arial" w:eastAsia="Arial" w:hAnsi="Arial"/>
                <w:sz w:val="12"/>
                <w:szCs w:val="12"/>
                <w:b w:val="1"/>
                <w:bCs w:val="1"/>
                <w:color w:val="FFFFFF"/>
                <w:w w:val="99"/>
              </w:rPr>
              <w:t>Current Quarter</w:t>
            </w:r>
          </w:p>
        </w:tc>
        <w:tc>
          <w:tcPr>
            <w:tcW w:w="0" w:type="dxa"/>
            <w:vAlign w:val="bottom"/>
          </w:tcPr>
          <w:p>
            <w:pPr>
              <w:spacing w:after="0"/>
              <w:rPr>
                <w:sz w:val="1"/>
                <w:szCs w:val="1"/>
                <w:color w:val="auto"/>
              </w:rPr>
            </w:pPr>
          </w:p>
        </w:tc>
      </w:tr>
      <w:tr>
        <w:trPr>
          <w:trHeight w:val="93"/>
        </w:trPr>
        <w:tc>
          <w:tcPr>
            <w:tcW w:w="7500" w:type="dxa"/>
            <w:vAlign w:val="bottom"/>
            <w:tcBorders>
              <w:left w:val="single" w:sz="8" w:color="auto"/>
              <w:right w:val="single" w:sz="8" w:color="B2B2B2"/>
            </w:tcBorders>
            <w:vMerge w:val="continue"/>
            <w:shd w:val="clear" w:color="auto" w:fill="002855"/>
          </w:tcPr>
          <w:p>
            <w:pPr>
              <w:spacing w:after="0"/>
              <w:rPr>
                <w:sz w:val="8"/>
                <w:szCs w:val="8"/>
                <w:color w:val="auto"/>
              </w:rPr>
            </w:pPr>
          </w:p>
        </w:tc>
        <w:tc>
          <w:tcPr>
            <w:tcW w:w="1380" w:type="dxa"/>
            <w:vAlign w:val="bottom"/>
            <w:tcBorders>
              <w:right w:val="single" w:sz="8" w:color="B2B2B2"/>
            </w:tcBorders>
            <w:vMerge w:val="continue"/>
            <w:shd w:val="clear" w:color="auto" w:fill="002855"/>
          </w:tcPr>
          <w:p>
            <w:pPr>
              <w:spacing w:after="0"/>
              <w:rPr>
                <w:sz w:val="8"/>
                <w:szCs w:val="8"/>
                <w:color w:val="auto"/>
              </w:rPr>
            </w:pPr>
          </w:p>
        </w:tc>
        <w:tc>
          <w:tcPr>
            <w:tcW w:w="1320" w:type="dxa"/>
            <w:vAlign w:val="bottom"/>
            <w:vMerge w:val="continue"/>
            <w:shd w:val="clear" w:color="auto" w:fill="002855"/>
          </w:tcPr>
          <w:p>
            <w:pPr>
              <w:spacing w:after="0"/>
              <w:rPr>
                <w:sz w:val="8"/>
                <w:szCs w:val="8"/>
                <w:color w:val="auto"/>
              </w:rPr>
            </w:pPr>
          </w:p>
        </w:tc>
        <w:tc>
          <w:tcPr>
            <w:tcW w:w="1120" w:type="dxa"/>
            <w:vAlign w:val="bottom"/>
            <w:tcBorders>
              <w:right w:val="single" w:sz="8" w:color="auto"/>
            </w:tcBorders>
            <w:vMerge w:val="restart"/>
            <w:shd w:val="clear" w:color="auto" w:fill="002855"/>
          </w:tcPr>
          <w:p>
            <w:pPr>
              <w:jc w:val="center"/>
              <w:spacing w:after="0"/>
              <w:rPr>
                <w:sz w:val="20"/>
                <w:szCs w:val="20"/>
                <w:color w:val="auto"/>
              </w:rPr>
            </w:pPr>
            <w:r>
              <w:rPr>
                <w:rFonts w:ascii="Arial" w:cs="Arial" w:eastAsia="Arial" w:hAnsi="Arial"/>
                <w:sz w:val="12"/>
                <w:szCs w:val="12"/>
                <w:b w:val="1"/>
                <w:bCs w:val="1"/>
                <w:color w:val="FFFFFF"/>
                <w:w w:val="99"/>
              </w:rPr>
              <w:t>Y/Y B/(W)</w:t>
            </w:r>
          </w:p>
        </w:tc>
        <w:tc>
          <w:tcPr>
            <w:tcW w:w="0" w:type="dxa"/>
            <w:vAlign w:val="bottom"/>
          </w:tcPr>
          <w:p>
            <w:pPr>
              <w:spacing w:after="0"/>
              <w:rPr>
                <w:sz w:val="1"/>
                <w:szCs w:val="1"/>
                <w:color w:val="auto"/>
              </w:rPr>
            </w:pPr>
          </w:p>
        </w:tc>
      </w:tr>
      <w:tr>
        <w:trPr>
          <w:trHeight w:val="91"/>
        </w:trPr>
        <w:tc>
          <w:tcPr>
            <w:tcW w:w="7500" w:type="dxa"/>
            <w:vAlign w:val="bottom"/>
            <w:tcBorders>
              <w:left w:val="single" w:sz="8" w:color="auto"/>
              <w:right w:val="single" w:sz="8" w:color="B2B2B2"/>
            </w:tcBorders>
            <w:shd w:val="clear" w:color="auto" w:fill="002855"/>
          </w:tcPr>
          <w:p>
            <w:pPr>
              <w:spacing w:after="0"/>
              <w:rPr>
                <w:sz w:val="7"/>
                <w:szCs w:val="7"/>
                <w:color w:val="auto"/>
              </w:rPr>
            </w:pPr>
          </w:p>
        </w:tc>
        <w:tc>
          <w:tcPr>
            <w:tcW w:w="1380" w:type="dxa"/>
            <w:vAlign w:val="bottom"/>
            <w:tcBorders>
              <w:right w:val="single" w:sz="8" w:color="B2B2B2"/>
            </w:tcBorders>
            <w:shd w:val="clear" w:color="auto" w:fill="002855"/>
          </w:tcPr>
          <w:p>
            <w:pPr>
              <w:spacing w:after="0"/>
              <w:rPr>
                <w:sz w:val="7"/>
                <w:szCs w:val="7"/>
                <w:color w:val="auto"/>
              </w:rPr>
            </w:pPr>
          </w:p>
        </w:tc>
        <w:tc>
          <w:tcPr>
            <w:tcW w:w="1320" w:type="dxa"/>
            <w:vAlign w:val="bottom"/>
            <w:shd w:val="clear" w:color="auto" w:fill="002855"/>
          </w:tcPr>
          <w:p>
            <w:pPr>
              <w:spacing w:after="0"/>
              <w:rPr>
                <w:sz w:val="7"/>
                <w:szCs w:val="7"/>
                <w:color w:val="auto"/>
              </w:rPr>
            </w:pPr>
          </w:p>
        </w:tc>
        <w:tc>
          <w:tcPr>
            <w:tcW w:w="1120" w:type="dxa"/>
            <w:vAlign w:val="bottom"/>
            <w:tcBorders>
              <w:right w:val="single" w:sz="8" w:color="auto"/>
            </w:tcBorders>
            <w:vMerge w:val="continue"/>
            <w:shd w:val="clear" w:color="auto" w:fill="002855"/>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750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rPr>
              <w:t>Revenue</w:t>
            </w:r>
          </w:p>
        </w:tc>
        <w:tc>
          <w:tcPr>
            <w:tcW w:w="1380" w:type="dxa"/>
            <w:vAlign w:val="bottom"/>
          </w:tcPr>
          <w:p>
            <w:pPr>
              <w:jc w:val="center"/>
              <w:spacing w:after="0"/>
              <w:rPr>
                <w:sz w:val="20"/>
                <w:szCs w:val="20"/>
                <w:color w:val="auto"/>
              </w:rPr>
            </w:pPr>
            <w:r>
              <w:rPr>
                <w:rFonts w:ascii="Arial" w:cs="Arial" w:eastAsia="Arial" w:hAnsi="Arial"/>
                <w:sz w:val="12"/>
                <w:szCs w:val="12"/>
                <w:color w:val="auto"/>
                <w:w w:val="97"/>
              </w:rPr>
              <w:t>$534</w:t>
            </w:r>
          </w:p>
        </w:tc>
        <w:tc>
          <w:tcPr>
            <w:tcW w:w="1320" w:type="dxa"/>
            <w:vAlign w:val="bottom"/>
          </w:tcPr>
          <w:p>
            <w:pPr>
              <w:jc w:val="center"/>
              <w:spacing w:after="0"/>
              <w:rPr>
                <w:sz w:val="20"/>
                <w:szCs w:val="20"/>
                <w:color w:val="auto"/>
              </w:rPr>
            </w:pPr>
            <w:r>
              <w:rPr>
                <w:rFonts w:ascii="Arial" w:cs="Arial" w:eastAsia="Arial" w:hAnsi="Arial"/>
                <w:sz w:val="12"/>
                <w:szCs w:val="12"/>
                <w:color w:val="auto"/>
                <w:w w:val="97"/>
              </w:rPr>
              <w:t>$605</w:t>
            </w:r>
          </w:p>
        </w:tc>
        <w:tc>
          <w:tcPr>
            <w:tcW w:w="112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2"/>
                <w:szCs w:val="12"/>
                <w:color w:val="auto"/>
                <w:w w:val="99"/>
              </w:rPr>
              <w:t>(11.7)%</w:t>
            </w:r>
          </w:p>
        </w:tc>
        <w:tc>
          <w:tcPr>
            <w:tcW w:w="0" w:type="dxa"/>
            <w:vAlign w:val="bottom"/>
          </w:tcPr>
          <w:p>
            <w:pPr>
              <w:spacing w:after="0"/>
              <w:rPr>
                <w:sz w:val="1"/>
                <w:szCs w:val="1"/>
                <w:color w:val="auto"/>
              </w:rPr>
            </w:pPr>
          </w:p>
        </w:tc>
      </w:tr>
      <w:tr>
        <w:trPr>
          <w:trHeight w:val="43"/>
        </w:trPr>
        <w:tc>
          <w:tcPr>
            <w:tcW w:w="7500" w:type="dxa"/>
            <w:vAlign w:val="bottom"/>
            <w:tcBorders>
              <w:left w:val="single" w:sz="8" w:color="auto"/>
              <w:bottom w:val="single" w:sz="8" w:color="B6B6B6"/>
            </w:tcBorders>
            <w:vMerge w:val="continue"/>
          </w:tcPr>
          <w:p>
            <w:pPr>
              <w:spacing w:after="0"/>
              <w:rPr>
                <w:sz w:val="3"/>
                <w:szCs w:val="3"/>
                <w:color w:val="auto"/>
              </w:rPr>
            </w:pPr>
          </w:p>
        </w:tc>
        <w:tc>
          <w:tcPr>
            <w:tcW w:w="1380" w:type="dxa"/>
            <w:vAlign w:val="bottom"/>
            <w:tcBorders>
              <w:bottom w:val="single" w:sz="8" w:color="B6B6B6"/>
            </w:tcBorders>
          </w:tcPr>
          <w:p>
            <w:pPr>
              <w:spacing w:after="0"/>
              <w:rPr>
                <w:sz w:val="3"/>
                <w:szCs w:val="3"/>
                <w:color w:val="auto"/>
              </w:rPr>
            </w:pPr>
          </w:p>
        </w:tc>
        <w:tc>
          <w:tcPr>
            <w:tcW w:w="1320" w:type="dxa"/>
            <w:vAlign w:val="bottom"/>
            <w:tcBorders>
              <w:bottom w:val="single" w:sz="8" w:color="B6B6B6"/>
            </w:tcBorders>
          </w:tcPr>
          <w:p>
            <w:pPr>
              <w:spacing w:after="0"/>
              <w:rPr>
                <w:sz w:val="3"/>
                <w:szCs w:val="3"/>
                <w:color w:val="auto"/>
              </w:rPr>
            </w:pPr>
          </w:p>
        </w:tc>
        <w:tc>
          <w:tcPr>
            <w:tcW w:w="1120" w:type="dxa"/>
            <w:vAlign w:val="bottom"/>
            <w:tcBorders>
              <w:bottom w:val="single" w:sz="8" w:color="B6B6B6"/>
              <w:right w:val="single" w:sz="8" w:color="auto"/>
            </w:tcBorders>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750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rPr>
              <w:t>GAAP Net Income (Loss)</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$(49)</w:t>
            </w:r>
          </w:p>
        </w:tc>
        <w:tc>
          <w:tcPr>
            <w:tcW w:w="1320" w:type="dxa"/>
            <w:vAlign w:val="bottom"/>
          </w:tcPr>
          <w:p>
            <w:pPr>
              <w:jc w:val="center"/>
              <w:spacing w:after="0"/>
              <w:rPr>
                <w:sz w:val="20"/>
                <w:szCs w:val="20"/>
                <w:color w:val="auto"/>
              </w:rPr>
            </w:pPr>
            <w:r>
              <w:rPr>
                <w:rFonts w:ascii="Arial" w:cs="Arial" w:eastAsia="Arial" w:hAnsi="Arial"/>
                <w:sz w:val="12"/>
                <w:szCs w:val="12"/>
                <w:color w:val="auto"/>
                <w:w w:val="99"/>
              </w:rPr>
              <w:t>$(46)</w:t>
            </w:r>
          </w:p>
        </w:tc>
        <w:tc>
          <w:tcPr>
            <w:tcW w:w="112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2"/>
                <w:szCs w:val="12"/>
                <w:color w:val="auto"/>
                <w:w w:val="96"/>
              </w:rPr>
              <w:t>(6.5)%</w:t>
            </w:r>
          </w:p>
        </w:tc>
        <w:tc>
          <w:tcPr>
            <w:tcW w:w="0" w:type="dxa"/>
            <w:vAlign w:val="bottom"/>
          </w:tcPr>
          <w:p>
            <w:pPr>
              <w:spacing w:after="0"/>
              <w:rPr>
                <w:sz w:val="1"/>
                <w:szCs w:val="1"/>
                <w:color w:val="auto"/>
              </w:rPr>
            </w:pPr>
          </w:p>
        </w:tc>
      </w:tr>
      <w:tr>
        <w:trPr>
          <w:trHeight w:val="43"/>
        </w:trPr>
        <w:tc>
          <w:tcPr>
            <w:tcW w:w="7500" w:type="dxa"/>
            <w:vAlign w:val="bottom"/>
            <w:tcBorders>
              <w:left w:val="single" w:sz="8" w:color="auto"/>
              <w:bottom w:val="single" w:sz="8" w:color="B6B6B6"/>
            </w:tcBorders>
            <w:vMerge w:val="continue"/>
          </w:tcPr>
          <w:p>
            <w:pPr>
              <w:spacing w:after="0"/>
              <w:rPr>
                <w:sz w:val="3"/>
                <w:szCs w:val="3"/>
                <w:color w:val="auto"/>
              </w:rPr>
            </w:pPr>
          </w:p>
        </w:tc>
        <w:tc>
          <w:tcPr>
            <w:tcW w:w="1380" w:type="dxa"/>
            <w:vAlign w:val="bottom"/>
            <w:tcBorders>
              <w:bottom w:val="single" w:sz="8" w:color="B6B6B6"/>
            </w:tcBorders>
          </w:tcPr>
          <w:p>
            <w:pPr>
              <w:spacing w:after="0"/>
              <w:rPr>
                <w:sz w:val="3"/>
                <w:szCs w:val="3"/>
                <w:color w:val="auto"/>
              </w:rPr>
            </w:pPr>
          </w:p>
        </w:tc>
        <w:tc>
          <w:tcPr>
            <w:tcW w:w="1320" w:type="dxa"/>
            <w:vAlign w:val="bottom"/>
            <w:tcBorders>
              <w:bottom w:val="single" w:sz="8" w:color="B6B6B6"/>
            </w:tcBorders>
          </w:tcPr>
          <w:p>
            <w:pPr>
              <w:spacing w:after="0"/>
              <w:rPr>
                <w:sz w:val="3"/>
                <w:szCs w:val="3"/>
                <w:color w:val="auto"/>
              </w:rPr>
            </w:pPr>
          </w:p>
        </w:tc>
        <w:tc>
          <w:tcPr>
            <w:tcW w:w="1120" w:type="dxa"/>
            <w:vAlign w:val="bottom"/>
            <w:tcBorders>
              <w:bottom w:val="single" w:sz="8" w:color="B6B6B6"/>
              <w:right w:val="single" w:sz="8" w:color="auto"/>
            </w:tcBorders>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7500" w:type="dxa"/>
            <w:vAlign w:val="bottom"/>
            <w:tcBorders>
              <w:left w:val="single" w:sz="8" w:color="auto"/>
              <w:bottom w:val="single" w:sz="8" w:color="B6B6B6"/>
            </w:tcBorders>
          </w:tcPr>
          <w:p>
            <w:pPr>
              <w:ind w:left="40"/>
              <w:spacing w:after="0"/>
              <w:rPr>
                <w:sz w:val="20"/>
                <w:szCs w:val="20"/>
                <w:color w:val="auto"/>
              </w:rPr>
            </w:pPr>
            <w:r>
              <w:rPr>
                <w:rFonts w:ascii="Arial" w:cs="Arial" w:eastAsia="Arial" w:hAnsi="Arial"/>
                <w:sz w:val="12"/>
                <w:szCs w:val="12"/>
                <w:color w:val="auto"/>
              </w:rPr>
              <w:t>Adjusted EBITDA from Continuing Operations</w:t>
            </w:r>
            <w:r>
              <w:rPr>
                <w:rFonts w:ascii="Arial" w:cs="Arial" w:eastAsia="Arial" w:hAnsi="Arial"/>
                <w:sz w:val="15"/>
                <w:szCs w:val="15"/>
                <w:color w:val="auto"/>
                <w:vertAlign w:val="superscript"/>
              </w:rPr>
              <w:t>(1)</w:t>
            </w:r>
          </w:p>
        </w:tc>
        <w:tc>
          <w:tcPr>
            <w:tcW w:w="138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$36</w:t>
            </w:r>
          </w:p>
        </w:tc>
        <w:tc>
          <w:tcPr>
            <w:tcW w:w="132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$31</w:t>
            </w:r>
          </w:p>
        </w:tc>
        <w:tc>
          <w:tcPr>
            <w:tcW w:w="1120" w:type="dxa"/>
            <w:vAlign w:val="bottom"/>
            <w:tcBorders>
              <w:bottom w:val="single" w:sz="8" w:color="B6B6B6"/>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16.1%</w:t>
            </w:r>
          </w:p>
        </w:tc>
        <w:tc>
          <w:tcPr>
            <w:tcW w:w="0" w:type="dxa"/>
            <w:vAlign w:val="bottom"/>
          </w:tcPr>
          <w:p>
            <w:pPr>
              <w:spacing w:after="0"/>
              <w:rPr>
                <w:sz w:val="1"/>
                <w:szCs w:val="1"/>
                <w:color w:val="auto"/>
              </w:rPr>
            </w:pPr>
          </w:p>
        </w:tc>
      </w:tr>
      <w:tr>
        <w:trPr>
          <w:trHeight w:val="151"/>
        </w:trPr>
        <w:tc>
          <w:tcPr>
            <w:tcW w:w="7500" w:type="dxa"/>
            <w:vAlign w:val="bottom"/>
            <w:tcBorders>
              <w:left w:val="single" w:sz="8" w:color="auto"/>
              <w:bottom w:val="single" w:sz="8" w:color="B6B6B6"/>
            </w:tcBorders>
          </w:tcPr>
          <w:p>
            <w:pPr>
              <w:ind w:left="40"/>
              <w:spacing w:after="0" w:line="151" w:lineRule="exact"/>
              <w:rPr>
                <w:sz w:val="20"/>
                <w:szCs w:val="20"/>
                <w:color w:val="auto"/>
              </w:rPr>
            </w:pPr>
            <w:r>
              <w:rPr>
                <w:rFonts w:ascii="Arial" w:cs="Arial" w:eastAsia="Arial" w:hAnsi="Arial"/>
                <w:sz w:val="12"/>
                <w:szCs w:val="12"/>
                <w:color w:val="auto"/>
              </w:rPr>
              <w:t>Adjusted EBITDA Margin from Continuing Operations</w:t>
            </w:r>
            <w:r>
              <w:rPr>
                <w:rFonts w:ascii="Arial" w:cs="Arial" w:eastAsia="Arial" w:hAnsi="Arial"/>
                <w:sz w:val="15"/>
                <w:szCs w:val="15"/>
                <w:color w:val="auto"/>
                <w:vertAlign w:val="superscript"/>
              </w:rPr>
              <w:t>(1)</w:t>
            </w:r>
          </w:p>
        </w:tc>
        <w:tc>
          <w:tcPr>
            <w:tcW w:w="138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rPr>
              <w:t>6.7%</w:t>
            </w:r>
          </w:p>
        </w:tc>
        <w:tc>
          <w:tcPr>
            <w:tcW w:w="132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4"/>
              </w:rPr>
              <w:t>5.1%</w:t>
            </w:r>
          </w:p>
        </w:tc>
        <w:tc>
          <w:tcPr>
            <w:tcW w:w="1120" w:type="dxa"/>
            <w:vAlign w:val="bottom"/>
            <w:tcBorders>
              <w:bottom w:val="single" w:sz="8" w:color="B6B6B6"/>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8"/>
              </w:rPr>
              <w:t>160 bps</w:t>
            </w:r>
          </w:p>
        </w:tc>
        <w:tc>
          <w:tcPr>
            <w:tcW w:w="0" w:type="dxa"/>
            <w:vAlign w:val="bottom"/>
          </w:tcPr>
          <w:p>
            <w:pPr>
              <w:spacing w:after="0"/>
              <w:rPr>
                <w:sz w:val="1"/>
                <w:szCs w:val="1"/>
                <w:color w:val="auto"/>
              </w:rPr>
            </w:pPr>
          </w:p>
        </w:tc>
      </w:tr>
      <w:tr>
        <w:trPr>
          <w:trHeight w:val="198"/>
        </w:trPr>
        <w:tc>
          <w:tcPr>
            <w:tcW w:w="750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rPr>
              <w:t>GAAP Income (Loss) Before Income Tax from Continuing Operations</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$(35)</w:t>
            </w:r>
          </w:p>
        </w:tc>
        <w:tc>
          <w:tcPr>
            <w:tcW w:w="1320" w:type="dxa"/>
            <w:vAlign w:val="bottom"/>
          </w:tcPr>
          <w:p>
            <w:pPr>
              <w:jc w:val="center"/>
              <w:spacing w:after="0"/>
              <w:rPr>
                <w:sz w:val="20"/>
                <w:szCs w:val="20"/>
                <w:color w:val="auto"/>
              </w:rPr>
            </w:pPr>
            <w:r>
              <w:rPr>
                <w:rFonts w:ascii="Arial" w:cs="Arial" w:eastAsia="Arial" w:hAnsi="Arial"/>
                <w:sz w:val="12"/>
                <w:szCs w:val="12"/>
                <w:color w:val="auto"/>
                <w:w w:val="99"/>
              </w:rPr>
              <w:t>$(38)</w:t>
            </w:r>
          </w:p>
        </w:tc>
        <w:tc>
          <w:tcPr>
            <w:tcW w:w="112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2"/>
                <w:szCs w:val="12"/>
                <w:color w:val="auto"/>
                <w:w w:val="94"/>
              </w:rPr>
              <w:t>7.9%</w:t>
            </w:r>
          </w:p>
        </w:tc>
        <w:tc>
          <w:tcPr>
            <w:tcW w:w="0" w:type="dxa"/>
            <w:vAlign w:val="bottom"/>
          </w:tcPr>
          <w:p>
            <w:pPr>
              <w:spacing w:after="0"/>
              <w:rPr>
                <w:sz w:val="1"/>
                <w:szCs w:val="1"/>
                <w:color w:val="auto"/>
              </w:rPr>
            </w:pPr>
          </w:p>
        </w:tc>
      </w:tr>
      <w:tr>
        <w:trPr>
          <w:trHeight w:val="43"/>
        </w:trPr>
        <w:tc>
          <w:tcPr>
            <w:tcW w:w="7500" w:type="dxa"/>
            <w:vAlign w:val="bottom"/>
            <w:tcBorders>
              <w:left w:val="single" w:sz="8" w:color="auto"/>
              <w:bottom w:val="single" w:sz="8" w:color="B6B6B6"/>
            </w:tcBorders>
            <w:vMerge w:val="continue"/>
          </w:tcPr>
          <w:p>
            <w:pPr>
              <w:spacing w:after="0"/>
              <w:rPr>
                <w:sz w:val="3"/>
                <w:szCs w:val="3"/>
                <w:color w:val="auto"/>
              </w:rPr>
            </w:pPr>
          </w:p>
        </w:tc>
        <w:tc>
          <w:tcPr>
            <w:tcW w:w="1380" w:type="dxa"/>
            <w:vAlign w:val="bottom"/>
            <w:tcBorders>
              <w:bottom w:val="single" w:sz="8" w:color="B6B6B6"/>
            </w:tcBorders>
          </w:tcPr>
          <w:p>
            <w:pPr>
              <w:spacing w:after="0"/>
              <w:rPr>
                <w:sz w:val="3"/>
                <w:szCs w:val="3"/>
                <w:color w:val="auto"/>
              </w:rPr>
            </w:pPr>
          </w:p>
        </w:tc>
        <w:tc>
          <w:tcPr>
            <w:tcW w:w="1320" w:type="dxa"/>
            <w:vAlign w:val="bottom"/>
            <w:tcBorders>
              <w:bottom w:val="single" w:sz="8" w:color="B6B6B6"/>
            </w:tcBorders>
          </w:tcPr>
          <w:p>
            <w:pPr>
              <w:spacing w:after="0"/>
              <w:rPr>
                <w:sz w:val="3"/>
                <w:szCs w:val="3"/>
                <w:color w:val="auto"/>
              </w:rPr>
            </w:pPr>
          </w:p>
        </w:tc>
        <w:tc>
          <w:tcPr>
            <w:tcW w:w="1120" w:type="dxa"/>
            <w:vAlign w:val="bottom"/>
            <w:tcBorders>
              <w:bottom w:val="single" w:sz="8" w:color="B6B6B6"/>
              <w:right w:val="single" w:sz="8" w:color="auto"/>
            </w:tcBorders>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7500" w:type="dxa"/>
            <w:vAlign w:val="bottom"/>
            <w:tcBorders>
              <w:left w:val="single" w:sz="8" w:color="auto"/>
              <w:bottom w:val="single" w:sz="8" w:color="B6B6B6"/>
            </w:tcBorders>
          </w:tcPr>
          <w:p>
            <w:pPr>
              <w:ind w:left="40"/>
              <w:spacing w:after="0"/>
              <w:rPr>
                <w:sz w:val="20"/>
                <w:szCs w:val="20"/>
                <w:color w:val="auto"/>
              </w:rPr>
            </w:pPr>
            <w:r>
              <w:rPr>
                <w:rFonts w:ascii="Arial" w:cs="Arial" w:eastAsia="Arial" w:hAnsi="Arial"/>
                <w:sz w:val="12"/>
                <w:szCs w:val="12"/>
                <w:color w:val="auto"/>
              </w:rPr>
              <w:t>GAAP Diluted EPS from Continuing Operations</w:t>
            </w:r>
          </w:p>
        </w:tc>
        <w:tc>
          <w:tcPr>
            <w:tcW w:w="138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$(0.27)</w:t>
            </w:r>
          </w:p>
        </w:tc>
        <w:tc>
          <w:tcPr>
            <w:tcW w:w="132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$(0.27)</w:t>
            </w:r>
          </w:p>
        </w:tc>
        <w:tc>
          <w:tcPr>
            <w:tcW w:w="1120" w:type="dxa"/>
            <w:vAlign w:val="bottom"/>
            <w:tcBorders>
              <w:bottom w:val="single" w:sz="8" w:color="B6B6B6"/>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6"/>
              </w:rPr>
              <w:t>$—</w:t>
            </w:r>
          </w:p>
        </w:tc>
        <w:tc>
          <w:tcPr>
            <w:tcW w:w="0" w:type="dxa"/>
            <w:vAlign w:val="bottom"/>
          </w:tcPr>
          <w:p>
            <w:pPr>
              <w:spacing w:after="0"/>
              <w:rPr>
                <w:sz w:val="1"/>
                <w:szCs w:val="1"/>
                <w:color w:val="auto"/>
              </w:rPr>
            </w:pPr>
          </w:p>
        </w:tc>
      </w:tr>
      <w:tr>
        <w:trPr>
          <w:trHeight w:val="151"/>
        </w:trPr>
        <w:tc>
          <w:tcPr>
            <w:tcW w:w="7500" w:type="dxa"/>
            <w:vAlign w:val="bottom"/>
            <w:tcBorders>
              <w:left w:val="single" w:sz="8" w:color="auto"/>
              <w:bottom w:val="single" w:sz="8" w:color="B6B6B6"/>
            </w:tcBorders>
          </w:tcPr>
          <w:p>
            <w:pPr>
              <w:ind w:left="40"/>
              <w:spacing w:after="0" w:line="151" w:lineRule="exact"/>
              <w:rPr>
                <w:sz w:val="20"/>
                <w:szCs w:val="20"/>
                <w:color w:val="auto"/>
              </w:rPr>
            </w:pPr>
            <w:r>
              <w:rPr>
                <w:rFonts w:ascii="Arial" w:cs="Arial" w:eastAsia="Arial" w:hAnsi="Arial"/>
                <w:sz w:val="12"/>
                <w:szCs w:val="12"/>
                <w:color w:val="auto"/>
              </w:rPr>
              <w:t>Adjusted Diluted EPS from Continuing Operations</w:t>
            </w:r>
            <w:r>
              <w:rPr>
                <w:rFonts w:ascii="Arial" w:cs="Arial" w:eastAsia="Arial" w:hAnsi="Arial"/>
                <w:sz w:val="15"/>
                <w:szCs w:val="15"/>
                <w:color w:val="auto"/>
                <w:vertAlign w:val="superscript"/>
              </w:rPr>
              <w:t>(1)</w:t>
            </w:r>
          </w:p>
        </w:tc>
        <w:tc>
          <w:tcPr>
            <w:tcW w:w="138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$(0.11)</w:t>
            </w:r>
          </w:p>
        </w:tc>
        <w:tc>
          <w:tcPr>
            <w:tcW w:w="132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$(0.11)</w:t>
            </w:r>
          </w:p>
        </w:tc>
        <w:tc>
          <w:tcPr>
            <w:tcW w:w="1120" w:type="dxa"/>
            <w:vAlign w:val="bottom"/>
            <w:tcBorders>
              <w:bottom w:val="single" w:sz="8" w:color="B6B6B6"/>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6"/>
              </w:rPr>
              <w:t>$—</w:t>
            </w:r>
          </w:p>
        </w:tc>
        <w:tc>
          <w:tcPr>
            <w:tcW w:w="0" w:type="dxa"/>
            <w:vAlign w:val="bottom"/>
          </w:tcPr>
          <w:p>
            <w:pPr>
              <w:spacing w:after="0"/>
              <w:rPr>
                <w:sz w:val="1"/>
                <w:szCs w:val="1"/>
                <w:color w:val="auto"/>
              </w:rPr>
            </w:pPr>
          </w:p>
        </w:tc>
      </w:tr>
      <w:tr>
        <w:trPr>
          <w:trHeight w:val="198"/>
        </w:trPr>
        <w:tc>
          <w:tcPr>
            <w:tcW w:w="750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rPr>
              <w:t>Cash Flow from Operating Activities</w:t>
            </w:r>
          </w:p>
        </w:tc>
        <w:tc>
          <w:tcPr>
            <w:tcW w:w="1380" w:type="dxa"/>
            <w:vAlign w:val="bottom"/>
          </w:tcPr>
          <w:p>
            <w:pPr>
              <w:jc w:val="center"/>
              <w:spacing w:after="0"/>
              <w:rPr>
                <w:sz w:val="20"/>
                <w:szCs w:val="20"/>
                <w:color w:val="auto"/>
              </w:rPr>
            </w:pPr>
            <w:r>
              <w:rPr>
                <w:rFonts w:ascii="Arial" w:cs="Arial" w:eastAsia="Arial" w:hAnsi="Arial"/>
                <w:sz w:val="12"/>
                <w:szCs w:val="12"/>
                <w:color w:val="auto"/>
                <w:w w:val="97"/>
              </w:rPr>
              <w:t>$(107)</w:t>
            </w:r>
          </w:p>
        </w:tc>
        <w:tc>
          <w:tcPr>
            <w:tcW w:w="1320" w:type="dxa"/>
            <w:vAlign w:val="bottom"/>
          </w:tcPr>
          <w:p>
            <w:pPr>
              <w:jc w:val="center"/>
              <w:spacing w:after="0"/>
              <w:rPr>
                <w:sz w:val="20"/>
                <w:szCs w:val="20"/>
                <w:color w:val="auto"/>
              </w:rPr>
            </w:pPr>
            <w:r>
              <w:rPr>
                <w:rFonts w:ascii="Arial" w:cs="Arial" w:eastAsia="Arial" w:hAnsi="Arial"/>
                <w:sz w:val="12"/>
                <w:szCs w:val="12"/>
                <w:color w:val="auto"/>
                <w:w w:val="99"/>
              </w:rPr>
              <w:t>$(39)</w:t>
            </w:r>
          </w:p>
        </w:tc>
        <w:tc>
          <w:tcPr>
            <w:tcW w:w="112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2"/>
                <w:szCs w:val="12"/>
                <w:color w:val="auto"/>
              </w:rPr>
              <w:t>(174.4)%</w:t>
            </w:r>
          </w:p>
        </w:tc>
        <w:tc>
          <w:tcPr>
            <w:tcW w:w="0" w:type="dxa"/>
            <w:vAlign w:val="bottom"/>
          </w:tcPr>
          <w:p>
            <w:pPr>
              <w:spacing w:after="0"/>
              <w:rPr>
                <w:sz w:val="1"/>
                <w:szCs w:val="1"/>
                <w:color w:val="auto"/>
              </w:rPr>
            </w:pPr>
          </w:p>
        </w:tc>
      </w:tr>
      <w:tr>
        <w:trPr>
          <w:trHeight w:val="43"/>
        </w:trPr>
        <w:tc>
          <w:tcPr>
            <w:tcW w:w="7500" w:type="dxa"/>
            <w:vAlign w:val="bottom"/>
            <w:tcBorders>
              <w:left w:val="single" w:sz="8" w:color="auto"/>
              <w:bottom w:val="single" w:sz="8" w:color="B6B6B6"/>
            </w:tcBorders>
            <w:vMerge w:val="continue"/>
          </w:tcPr>
          <w:p>
            <w:pPr>
              <w:spacing w:after="0"/>
              <w:rPr>
                <w:sz w:val="3"/>
                <w:szCs w:val="3"/>
                <w:color w:val="auto"/>
              </w:rPr>
            </w:pPr>
          </w:p>
        </w:tc>
        <w:tc>
          <w:tcPr>
            <w:tcW w:w="1380" w:type="dxa"/>
            <w:vAlign w:val="bottom"/>
            <w:tcBorders>
              <w:bottom w:val="single" w:sz="8" w:color="B6B6B6"/>
            </w:tcBorders>
          </w:tcPr>
          <w:p>
            <w:pPr>
              <w:spacing w:after="0"/>
              <w:rPr>
                <w:sz w:val="3"/>
                <w:szCs w:val="3"/>
                <w:color w:val="auto"/>
              </w:rPr>
            </w:pPr>
          </w:p>
        </w:tc>
        <w:tc>
          <w:tcPr>
            <w:tcW w:w="1320" w:type="dxa"/>
            <w:vAlign w:val="bottom"/>
            <w:tcBorders>
              <w:bottom w:val="single" w:sz="8" w:color="B6B6B6"/>
            </w:tcBorders>
          </w:tcPr>
          <w:p>
            <w:pPr>
              <w:spacing w:after="0"/>
              <w:rPr>
                <w:sz w:val="3"/>
                <w:szCs w:val="3"/>
                <w:color w:val="auto"/>
              </w:rPr>
            </w:pPr>
          </w:p>
        </w:tc>
        <w:tc>
          <w:tcPr>
            <w:tcW w:w="1120" w:type="dxa"/>
            <w:vAlign w:val="bottom"/>
            <w:tcBorders>
              <w:bottom w:val="single" w:sz="8" w:color="B6B6B6"/>
              <w:right w:val="single" w:sz="8" w:color="auto"/>
            </w:tcBorders>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7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2"/>
                <w:szCs w:val="12"/>
                <w:color w:val="auto"/>
              </w:rPr>
              <w:t>Adjusted Free Cash Flow</w:t>
            </w:r>
            <w:r>
              <w:rPr>
                <w:rFonts w:ascii="Arial" w:cs="Arial" w:eastAsia="Arial" w:hAnsi="Arial"/>
                <w:sz w:val="15"/>
                <w:szCs w:val="15"/>
                <w:color w:val="auto"/>
                <w:vertAlign w:val="superscript"/>
              </w:rPr>
              <w:t>(1)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$(117)</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$(54)</w:t>
            </w:r>
          </w:p>
        </w:tc>
        <w:tc>
          <w:tcPr>
            <w:tcW w:w="1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4"/>
              </w:rPr>
              <w:t>(116.7)%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Performance Commentary</w:t>
      </w:r>
    </w:p>
    <w:p>
      <w:pPr>
        <w:spacing w:after="0" w:line="112" w:lineRule="exact"/>
        <w:rPr>
          <w:sz w:val="20"/>
          <w:szCs w:val="20"/>
          <w:color w:val="auto"/>
        </w:rPr>
      </w:pPr>
    </w:p>
    <w:p>
      <w:pPr>
        <w:ind w:left="20" w:right="60"/>
        <w:spacing w:after="0" w:line="399" w:lineRule="auto"/>
        <w:rPr>
          <w:sz w:val="20"/>
          <w:szCs w:val="20"/>
          <w:color w:val="auto"/>
        </w:rPr>
      </w:pPr>
      <w:r>
        <w:rPr>
          <w:rFonts w:ascii="Arial" w:cs="Arial" w:eastAsia="Arial" w:hAnsi="Arial"/>
          <w:sz w:val="13"/>
          <w:szCs w:val="13"/>
          <w:color w:val="auto"/>
        </w:rPr>
        <w:t>Q3 2026 income (loss) before taxes from continuing operations was $(35) million, compared with $(38) million in the prior year period, primarily reflecting cost efficiencies, which more than offset lower revenue and higher restructuring and interest costs.</w:t>
      </w:r>
    </w:p>
    <w:p>
      <w:pPr>
        <w:spacing w:after="0" w:line="124" w:lineRule="exact"/>
        <w:rPr>
          <w:sz w:val="20"/>
          <w:szCs w:val="20"/>
          <w:color w:val="auto"/>
        </w:rPr>
      </w:pPr>
    </w:p>
    <w:p>
      <w:pPr>
        <w:ind w:left="20" w:right="260"/>
        <w:spacing w:after="0" w:line="399" w:lineRule="auto"/>
        <w:rPr>
          <w:sz w:val="20"/>
          <w:szCs w:val="20"/>
          <w:color w:val="auto"/>
        </w:rPr>
      </w:pPr>
      <w:r>
        <w:rPr>
          <w:rFonts w:ascii="Arial" w:cs="Arial" w:eastAsia="Arial" w:hAnsi="Arial"/>
          <w:sz w:val="13"/>
          <w:szCs w:val="13"/>
          <w:color w:val="auto"/>
        </w:rPr>
        <w:t>Q3 2026 Adjusted EBITDA from continuing operations was $36 million, compared with $31 million in the prior-year period, an increase of 16.1%. Adjusted EBITDA margin increased to 6.7%, compared with 5.1% in Q3 2025 and 3.0% in Q2 2026, reflecting lower expenses and cost optimization initiatives.</w:t>
      </w:r>
    </w:p>
    <w:p>
      <w:pPr>
        <w:spacing w:after="0" w:line="124" w:lineRule="exact"/>
        <w:rPr>
          <w:sz w:val="20"/>
          <w:szCs w:val="20"/>
          <w:color w:val="auto"/>
        </w:rPr>
      </w:pPr>
    </w:p>
    <w:p>
      <w:pPr>
        <w:ind w:left="20" w:right="140"/>
        <w:spacing w:after="0" w:line="399" w:lineRule="auto"/>
        <w:rPr>
          <w:sz w:val="20"/>
          <w:szCs w:val="20"/>
          <w:color w:val="auto"/>
        </w:rPr>
      </w:pPr>
      <w:r>
        <w:rPr>
          <w:rFonts w:ascii="Arial" w:cs="Arial" w:eastAsia="Arial" w:hAnsi="Arial"/>
          <w:sz w:val="13"/>
          <w:szCs w:val="13"/>
          <w:color w:val="auto"/>
        </w:rPr>
        <w:t>Q3 2026 cash flow from operating activities was $(107) million, compared with $(39) million in the prior-year period, primarily reflecting working-capital impacts, due to a temporary pause of the company's receivables factoring facility. Year-to-date cash flow from operating activities was $(108) million, compared with $(112) million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24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20"/>
          </w:cols>
          <w:pgMar w:left="280" w:top="128" w:right="299" w:bottom="1440" w:gutter="0" w:footer="0" w:header="0"/>
        </w:sectPr>
      </w:pPr>
    </w:p>
    <w:bookmarkStart w:id="6" w:name="page7"/>
    <w:bookmarkEnd w:id="6"/>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Key Achievements and Industry Accolades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Optimization &amp; Strategic Transformation</w:t>
      </w:r>
    </w:p>
    <w:p>
      <w:pPr>
        <w:spacing w:after="0" w:line="85" w:lineRule="exact"/>
        <w:rPr>
          <w:sz w:val="20"/>
          <w:szCs w:val="20"/>
          <w:color w:val="auto"/>
        </w:rPr>
      </w:pPr>
    </w:p>
    <w:p>
      <w:pPr>
        <w:ind w:left="420" w:right="180" w:hanging="212"/>
        <w:spacing w:after="0" w:line="399"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Completed the sale of the Public Transit business to Modaxo for $164 million and expect to complete the sale of the Tolling business by year-end, sharpening focus on Commercial and Government businesses.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Execution &amp; Contract Wins</w:t>
      </w:r>
    </w:p>
    <w:p>
      <w:pPr>
        <w:spacing w:after="0" w:line="76" w:lineRule="exact"/>
        <w:rPr>
          <w:sz w:val="20"/>
          <w:szCs w:val="20"/>
          <w:color w:val="auto"/>
        </w:rPr>
      </w:pPr>
    </w:p>
    <w:p>
      <w:pPr>
        <w:ind w:left="420" w:right="340" w:hanging="212"/>
        <w:spacing w:after="0" w:line="368" w:lineRule="auto"/>
        <w:tabs>
          <w:tab w:leader="none" w:pos="412" w:val="left"/>
        </w:tabs>
        <w:numPr>
          <w:ilvl w:val="0"/>
          <w:numId w:val="4"/>
        </w:numPr>
        <w:rPr>
          <w:rFonts w:ascii="Arial" w:cs="Arial" w:eastAsia="Arial" w:hAnsi="Arial"/>
          <w:sz w:val="13"/>
          <w:szCs w:val="13"/>
          <w:color w:val="auto"/>
        </w:rPr>
      </w:pPr>
      <w:r>
        <w:rPr>
          <w:rFonts w:ascii="Arial" w:cs="Arial" w:eastAsia="Arial" w:hAnsi="Arial"/>
          <w:sz w:val="13"/>
          <w:szCs w:val="13"/>
          <w:color w:val="auto"/>
        </w:rPr>
        <w:t>Won a new AI-enabled audit services engagement with a leading global automotive manufacturer, leveraging AI to analyze billions of dollars in vendor tooling spend, identify supplier savings opportunities and help prevent future overpayments. The opportunity could generate up to $150 million–$200 million in savings for the client.</w:t>
      </w: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Added Gravie as a new client, expanding Conduent’s Payment Integrity business and extending its reach in the healthcare market.</w:t>
      </w:r>
    </w:p>
    <w:p>
      <w:pPr>
        <w:spacing w:after="0" w:line="84"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Expanded Document Services work with a long-standing insurance and employee benefits provider, building on the relationship to support additional business needs.</w:t>
      </w:r>
    </w:p>
    <w:p>
      <w:pPr>
        <w:spacing w:after="0" w:line="75" w:lineRule="exact"/>
        <w:rPr>
          <w:rFonts w:ascii="Arial" w:cs="Arial" w:eastAsia="Arial" w:hAnsi="Arial"/>
          <w:sz w:val="13"/>
          <w:szCs w:val="13"/>
          <w:color w:val="auto"/>
        </w:rPr>
      </w:pPr>
    </w:p>
    <w:p>
      <w:pPr>
        <w:ind w:left="420" w:right="100" w:hanging="212"/>
        <w:spacing w:after="0" w:line="368" w:lineRule="auto"/>
        <w:tabs>
          <w:tab w:leader="none" w:pos="412" w:val="left"/>
        </w:tabs>
        <w:numPr>
          <w:ilvl w:val="0"/>
          <w:numId w:val="4"/>
        </w:numPr>
        <w:rPr>
          <w:rFonts w:ascii="Arial" w:cs="Arial" w:eastAsia="Arial" w:hAnsi="Arial"/>
          <w:sz w:val="13"/>
          <w:szCs w:val="13"/>
          <w:color w:val="auto"/>
        </w:rPr>
      </w:pPr>
      <w:r>
        <w:rPr>
          <w:rFonts w:ascii="Arial" w:cs="Arial" w:eastAsia="Arial" w:hAnsi="Arial"/>
          <w:sz w:val="13"/>
          <w:szCs w:val="13"/>
          <w:color w:val="auto"/>
        </w:rPr>
        <w:t>Announced a contract spanning up to 14 years with the Commonwealth of Virginia to continue operating and modernizing its Medicaid systems, including claims processing, finance, call center services and reporting.</w:t>
      </w: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Partnered with the State of New Jersey to provide EBT cards with chip-enabled technology and tap-to-pay functionality to help prevent SNAP fraud and protect beneficiaries’ funds.</w:t>
      </w:r>
    </w:p>
    <w:p>
      <w:pPr>
        <w:spacing w:after="0" w:line="84"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Received third-party HITRUST certification for cybersecurity and information protection for the Enterprise Data Warehouse Solution operated in support of Colorado’s Medicaid program.</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Innovation &amp; Technology Investment</w:t>
      </w:r>
    </w:p>
    <w:p>
      <w:pPr>
        <w:spacing w:after="0" w:line="85" w:lineRule="exact"/>
        <w:rPr>
          <w:sz w:val="20"/>
          <w:szCs w:val="20"/>
          <w:color w:val="auto"/>
        </w:rPr>
      </w:pPr>
    </w:p>
    <w:p>
      <w:pPr>
        <w:ind w:left="420" w:right="100" w:hanging="212"/>
        <w:spacing w:after="0" w:line="368" w:lineRule="auto"/>
        <w:tabs>
          <w:tab w:leader="none" w:pos="412" w:val="left"/>
        </w:tabs>
        <w:numPr>
          <w:ilvl w:val="0"/>
          <w:numId w:val="5"/>
        </w:numPr>
        <w:rPr>
          <w:rFonts w:ascii="Arial" w:cs="Arial" w:eastAsia="Arial" w:hAnsi="Arial"/>
          <w:sz w:val="13"/>
          <w:szCs w:val="13"/>
          <w:color w:val="auto"/>
        </w:rPr>
      </w:pPr>
      <w:r>
        <w:rPr>
          <w:rFonts w:ascii="Arial" w:cs="Arial" w:eastAsia="Arial" w:hAnsi="Arial"/>
          <w:sz w:val="13"/>
          <w:szCs w:val="13"/>
          <w:color w:val="auto"/>
        </w:rPr>
        <w:t>Established an enterprise AI Center of Excellence to accelerate adoption of AI across Conduent by prioritizing high-value opportunities, developing reusable capabilities and governance, and scaling validated solutions across businesses.</w:t>
      </w:r>
    </w:p>
    <w:p>
      <w:pPr>
        <w:ind w:left="420" w:right="120" w:hanging="212"/>
        <w:spacing w:after="0" w:line="368" w:lineRule="auto"/>
        <w:tabs>
          <w:tab w:leader="none" w:pos="412" w:val="left"/>
        </w:tabs>
        <w:numPr>
          <w:ilvl w:val="0"/>
          <w:numId w:val="5"/>
        </w:numPr>
        <w:rPr>
          <w:rFonts w:ascii="Arial" w:cs="Arial" w:eastAsia="Arial" w:hAnsi="Arial"/>
          <w:sz w:val="13"/>
          <w:szCs w:val="13"/>
          <w:color w:val="auto"/>
        </w:rPr>
      </w:pPr>
      <w:r>
        <w:rPr>
          <w:rFonts w:ascii="Arial" w:cs="Arial" w:eastAsia="Arial" w:hAnsi="Arial"/>
          <w:sz w:val="13"/>
          <w:szCs w:val="13"/>
          <w:color w:val="auto"/>
        </w:rPr>
        <w:t>Named a leader in ISG’s Global Finance and Accounting Outsourcing Provider Lens assessment for Invoice to Pay, recognizing Conduent’s Conni AI orchestration and FastCap solution for recovering overpayments and accelerating complex, time-sensitive workflows.</w:t>
      </w: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Named a leader in NelsonHall’s Benefit Administration and HR Transformation Services NEAT assessments, recognizing Conduent’s AI-powered approach to employee experiences.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Integrated Google Cloud’s Gemini models into Conduent’s Viewpoint™ platform to accelerate eDiscovery review, reduce costs and improve defensibility.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Leadership &amp; Governance</w:t>
      </w:r>
    </w:p>
    <w:p>
      <w:pPr>
        <w:spacing w:after="0" w:line="76"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Appointed Narayanan Sundaresan as Chief Information and Technology Officer and Anna Novoseletsky as Executive Vice President, General Counsel and Secretary.</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128"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u w:val="single" w:color="auto"/>
          <w:color w:val="auto"/>
        </w:rPr>
        <w:t>FY 2026 Outlook</w:t>
      </w:r>
      <w:r>
        <w:rPr>
          <w:rFonts w:ascii="Arial" w:cs="Arial" w:eastAsia="Arial" w:hAnsi="Arial"/>
          <w:sz w:val="6"/>
          <w:szCs w:val="6"/>
          <w:color w:val="auto"/>
        </w:rPr>
        <w:t>(3)</w:t>
      </w:r>
    </w:p>
    <w:p>
      <w:pPr>
        <w:spacing w:after="0" w:line="34" w:lineRule="exact"/>
        <w:rPr>
          <w:sz w:val="20"/>
          <w:szCs w:val="20"/>
          <w:color w:val="auto"/>
        </w:rPr>
      </w:pPr>
    </w:p>
    <w:tbl>
      <w:tblPr>
        <w:tblLayout w:type="fixed"/>
        <w:tblInd w:w="1958" w:type="dxa"/>
        <w:tblCellMar>
          <w:top w:w="0" w:type="dxa"/>
          <w:left w:w="0" w:type="dxa"/>
          <w:bottom w:w="0" w:type="dxa"/>
          <w:right w:w="0" w:type="dxa"/>
        </w:tblCellMar>
      </w:tblPr>
      <w:tr>
        <w:trPr>
          <w:trHeight w:val="126"/>
        </w:trPr>
        <w:tc>
          <w:tcPr>
            <w:tcW w:w="5020" w:type="dxa"/>
            <w:vAlign w:val="bottom"/>
            <w:tcBorders>
              <w:top w:val="single" w:sz="8" w:color="auto"/>
              <w:left w:val="single" w:sz="8" w:color="auto"/>
              <w:right w:val="single" w:sz="8" w:color="6D6D6D"/>
            </w:tcBorders>
            <w:shd w:val="clear" w:color="auto" w:fill="002855"/>
          </w:tcPr>
          <w:p>
            <w:pPr>
              <w:spacing w:after="0"/>
              <w:rPr>
                <w:sz w:val="10"/>
                <w:szCs w:val="10"/>
                <w:color w:val="auto"/>
              </w:rPr>
            </w:pPr>
          </w:p>
        </w:tc>
        <w:tc>
          <w:tcPr>
            <w:tcW w:w="2400" w:type="dxa"/>
            <w:vAlign w:val="bottom"/>
            <w:tcBorders>
              <w:top w:val="single" w:sz="8" w:color="auto"/>
              <w:right w:val="single" w:sz="8" w:color="auto"/>
            </w:tcBorders>
            <w:gridSpan w:val="2"/>
            <w:shd w:val="clear" w:color="auto" w:fill="002855"/>
          </w:tcPr>
          <w:p>
            <w:pPr>
              <w:jc w:val="center"/>
              <w:spacing w:after="0"/>
              <w:rPr>
                <w:sz w:val="20"/>
                <w:szCs w:val="20"/>
                <w:color w:val="auto"/>
              </w:rPr>
            </w:pPr>
            <w:r>
              <w:rPr>
                <w:rFonts w:ascii="Arial" w:cs="Arial" w:eastAsia="Arial" w:hAnsi="Arial"/>
                <w:sz w:val="11"/>
                <w:szCs w:val="11"/>
                <w:b w:val="1"/>
                <w:bCs w:val="1"/>
                <w:color w:val="FFFFFF"/>
              </w:rPr>
              <w:t>FY 2026</w:t>
            </w:r>
          </w:p>
        </w:tc>
      </w:tr>
      <w:tr>
        <w:trPr>
          <w:trHeight w:val="144"/>
        </w:trPr>
        <w:tc>
          <w:tcPr>
            <w:tcW w:w="5020" w:type="dxa"/>
            <w:vAlign w:val="bottom"/>
            <w:tcBorders>
              <w:left w:val="single" w:sz="8" w:color="auto"/>
              <w:right w:val="single" w:sz="8" w:color="6D6D6D"/>
            </w:tcBorders>
            <w:shd w:val="clear" w:color="auto" w:fill="002855"/>
          </w:tcPr>
          <w:p>
            <w:pPr>
              <w:spacing w:after="0"/>
              <w:rPr>
                <w:sz w:val="12"/>
                <w:szCs w:val="12"/>
                <w:color w:val="auto"/>
              </w:rPr>
            </w:pPr>
          </w:p>
        </w:tc>
        <w:tc>
          <w:tcPr>
            <w:tcW w:w="2400" w:type="dxa"/>
            <w:vAlign w:val="bottom"/>
            <w:tcBorders>
              <w:right w:val="single" w:sz="8" w:color="auto"/>
            </w:tcBorders>
            <w:gridSpan w:val="2"/>
            <w:shd w:val="clear" w:color="auto" w:fill="002855"/>
          </w:tcPr>
          <w:p>
            <w:pPr>
              <w:jc w:val="center"/>
              <w:spacing w:after="0" w:line="144" w:lineRule="exact"/>
              <w:rPr>
                <w:sz w:val="20"/>
                <w:szCs w:val="20"/>
                <w:color w:val="auto"/>
              </w:rPr>
            </w:pPr>
            <w:r>
              <w:rPr>
                <w:rFonts w:ascii="Arial" w:cs="Arial" w:eastAsia="Arial" w:hAnsi="Arial"/>
                <w:sz w:val="11"/>
                <w:szCs w:val="11"/>
                <w:b w:val="1"/>
                <w:bCs w:val="1"/>
                <w:color w:val="FFFFFF"/>
                <w:w w:val="94"/>
              </w:rPr>
              <w:t>Outlook</w:t>
            </w:r>
            <w:r>
              <w:rPr>
                <w:rFonts w:ascii="Arial" w:cs="Arial" w:eastAsia="Arial" w:hAnsi="Arial"/>
                <w:sz w:val="14"/>
                <w:szCs w:val="14"/>
                <w:b w:val="1"/>
                <w:bCs w:val="1"/>
                <w:color w:val="FFFFFF"/>
                <w:w w:val="94"/>
                <w:vertAlign w:val="superscript"/>
              </w:rPr>
              <w:t>(3)</w:t>
            </w:r>
          </w:p>
        </w:tc>
      </w:tr>
      <w:tr>
        <w:trPr>
          <w:trHeight w:val="72"/>
        </w:trPr>
        <w:tc>
          <w:tcPr>
            <w:tcW w:w="5020" w:type="dxa"/>
            <w:vAlign w:val="bottom"/>
            <w:tcBorders>
              <w:left w:val="single" w:sz="8" w:color="auto"/>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r>
      <w:tr>
        <w:trPr>
          <w:trHeight w:val="173"/>
        </w:trPr>
        <w:tc>
          <w:tcPr>
            <w:tcW w:w="5020" w:type="dxa"/>
            <w:vAlign w:val="bottom"/>
            <w:tcBorders>
              <w:left w:val="single" w:sz="8" w:color="auto"/>
              <w:bottom w:val="single" w:sz="8" w:color="auto"/>
              <w:right w:val="single" w:sz="8" w:color="6D6D6D"/>
            </w:tcBorders>
            <w:shd w:val="clear" w:color="auto" w:fill="DADDDC"/>
          </w:tcPr>
          <w:p>
            <w:pPr>
              <w:ind w:left="20"/>
              <w:spacing w:after="0"/>
              <w:rPr>
                <w:sz w:val="20"/>
                <w:szCs w:val="20"/>
                <w:color w:val="auto"/>
              </w:rPr>
            </w:pPr>
            <w:r>
              <w:rPr>
                <w:rFonts w:ascii="Arial" w:cs="Arial" w:eastAsia="Arial" w:hAnsi="Arial"/>
                <w:sz w:val="12"/>
                <w:szCs w:val="12"/>
                <w:b w:val="1"/>
                <w:bCs w:val="1"/>
                <w:color w:val="002855"/>
              </w:rPr>
              <w:t>Revenue</w:t>
            </w:r>
          </w:p>
        </w:tc>
        <w:tc>
          <w:tcPr>
            <w:tcW w:w="1160" w:type="dxa"/>
            <w:vAlign w:val="bottom"/>
            <w:tcBorders>
              <w:bottom w:val="single" w:sz="8" w:color="auto"/>
            </w:tcBorders>
            <w:shd w:val="clear" w:color="auto" w:fill="DADDDC"/>
          </w:tcPr>
          <w:p>
            <w:pPr>
              <w:jc w:val="right"/>
              <w:spacing w:after="0"/>
              <w:rPr>
                <w:sz w:val="20"/>
                <w:szCs w:val="20"/>
                <w:color w:val="auto"/>
              </w:rPr>
            </w:pPr>
            <w:r>
              <w:rPr>
                <w:rFonts w:ascii="Arial" w:cs="Arial" w:eastAsia="Arial" w:hAnsi="Arial"/>
                <w:sz w:val="11"/>
                <w:szCs w:val="11"/>
                <w:color w:val="494949"/>
              </w:rPr>
              <w:t>$2,150M</w:t>
            </w:r>
          </w:p>
        </w:tc>
        <w:tc>
          <w:tcPr>
            <w:tcW w:w="1240" w:type="dxa"/>
            <w:vAlign w:val="bottom"/>
            <w:tcBorders>
              <w:bottom w:val="single" w:sz="8" w:color="auto"/>
              <w:right w:val="single" w:sz="8" w:color="auto"/>
            </w:tcBorders>
            <w:shd w:val="clear" w:color="auto" w:fill="DADDDC"/>
          </w:tcPr>
          <w:p>
            <w:pPr>
              <w:spacing w:after="0"/>
              <w:rPr>
                <w:sz w:val="20"/>
                <w:szCs w:val="20"/>
                <w:color w:val="auto"/>
              </w:rPr>
            </w:pPr>
            <w:r>
              <w:rPr>
                <w:rFonts w:ascii="Arial" w:cs="Arial" w:eastAsia="Arial" w:hAnsi="Arial"/>
                <w:sz w:val="11"/>
                <w:szCs w:val="11"/>
                <w:color w:val="494949"/>
              </w:rPr>
              <w:t>- $2,250M</w:t>
            </w:r>
          </w:p>
        </w:tc>
      </w:tr>
      <w:tr>
        <w:trPr>
          <w:trHeight w:val="57"/>
        </w:trPr>
        <w:tc>
          <w:tcPr>
            <w:tcW w:w="502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r>
      <w:tr>
        <w:trPr>
          <w:trHeight w:val="196"/>
        </w:trPr>
        <w:tc>
          <w:tcPr>
            <w:tcW w:w="5020" w:type="dxa"/>
            <w:vAlign w:val="bottom"/>
            <w:tcBorders>
              <w:left w:val="single" w:sz="8" w:color="auto"/>
              <w:bottom w:val="single" w:sz="8" w:color="auto"/>
              <w:right w:val="single" w:sz="8" w:color="6D6D6D"/>
            </w:tcBorders>
            <w:shd w:val="clear" w:color="auto" w:fill="DADDDC"/>
          </w:tcPr>
          <w:p>
            <w:pPr>
              <w:ind w:left="20"/>
              <w:spacing w:after="0"/>
              <w:rPr>
                <w:sz w:val="20"/>
                <w:szCs w:val="20"/>
                <w:color w:val="auto"/>
              </w:rPr>
            </w:pPr>
            <w:r>
              <w:rPr>
                <w:rFonts w:ascii="Arial" w:cs="Arial" w:eastAsia="Arial" w:hAnsi="Arial"/>
                <w:sz w:val="12"/>
                <w:szCs w:val="12"/>
                <w:b w:val="1"/>
                <w:bCs w:val="1"/>
                <w:color w:val="002855"/>
              </w:rPr>
              <w:t xml:space="preserve">Adj. EBITDA </w:t>
            </w:r>
            <w:r>
              <w:rPr>
                <w:rFonts w:ascii="Arial" w:cs="Arial" w:eastAsia="Arial" w:hAnsi="Arial"/>
                <w:sz w:val="13"/>
                <w:szCs w:val="13"/>
                <w:b w:val="1"/>
                <w:bCs w:val="1"/>
                <w:color w:val="002855"/>
              </w:rPr>
              <w:t>from Continuing Operations</w:t>
            </w:r>
            <w:r>
              <w:rPr>
                <w:rFonts w:ascii="Arial" w:cs="Arial" w:eastAsia="Arial" w:hAnsi="Arial"/>
                <w:sz w:val="15"/>
                <w:szCs w:val="15"/>
                <w:b w:val="1"/>
                <w:bCs w:val="1"/>
                <w:color w:val="002855"/>
                <w:vertAlign w:val="superscript"/>
              </w:rPr>
              <w:t>(1)</w:t>
            </w:r>
          </w:p>
        </w:tc>
        <w:tc>
          <w:tcPr>
            <w:tcW w:w="1160" w:type="dxa"/>
            <w:vAlign w:val="bottom"/>
            <w:tcBorders>
              <w:bottom w:val="single" w:sz="8" w:color="auto"/>
            </w:tcBorders>
            <w:shd w:val="clear" w:color="auto" w:fill="DADDDC"/>
          </w:tcPr>
          <w:p>
            <w:pPr>
              <w:jc w:val="right"/>
              <w:spacing w:after="0"/>
              <w:rPr>
                <w:sz w:val="20"/>
                <w:szCs w:val="20"/>
                <w:color w:val="auto"/>
              </w:rPr>
            </w:pPr>
            <w:r>
              <w:rPr>
                <w:rFonts w:ascii="Arial" w:cs="Arial" w:eastAsia="Arial" w:hAnsi="Arial"/>
                <w:sz w:val="11"/>
                <w:szCs w:val="11"/>
                <w:color w:val="494949"/>
              </w:rPr>
              <w:t>$140M</w:t>
            </w:r>
          </w:p>
        </w:tc>
        <w:tc>
          <w:tcPr>
            <w:tcW w:w="1240" w:type="dxa"/>
            <w:vAlign w:val="bottom"/>
            <w:tcBorders>
              <w:bottom w:val="single" w:sz="8" w:color="auto"/>
              <w:right w:val="single" w:sz="8" w:color="auto"/>
            </w:tcBorders>
            <w:shd w:val="clear" w:color="auto" w:fill="DADDDC"/>
          </w:tcPr>
          <w:p>
            <w:pPr>
              <w:spacing w:after="0"/>
              <w:rPr>
                <w:sz w:val="20"/>
                <w:szCs w:val="20"/>
                <w:color w:val="auto"/>
              </w:rPr>
            </w:pPr>
            <w:r>
              <w:rPr>
                <w:rFonts w:ascii="Arial" w:cs="Arial" w:eastAsia="Arial" w:hAnsi="Arial"/>
                <w:sz w:val="11"/>
                <w:szCs w:val="11"/>
                <w:color w:val="494949"/>
              </w:rPr>
              <w:t>- $170M</w:t>
            </w:r>
          </w:p>
        </w:tc>
      </w:tr>
    </w:tbl>
    <w:p>
      <w:pPr>
        <w:spacing w:after="0" w:line="228" w:lineRule="exact"/>
        <w:rPr>
          <w:sz w:val="20"/>
          <w:szCs w:val="20"/>
          <w:color w:val="auto"/>
        </w:rPr>
      </w:pPr>
    </w:p>
    <w:p>
      <w:pPr>
        <w:ind w:left="108" w:hanging="108"/>
        <w:spacing w:after="0"/>
        <w:tabs>
          <w:tab w:leader="none" w:pos="108" w:val="left"/>
        </w:tabs>
        <w:numPr>
          <w:ilvl w:val="0"/>
          <w:numId w:val="7"/>
        </w:numPr>
        <w:rPr>
          <w:rFonts w:ascii="Arial" w:cs="Arial" w:eastAsia="Arial" w:hAnsi="Arial"/>
          <w:sz w:val="11"/>
          <w:szCs w:val="11"/>
          <w:color w:val="auto"/>
          <w:vertAlign w:val="superscript"/>
        </w:rPr>
      </w:pPr>
      <w:r>
        <w:rPr>
          <w:rFonts w:ascii="Arial" w:cs="Arial" w:eastAsia="Arial" w:hAnsi="Arial"/>
          <w:sz w:val="9"/>
          <w:szCs w:val="9"/>
          <w:color w:val="auto"/>
        </w:rPr>
        <w:t>Refer to the Appendix for definition and complete non-GAAP reconciliations of Adjusted EBITDA from Continuing Operations, Adjusted EBITDA Margin from Continuing Operations, Adjusted Diluted EPS from Continuing Operations and Adjusted Free Cash Flow.</w:t>
      </w:r>
    </w:p>
    <w:p>
      <w:pPr>
        <w:spacing w:after="0" w:line="38" w:lineRule="exact"/>
        <w:rPr>
          <w:rFonts w:ascii="Arial" w:cs="Arial" w:eastAsia="Arial" w:hAnsi="Arial"/>
          <w:sz w:val="11"/>
          <w:szCs w:val="11"/>
          <w:color w:val="auto"/>
          <w:vertAlign w:val="superscript"/>
        </w:rPr>
      </w:pPr>
    </w:p>
    <w:p>
      <w:pPr>
        <w:ind w:left="108" w:hanging="108"/>
        <w:spacing w:after="0" w:line="230" w:lineRule="auto"/>
        <w:tabs>
          <w:tab w:leader="none" w:pos="108" w:val="left"/>
        </w:tabs>
        <w:numPr>
          <w:ilvl w:val="0"/>
          <w:numId w:val="7"/>
        </w:numPr>
        <w:rPr>
          <w:rFonts w:ascii="Arial" w:cs="Arial" w:eastAsia="Arial" w:hAnsi="Arial"/>
          <w:sz w:val="12"/>
          <w:szCs w:val="12"/>
          <w:color w:val="auto"/>
          <w:vertAlign w:val="superscript"/>
        </w:rPr>
      </w:pPr>
      <w:r>
        <w:rPr>
          <w:rFonts w:ascii="Arial" w:cs="Arial" w:eastAsia="Arial" w:hAnsi="Arial"/>
          <w:sz w:val="10"/>
          <w:szCs w:val="10"/>
          <w:color w:val="auto"/>
        </w:rPr>
        <w:t>Refer to the Appendix for definition.</w:t>
      </w:r>
    </w:p>
    <w:p>
      <w:pPr>
        <w:spacing w:after="0" w:line="73" w:lineRule="exact"/>
        <w:rPr>
          <w:rFonts w:ascii="Arial" w:cs="Arial" w:eastAsia="Arial" w:hAnsi="Arial"/>
          <w:sz w:val="12"/>
          <w:szCs w:val="12"/>
          <w:color w:val="auto"/>
          <w:vertAlign w:val="superscript"/>
        </w:rPr>
      </w:pPr>
    </w:p>
    <w:p>
      <w:pPr>
        <w:ind w:left="88" w:hanging="88"/>
        <w:spacing w:after="0"/>
        <w:tabs>
          <w:tab w:leader="none" w:pos="88" w:val="left"/>
        </w:tabs>
        <w:numPr>
          <w:ilvl w:val="0"/>
          <w:numId w:val="7"/>
        </w:numPr>
        <w:rPr>
          <w:rFonts w:ascii="Arial" w:cs="Arial" w:eastAsia="Arial" w:hAnsi="Arial"/>
          <w:sz w:val="6"/>
          <w:szCs w:val="6"/>
          <w:color w:val="auto"/>
        </w:rPr>
      </w:pPr>
      <w:r>
        <w:rPr>
          <w:rFonts w:ascii="Arial" w:cs="Arial" w:eastAsia="Arial" w:hAnsi="Arial"/>
          <w:sz w:val="10"/>
          <w:szCs w:val="10"/>
          <w:color w:val="auto"/>
        </w:rPr>
        <w:t>Refer to the Appendix for additional information regarding non-GAAP outlook.</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8"/>
          </w:cols>
          <w:pgMar w:left="292" w:top="128" w:right="299" w:bottom="1440" w:gutter="0" w:footer="0" w:header="0"/>
        </w:sectPr>
      </w:pPr>
    </w:p>
    <w:bookmarkStart w:id="8" w:name="page9"/>
    <w:bookmarkEnd w:id="8"/>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Conference Call</w:t>
      </w:r>
    </w:p>
    <w:p>
      <w:pPr>
        <w:spacing w:after="0" w:line="85" w:lineRule="exact"/>
        <w:rPr>
          <w:sz w:val="20"/>
          <w:szCs w:val="20"/>
          <w:color w:val="auto"/>
        </w:rPr>
      </w:pPr>
    </w:p>
    <w:p>
      <w:pPr>
        <w:ind w:right="5540"/>
        <w:spacing w:after="0" w:line="399" w:lineRule="auto"/>
        <w:rPr>
          <w:sz w:val="20"/>
          <w:szCs w:val="20"/>
          <w:color w:val="auto"/>
        </w:rPr>
      </w:pPr>
      <w:r>
        <w:rPr>
          <w:rFonts w:ascii="Arial" w:cs="Arial" w:eastAsia="Arial" w:hAnsi="Arial"/>
          <w:sz w:val="13"/>
          <w:szCs w:val="13"/>
          <w:color w:val="auto"/>
        </w:rPr>
        <w:t>Management will present the results during a conference call and webcast on November 5, 2026 at 4:30 p.m. ET.</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The call will be available by live audio webcast along with the news release and online presentation slides at https://investor.conduent.com/.</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The conference call will also be available by calling 800-717-1738 toll-free. If requested, the conference ID for this call is 13763477.</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The international dial-in is +1-646-307-1865. The international conference ID is also 13763477.</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A recording of the conference call will be available by calling 877-660-6853 or 201-612-7415 after the conference call concludes. The replay ID is 13763477.</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The telephone recording will be available until November 19, 2026.</w:t>
      </w: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Conduent</w:t>
      </w:r>
    </w:p>
    <w:p>
      <w:pPr>
        <w:spacing w:after="0" w:line="85" w:lineRule="exact"/>
        <w:rPr>
          <w:sz w:val="20"/>
          <w:szCs w:val="20"/>
          <w:color w:val="auto"/>
        </w:rPr>
      </w:pPr>
    </w:p>
    <w:p>
      <w:pPr>
        <w:ind w:right="120"/>
        <w:spacing w:after="0" w:line="399" w:lineRule="auto"/>
        <w:rPr>
          <w:sz w:val="20"/>
          <w:szCs w:val="20"/>
          <w:color w:val="auto"/>
        </w:rPr>
      </w:pPr>
      <w:r>
        <w:rPr>
          <w:rFonts w:ascii="Arial" w:cs="Arial" w:eastAsia="Arial" w:hAnsi="Arial"/>
          <w:sz w:val="13"/>
          <w:szCs w:val="13"/>
          <w:color w:val="auto"/>
        </w:rPr>
        <w:t>Conduent is a global technology-enabled operating partner that helps businesses and governments simplify complexity, modernize mission-critical operations and deliver measurable outcomes through AI, automation, data and human expertise.</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28" w:right="299" w:bottom="1440" w:gutter="0" w:footer="0" w:header="0"/>
        </w:sectPr>
      </w:pPr>
    </w:p>
    <w:bookmarkStart w:id="9" w:name="page10"/>
    <w:bookmarkEnd w:id="9"/>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85" w:lineRule="exact"/>
        <w:rPr>
          <w:sz w:val="20"/>
          <w:szCs w:val="20"/>
          <w:color w:val="auto"/>
        </w:rPr>
      </w:pPr>
    </w:p>
    <w:p>
      <w:pPr>
        <w:ind w:right="20"/>
        <w:spacing w:after="0" w:line="372" w:lineRule="auto"/>
        <w:rPr>
          <w:sz w:val="20"/>
          <w:szCs w:val="20"/>
          <w:color w:val="auto"/>
        </w:rPr>
      </w:pPr>
      <w:r>
        <w:rPr>
          <w:rFonts w:ascii="Arial" w:cs="Arial" w:eastAsia="Arial" w:hAnsi="Arial"/>
          <w:sz w:val="13"/>
          <w:szCs w:val="13"/>
          <w:color w:val="auto"/>
        </w:rPr>
        <w:t>We have reported our financial results in accordance with accounting principles generally accepted in the U.S. (U.S. GAAP). In addition, we have discussed our financial results using non-GAAP measures from our Continuing Operations only, unless otherwise noted. 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our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 Refer to the "Non-GAAP Financial Measures" and "Non-GAAP Reconciliations" sections attached to this release for a discussion of these non-GAAP measures and their reconciliation to the reported U.S. GAAP measures.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28"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90" w:lineRule="exact"/>
        <w:rPr>
          <w:sz w:val="20"/>
          <w:szCs w:val="20"/>
          <w:color w:val="auto"/>
        </w:rPr>
      </w:pPr>
    </w:p>
    <w:p>
      <w:pPr>
        <w:ind w:right="20"/>
        <w:spacing w:after="0" w:line="350" w:lineRule="auto"/>
        <w:rPr>
          <w:sz w:val="20"/>
          <w:szCs w:val="20"/>
          <w:color w:val="auto"/>
        </w:rPr>
      </w:pPr>
      <w:r>
        <w:rPr>
          <w:rFonts w:ascii="Arial" w:cs="Arial" w:eastAsia="Arial" w:hAnsi="Arial"/>
          <w:sz w:val="13"/>
          <w:szCs w:val="13"/>
          <w:color w:val="auto"/>
        </w:rPr>
        <w:t>This press release and other public statements we make may contain "forward-looking statements" as defined in the Private Securities Litigation Reform Act of 1995. Words such as "anticipate," "believe," "expect," "intend," "plan," "target," "project," "will," "should," "could" and "may," and similar expressions, are intended to identify forward-looking statements, but the absence of these words does not mean that a statement is not forward-looking. These statements reflect our current views and assumptions regarding future events and are subject to risks and uncertainties, many of which are outside of our control, that could cause actual results to differ materially from those expected or implied.</w:t>
      </w:r>
    </w:p>
    <w:p>
      <w:pPr>
        <w:spacing w:after="0" w:line="1" w:lineRule="exact"/>
        <w:rPr>
          <w:sz w:val="20"/>
          <w:szCs w:val="20"/>
          <w:color w:val="auto"/>
        </w:rPr>
      </w:pPr>
    </w:p>
    <w:p>
      <w:pPr>
        <w:ind w:right="80"/>
        <w:spacing w:after="0" w:line="351" w:lineRule="auto"/>
        <w:rPr>
          <w:sz w:val="20"/>
          <w:szCs w:val="20"/>
          <w:color w:val="auto"/>
        </w:rPr>
      </w:pPr>
      <w:r>
        <w:rPr>
          <w:rFonts w:ascii="Arial" w:cs="Arial" w:eastAsia="Arial" w:hAnsi="Arial"/>
          <w:sz w:val="13"/>
          <w:szCs w:val="13"/>
          <w:color w:val="auto"/>
        </w:rPr>
        <w:t>Important factors that could cause actual results to differ materially include: risks related to the sale of our Transit Business and the pending sale of our Tolling Business, including our ability to realize the anticipated benefits, the risk that required regulatory approvals, third-party consents or other closing conditions for the Tolling transaction are not satisfied such that the closing is delayed or does not occur, and the risk that we do not receive some or all of the Transit holdback amounts; government appropriations and termination rights contained in our government contracts, and changes in government spending levels and budget priorities; our ability to renew commercial and government contracts, and the loss of, or a reduction in business from, significant clients; our ability to realize the cost savings we have identified, and to achieve estimated savings or other benefits for clients under new engagements; our significant indebtedness and the terms of such indebtedness, our credit ratings, our ability to collect our receivables, and the availability of receivables financing; breaches of, or interruptions in, our information systems and network infrastructure; the possibility that the court materially alters or fails to approve the class action settlement related to the previously disclosed cyber event that took place in January 2025, unexpected costs or liabilities in connection with that settlement or event, the outcome of other legal proceedings and government investigations related to it, and the availability and timing of insurance recovery; and developments in other claims, lawsuits, investigations and proceedings.</w:t>
      </w:r>
    </w:p>
    <w:p>
      <w:pPr>
        <w:spacing w:after="0" w:line="3" w:lineRule="exact"/>
        <w:rPr>
          <w:sz w:val="20"/>
          <w:szCs w:val="20"/>
          <w:color w:val="auto"/>
        </w:rPr>
      </w:pPr>
    </w:p>
    <w:p>
      <w:pPr>
        <w:ind w:right="40"/>
        <w:spacing w:after="0" w:line="397" w:lineRule="auto"/>
        <w:rPr>
          <w:sz w:val="20"/>
          <w:szCs w:val="20"/>
          <w:color w:val="auto"/>
        </w:rPr>
      </w:pPr>
      <w:r>
        <w:rPr>
          <w:rFonts w:ascii="Arial" w:cs="Arial" w:eastAsia="Arial" w:hAnsi="Arial"/>
          <w:sz w:val="12"/>
          <w:szCs w:val="12"/>
          <w:color w:val="auto"/>
        </w:rPr>
        <w:t>These and the other factors described in the "Risk Factors," "Legal Proceedings" and "Management's Discussion and Analysis of Financial Condition and Results of Operations" sections of our 2025 Annual Report on Form 10-K and our subsequent Quarterly Reports on Form 10-Q and Current Reports on Form 8-K filed (or furnished) with the Securities and Exchange Commission could cause our actual results to differ materially from those in our forward-looking statements. Any forward-looking statements made by us in this release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28" w:right="299" w:bottom="1440" w:gutter="0" w:footer="0" w:header="0"/>
        </w:sectPr>
      </w:pPr>
    </w:p>
    <w:bookmarkStart w:id="11" w:name="page12"/>
    <w:bookmarkEnd w:id="11"/>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 # #</w:t>
      </w: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Remy Kaul, Conduent, remy.kaul</w:t>
      </w:r>
      <w:r>
        <w:rPr>
          <w:rFonts w:ascii="Arial" w:cs="Arial" w:eastAsia="Arial" w:hAnsi="Arial"/>
          <w:sz w:val="12"/>
          <w:szCs w:val="12"/>
          <w:u w:val="single" w:color="auto"/>
          <w:color w:val="auto"/>
        </w:rPr>
        <w:t>@conduent.com</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Nick Goel, ir</w:t>
      </w:r>
      <w:r>
        <w:rPr>
          <w:rFonts w:ascii="Arial" w:cs="Arial" w:eastAsia="Arial" w:hAnsi="Arial"/>
          <w:sz w:val="13"/>
          <w:szCs w:val="13"/>
          <w:u w:val="single" w:color="auto"/>
          <w:color w:val="auto"/>
        </w:rPr>
        <w:t>@conduent.com</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Conduent Incorporated</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100 Campus Drive, Suite 200</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Florham Park, NJ 07932</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www.conduent.com</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28"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4"/>
        </w:trPr>
        <w:tc>
          <w:tcPr>
            <w:tcW w:w="1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w w:val="99"/>
              </w:rPr>
              <w:t>EXHIBIT 99.1</w:t>
            </w:r>
          </w:p>
        </w:tc>
      </w:tr>
      <w:tr>
        <w:trPr>
          <w:trHeight w:val="600"/>
        </w:trPr>
        <w:tc>
          <w:tcPr>
            <w:tcW w:w="1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320" w:type="dxa"/>
            <w:vAlign w:val="bottom"/>
            <w:gridSpan w:val="2"/>
          </w:tcPr>
          <w:p>
            <w:pPr>
              <w:jc w:val="right"/>
              <w:ind w:right="272"/>
              <w:spacing w:after="0"/>
              <w:rPr>
                <w:sz w:val="20"/>
                <w:szCs w:val="20"/>
                <w:color w:val="auto"/>
              </w:rPr>
            </w:pPr>
            <w:r>
              <w:rPr>
                <w:rFonts w:ascii="Arial" w:cs="Arial" w:eastAsia="Arial" w:hAnsi="Arial"/>
                <w:sz w:val="12"/>
                <w:szCs w:val="12"/>
                <w:b w:val="1"/>
                <w:bCs w:val="1"/>
                <w:color w:val="auto"/>
              </w:rPr>
              <w:t>CONDUENT INCORPORATED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5"/>
        </w:trPr>
        <w:tc>
          <w:tcPr>
            <w:tcW w:w="1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680" w:type="dxa"/>
            <w:vAlign w:val="bottom"/>
            <w:gridSpan w:val="5"/>
          </w:tcPr>
          <w:p>
            <w:pPr>
              <w:jc w:val="right"/>
              <w:spacing w:after="0"/>
              <w:rPr>
                <w:sz w:val="20"/>
                <w:szCs w:val="20"/>
                <w:color w:val="auto"/>
              </w:rPr>
            </w:pPr>
            <w:r>
              <w:rPr>
                <w:rFonts w:ascii="Arial" w:cs="Arial" w:eastAsia="Arial" w:hAnsi="Arial"/>
                <w:sz w:val="12"/>
                <w:szCs w:val="12"/>
                <w:b w:val="1"/>
                <w:bCs w:val="1"/>
                <w:color w:val="auto"/>
              </w:rPr>
              <w:t>CONDENSED CONSOLIDATED STATEMENTS OF INCOME (LOSS) (UNAUDITED)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2"/>
        </w:trPr>
        <w:tc>
          <w:tcPr>
            <w:tcW w:w="12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Arial" w:cs="Arial" w:eastAsia="Arial" w:hAnsi="Arial"/>
                <w:sz w:val="10"/>
                <w:szCs w:val="10"/>
                <w:color w:val="auto"/>
              </w:rPr>
              <w:t>Three Months Ended</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Arial" w:cs="Arial" w:eastAsia="Arial" w:hAnsi="Arial"/>
                <w:sz w:val="10"/>
                <w:szCs w:val="10"/>
                <w:color w:val="auto"/>
              </w:rPr>
              <w:t>Nine Months Ended</w:t>
            </w:r>
          </w:p>
        </w:tc>
        <w:tc>
          <w:tcPr>
            <w:tcW w:w="760" w:type="dxa"/>
            <w:vAlign w:val="bottom"/>
          </w:tcPr>
          <w:p>
            <w:pPr>
              <w:spacing w:after="0"/>
              <w:rPr>
                <w:sz w:val="10"/>
                <w:szCs w:val="10"/>
                <w:color w:val="auto"/>
              </w:rPr>
            </w:pPr>
          </w:p>
        </w:tc>
      </w:tr>
      <w:tr>
        <w:trPr>
          <w:trHeight w:val="122"/>
        </w:trPr>
        <w:tc>
          <w:tcPr>
            <w:tcW w:w="12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color w:val="auto"/>
              </w:rPr>
              <w:t>September 30,</w:t>
            </w: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color w:val="auto"/>
              </w:rPr>
              <w:t>September 30,</w:t>
            </w:r>
          </w:p>
        </w:tc>
        <w:tc>
          <w:tcPr>
            <w:tcW w:w="760" w:type="dxa"/>
            <w:vAlign w:val="bottom"/>
            <w:tcBorders>
              <w:bottom w:val="single" w:sz="8" w:color="auto"/>
            </w:tcBorders>
          </w:tcPr>
          <w:p>
            <w:pPr>
              <w:spacing w:after="0"/>
              <w:rPr>
                <w:sz w:val="10"/>
                <w:szCs w:val="10"/>
                <w:color w:val="auto"/>
              </w:rPr>
            </w:pPr>
          </w:p>
        </w:tc>
      </w:tr>
      <w:tr>
        <w:trPr>
          <w:trHeight w:val="106"/>
        </w:trPr>
        <w:tc>
          <w:tcPr>
            <w:tcW w:w="3480" w:type="dxa"/>
            <w:vAlign w:val="bottom"/>
            <w:gridSpan w:val="2"/>
          </w:tcPr>
          <w:p>
            <w:pPr>
              <w:spacing w:after="0"/>
              <w:rPr>
                <w:sz w:val="20"/>
                <w:szCs w:val="20"/>
                <w:color w:val="auto"/>
              </w:rPr>
            </w:pPr>
            <w:r>
              <w:rPr>
                <w:rFonts w:ascii="Arial" w:cs="Arial" w:eastAsia="Arial" w:hAnsi="Arial"/>
                <w:sz w:val="8"/>
                <w:szCs w:val="8"/>
                <w:color w:val="auto"/>
              </w:rPr>
              <w:t>(in millions, except per share data)</w:t>
            </w:r>
          </w:p>
        </w:tc>
        <w:tc>
          <w:tcPr>
            <w:tcW w:w="3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ind w:right="392"/>
              <w:spacing w:after="0" w:line="106" w:lineRule="exact"/>
              <w:rPr>
                <w:sz w:val="20"/>
                <w:szCs w:val="20"/>
                <w:color w:val="auto"/>
              </w:rPr>
            </w:pPr>
            <w:r>
              <w:rPr>
                <w:rFonts w:ascii="Arial" w:cs="Arial" w:eastAsia="Arial" w:hAnsi="Arial"/>
                <w:sz w:val="10"/>
                <w:szCs w:val="10"/>
                <w:color w:val="auto"/>
              </w:rPr>
              <w:t>2026</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jc w:val="right"/>
              <w:ind w:right="392"/>
              <w:spacing w:after="0" w:line="106" w:lineRule="exact"/>
              <w:rPr>
                <w:sz w:val="20"/>
                <w:szCs w:val="20"/>
                <w:color w:val="auto"/>
              </w:rPr>
            </w:pPr>
            <w:r>
              <w:rPr>
                <w:rFonts w:ascii="Arial" w:cs="Arial" w:eastAsia="Arial" w:hAnsi="Arial"/>
                <w:sz w:val="10"/>
                <w:szCs w:val="10"/>
                <w:color w:val="auto"/>
              </w:rPr>
              <w:t>2025</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ind w:right="412"/>
              <w:spacing w:after="0" w:line="106" w:lineRule="exact"/>
              <w:rPr>
                <w:sz w:val="20"/>
                <w:szCs w:val="20"/>
                <w:color w:val="auto"/>
              </w:rPr>
            </w:pPr>
            <w:r>
              <w:rPr>
                <w:rFonts w:ascii="Arial" w:cs="Arial" w:eastAsia="Arial" w:hAnsi="Arial"/>
                <w:sz w:val="10"/>
                <w:szCs w:val="10"/>
                <w:color w:val="auto"/>
              </w:rPr>
              <w:t>2026</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jc w:val="right"/>
              <w:ind w:right="412"/>
              <w:spacing w:after="0" w:line="106" w:lineRule="exact"/>
              <w:rPr>
                <w:sz w:val="20"/>
                <w:szCs w:val="20"/>
                <w:color w:val="auto"/>
              </w:rPr>
            </w:pPr>
            <w:r>
              <w:rPr>
                <w:rFonts w:ascii="Arial" w:cs="Arial" w:eastAsia="Arial" w:hAnsi="Arial"/>
                <w:sz w:val="10"/>
                <w:szCs w:val="10"/>
                <w:color w:val="auto"/>
              </w:rPr>
              <w:t>2025</w:t>
            </w:r>
          </w:p>
        </w:tc>
      </w:tr>
      <w:tr>
        <w:trPr>
          <w:trHeight w:val="20"/>
        </w:trPr>
        <w:tc>
          <w:tcPr>
            <w:tcW w:w="128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0"/>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Revenue</w:t>
            </w:r>
          </w:p>
        </w:tc>
        <w:tc>
          <w:tcPr>
            <w:tcW w:w="3320" w:type="dxa"/>
            <w:vAlign w:val="bottom"/>
            <w:gridSpan w:val="2"/>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534</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605</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1,652</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1,826</w:t>
            </w:r>
          </w:p>
        </w:tc>
      </w:tr>
      <w:tr>
        <w:trPr>
          <w:trHeight w:val="144"/>
        </w:trPr>
        <w:tc>
          <w:tcPr>
            <w:tcW w:w="1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Operating Costs and Expenses</w:t>
            </w:r>
          </w:p>
        </w:tc>
        <w:tc>
          <w:tcPr>
            <w:tcW w:w="3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1"/>
        </w:trPr>
        <w:tc>
          <w:tcPr>
            <w:tcW w:w="3480" w:type="dxa"/>
            <w:vAlign w:val="bottom"/>
            <w:gridSpan w:val="2"/>
          </w:tcPr>
          <w:p>
            <w:pPr>
              <w:ind w:left="140"/>
              <w:spacing w:after="0"/>
              <w:rPr>
                <w:sz w:val="20"/>
                <w:szCs w:val="20"/>
                <w:color w:val="auto"/>
              </w:rPr>
            </w:pPr>
            <w:r>
              <w:rPr>
                <w:rFonts w:ascii="Arial" w:cs="Arial" w:eastAsia="Arial" w:hAnsi="Arial"/>
                <w:sz w:val="10"/>
                <w:szCs w:val="10"/>
                <w:color w:val="auto"/>
              </w:rPr>
              <w:t>Cost of services (excluding depreciation and amortization)</w:t>
            </w: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425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1,322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1,485</w:t>
            </w:r>
          </w:p>
        </w:tc>
      </w:tr>
      <w:tr>
        <w:trPr>
          <w:trHeight w:val="147"/>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98"/>
              </w:rPr>
              <w:t>Selling, general and administrative (excluding depreciation and amortization)</w:t>
            </w:r>
          </w:p>
        </w:tc>
        <w:tc>
          <w:tcPr>
            <w:tcW w:w="3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w:t>
            </w:r>
          </w:p>
        </w:tc>
      </w:tr>
      <w:tr>
        <w:trPr>
          <w:trHeight w:val="141"/>
        </w:trPr>
        <w:tc>
          <w:tcPr>
            <w:tcW w:w="3480" w:type="dxa"/>
            <w:vAlign w:val="bottom"/>
            <w:gridSpan w:val="2"/>
          </w:tcPr>
          <w:p>
            <w:pPr>
              <w:ind w:left="140"/>
              <w:spacing w:after="0"/>
              <w:rPr>
                <w:sz w:val="20"/>
                <w:szCs w:val="20"/>
                <w:color w:val="auto"/>
              </w:rPr>
            </w:pPr>
            <w:r>
              <w:rPr>
                <w:rFonts w:ascii="Arial" w:cs="Arial" w:eastAsia="Arial" w:hAnsi="Arial"/>
                <w:sz w:val="10"/>
                <w:szCs w:val="10"/>
                <w:color w:val="auto"/>
              </w:rPr>
              <w:t>Research and development (excluding depreciation and amortization)</w:t>
            </w: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w:t>
            </w:r>
          </w:p>
        </w:tc>
      </w:tr>
      <w:tr>
        <w:trPr>
          <w:trHeight w:val="147"/>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Depreciation and amortization</w:t>
            </w:r>
          </w:p>
        </w:tc>
        <w:tc>
          <w:tcPr>
            <w:tcW w:w="3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w:t>
            </w:r>
          </w:p>
        </w:tc>
      </w:tr>
      <w:tr>
        <w:trPr>
          <w:trHeight w:val="141"/>
        </w:trPr>
        <w:tc>
          <w:tcPr>
            <w:tcW w:w="3480" w:type="dxa"/>
            <w:vAlign w:val="bottom"/>
            <w:gridSpan w:val="2"/>
          </w:tcPr>
          <w:p>
            <w:pPr>
              <w:ind w:left="140"/>
              <w:spacing w:after="0"/>
              <w:rPr>
                <w:sz w:val="20"/>
                <w:szCs w:val="20"/>
                <w:color w:val="auto"/>
              </w:rPr>
            </w:pPr>
            <w:r>
              <w:rPr>
                <w:rFonts w:ascii="Arial" w:cs="Arial" w:eastAsia="Arial" w:hAnsi="Arial"/>
                <w:sz w:val="10"/>
                <w:szCs w:val="10"/>
                <w:color w:val="auto"/>
              </w:rPr>
              <w:t>Restructuring and related costs</w:t>
            </w: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24</w:t>
            </w:r>
          </w:p>
        </w:tc>
      </w:tr>
      <w:tr>
        <w:trPr>
          <w:trHeight w:val="147"/>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Interest expense</w:t>
            </w:r>
          </w:p>
        </w:tc>
        <w:tc>
          <w:tcPr>
            <w:tcW w:w="3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w:t>
            </w:r>
          </w:p>
        </w:tc>
      </w:tr>
      <w:tr>
        <w:trPr>
          <w:trHeight w:val="141"/>
        </w:trPr>
        <w:tc>
          <w:tcPr>
            <w:tcW w:w="3480" w:type="dxa"/>
            <w:vAlign w:val="bottom"/>
            <w:gridSpan w:val="2"/>
          </w:tcPr>
          <w:p>
            <w:pPr>
              <w:ind w:left="140"/>
              <w:spacing w:after="0"/>
              <w:rPr>
                <w:sz w:val="20"/>
                <w:szCs w:val="20"/>
                <w:color w:val="auto"/>
              </w:rPr>
            </w:pPr>
            <w:r>
              <w:rPr>
                <w:rFonts w:ascii="Arial" w:cs="Arial" w:eastAsia="Arial" w:hAnsi="Arial"/>
                <w:sz w:val="10"/>
                <w:szCs w:val="10"/>
                <w:color w:val="auto"/>
              </w:rPr>
              <w:t>(Gain) loss on divestitures and transaction costs, net</w:t>
            </w: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w:t>
            </w:r>
          </w:p>
        </w:tc>
      </w:tr>
      <w:tr>
        <w:trPr>
          <w:trHeight w:val="147"/>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Litigation settlements (recoveries), net</w:t>
            </w:r>
          </w:p>
        </w:tc>
        <w:tc>
          <w:tcPr>
            <w:tcW w:w="3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r>
      <w:tr>
        <w:trPr>
          <w:trHeight w:val="141"/>
        </w:trPr>
        <w:tc>
          <w:tcPr>
            <w:tcW w:w="3480" w:type="dxa"/>
            <w:vAlign w:val="bottom"/>
            <w:gridSpan w:val="2"/>
          </w:tcPr>
          <w:p>
            <w:pPr>
              <w:ind w:left="140"/>
              <w:spacing w:after="0"/>
              <w:rPr>
                <w:sz w:val="20"/>
                <w:szCs w:val="20"/>
                <w:color w:val="auto"/>
              </w:rPr>
            </w:pPr>
            <w:r>
              <w:rPr>
                <w:rFonts w:ascii="Arial" w:cs="Arial" w:eastAsia="Arial" w:hAnsi="Arial"/>
                <w:sz w:val="10"/>
                <w:szCs w:val="10"/>
                <w:color w:val="auto"/>
              </w:rPr>
              <w:t>Loss on extinguishment of debt</w:t>
            </w: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47"/>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Other (income) expenses, net</w:t>
            </w:r>
          </w:p>
        </w:tc>
        <w:tc>
          <w:tcPr>
            <w:tcW w:w="3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r>
      <w:tr>
        <w:trPr>
          <w:trHeight w:val="132"/>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color w:val="auto"/>
              </w:rPr>
              <w:t>Total Operating Costs and Expenses</w:t>
            </w:r>
          </w:p>
        </w:tc>
        <w:tc>
          <w:tcPr>
            <w:tcW w:w="306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569</w:t>
            </w:r>
          </w:p>
        </w:tc>
        <w:tc>
          <w:tcPr>
            <w:tcW w:w="8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643</w:t>
            </w:r>
          </w:p>
        </w:tc>
        <w:tc>
          <w:tcPr>
            <w:tcW w:w="10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1,763</w:t>
            </w:r>
          </w:p>
        </w:tc>
        <w:tc>
          <w:tcPr>
            <w:tcW w:w="10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1,969</w:t>
            </w:r>
          </w:p>
        </w:tc>
      </w:tr>
      <w:tr>
        <w:trPr>
          <w:trHeight w:val="134"/>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Income (Loss) Before Income Taxes from Continuing Operations</w:t>
            </w:r>
          </w:p>
        </w:tc>
        <w:tc>
          <w:tcPr>
            <w:tcW w:w="3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w:t>
            </w:r>
          </w:p>
        </w:tc>
      </w:tr>
      <w:tr>
        <w:trPr>
          <w:trHeight w:val="141"/>
        </w:trPr>
        <w:tc>
          <w:tcPr>
            <w:tcW w:w="3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0"/>
                <w:szCs w:val="10"/>
                <w:color w:val="auto"/>
              </w:rPr>
              <w:t>Income tax expense (benefit) from continuing operations</w:t>
            </w:r>
          </w:p>
        </w:tc>
        <w:tc>
          <w:tcPr>
            <w:tcW w:w="3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r>
      <w:tr>
        <w:trPr>
          <w:trHeight w:val="136"/>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Net Income (Loss) from Continuing Operations</w:t>
            </w:r>
          </w:p>
        </w:tc>
        <w:tc>
          <w:tcPr>
            <w:tcW w:w="3320" w:type="dxa"/>
            <w:vAlign w:val="bottom"/>
            <w:gridSpan w:val="2"/>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w:t>
            </w:r>
          </w:p>
        </w:tc>
      </w:tr>
      <w:tr>
        <w:trPr>
          <w:trHeight w:val="141"/>
        </w:trPr>
        <w:tc>
          <w:tcPr>
            <w:tcW w:w="3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0"/>
                <w:szCs w:val="10"/>
                <w:color w:val="auto"/>
              </w:rPr>
              <w:t>Income (Loss) from Discontinued Operations, Net of Tax</w:t>
            </w:r>
          </w:p>
        </w:tc>
        <w:tc>
          <w:tcPr>
            <w:tcW w:w="3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r>
      <w:tr>
        <w:trPr>
          <w:trHeight w:val="152"/>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Net Income (Loss)</w:t>
            </w:r>
          </w:p>
        </w:tc>
        <w:tc>
          <w:tcPr>
            <w:tcW w:w="3320" w:type="dxa"/>
            <w:vAlign w:val="bottom"/>
            <w:gridSpan w:val="2"/>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w:t>
            </w:r>
          </w:p>
        </w:tc>
      </w:tr>
      <w:tr>
        <w:trPr>
          <w:trHeight w:val="90"/>
        </w:trPr>
        <w:tc>
          <w:tcPr>
            <w:tcW w:w="1280" w:type="dxa"/>
            <w:vAlign w:val="bottom"/>
            <w:tcBorders>
              <w:top w:val="single" w:sz="8" w:color="CCEEFF"/>
            </w:tcBorders>
          </w:tcPr>
          <w:p>
            <w:pPr>
              <w:spacing w:after="0"/>
              <w:rPr>
                <w:sz w:val="7"/>
                <w:szCs w:val="7"/>
                <w:color w:val="auto"/>
              </w:rPr>
            </w:pPr>
          </w:p>
        </w:tc>
        <w:tc>
          <w:tcPr>
            <w:tcW w:w="2200" w:type="dxa"/>
            <w:vAlign w:val="bottom"/>
            <w:tcBorders>
              <w:top w:val="single" w:sz="8" w:color="CCEEFF"/>
            </w:tcBorders>
          </w:tcPr>
          <w:p>
            <w:pPr>
              <w:spacing w:after="0"/>
              <w:rPr>
                <w:sz w:val="7"/>
                <w:szCs w:val="7"/>
                <w:color w:val="auto"/>
              </w:rPr>
            </w:pPr>
          </w:p>
        </w:tc>
        <w:tc>
          <w:tcPr>
            <w:tcW w:w="3060" w:type="dxa"/>
            <w:vAlign w:val="bottom"/>
            <w:tcBorders>
              <w:top w:val="single" w:sz="8" w:color="CCEEFF"/>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r>
      <w:tr>
        <w:trPr>
          <w:trHeight w:val="144"/>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Net Income (Loss) per Share:</w:t>
            </w:r>
          </w:p>
        </w:tc>
        <w:tc>
          <w:tcPr>
            <w:tcW w:w="3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1"/>
        </w:trPr>
        <w:tc>
          <w:tcPr>
            <w:tcW w:w="3480" w:type="dxa"/>
            <w:vAlign w:val="bottom"/>
            <w:gridSpan w:val="2"/>
          </w:tcPr>
          <w:p>
            <w:pPr>
              <w:ind w:left="120"/>
              <w:spacing w:after="0"/>
              <w:rPr>
                <w:sz w:val="20"/>
                <w:szCs w:val="20"/>
                <w:color w:val="auto"/>
              </w:rPr>
            </w:pPr>
            <w:r>
              <w:rPr>
                <w:rFonts w:ascii="Arial" w:cs="Arial" w:eastAsia="Arial" w:hAnsi="Arial"/>
                <w:sz w:val="10"/>
                <w:szCs w:val="10"/>
                <w:color w:val="auto"/>
              </w:rPr>
              <w:t>Basic:</w:t>
            </w: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7"/>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Continuing operations</w:t>
            </w:r>
          </w:p>
        </w:tc>
        <w:tc>
          <w:tcPr>
            <w:tcW w:w="3320" w:type="dxa"/>
            <w:vAlign w:val="bottom"/>
            <w:gridSpan w:val="2"/>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(0.27)</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(0.92)</w:t>
            </w:r>
          </w:p>
        </w:tc>
      </w:tr>
      <w:tr>
        <w:trPr>
          <w:trHeight w:val="141"/>
        </w:trPr>
        <w:tc>
          <w:tcPr>
            <w:tcW w:w="3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0"/>
                <w:szCs w:val="10"/>
                <w:color w:val="auto"/>
              </w:rPr>
              <w:t>Discontinued operations</w:t>
            </w:r>
          </w:p>
        </w:tc>
        <w:tc>
          <w:tcPr>
            <w:tcW w:w="3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(0.06)</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(0.43)</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0.02</w:t>
            </w:r>
          </w:p>
        </w:tc>
      </w:tr>
      <w:tr>
        <w:trPr>
          <w:trHeight w:val="152"/>
        </w:trPr>
        <w:tc>
          <w:tcPr>
            <w:tcW w:w="3480" w:type="dxa"/>
            <w:vAlign w:val="bottom"/>
            <w:gridSpan w:val="2"/>
            <w:shd w:val="clear" w:color="auto" w:fill="CCEEFF"/>
          </w:tcPr>
          <w:p>
            <w:pPr>
              <w:ind w:left="120"/>
              <w:spacing w:after="0"/>
              <w:rPr>
                <w:sz w:val="20"/>
                <w:szCs w:val="20"/>
                <w:color w:val="auto"/>
              </w:rPr>
            </w:pPr>
            <w:r>
              <w:rPr>
                <w:rFonts w:ascii="Arial" w:cs="Arial" w:eastAsia="Arial" w:hAnsi="Arial"/>
                <w:sz w:val="10"/>
                <w:szCs w:val="10"/>
                <w:b w:val="1"/>
                <w:bCs w:val="1"/>
                <w:color w:val="auto"/>
              </w:rPr>
              <w:t>Basic net income (loss) per share</w:t>
            </w:r>
          </w:p>
        </w:tc>
        <w:tc>
          <w:tcPr>
            <w:tcW w:w="3320" w:type="dxa"/>
            <w:vAlign w:val="bottom"/>
            <w:gridSpan w:val="2"/>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(0.90)</w:t>
            </w:r>
          </w:p>
        </w:tc>
      </w:tr>
      <w:tr>
        <w:trPr>
          <w:trHeight w:val="126"/>
        </w:trPr>
        <w:tc>
          <w:tcPr>
            <w:tcW w:w="1280" w:type="dxa"/>
            <w:vAlign w:val="bottom"/>
            <w:tcBorders>
              <w:top w:val="single" w:sz="8" w:color="CCEEFF"/>
            </w:tcBorders>
          </w:tcPr>
          <w:p>
            <w:pPr>
              <w:spacing w:after="0"/>
              <w:rPr>
                <w:sz w:val="10"/>
                <w:szCs w:val="10"/>
                <w:color w:val="auto"/>
              </w:rPr>
            </w:pPr>
          </w:p>
        </w:tc>
        <w:tc>
          <w:tcPr>
            <w:tcW w:w="220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r>
      <w:tr>
        <w:trPr>
          <w:trHeight w:val="144"/>
        </w:trPr>
        <w:tc>
          <w:tcPr>
            <w:tcW w:w="34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Diluted:</w:t>
            </w:r>
          </w:p>
        </w:tc>
        <w:tc>
          <w:tcPr>
            <w:tcW w:w="3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1"/>
        </w:trPr>
        <w:tc>
          <w:tcPr>
            <w:tcW w:w="3480" w:type="dxa"/>
            <w:vAlign w:val="bottom"/>
            <w:gridSpan w:val="2"/>
          </w:tcPr>
          <w:p>
            <w:pPr>
              <w:ind w:left="220"/>
              <w:spacing w:after="0"/>
              <w:rPr>
                <w:sz w:val="20"/>
                <w:szCs w:val="20"/>
                <w:color w:val="auto"/>
              </w:rPr>
            </w:pPr>
            <w:r>
              <w:rPr>
                <w:rFonts w:ascii="Arial" w:cs="Arial" w:eastAsia="Arial" w:hAnsi="Arial"/>
                <w:sz w:val="10"/>
                <w:szCs w:val="10"/>
                <w:color w:val="auto"/>
              </w:rPr>
              <w:t>Continuing operations</w:t>
            </w:r>
          </w:p>
        </w:tc>
        <w:tc>
          <w:tcPr>
            <w:tcW w:w="3320" w:type="dxa"/>
            <w:vAlign w:val="bottom"/>
            <w:gridSpan w:val="2"/>
          </w:tcPr>
          <w:p>
            <w:pPr>
              <w:jc w:val="right"/>
              <w:ind w:right="15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(0.27)</w:t>
            </w:r>
          </w:p>
        </w:tc>
        <w:tc>
          <w:tcPr>
            <w:tcW w:w="80" w:type="dxa"/>
            <w:vAlign w:val="bottom"/>
          </w:tcPr>
          <w:p>
            <w:pPr>
              <w:spacing w:after="0"/>
              <w:rPr>
                <w:sz w:val="12"/>
                <w:szCs w:val="12"/>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(0.27)</w:t>
            </w:r>
          </w:p>
        </w:tc>
        <w:tc>
          <w:tcPr>
            <w:tcW w:w="10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(0.89)</w:t>
            </w:r>
          </w:p>
        </w:tc>
        <w:tc>
          <w:tcPr>
            <w:tcW w:w="100" w:type="dxa"/>
            <w:vAlign w:val="bottom"/>
          </w:tcPr>
          <w:p>
            <w:pPr>
              <w:spacing w:after="0"/>
              <w:rPr>
                <w:sz w:val="12"/>
                <w:szCs w:val="12"/>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(0.92)</w:t>
            </w:r>
          </w:p>
        </w:tc>
      </w:tr>
      <w:tr>
        <w:trPr>
          <w:trHeight w:val="144"/>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Discontinued operations</w:t>
            </w:r>
          </w:p>
        </w:tc>
        <w:tc>
          <w:tcPr>
            <w:tcW w:w="30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(0.06)</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(0.03)</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(0.43)</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0.02</w:t>
            </w:r>
          </w:p>
        </w:tc>
      </w:tr>
      <w:tr>
        <w:trPr>
          <w:trHeight w:val="136"/>
        </w:trPr>
        <w:tc>
          <w:tcPr>
            <w:tcW w:w="3480" w:type="dxa"/>
            <w:vAlign w:val="bottom"/>
            <w:gridSpan w:val="2"/>
          </w:tcPr>
          <w:p>
            <w:pPr>
              <w:ind w:left="120"/>
              <w:spacing w:after="0"/>
              <w:rPr>
                <w:sz w:val="20"/>
                <w:szCs w:val="20"/>
                <w:color w:val="auto"/>
              </w:rPr>
            </w:pPr>
            <w:r>
              <w:rPr>
                <w:rFonts w:ascii="Arial" w:cs="Arial" w:eastAsia="Arial" w:hAnsi="Arial"/>
                <w:sz w:val="10"/>
                <w:szCs w:val="10"/>
                <w:b w:val="1"/>
                <w:bCs w:val="1"/>
                <w:color w:val="auto"/>
              </w:rPr>
              <w:t>Diluted net income (loss) per share</w:t>
            </w:r>
          </w:p>
        </w:tc>
        <w:tc>
          <w:tcPr>
            <w:tcW w:w="3320" w:type="dxa"/>
            <w:vAlign w:val="bottom"/>
            <w:gridSpan w:val="2"/>
          </w:tcPr>
          <w:p>
            <w:pPr>
              <w:jc w:val="right"/>
              <w:ind w:right="15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(0.33)</w:t>
            </w:r>
          </w:p>
        </w:tc>
        <w:tc>
          <w:tcPr>
            <w:tcW w:w="80" w:type="dxa"/>
            <w:vAlign w:val="bottom"/>
          </w:tcPr>
          <w:p>
            <w:pPr>
              <w:spacing w:after="0"/>
              <w:rPr>
                <w:sz w:val="11"/>
                <w:szCs w:val="11"/>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(0.30)</w:t>
            </w:r>
          </w:p>
        </w:tc>
        <w:tc>
          <w:tcPr>
            <w:tcW w:w="10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(1.32)</w:t>
            </w:r>
          </w:p>
        </w:tc>
        <w:tc>
          <w:tcPr>
            <w:tcW w:w="100" w:type="dxa"/>
            <w:vAlign w:val="bottom"/>
          </w:tcPr>
          <w:p>
            <w:pPr>
              <w:spacing w:after="0"/>
              <w:rPr>
                <w:sz w:val="11"/>
                <w:szCs w:val="11"/>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(0.90)</w:t>
            </w:r>
          </w:p>
        </w:tc>
      </w:tr>
      <w:tr>
        <w:trPr>
          <w:trHeight w:val="20"/>
        </w:trPr>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2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28"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4"/>
        </w:trPr>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EXHIBIT 99.1</w:t>
            </w:r>
          </w:p>
        </w:tc>
      </w:tr>
      <w:tr>
        <w:trPr>
          <w:trHeight w:val="600"/>
        </w:trPr>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1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CONDUENT INCORPORATED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300" w:type="dxa"/>
            <w:vAlign w:val="bottom"/>
            <w:gridSpan w:val="7"/>
          </w:tcPr>
          <w:p>
            <w:pPr>
              <w:ind w:left="540"/>
              <w:spacing w:after="0"/>
              <w:rPr>
                <w:sz w:val="20"/>
                <w:szCs w:val="20"/>
                <w:color w:val="auto"/>
              </w:rPr>
            </w:pPr>
            <w:r>
              <w:rPr>
                <w:rFonts w:ascii="Arial" w:cs="Arial" w:eastAsia="Arial" w:hAnsi="Arial"/>
                <w:sz w:val="12"/>
                <w:szCs w:val="12"/>
                <w:b w:val="1"/>
                <w:bCs w:val="1"/>
                <w:color w:val="auto"/>
              </w:rPr>
              <w:t>CONDENSED CONSOLIDATED STATEMENTS OF COMPREHENSIVE INCOME (LOSS) (UNAUDITED)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22"/>
        </w:trPr>
        <w:tc>
          <w:tcPr>
            <w:tcW w:w="4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gridSpan w:val="3"/>
          </w:tcPr>
          <w:p>
            <w:pPr>
              <w:jc w:val="right"/>
              <w:ind w:right="12"/>
              <w:spacing w:after="0"/>
              <w:rPr>
                <w:sz w:val="20"/>
                <w:szCs w:val="20"/>
                <w:color w:val="auto"/>
              </w:rPr>
            </w:pPr>
            <w:r>
              <w:rPr>
                <w:rFonts w:ascii="Arial" w:cs="Arial" w:eastAsia="Arial" w:hAnsi="Arial"/>
                <w:sz w:val="10"/>
                <w:szCs w:val="10"/>
                <w:color w:val="auto"/>
              </w:rPr>
              <w:t>Three Months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3"/>
          </w:tcPr>
          <w:p>
            <w:pPr>
              <w:jc w:val="right"/>
              <w:spacing w:after="0"/>
              <w:rPr>
                <w:sz w:val="20"/>
                <w:szCs w:val="20"/>
                <w:color w:val="auto"/>
              </w:rPr>
            </w:pPr>
            <w:r>
              <w:rPr>
                <w:rFonts w:ascii="Arial" w:cs="Arial" w:eastAsia="Arial" w:hAnsi="Arial"/>
                <w:sz w:val="10"/>
                <w:szCs w:val="10"/>
                <w:color w:val="auto"/>
              </w:rPr>
              <w:t>Nine Months Ended</w:t>
            </w:r>
          </w:p>
        </w:tc>
        <w:tc>
          <w:tcPr>
            <w:tcW w:w="800" w:type="dxa"/>
            <w:vAlign w:val="bottom"/>
          </w:tcPr>
          <w:p>
            <w:pPr>
              <w:spacing w:after="0"/>
              <w:rPr>
                <w:sz w:val="10"/>
                <w:szCs w:val="10"/>
                <w:color w:val="auto"/>
              </w:rPr>
            </w:pPr>
          </w:p>
        </w:tc>
      </w:tr>
      <w:tr>
        <w:trPr>
          <w:trHeight w:val="122"/>
        </w:trPr>
        <w:tc>
          <w:tcPr>
            <w:tcW w:w="4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0"/>
                <w:szCs w:val="10"/>
                <w:color w:val="auto"/>
              </w:rPr>
              <w:t>September 30,</w:t>
            </w: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color w:val="auto"/>
              </w:rPr>
              <w:t>September 30,</w:t>
            </w:r>
          </w:p>
        </w:tc>
        <w:tc>
          <w:tcPr>
            <w:tcW w:w="800" w:type="dxa"/>
            <w:vAlign w:val="bottom"/>
            <w:tcBorders>
              <w:bottom w:val="single" w:sz="8" w:color="auto"/>
            </w:tcBorders>
          </w:tcPr>
          <w:p>
            <w:pPr>
              <w:spacing w:after="0"/>
              <w:rPr>
                <w:sz w:val="10"/>
                <w:szCs w:val="10"/>
                <w:color w:val="auto"/>
              </w:rPr>
            </w:pPr>
          </w:p>
        </w:tc>
      </w:tr>
      <w:tr>
        <w:trPr>
          <w:trHeight w:val="106"/>
        </w:trPr>
        <w:tc>
          <w:tcPr>
            <w:tcW w:w="2500" w:type="dxa"/>
            <w:vAlign w:val="bottom"/>
            <w:gridSpan w:val="2"/>
          </w:tcPr>
          <w:p>
            <w:pPr>
              <w:spacing w:after="0"/>
              <w:rPr>
                <w:sz w:val="20"/>
                <w:szCs w:val="20"/>
                <w:color w:val="auto"/>
              </w:rPr>
            </w:pPr>
            <w:r>
              <w:rPr>
                <w:rFonts w:ascii="Arial" w:cs="Arial" w:eastAsia="Arial" w:hAnsi="Arial"/>
                <w:sz w:val="8"/>
                <w:szCs w:val="8"/>
                <w:color w:val="auto"/>
              </w:rPr>
              <w:t>(in millions)</w:t>
            </w:r>
          </w:p>
        </w:tc>
        <w:tc>
          <w:tcPr>
            <w:tcW w:w="3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jc w:val="right"/>
              <w:ind w:right="432"/>
              <w:spacing w:after="0" w:line="106" w:lineRule="exact"/>
              <w:rPr>
                <w:sz w:val="20"/>
                <w:szCs w:val="20"/>
                <w:color w:val="auto"/>
              </w:rPr>
            </w:pPr>
            <w:r>
              <w:rPr>
                <w:rFonts w:ascii="Arial" w:cs="Arial" w:eastAsia="Arial" w:hAnsi="Arial"/>
                <w:sz w:val="10"/>
                <w:szCs w:val="10"/>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jc w:val="right"/>
              <w:ind w:right="452"/>
              <w:spacing w:after="0" w:line="106" w:lineRule="exact"/>
              <w:rPr>
                <w:sz w:val="20"/>
                <w:szCs w:val="20"/>
                <w:color w:val="auto"/>
              </w:rPr>
            </w:pPr>
            <w:r>
              <w:rPr>
                <w:rFonts w:ascii="Arial" w:cs="Arial" w:eastAsia="Arial" w:hAnsi="Arial"/>
                <w:sz w:val="10"/>
                <w:szCs w:val="10"/>
                <w:color w:val="auto"/>
              </w:rPr>
              <w:t>2025</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ind w:right="452"/>
              <w:spacing w:after="0" w:line="106" w:lineRule="exact"/>
              <w:rPr>
                <w:sz w:val="20"/>
                <w:szCs w:val="20"/>
                <w:color w:val="auto"/>
              </w:rPr>
            </w:pPr>
            <w:r>
              <w:rPr>
                <w:rFonts w:ascii="Arial" w:cs="Arial" w:eastAsia="Arial" w:hAnsi="Arial"/>
                <w:sz w:val="10"/>
                <w:szCs w:val="10"/>
                <w:color w:val="auto"/>
              </w:rPr>
              <w:t>2026</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jc w:val="right"/>
              <w:ind w:right="451"/>
              <w:spacing w:after="0" w:line="106" w:lineRule="exact"/>
              <w:rPr>
                <w:sz w:val="20"/>
                <w:szCs w:val="20"/>
                <w:color w:val="auto"/>
              </w:rPr>
            </w:pPr>
            <w:r>
              <w:rPr>
                <w:rFonts w:ascii="Arial" w:cs="Arial" w:eastAsia="Arial" w:hAnsi="Arial"/>
                <w:sz w:val="10"/>
                <w:szCs w:val="10"/>
                <w:color w:val="auto"/>
              </w:rPr>
              <w:t>2025</w:t>
            </w: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0"/>
        </w:trPr>
        <w:tc>
          <w:tcPr>
            <w:tcW w:w="25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Net Income (Loss)</w:t>
            </w:r>
          </w:p>
        </w:tc>
        <w:tc>
          <w:tcPr>
            <w:tcW w:w="410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w:t>
            </w:r>
          </w:p>
        </w:tc>
      </w:tr>
      <w:tr>
        <w:trPr>
          <w:trHeight w:val="144"/>
        </w:trPr>
        <w:tc>
          <w:tcPr>
            <w:tcW w:w="2500" w:type="dxa"/>
            <w:vAlign w:val="bottom"/>
            <w:gridSpan w:val="2"/>
          </w:tcPr>
          <w:p>
            <w:pPr>
              <w:spacing w:after="0"/>
              <w:rPr>
                <w:sz w:val="20"/>
                <w:szCs w:val="20"/>
                <w:color w:val="auto"/>
              </w:rPr>
            </w:pPr>
            <w:r>
              <w:rPr>
                <w:rFonts w:ascii="Arial" w:cs="Arial" w:eastAsia="Arial" w:hAnsi="Arial"/>
                <w:sz w:val="10"/>
                <w:szCs w:val="10"/>
                <w:b w:val="1"/>
                <w:bCs w:val="1"/>
                <w:color w:val="auto"/>
              </w:rPr>
              <w:t>Other Comprehensive Income (Loss), Net</w:t>
            </w:r>
            <w:r>
              <w:rPr>
                <w:rFonts w:ascii="Arial" w:cs="Arial" w:eastAsia="Arial" w:hAnsi="Arial"/>
                <w:sz w:val="12"/>
                <w:szCs w:val="12"/>
                <w:b w:val="1"/>
                <w:bCs w:val="1"/>
                <w:color w:val="auto"/>
                <w:vertAlign w:val="superscript"/>
              </w:rPr>
              <w:t>(1)</w:t>
            </w: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25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Currency translation adjustments, net</w:t>
            </w:r>
          </w:p>
        </w:tc>
        <w:tc>
          <w:tcPr>
            <w:tcW w:w="3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r>
      <w:tr>
        <w:trPr>
          <w:trHeight w:val="141"/>
        </w:trPr>
        <w:tc>
          <w:tcPr>
            <w:tcW w:w="2500" w:type="dxa"/>
            <w:vAlign w:val="bottom"/>
            <w:gridSpan w:val="2"/>
          </w:tcPr>
          <w:p>
            <w:pPr>
              <w:ind w:left="140"/>
              <w:spacing w:after="0"/>
              <w:rPr>
                <w:sz w:val="20"/>
                <w:szCs w:val="20"/>
                <w:color w:val="auto"/>
              </w:rPr>
            </w:pPr>
            <w:r>
              <w:rPr>
                <w:rFonts w:ascii="Arial" w:cs="Arial" w:eastAsia="Arial" w:hAnsi="Arial"/>
                <w:sz w:val="10"/>
                <w:szCs w:val="10"/>
                <w:color w:val="auto"/>
              </w:rPr>
              <w:t>Unrecognized gains (losses), net</w:t>
            </w: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7"/>
        </w:trPr>
        <w:tc>
          <w:tcPr>
            <w:tcW w:w="25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Changes in benefit plans, net</w:t>
            </w:r>
          </w:p>
        </w:tc>
        <w:tc>
          <w:tcPr>
            <w:tcW w:w="3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25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color w:val="auto"/>
              </w:rPr>
              <w:t>Other Comprehensive Income (Loss), Net</w:t>
            </w:r>
          </w:p>
        </w:tc>
        <w:tc>
          <w:tcPr>
            <w:tcW w:w="370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8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31</w:t>
            </w:r>
          </w:p>
        </w:tc>
      </w:tr>
      <w:tr>
        <w:trPr>
          <w:trHeight w:val="89"/>
        </w:trPr>
        <w:tc>
          <w:tcPr>
            <w:tcW w:w="420" w:type="dxa"/>
            <w:vAlign w:val="bottom"/>
            <w:shd w:val="clear" w:color="auto" w:fill="CCEEFF"/>
          </w:tcPr>
          <w:p>
            <w:pPr>
              <w:spacing w:after="0"/>
              <w:rPr>
                <w:sz w:val="7"/>
                <w:szCs w:val="7"/>
                <w:color w:val="auto"/>
              </w:rPr>
            </w:pPr>
          </w:p>
        </w:tc>
        <w:tc>
          <w:tcPr>
            <w:tcW w:w="2080" w:type="dxa"/>
            <w:vAlign w:val="bottom"/>
            <w:shd w:val="clear" w:color="auto" w:fill="CCEEFF"/>
          </w:tcPr>
          <w:p>
            <w:pPr>
              <w:spacing w:after="0"/>
              <w:rPr>
                <w:sz w:val="7"/>
                <w:szCs w:val="7"/>
                <w:color w:val="auto"/>
              </w:rPr>
            </w:pPr>
          </w:p>
        </w:tc>
        <w:tc>
          <w:tcPr>
            <w:tcW w:w="37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r>
      <w:tr>
        <w:trPr>
          <w:trHeight w:val="144"/>
        </w:trPr>
        <w:tc>
          <w:tcPr>
            <w:tcW w:w="2500" w:type="dxa"/>
            <w:vAlign w:val="bottom"/>
            <w:gridSpan w:val="2"/>
          </w:tcPr>
          <w:p>
            <w:pPr>
              <w:spacing w:after="0"/>
              <w:rPr>
                <w:sz w:val="20"/>
                <w:szCs w:val="20"/>
                <w:color w:val="auto"/>
              </w:rPr>
            </w:pPr>
            <w:r>
              <w:rPr>
                <w:rFonts w:ascii="Arial" w:cs="Arial" w:eastAsia="Arial" w:hAnsi="Arial"/>
                <w:sz w:val="10"/>
                <w:szCs w:val="10"/>
                <w:b w:val="1"/>
                <w:bCs w:val="1"/>
                <w:color w:val="auto"/>
              </w:rPr>
              <w:t>Comprehensive Income (Loss), Net</w:t>
            </w:r>
          </w:p>
        </w:tc>
        <w:tc>
          <w:tcPr>
            <w:tcW w:w="4100" w:type="dxa"/>
            <w:vAlign w:val="bottom"/>
            <w:gridSpan w:val="2"/>
          </w:tcPr>
          <w:p>
            <w:pPr>
              <w:jc w:val="right"/>
              <w:ind w:right="34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(53)</w:t>
            </w:r>
          </w:p>
        </w:tc>
        <w:tc>
          <w:tcPr>
            <w:tcW w:w="100" w:type="dxa"/>
            <w:vAlign w:val="bottom"/>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2"/>
                <w:szCs w:val="12"/>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(208)</w:t>
            </w:r>
          </w:p>
        </w:tc>
        <w:tc>
          <w:tcPr>
            <w:tcW w:w="80" w:type="dxa"/>
            <w:vAlign w:val="bottom"/>
          </w:tcPr>
          <w:p>
            <w:pPr>
              <w:spacing w:after="0"/>
              <w:rPr>
                <w:sz w:val="12"/>
                <w:szCs w:val="12"/>
                <w:color w:val="auto"/>
              </w:rPr>
            </w:pPr>
          </w:p>
        </w:tc>
        <w:tc>
          <w:tcPr>
            <w:tcW w:w="42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(106)</w:t>
            </w:r>
          </w:p>
        </w:tc>
      </w:tr>
      <w:tr>
        <w:trPr>
          <w:trHeight w:val="20"/>
        </w:trPr>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i w:val="1"/>
          <w:iCs w:val="1"/>
          <w:color w:val="auto"/>
        </w:rPr>
        <w:t>(1)</w:t>
      </w:r>
      <w:r>
        <w:rPr>
          <w:sz w:val="20"/>
          <w:szCs w:val="20"/>
          <w:color w:val="auto"/>
        </w:rPr>
        <w:tab/>
      </w:r>
      <w:r>
        <w:rPr>
          <w:rFonts w:ascii="Arial" w:cs="Arial" w:eastAsia="Arial" w:hAnsi="Arial"/>
          <w:sz w:val="8"/>
          <w:szCs w:val="8"/>
          <w:i w:val="1"/>
          <w:iCs w:val="1"/>
          <w:color w:val="auto"/>
        </w:rPr>
        <w:t>All amounts are net of tax. Tax effects were immaterial.</w:t>
      </w:r>
    </w:p>
    <w:p>
      <w:pPr>
        <w:spacing w:after="0" w:line="354" w:lineRule="exact"/>
        <w:rPr>
          <w:sz w:val="20"/>
          <w:szCs w:val="20"/>
          <w:color w:val="auto"/>
        </w:rPr>
      </w:pPr>
    </w:p>
    <w:p>
      <w:pPr>
        <w:ind w:left="1116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28"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4"/>
        </w:trPr>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EXHIBIT 99.1</w:t>
            </w:r>
          </w:p>
        </w:tc>
      </w:tr>
      <w:tr>
        <w:trPr>
          <w:trHeight w:val="600"/>
        </w:trPr>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500" w:type="dxa"/>
            <w:vAlign w:val="bottom"/>
            <w:gridSpan w:val="2"/>
          </w:tcPr>
          <w:p>
            <w:pPr>
              <w:jc w:val="right"/>
              <w:ind w:right="1500"/>
              <w:spacing w:after="0"/>
              <w:rPr>
                <w:sz w:val="20"/>
                <w:szCs w:val="20"/>
                <w:color w:val="auto"/>
              </w:rPr>
            </w:pPr>
            <w:r>
              <w:rPr>
                <w:rFonts w:ascii="Arial" w:cs="Arial" w:eastAsia="Arial" w:hAnsi="Arial"/>
                <w:sz w:val="12"/>
                <w:szCs w:val="12"/>
                <w:b w:val="1"/>
                <w:bCs w:val="1"/>
                <w:color w:val="auto"/>
              </w:rPr>
              <w:t>CONDUENT INCORPORATED</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5"/>
        </w:trPr>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5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CONDENSED CONSOLIDATED BALANCE SHEETS (UNAUDITED)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27"/>
        </w:trPr>
        <w:tc>
          <w:tcPr>
            <w:tcW w:w="3480" w:type="dxa"/>
            <w:vAlign w:val="bottom"/>
            <w:gridSpan w:val="2"/>
          </w:tcPr>
          <w:p>
            <w:pPr>
              <w:spacing w:after="0"/>
              <w:rPr>
                <w:sz w:val="20"/>
                <w:szCs w:val="20"/>
                <w:color w:val="auto"/>
              </w:rPr>
            </w:pPr>
            <w:r>
              <w:rPr>
                <w:rFonts w:ascii="Arial" w:cs="Arial" w:eastAsia="Arial" w:hAnsi="Arial"/>
                <w:sz w:val="8"/>
                <w:szCs w:val="8"/>
                <w:color w:val="auto"/>
              </w:rPr>
              <w:t>(in millions, except share data in thousands)</w:t>
            </w:r>
          </w:p>
        </w:tc>
        <w:tc>
          <w:tcPr>
            <w:tcW w:w="4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ind w:left="200"/>
              <w:spacing w:after="0"/>
              <w:rPr>
                <w:sz w:val="20"/>
                <w:szCs w:val="20"/>
                <w:color w:val="auto"/>
              </w:rPr>
            </w:pPr>
            <w:r>
              <w:rPr>
                <w:rFonts w:ascii="Arial" w:cs="Arial" w:eastAsia="Arial" w:hAnsi="Arial"/>
                <w:sz w:val="10"/>
                <w:szCs w:val="10"/>
                <w:color w:val="auto"/>
              </w:rPr>
              <w:t>September 30, 2026</w:t>
            </w:r>
          </w:p>
        </w:tc>
        <w:tc>
          <w:tcPr>
            <w:tcW w:w="260" w:type="dxa"/>
            <w:vAlign w:val="bottom"/>
          </w:tcPr>
          <w:p>
            <w:pPr>
              <w:spacing w:after="0"/>
              <w:rPr>
                <w:sz w:val="11"/>
                <w:szCs w:val="11"/>
                <w:color w:val="auto"/>
              </w:rPr>
            </w:pPr>
          </w:p>
        </w:tc>
        <w:tc>
          <w:tcPr>
            <w:tcW w:w="1480" w:type="dxa"/>
            <w:vAlign w:val="bottom"/>
          </w:tcPr>
          <w:p>
            <w:pPr>
              <w:jc w:val="right"/>
              <w:ind w:right="411"/>
              <w:spacing w:after="0"/>
              <w:rPr>
                <w:sz w:val="20"/>
                <w:szCs w:val="20"/>
                <w:color w:val="auto"/>
              </w:rPr>
            </w:pPr>
            <w:r>
              <w:rPr>
                <w:rFonts w:ascii="Arial" w:cs="Arial" w:eastAsia="Arial" w:hAnsi="Arial"/>
                <w:sz w:val="10"/>
                <w:szCs w:val="10"/>
                <w:color w:val="auto"/>
              </w:rPr>
              <w:t>December 31, 2025</w:t>
            </w:r>
          </w:p>
        </w:tc>
      </w:tr>
      <w:tr>
        <w:trPr>
          <w:trHeight w:val="20"/>
        </w:trPr>
        <w:tc>
          <w:tcPr>
            <w:tcW w:w="164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1"/>
        </w:trPr>
        <w:tc>
          <w:tcPr>
            <w:tcW w:w="3480" w:type="dxa"/>
            <w:vAlign w:val="bottom"/>
            <w:gridSpan w:val="2"/>
            <w:shd w:val="clear" w:color="auto" w:fill="CCEEFF"/>
          </w:tcPr>
          <w:p>
            <w:pPr>
              <w:spacing w:after="0" w:line="111" w:lineRule="exact"/>
              <w:rPr>
                <w:sz w:val="20"/>
                <w:szCs w:val="20"/>
                <w:color w:val="auto"/>
              </w:rPr>
            </w:pPr>
            <w:r>
              <w:rPr>
                <w:rFonts w:ascii="Arial" w:cs="Arial" w:eastAsia="Arial" w:hAnsi="Arial"/>
                <w:sz w:val="10"/>
                <w:szCs w:val="10"/>
                <w:b w:val="1"/>
                <w:bCs w:val="1"/>
                <w:color w:val="auto"/>
              </w:rPr>
              <w:t>Assets</w:t>
            </w:r>
          </w:p>
        </w:tc>
        <w:tc>
          <w:tcPr>
            <w:tcW w:w="4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Cash and cash equivalents</w:t>
            </w:r>
          </w:p>
        </w:tc>
        <w:tc>
          <w:tcPr>
            <w:tcW w:w="45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292</w:t>
            </w:r>
          </w:p>
        </w:tc>
        <w:tc>
          <w:tcPr>
            <w:tcW w:w="10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233</w:t>
            </w:r>
          </w:p>
        </w:tc>
      </w:tr>
      <w:tr>
        <w:trPr>
          <w:trHeight w:val="14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Accounts receivable, net</w:t>
            </w:r>
          </w:p>
        </w:tc>
        <w:tc>
          <w:tcPr>
            <w:tcW w:w="4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341</w:t>
            </w: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Contract assets</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53</w:t>
            </w:r>
          </w:p>
        </w:tc>
      </w:tr>
      <w:tr>
        <w:trPr>
          <w:trHeight w:val="14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current assets</w:t>
            </w:r>
          </w:p>
        </w:tc>
        <w:tc>
          <w:tcPr>
            <w:tcW w:w="4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w:t>
            </w:r>
          </w:p>
        </w:tc>
      </w:tr>
      <w:tr>
        <w:trPr>
          <w:trHeight w:val="141"/>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Assets of discontinued operations held for sale</w:t>
            </w:r>
          </w:p>
        </w:tc>
        <w:tc>
          <w:tcPr>
            <w:tcW w:w="4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452</w:t>
            </w:r>
          </w:p>
        </w:tc>
      </w:tr>
      <w:tr>
        <w:trPr>
          <w:trHeight w:val="136"/>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Total current assets</w:t>
            </w:r>
          </w:p>
        </w:tc>
        <w:tc>
          <w:tcPr>
            <w:tcW w:w="4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1,204</w:t>
            </w: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Land, buildings and equipment, net</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142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167</w:t>
            </w:r>
          </w:p>
        </w:tc>
      </w:tr>
      <w:tr>
        <w:trPr>
          <w:trHeight w:val="14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Operating lease right-of-use assets</w:t>
            </w:r>
          </w:p>
        </w:tc>
        <w:tc>
          <w:tcPr>
            <w:tcW w:w="4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w:t>
            </w: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Deferred contract costs, net</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74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74</w:t>
            </w:r>
          </w:p>
        </w:tc>
      </w:tr>
      <w:tr>
        <w:trPr>
          <w:trHeight w:val="14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Goodwill</w:t>
            </w:r>
          </w:p>
        </w:tc>
        <w:tc>
          <w:tcPr>
            <w:tcW w:w="4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617</w:t>
            </w:r>
          </w:p>
        </w:tc>
      </w:tr>
      <w:tr>
        <w:trPr>
          <w:trHeight w:val="141"/>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Other long-term assets</w:t>
            </w:r>
          </w:p>
        </w:tc>
        <w:tc>
          <w:tcPr>
            <w:tcW w:w="4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198</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223</w:t>
            </w:r>
          </w:p>
        </w:tc>
      </w:tr>
      <w:tr>
        <w:trPr>
          <w:trHeight w:val="156"/>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0"/>
                <w:szCs w:val="10"/>
                <w:b w:val="1"/>
                <w:bCs w:val="1"/>
                <w:color w:val="auto"/>
              </w:rPr>
              <w:t>Total Assets</w:t>
            </w:r>
          </w:p>
        </w:tc>
        <w:tc>
          <w:tcPr>
            <w:tcW w:w="45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2,397</w:t>
            </w:r>
          </w:p>
        </w:tc>
      </w:tr>
      <w:tr>
        <w:trPr>
          <w:trHeight w:val="121"/>
        </w:trPr>
        <w:tc>
          <w:tcPr>
            <w:tcW w:w="3480" w:type="dxa"/>
            <w:vAlign w:val="bottom"/>
            <w:tcBorders>
              <w:top w:val="single" w:sz="8" w:color="CCEEFF"/>
            </w:tcBorders>
            <w:gridSpan w:val="2"/>
          </w:tcPr>
          <w:p>
            <w:pPr>
              <w:spacing w:after="0"/>
              <w:rPr>
                <w:sz w:val="20"/>
                <w:szCs w:val="20"/>
                <w:color w:val="auto"/>
              </w:rPr>
            </w:pPr>
            <w:r>
              <w:rPr>
                <w:rFonts w:ascii="Arial" w:cs="Arial" w:eastAsia="Arial" w:hAnsi="Arial"/>
                <w:sz w:val="10"/>
                <w:szCs w:val="10"/>
                <w:b w:val="1"/>
                <w:bCs w:val="1"/>
                <w:color w:val="auto"/>
              </w:rPr>
              <w:t>Liabilities and Equity</w:t>
            </w:r>
          </w:p>
        </w:tc>
        <w:tc>
          <w:tcPr>
            <w:tcW w:w="426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r>
      <w:tr>
        <w:trPr>
          <w:trHeight w:val="145"/>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Current portion of long-term debt</w:t>
            </w:r>
          </w:p>
        </w:tc>
        <w:tc>
          <w:tcPr>
            <w:tcW w:w="45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w:t>
            </w: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Accounts payable</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71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108</w:t>
            </w:r>
          </w:p>
        </w:tc>
      </w:tr>
      <w:tr>
        <w:trPr>
          <w:trHeight w:val="14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Accrued compensation and benefits costs</w:t>
            </w:r>
          </w:p>
        </w:tc>
        <w:tc>
          <w:tcPr>
            <w:tcW w:w="4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w:t>
            </w: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Contract liabilities</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55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44</w:t>
            </w:r>
          </w:p>
        </w:tc>
      </w:tr>
      <w:tr>
        <w:trPr>
          <w:trHeight w:val="14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current liabilities</w:t>
            </w:r>
          </w:p>
        </w:tc>
        <w:tc>
          <w:tcPr>
            <w:tcW w:w="4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w:t>
            </w:r>
          </w:p>
        </w:tc>
      </w:tr>
      <w:tr>
        <w:trPr>
          <w:trHeight w:val="141"/>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Liabilities of discontinued operations held for sale</w:t>
            </w:r>
          </w:p>
        </w:tc>
        <w:tc>
          <w:tcPr>
            <w:tcW w:w="4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w:t>
            </w:r>
          </w:p>
        </w:tc>
      </w:tr>
      <w:tr>
        <w:trPr>
          <w:trHeight w:val="136"/>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Total current liabilities</w:t>
            </w:r>
          </w:p>
        </w:tc>
        <w:tc>
          <w:tcPr>
            <w:tcW w:w="4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728</w:t>
            </w: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Long-term debt</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709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665</w:t>
            </w:r>
          </w:p>
        </w:tc>
      </w:tr>
      <w:tr>
        <w:trPr>
          <w:trHeight w:val="14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Deferred taxes</w:t>
            </w:r>
          </w:p>
        </w:tc>
        <w:tc>
          <w:tcPr>
            <w:tcW w:w="4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Operating lease liabilities</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83</w:t>
            </w:r>
          </w:p>
        </w:tc>
      </w:tr>
      <w:tr>
        <w:trPr>
          <w:trHeight w:val="14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long-term liabilities</w:t>
            </w:r>
          </w:p>
        </w:tc>
        <w:tc>
          <w:tcPr>
            <w:tcW w:w="42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w:t>
            </w:r>
          </w:p>
        </w:tc>
      </w:tr>
      <w:tr>
        <w:trPr>
          <w:trHeight w:val="132"/>
        </w:trPr>
        <w:tc>
          <w:tcPr>
            <w:tcW w:w="3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0"/>
                <w:szCs w:val="10"/>
                <w:b w:val="1"/>
                <w:bCs w:val="1"/>
                <w:color w:val="auto"/>
              </w:rPr>
              <w:t>Total Liabilities</w:t>
            </w:r>
          </w:p>
        </w:tc>
        <w:tc>
          <w:tcPr>
            <w:tcW w:w="42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1,837</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1,570</w:t>
            </w:r>
          </w:p>
        </w:tc>
      </w:tr>
      <w:tr>
        <w:trPr>
          <w:trHeight w:val="125"/>
        </w:trPr>
        <w:tc>
          <w:tcPr>
            <w:tcW w:w="164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Series A convertible preferred stock</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142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142</w:t>
            </w:r>
          </w:p>
        </w:tc>
      </w:tr>
      <w:tr>
        <w:trPr>
          <w:trHeight w:val="147"/>
        </w:trPr>
        <w:tc>
          <w:tcPr>
            <w:tcW w:w="16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Common stock</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4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Treasury stock, at cost</w:t>
            </w:r>
          </w:p>
        </w:tc>
        <w:tc>
          <w:tcPr>
            <w:tcW w:w="4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w:t>
            </w: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Additional paid-in capital</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3,969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3,968</w:t>
            </w:r>
          </w:p>
        </w:tc>
      </w:tr>
      <w:tr>
        <w:trPr>
          <w:trHeight w:val="14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Retained earnings (deficit)</w:t>
            </w:r>
          </w:p>
        </w:tc>
        <w:tc>
          <w:tcPr>
            <w:tcW w:w="4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(2,613)</w:t>
            </w:r>
          </w:p>
        </w:tc>
      </w:tr>
      <w:tr>
        <w:trPr>
          <w:trHeight w:val="141"/>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Accumulated other comprehensive loss</w:t>
            </w:r>
          </w:p>
        </w:tc>
        <w:tc>
          <w:tcPr>
            <w:tcW w:w="4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(447)</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(437)</w:t>
            </w:r>
          </w:p>
        </w:tc>
      </w:tr>
      <w:tr>
        <w:trPr>
          <w:trHeight w:val="135"/>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0"/>
                <w:szCs w:val="10"/>
                <w:b w:val="1"/>
                <w:bCs w:val="1"/>
                <w:color w:val="auto"/>
              </w:rPr>
              <w:t>Total Equity</w:t>
            </w:r>
          </w:p>
        </w:tc>
        <w:tc>
          <w:tcPr>
            <w:tcW w:w="42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471</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685</w:t>
            </w:r>
          </w:p>
        </w:tc>
      </w:tr>
      <w:tr>
        <w:trPr>
          <w:trHeight w:val="150"/>
        </w:trPr>
        <w:tc>
          <w:tcPr>
            <w:tcW w:w="3480" w:type="dxa"/>
            <w:vAlign w:val="bottom"/>
            <w:gridSpan w:val="2"/>
          </w:tcPr>
          <w:p>
            <w:pPr>
              <w:ind w:left="220"/>
              <w:spacing w:after="0"/>
              <w:rPr>
                <w:sz w:val="20"/>
                <w:szCs w:val="20"/>
                <w:color w:val="auto"/>
              </w:rPr>
            </w:pPr>
            <w:r>
              <w:rPr>
                <w:rFonts w:ascii="Arial" w:cs="Arial" w:eastAsia="Arial" w:hAnsi="Arial"/>
                <w:sz w:val="10"/>
                <w:szCs w:val="10"/>
                <w:b w:val="1"/>
                <w:bCs w:val="1"/>
                <w:color w:val="auto"/>
              </w:rPr>
              <w:t>Total Liabilities and Equity</w:t>
            </w:r>
          </w:p>
        </w:tc>
        <w:tc>
          <w:tcPr>
            <w:tcW w:w="45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2,450</w:t>
            </w:r>
          </w:p>
        </w:tc>
        <w:tc>
          <w:tcPr>
            <w:tcW w:w="10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2,397</w:t>
            </w:r>
          </w:p>
        </w:tc>
      </w:tr>
      <w:tr>
        <w:trPr>
          <w:trHeight w:val="126"/>
        </w:trPr>
        <w:tc>
          <w:tcPr>
            <w:tcW w:w="164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42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rPr>
                <w:sz w:val="10"/>
                <w:szCs w:val="10"/>
                <w:color w:val="auto"/>
              </w:rPr>
            </w:pPr>
          </w:p>
        </w:tc>
      </w:tr>
      <w:tr>
        <w:trPr>
          <w:trHeight w:val="141"/>
        </w:trPr>
        <w:tc>
          <w:tcPr>
            <w:tcW w:w="3480" w:type="dxa"/>
            <w:vAlign w:val="bottom"/>
            <w:gridSpan w:val="2"/>
          </w:tcPr>
          <w:p>
            <w:pPr>
              <w:spacing w:after="0"/>
              <w:rPr>
                <w:sz w:val="20"/>
                <w:szCs w:val="20"/>
                <w:color w:val="auto"/>
              </w:rPr>
            </w:pPr>
            <w:r>
              <w:rPr>
                <w:rFonts w:ascii="Arial" w:cs="Arial" w:eastAsia="Arial" w:hAnsi="Arial"/>
                <w:sz w:val="10"/>
                <w:szCs w:val="10"/>
                <w:color w:val="auto"/>
              </w:rPr>
              <w:t>Shares of common stock issued and outstanding</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155,682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154,709</w:t>
            </w:r>
          </w:p>
        </w:tc>
      </w:tr>
      <w:tr>
        <w:trPr>
          <w:trHeight w:val="14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Shares of series A convertible preferred stock issued and outstanding</w:t>
            </w:r>
          </w:p>
        </w:tc>
        <w:tc>
          <w:tcPr>
            <w:tcW w:w="4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w:t>
            </w:r>
          </w:p>
        </w:tc>
      </w:tr>
      <w:tr>
        <w:trPr>
          <w:trHeight w:val="138"/>
        </w:trPr>
        <w:tc>
          <w:tcPr>
            <w:tcW w:w="3480" w:type="dxa"/>
            <w:vAlign w:val="bottom"/>
            <w:gridSpan w:val="2"/>
          </w:tcPr>
          <w:p>
            <w:pPr>
              <w:spacing w:after="0"/>
              <w:rPr>
                <w:sz w:val="20"/>
                <w:szCs w:val="20"/>
                <w:color w:val="auto"/>
              </w:rPr>
            </w:pPr>
            <w:r>
              <w:rPr>
                <w:rFonts w:ascii="Arial" w:cs="Arial" w:eastAsia="Arial" w:hAnsi="Arial"/>
                <w:sz w:val="10"/>
                <w:szCs w:val="10"/>
                <w:color w:val="auto"/>
              </w:rPr>
              <w:t>Shares of common stock held in treasury</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70,097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70,097</w:t>
            </w:r>
          </w:p>
        </w:tc>
      </w:tr>
      <w:tr>
        <w:trPr>
          <w:trHeight w:val="746"/>
        </w:trPr>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11</w:t>
            </w:r>
          </w:p>
        </w:tc>
      </w:tr>
    </w:tbl>
    <w:p>
      <w:pPr>
        <w:sectPr>
          <w:pgSz w:w="11900" w:h="16838" w:orient="portrait"/>
          <w:cols w:equalWidth="0" w:num="1">
            <w:col w:w="11300"/>
          </w:cols>
          <w:pgMar w:left="300" w:top="128" w:right="299" w:bottom="1440" w:gutter="0" w:footer="0" w:header="0"/>
        </w:sectPr>
      </w:pPr>
    </w:p>
    <w:bookmarkStart w:id="15" w:name="page16"/>
    <w:bookmarkEnd w:id="15"/>
    <w:p>
      <w:pPr>
        <w:ind w:left="10560"/>
        <w:spacing w:after="0"/>
        <w:rPr>
          <w:sz w:val="20"/>
          <w:szCs w:val="20"/>
          <w:color w:val="auto"/>
        </w:rPr>
      </w:pPr>
      <w:r>
        <w:rPr>
          <w:rFonts w:ascii="Arial" w:cs="Arial" w:eastAsia="Arial" w:hAnsi="Arial"/>
          <w:sz w:val="11"/>
          <w:szCs w:val="11"/>
          <w:b w:val="1"/>
          <w:bCs w:val="1"/>
          <w:color w:val="auto"/>
        </w:rPr>
        <w:t>EXHIBIT 99.1</w:t>
      </w:r>
    </w:p>
    <w:p>
      <w:pPr>
        <w:spacing w:after="0" w:line="200" w:lineRule="exact"/>
        <w:rPr>
          <w:sz w:val="20"/>
          <w:szCs w:val="20"/>
          <w:color w:val="auto"/>
        </w:rPr>
      </w:pPr>
    </w:p>
    <w:p>
      <w:pPr>
        <w:spacing w:after="0" w:line="294"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CONDUENT INCORPORATED</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CONDENSED CONSOLIDATED STATEMENTS OF CASH FLOWS (UNAUDITED)</w:t>
      </w:r>
    </w:p>
    <w:p>
      <w:pPr>
        <w:spacing w:after="0" w:line="58" w:lineRule="exact"/>
        <w:rPr>
          <w:sz w:val="20"/>
          <w:szCs w:val="20"/>
          <w:color w:val="auto"/>
        </w:rPr>
      </w:pPr>
    </w:p>
    <w:tbl>
      <w:tblPr>
        <w:tblLayout w:type="fixed"/>
        <w:tblInd w:w="2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color w:val="auto"/>
              </w:rPr>
              <w:t>Three Months Ended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right"/>
              <w:ind w:right="12"/>
              <w:spacing w:after="0"/>
              <w:rPr>
                <w:sz w:val="20"/>
                <w:szCs w:val="20"/>
                <w:color w:val="auto"/>
              </w:rPr>
            </w:pPr>
            <w:r>
              <w:rPr>
                <w:rFonts w:ascii="Arial" w:cs="Arial" w:eastAsia="Arial" w:hAnsi="Arial"/>
                <w:sz w:val="10"/>
                <w:szCs w:val="10"/>
                <w:color w:val="auto"/>
              </w:rPr>
              <w:t>Nine Months Ended</w:t>
            </w:r>
          </w:p>
        </w:tc>
        <w:tc>
          <w:tcPr>
            <w:tcW w:w="7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color w:val="auto"/>
              </w:rPr>
              <w:t>September 30,</w:t>
            </w: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color w:val="auto"/>
              </w:rPr>
              <w:t>September 30,</w:t>
            </w:r>
          </w:p>
        </w:tc>
        <w:tc>
          <w:tcPr>
            <w:tcW w:w="720" w:type="dxa"/>
            <w:vAlign w:val="bottom"/>
            <w:tcBorders>
              <w:bottom w:val="single" w:sz="8" w:color="auto"/>
            </w:tcBorders>
          </w:tcPr>
          <w:p>
            <w:pPr>
              <w:spacing w:after="0"/>
              <w:rPr>
                <w:sz w:val="10"/>
                <w:szCs w:val="10"/>
                <w:color w:val="auto"/>
              </w:rPr>
            </w:pPr>
          </w:p>
        </w:tc>
      </w:tr>
      <w:tr>
        <w:trPr>
          <w:trHeight w:val="106"/>
        </w:trPr>
        <w:tc>
          <w:tcPr>
            <w:tcW w:w="20" w:type="dxa"/>
            <w:vAlign w:val="bottom"/>
          </w:tcPr>
          <w:p>
            <w:pPr>
              <w:spacing w:after="0"/>
              <w:rPr>
                <w:sz w:val="9"/>
                <w:szCs w:val="9"/>
                <w:color w:val="auto"/>
              </w:rPr>
            </w:pPr>
          </w:p>
        </w:tc>
        <w:tc>
          <w:tcPr>
            <w:tcW w:w="5840" w:type="dxa"/>
            <w:vAlign w:val="bottom"/>
            <w:gridSpan w:val="2"/>
          </w:tcPr>
          <w:p>
            <w:pPr>
              <w:spacing w:after="0"/>
              <w:rPr>
                <w:sz w:val="20"/>
                <w:szCs w:val="20"/>
                <w:color w:val="auto"/>
              </w:rPr>
            </w:pPr>
            <w:r>
              <w:rPr>
                <w:rFonts w:ascii="Arial" w:cs="Arial" w:eastAsia="Arial" w:hAnsi="Arial"/>
                <w:sz w:val="8"/>
                <w:szCs w:val="8"/>
                <w:color w:val="auto"/>
              </w:rPr>
              <w:t>(in millions)</w:t>
            </w:r>
          </w:p>
        </w:tc>
        <w:tc>
          <w:tcPr>
            <w:tcW w:w="260" w:type="dxa"/>
            <w:vAlign w:val="bottom"/>
          </w:tcPr>
          <w:p>
            <w:pPr>
              <w:spacing w:after="0"/>
              <w:rPr>
                <w:sz w:val="9"/>
                <w:szCs w:val="9"/>
                <w:color w:val="auto"/>
              </w:rPr>
            </w:pPr>
          </w:p>
        </w:tc>
        <w:tc>
          <w:tcPr>
            <w:tcW w:w="880" w:type="dxa"/>
            <w:vAlign w:val="bottom"/>
          </w:tcPr>
          <w:p>
            <w:pPr>
              <w:jc w:val="right"/>
              <w:ind w:right="412"/>
              <w:spacing w:after="0" w:line="106" w:lineRule="exact"/>
              <w:rPr>
                <w:sz w:val="20"/>
                <w:szCs w:val="20"/>
                <w:color w:val="auto"/>
              </w:rPr>
            </w:pPr>
            <w:r>
              <w:rPr>
                <w:rFonts w:ascii="Arial" w:cs="Arial" w:eastAsia="Arial" w:hAnsi="Arial"/>
                <w:sz w:val="10"/>
                <w:szCs w:val="10"/>
                <w:color w:val="auto"/>
              </w:rPr>
              <w:t>2026</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jc w:val="right"/>
              <w:ind w:right="432"/>
              <w:spacing w:after="0" w:line="106" w:lineRule="exact"/>
              <w:rPr>
                <w:sz w:val="20"/>
                <w:szCs w:val="20"/>
                <w:color w:val="auto"/>
              </w:rPr>
            </w:pPr>
            <w:r>
              <w:rPr>
                <w:rFonts w:ascii="Arial" w:cs="Arial" w:eastAsia="Arial" w:hAnsi="Arial"/>
                <w:sz w:val="10"/>
                <w:szCs w:val="10"/>
                <w:color w:val="auto"/>
                <w:w w:val="98"/>
              </w:rPr>
              <w:t>2025</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ind w:right="412"/>
              <w:spacing w:after="0" w:line="106" w:lineRule="exact"/>
              <w:rPr>
                <w:sz w:val="20"/>
                <w:szCs w:val="20"/>
                <w:color w:val="auto"/>
              </w:rPr>
            </w:pPr>
            <w:r>
              <w:rPr>
                <w:rFonts w:ascii="Arial" w:cs="Arial" w:eastAsia="Arial" w:hAnsi="Arial"/>
                <w:sz w:val="10"/>
                <w:szCs w:val="10"/>
                <w:color w:val="auto"/>
              </w:rPr>
              <w:t>2026</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jc w:val="right"/>
              <w:ind w:right="412"/>
              <w:spacing w:after="0" w:line="106" w:lineRule="exact"/>
              <w:rPr>
                <w:sz w:val="20"/>
                <w:szCs w:val="20"/>
                <w:color w:val="auto"/>
              </w:rPr>
            </w:pPr>
            <w:r>
              <w:rPr>
                <w:rFonts w:ascii="Arial" w:cs="Arial" w:eastAsia="Arial" w:hAnsi="Arial"/>
                <w:sz w:val="10"/>
                <w:szCs w:val="10"/>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11"/>
        </w:trPr>
        <w:tc>
          <w:tcPr>
            <w:tcW w:w="20" w:type="dxa"/>
            <w:vAlign w:val="bottom"/>
            <w:shd w:val="clear" w:color="auto" w:fill="CCEEFF"/>
          </w:tcPr>
          <w:p>
            <w:pPr>
              <w:spacing w:after="0"/>
              <w:rPr>
                <w:sz w:val="9"/>
                <w:szCs w:val="9"/>
                <w:color w:val="auto"/>
              </w:rPr>
            </w:pPr>
          </w:p>
        </w:tc>
        <w:tc>
          <w:tcPr>
            <w:tcW w:w="5840" w:type="dxa"/>
            <w:vAlign w:val="bottom"/>
            <w:gridSpan w:val="2"/>
            <w:shd w:val="clear" w:color="auto" w:fill="CCEEFF"/>
          </w:tcPr>
          <w:p>
            <w:pPr>
              <w:spacing w:after="0" w:line="111" w:lineRule="exact"/>
              <w:rPr>
                <w:sz w:val="20"/>
                <w:szCs w:val="20"/>
                <w:color w:val="auto"/>
              </w:rPr>
            </w:pPr>
            <w:r>
              <w:rPr>
                <w:rFonts w:ascii="Arial" w:cs="Arial" w:eastAsia="Arial" w:hAnsi="Arial"/>
                <w:sz w:val="10"/>
                <w:szCs w:val="10"/>
                <w:b w:val="1"/>
                <w:bCs w:val="1"/>
                <w:color w:val="auto"/>
              </w:rPr>
              <w:t>Cash Flows from Operating Activities:</w:t>
            </w: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5840" w:type="dxa"/>
            <w:vAlign w:val="bottom"/>
            <w:gridSpan w:val="2"/>
          </w:tcPr>
          <w:p>
            <w:pPr>
              <w:spacing w:after="0"/>
              <w:rPr>
                <w:sz w:val="20"/>
                <w:szCs w:val="20"/>
                <w:color w:val="auto"/>
              </w:rPr>
            </w:pPr>
            <w:r>
              <w:rPr>
                <w:rFonts w:ascii="Arial" w:cs="Arial" w:eastAsia="Arial" w:hAnsi="Arial"/>
                <w:sz w:val="10"/>
                <w:szCs w:val="10"/>
                <w:color w:val="auto"/>
              </w:rPr>
              <w:t>Net income (loss)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(49)</w:t>
            </w:r>
          </w:p>
        </w:tc>
        <w:tc>
          <w:tcPr>
            <w:tcW w:w="100" w:type="dxa"/>
            <w:vAlign w:val="bottom"/>
          </w:tcPr>
          <w:p>
            <w:pPr>
              <w:spacing w:after="0"/>
              <w:rPr>
                <w:sz w:val="12"/>
                <w:szCs w:val="12"/>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(46)</w:t>
            </w:r>
          </w:p>
        </w:tc>
        <w:tc>
          <w:tcPr>
            <w:tcW w:w="8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(198)</w:t>
            </w:r>
          </w:p>
        </w:tc>
        <w:tc>
          <w:tcPr>
            <w:tcW w:w="100" w:type="dxa"/>
            <w:vAlign w:val="bottom"/>
          </w:tcPr>
          <w:p>
            <w:pPr>
              <w:spacing w:after="0"/>
              <w:rPr>
                <w:sz w:val="12"/>
                <w:szCs w:val="12"/>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(137)</w:t>
            </w:r>
          </w:p>
        </w:tc>
      </w:tr>
      <w:tr>
        <w:trPr>
          <w:trHeight w:val="147"/>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Adjustments required to reconcile net income (loss) to cash flows from operating activities: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Depreciation and amortization</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48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128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144</w:t>
            </w:r>
          </w:p>
        </w:tc>
      </w:tr>
      <w:tr>
        <w:trPr>
          <w:trHeight w:val="147"/>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Contract inducement amortization</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Deferred income taxes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w:t>
            </w:r>
          </w:p>
        </w:tc>
      </w:tr>
      <w:tr>
        <w:trPr>
          <w:trHeight w:val="147"/>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Amortization of debt financing costs</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Loss on extinguishment of debt</w:t>
            </w: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47"/>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(Gain) loss on divestitures and sales of fixed assets, net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Stock-based compensation</w:t>
            </w: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13</w:t>
            </w:r>
          </w:p>
        </w:tc>
      </w:tr>
      <w:tr>
        <w:trPr>
          <w:trHeight w:val="147"/>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Changes in operating assets and liabilities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w:t>
            </w: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Net change in income tax assets and liabilities</w:t>
            </w: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(14)</w:t>
            </w:r>
          </w:p>
        </w:tc>
      </w:tr>
      <w:tr>
        <w:trPr>
          <w:trHeight w:val="136"/>
        </w:trPr>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cash provided by (used in) operating activities</w:t>
            </w: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(107)</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w:t>
            </w:r>
          </w:p>
        </w:tc>
      </w:tr>
      <w:tr>
        <w:trPr>
          <w:trHeight w:val="123"/>
        </w:trPr>
        <w:tc>
          <w:tcPr>
            <w:tcW w:w="20" w:type="dxa"/>
            <w:vAlign w:val="bottom"/>
          </w:tcPr>
          <w:p>
            <w:pPr>
              <w:spacing w:after="0"/>
              <w:rPr>
                <w:sz w:val="10"/>
                <w:szCs w:val="10"/>
                <w:color w:val="auto"/>
              </w:rPr>
            </w:pPr>
          </w:p>
        </w:tc>
        <w:tc>
          <w:tcPr>
            <w:tcW w:w="5840" w:type="dxa"/>
            <w:vAlign w:val="bottom"/>
            <w:gridSpan w:val="2"/>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5"/>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Cost of additions to land, buildings and equipment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Proceeds from sale of land, buildings and equipment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7"/>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Cost of additions to internal use software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Proceeds from divestitures</w:t>
            </w: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53</w:t>
            </w:r>
          </w:p>
        </w:tc>
      </w:tr>
      <w:tr>
        <w:trPr>
          <w:trHeight w:val="136"/>
        </w:trPr>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cash provided by (used in) investing activities</w:t>
            </w: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w:t>
            </w:r>
          </w:p>
        </w:tc>
      </w:tr>
      <w:tr>
        <w:trPr>
          <w:trHeight w:val="123"/>
        </w:trPr>
        <w:tc>
          <w:tcPr>
            <w:tcW w:w="20" w:type="dxa"/>
            <w:vAlign w:val="bottom"/>
          </w:tcPr>
          <w:p>
            <w:pPr>
              <w:spacing w:after="0"/>
              <w:rPr>
                <w:sz w:val="10"/>
                <w:szCs w:val="10"/>
                <w:color w:val="auto"/>
              </w:rPr>
            </w:pPr>
          </w:p>
        </w:tc>
        <w:tc>
          <w:tcPr>
            <w:tcW w:w="5840" w:type="dxa"/>
            <w:vAlign w:val="bottom"/>
            <w:gridSpan w:val="2"/>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5"/>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Proceeds from revolving credit facility</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w:t>
            </w: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Proceeds from the issuance of debt, net</w:t>
            </w: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w:t>
            </w:r>
          </w:p>
        </w:tc>
      </w:tr>
      <w:tr>
        <w:trPr>
          <w:trHeight w:val="147"/>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Payments of debt issuance costs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Payments of revolving credit facility</w:t>
            </w: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(125)</w:t>
            </w:r>
          </w:p>
        </w:tc>
      </w:tr>
      <w:tr>
        <w:trPr>
          <w:trHeight w:val="147"/>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Payments of debt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w:t>
            </w: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Treasury stock purchases</w:t>
            </w: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w:t>
            </w:r>
          </w:p>
        </w:tc>
      </w:tr>
      <w:tr>
        <w:trPr>
          <w:trHeight w:val="147"/>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Excise tax payment on treasury stock purchases</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Taxes paid for settlement of stock-based compensation</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7"/>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Dividends paid on preferred stock</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r>
      <w:tr>
        <w:trPr>
          <w:trHeight w:val="141"/>
        </w:trPr>
        <w:tc>
          <w:tcPr>
            <w:tcW w:w="20" w:type="dxa"/>
            <w:vAlign w:val="bottom"/>
          </w:tcPr>
          <w:p>
            <w:pPr>
              <w:spacing w:after="0"/>
              <w:rPr>
                <w:sz w:val="12"/>
                <w:szCs w:val="12"/>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(Repurchase of) contribution from noncontrolling interest</w:t>
            </w: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w:t>
            </w:r>
          </w:p>
        </w:tc>
      </w:tr>
      <w:tr>
        <w:trPr>
          <w:trHeight w:val="133"/>
        </w:trPr>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172</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30</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195</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3"/>
        </w:trPr>
        <w:tc>
          <w:tcPr>
            <w:tcW w:w="20" w:type="dxa"/>
            <w:vAlign w:val="bottom"/>
          </w:tcPr>
          <w:p>
            <w:pPr>
              <w:spacing w:after="0"/>
              <w:rPr>
                <w:sz w:val="11"/>
                <w:szCs w:val="11"/>
                <w:color w:val="auto"/>
              </w:rPr>
            </w:pPr>
          </w:p>
        </w:tc>
        <w:tc>
          <w:tcPr>
            <w:tcW w:w="5840" w:type="dxa"/>
            <w:vAlign w:val="bottom"/>
            <w:gridSpan w:val="2"/>
          </w:tcPr>
          <w:p>
            <w:pPr>
              <w:spacing w:after="0"/>
              <w:rPr>
                <w:sz w:val="20"/>
                <w:szCs w:val="20"/>
                <w:color w:val="auto"/>
              </w:rPr>
            </w:pPr>
            <w:r>
              <w:rPr>
                <w:rFonts w:ascii="Arial" w:cs="Arial" w:eastAsia="Arial" w:hAnsi="Arial"/>
                <w:sz w:val="10"/>
                <w:szCs w:val="10"/>
                <w:color w:val="auto"/>
              </w:rPr>
              <w:t>Effect of exchange rate changes on cash, cash equivalents and restricted cash</w:t>
            </w: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w:t>
            </w:r>
          </w:p>
        </w:tc>
      </w:tr>
      <w:tr>
        <w:trPr>
          <w:trHeight w:val="147"/>
        </w:trPr>
        <w:tc>
          <w:tcPr>
            <w:tcW w:w="20" w:type="dxa"/>
            <w:vAlign w:val="bottom"/>
            <w:shd w:val="clear" w:color="auto" w:fill="CCEEFF"/>
          </w:tcPr>
          <w:p>
            <w:pPr>
              <w:spacing w:after="0"/>
              <w:rPr>
                <w:sz w:val="12"/>
                <w:szCs w:val="12"/>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Increase (decrease) in cash, cash equivalents and restricted cash</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w:t>
            </w:r>
          </w:p>
        </w:tc>
      </w:tr>
      <w:tr>
        <w:trPr>
          <w:trHeight w:val="141"/>
        </w:trPr>
        <w:tc>
          <w:tcPr>
            <w:tcW w:w="20" w:type="dxa"/>
            <w:vAlign w:val="bottom"/>
            <w:tcBorders>
              <w:bottom w:val="single" w:sz="8" w:color="CCEEFF"/>
            </w:tcBorders>
          </w:tcPr>
          <w:p>
            <w:pPr>
              <w:spacing w:after="0"/>
              <w:rPr>
                <w:sz w:val="12"/>
                <w:szCs w:val="12"/>
                <w:color w:val="auto"/>
              </w:rPr>
            </w:pPr>
          </w:p>
        </w:tc>
        <w:tc>
          <w:tcPr>
            <w:tcW w:w="58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Cash, Cash Equivalents and Restricted Cash at Beginning of Period</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240</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243</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377</w:t>
            </w:r>
          </w:p>
        </w:tc>
      </w:tr>
      <w:tr>
        <w:trPr>
          <w:trHeight w:val="152"/>
        </w:trPr>
        <w:tc>
          <w:tcPr>
            <w:tcW w:w="20" w:type="dxa"/>
            <w:vAlign w:val="bottom"/>
            <w:tcBorders>
              <w:bottom w:val="single" w:sz="8" w:color="CCEEFF"/>
            </w:tcBorders>
            <w:shd w:val="clear" w:color="auto" w:fill="CCEEFF"/>
          </w:tcPr>
          <w:p>
            <w:pPr>
              <w:spacing w:after="0"/>
              <w:rPr>
                <w:sz w:val="13"/>
                <w:szCs w:val="13"/>
                <w:color w:val="auto"/>
              </w:rPr>
            </w:pPr>
          </w:p>
        </w:tc>
        <w:tc>
          <w:tcPr>
            <w:tcW w:w="5840" w:type="dxa"/>
            <w:vAlign w:val="bottom"/>
            <w:tcBorders>
              <w:bottom w:val="single" w:sz="8" w:color="CCEEFF"/>
            </w:tcBorders>
            <w:gridSpan w:val="2"/>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Cash, Cash Equivalents and Restricted Cash at End of period</w:t>
            </w:r>
            <w:r>
              <w:rPr>
                <w:rFonts w:ascii="Arial" w:cs="Arial" w:eastAsia="Arial" w:hAnsi="Arial"/>
                <w:sz w:val="12"/>
                <w:szCs w:val="12"/>
                <w:b w:val="1"/>
                <w:bCs w:val="1"/>
                <w:color w:val="auto"/>
                <w:vertAlign w:val="superscript"/>
              </w:rPr>
              <w:t>(1)</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295</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264</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295</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264</w:t>
            </w:r>
          </w:p>
        </w:tc>
      </w:tr>
    </w:tbl>
    <w:p>
      <w:pPr>
        <w:spacing w:after="0" w:line="51" w:lineRule="exact"/>
        <w:rPr>
          <w:sz w:val="20"/>
          <w:szCs w:val="20"/>
          <w:color w:val="auto"/>
        </w:rPr>
      </w:pPr>
    </w:p>
    <w:p>
      <w:pPr>
        <w:ind w:left="20"/>
        <w:spacing w:after="0"/>
        <w:rPr>
          <w:sz w:val="20"/>
          <w:szCs w:val="20"/>
          <w:color w:val="auto"/>
        </w:rPr>
      </w:pPr>
      <w:r>
        <w:rPr>
          <w:rFonts w:ascii="Arial" w:cs="Arial" w:eastAsia="Arial" w:hAnsi="Arial"/>
          <w:sz w:val="8"/>
          <w:szCs w:val="8"/>
          <w:color w:val="auto"/>
        </w:rPr>
        <w:t>___________</w:t>
      </w:r>
    </w:p>
    <w:p>
      <w:pPr>
        <w:spacing w:after="0" w:line="50"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i w:val="1"/>
          <w:iCs w:val="1"/>
          <w:color w:val="auto"/>
        </w:rPr>
        <w:t>(1)</w:t>
      </w:r>
      <w:r>
        <w:rPr>
          <w:sz w:val="20"/>
          <w:szCs w:val="20"/>
          <w:color w:val="auto"/>
        </w:rPr>
        <w:tab/>
      </w:r>
      <w:r>
        <w:rPr>
          <w:rFonts w:ascii="Arial" w:cs="Arial" w:eastAsia="Arial" w:hAnsi="Arial"/>
          <w:sz w:val="8"/>
          <w:szCs w:val="8"/>
          <w:i w:val="1"/>
          <w:iCs w:val="1"/>
          <w:color w:val="auto"/>
        </w:rPr>
        <w:t>Includes $3 million and $16 million restricted cash as of September 30, 2026 and 2025, respectively, and $10 million of restricted cash as of December 31, 2025, included in Other current assets on the respective Consolidated Balance Sheets.</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28" w:right="299" w:bottom="1440" w:gutter="0" w:footer="0" w:header="0"/>
        </w:sectPr>
      </w:pPr>
    </w:p>
    <w:bookmarkStart w:id="16" w:name="page17"/>
    <w:bookmarkEnd w:id="16"/>
    <w:p>
      <w:pPr>
        <w:ind w:left="10560"/>
        <w:spacing w:after="0"/>
        <w:rPr>
          <w:sz w:val="20"/>
          <w:szCs w:val="20"/>
          <w:color w:val="auto"/>
        </w:rPr>
      </w:pPr>
      <w:r>
        <w:rPr>
          <w:rFonts w:ascii="Arial" w:cs="Arial" w:eastAsia="Arial" w:hAnsi="Arial"/>
          <w:sz w:val="11"/>
          <w:szCs w:val="11"/>
          <w:b w:val="1"/>
          <w:bCs w:val="1"/>
          <w:color w:val="auto"/>
        </w:rPr>
        <w:t>EXHIBIT 99.1</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Definitions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New Business Annual Contract Value (ACV): </w:t>
      </w:r>
      <w:r>
        <w:rPr>
          <w:rFonts w:ascii="Arial" w:cs="Arial" w:eastAsia="Arial" w:hAnsi="Arial"/>
          <w:sz w:val="12"/>
          <w:szCs w:val="12"/>
          <w:color w:val="auto"/>
        </w:rPr>
        <w:t>(New Business TCV / contract term) multiplied by 12.</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New Business Total Contract Value (TCV): </w:t>
      </w:r>
      <w:r>
        <w:rPr>
          <w:rFonts w:ascii="Arial" w:cs="Arial" w:eastAsia="Arial" w:hAnsi="Arial"/>
          <w:sz w:val="12"/>
          <w:szCs w:val="12"/>
          <w:color w:val="auto"/>
        </w:rPr>
        <w:t>Estimated total future revenues from contracts signed during the period related to new logo, new service line or expansion with existing customers.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TTM: </w:t>
      </w:r>
      <w:r>
        <w:rPr>
          <w:rFonts w:ascii="Arial" w:cs="Arial" w:eastAsia="Arial" w:hAnsi="Arial"/>
          <w:sz w:val="12"/>
          <w:szCs w:val="12"/>
          <w:color w:val="auto"/>
        </w:rPr>
        <w:t>Trailing twelve months.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PBT: </w:t>
      </w:r>
      <w:r>
        <w:rPr>
          <w:rFonts w:ascii="Arial" w:cs="Arial" w:eastAsia="Arial" w:hAnsi="Arial"/>
          <w:sz w:val="12"/>
          <w:szCs w:val="12"/>
          <w:color w:val="auto"/>
        </w:rPr>
        <w:t>Profit before tax.</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Non-GAAP Financial Measures</w:t>
      </w:r>
    </w:p>
    <w:p>
      <w:pPr>
        <w:spacing w:after="0" w:line="105"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We have reported our financial results in accordance with accounting principles generally accepted in the U.S. (U.S. GAAP). In addition, we have discussed our financial results using non-GAAP measures for our Continuing Operations only, unless otherwise noted.</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spacing w:after="0" w:line="123"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Management cautions that amounts presented in accordance with Conduent's definition of non-GAAP financial measures may not be comparable to similar measures disclosed by other companies because not all companies calculate non-GAAP measures in the same manner.</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A reconciliation of the non-GAAP financial measures to the most directly comparable financial measures calculated and presented in accordance with U.S. GAAP are provided below.</w:t>
      </w:r>
    </w:p>
    <w:p>
      <w:pPr>
        <w:spacing w:after="0" w:line="114"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These reconciliations also include the income tax effects for our non-GAAP performance measures in total, to the extent applicable. The income tax effects are calculated under the same accounting principles as applied to our reported pre-tax performance measures under Accounting Standards Codification 740, which employs an annual effective tax rate method. The noted income tax effect for our non-GAAP performance measures is effectively the difference in income taxes for reported and adjusted pre-tax income calculated under the annual effective tax rate method. The tax effect of the non-GAAP adjustments was calculated based upon evaluation of the statutory tax treatment and the applicable statutory tax rate in the jurisdictions in which such charges were incurred.</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Discontinued Operations</w:t>
      </w:r>
    </w:p>
    <w:p>
      <w:pPr>
        <w:spacing w:after="0" w:line="114"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We have announced the sales of our Public Transit and Tolling businesses. These two transactions collectively represent an exit from the Transportation business, a strategic shift that will have a major effect on our operations and financial results. As such, these transactions qualify under applicable accounting guidance for reporting as discontinued operations and we reported these businesses as discontinued operations and reclassified their results from our former Transportation segment to Discontinued Operations and no longer report results for a Transportation segment. Additionally, the related assets and liabilities associated with the discontinued operations are classified as held for sale in our condensed consolidated balance sheet for the periods presented.</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0"/>
          </w:cols>
          <w:pgMar w:left="300" w:top="128" w:right="299" w:bottom="1440" w:gutter="0" w:footer="0" w:header="0"/>
        </w:sectPr>
      </w:pPr>
    </w:p>
    <w:bookmarkStart w:id="17" w:name="page18"/>
    <w:bookmarkEnd w:id="17"/>
    <w:p>
      <w:pPr>
        <w:ind w:left="10568"/>
        <w:spacing w:after="0"/>
        <w:rPr>
          <w:sz w:val="20"/>
          <w:szCs w:val="20"/>
          <w:color w:val="auto"/>
        </w:rPr>
      </w:pPr>
      <w:r>
        <w:rPr>
          <w:rFonts w:ascii="Arial" w:cs="Arial" w:eastAsia="Arial" w:hAnsi="Arial"/>
          <w:sz w:val="11"/>
          <w:szCs w:val="11"/>
          <w:b w:val="1"/>
          <w:bCs w:val="1"/>
          <w:color w:val="auto"/>
        </w:rPr>
        <w:t>EXHIBIT 99.1</w:t>
      </w:r>
    </w:p>
    <w:p>
      <w:pPr>
        <w:spacing w:after="0" w:line="386" w:lineRule="exact"/>
        <w:rPr>
          <w:sz w:val="20"/>
          <w:szCs w:val="20"/>
          <w:color w:val="auto"/>
        </w:rPr>
      </w:pPr>
    </w:p>
    <w:p>
      <w:pPr>
        <w:ind w:left="8"/>
        <w:spacing w:after="0"/>
        <w:rPr>
          <w:sz w:val="20"/>
          <w:szCs w:val="20"/>
          <w:color w:val="auto"/>
        </w:rPr>
      </w:pPr>
      <w:r>
        <w:rPr>
          <w:rFonts w:ascii="Arial" w:cs="Arial" w:eastAsia="Arial" w:hAnsi="Arial"/>
          <w:sz w:val="12"/>
          <w:szCs w:val="12"/>
          <w:color w:val="auto"/>
        </w:rPr>
        <w:t>Unless otherwise noted, the discussion of our results is on a continuing operations basis and does not include discontinued operations.</w:t>
      </w:r>
    </w:p>
    <w:p>
      <w:pPr>
        <w:spacing w:after="0" w:line="114" w:lineRule="exact"/>
        <w:rPr>
          <w:sz w:val="20"/>
          <w:szCs w:val="20"/>
          <w:color w:val="auto"/>
        </w:rPr>
      </w:pPr>
    </w:p>
    <w:p>
      <w:pPr>
        <w:ind w:left="8" w:right="660"/>
        <w:spacing w:after="0" w:line="296" w:lineRule="auto"/>
        <w:rPr>
          <w:sz w:val="20"/>
          <w:szCs w:val="20"/>
          <w:color w:val="auto"/>
        </w:rPr>
      </w:pPr>
      <w:r>
        <w:rPr>
          <w:rFonts w:ascii="Arial" w:cs="Arial" w:eastAsia="Arial" w:hAnsi="Arial"/>
          <w:sz w:val="12"/>
          <w:szCs w:val="12"/>
          <w:b w:val="1"/>
          <w:bCs w:val="1"/>
          <w:color w:val="auto"/>
        </w:rPr>
        <w:t>Adjusted Revenue, Adjusted Profit Before Tax from Continuing Operations, Adjusted Net Income (Loss) from Continuing Operations, Adjusted Diluted Earnings per Share from Continuing Operations, Adjusted Weighted Average Common Shares Outstanding, and Adjusted Effective Tax Rate from Continuing Operations</w:t>
      </w:r>
    </w:p>
    <w:p>
      <w:pPr>
        <w:spacing w:after="0" w:line="110" w:lineRule="exact"/>
        <w:rPr>
          <w:sz w:val="20"/>
          <w:szCs w:val="20"/>
          <w:color w:val="auto"/>
        </w:rPr>
      </w:pPr>
    </w:p>
    <w:p>
      <w:pPr>
        <w:jc w:val="both"/>
        <w:ind w:left="8" w:right="280"/>
        <w:spacing w:after="0" w:line="268" w:lineRule="auto"/>
        <w:rPr>
          <w:sz w:val="20"/>
          <w:szCs w:val="20"/>
          <w:color w:val="auto"/>
        </w:rPr>
      </w:pPr>
      <w:r>
        <w:rPr>
          <w:rFonts w:ascii="Arial" w:cs="Arial" w:eastAsia="Arial" w:hAnsi="Arial"/>
          <w:sz w:val="12"/>
          <w:szCs w:val="12"/>
          <w:color w:val="auto"/>
        </w:rPr>
        <w:t>We make adjustments to Revenue, Net Income (Loss) before Income Taxes from Continuing Operations for the following items, as applicable, to the particular financial measure, for the purpose of calculating Adjusted Revenue, Adjusted Profit Before Tax from Continuing Operations, Adjusted Net Income (Loss) from Continuing Operations, Adjusted Diluted Earnings per Share from Continuing Operations, Adjusted Weighted Average Common Shares Outstanding, and Adjusted Effective Tax Rate from Continuing Operations:</w:t>
      </w:r>
    </w:p>
    <w:p>
      <w:pPr>
        <w:spacing w:after="0" w:line="132"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Amortization of acquired intangible assets. This is driven by acquisition activity, which can vary in size, nature and timing as compared to other companies within our industry and from period to period.</w:t>
      </w:r>
    </w:p>
    <w:p>
      <w:pPr>
        <w:spacing w:after="0" w:line="18"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Restructuring and related costs. This includes restructuring and asset impairment charges as well as costs associated with our strategic transformation program.</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Goodwill impairment. This represents goodwill impairment charges arising from annual or interim goodwill testing.</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(Gain) loss on divestitures and transaction costs, net. Represents (gain) loss on divested businesses and transaction costs.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Litigation settlements (recoveries), net represents settlements or recoveries for various matters subject to litigation.</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Loss on extinguishment of debt. This represents write-off related debt issuance costs related to prepayments of debt.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Direct response costs - cyber event. This represents costs related to investigating, remediating and responding to the January 2025 Cyber Event.</w:t>
      </w:r>
    </w:p>
    <w:p>
      <w:pPr>
        <w:spacing w:after="0" w:line="6" w:lineRule="exact"/>
        <w:rPr>
          <w:rFonts w:ascii="Arial" w:cs="Arial" w:eastAsia="Arial" w:hAnsi="Arial"/>
          <w:sz w:val="12"/>
          <w:szCs w:val="12"/>
          <w:color w:val="auto"/>
        </w:rPr>
      </w:pPr>
    </w:p>
    <w:p>
      <w:pPr>
        <w:ind w:left="208" w:right="20" w:hanging="208"/>
        <w:spacing w:after="0" w:line="250" w:lineRule="auto"/>
        <w:tabs>
          <w:tab w:leader="none" w:pos="205" w:val="left"/>
        </w:tabs>
        <w:numPr>
          <w:ilvl w:val="0"/>
          <w:numId w:val="8"/>
        </w:numPr>
        <w:rPr>
          <w:rFonts w:ascii="Arial" w:cs="Arial" w:eastAsia="Arial" w:hAnsi="Arial"/>
          <w:sz w:val="12"/>
          <w:szCs w:val="12"/>
          <w:color w:val="auto"/>
        </w:rPr>
      </w:pPr>
      <w:r>
        <w:rPr>
          <w:rFonts w:ascii="Arial" w:cs="Arial" w:eastAsia="Arial" w:hAnsi="Arial"/>
          <w:sz w:val="12"/>
          <w:szCs w:val="12"/>
          <w:color w:val="auto"/>
        </w:rPr>
        <w:t>Other charges (credits). This includes Other (income) expenses, net on the Consolidated Statements of Income (Loss) and other adjustments, including former CEO separation costs of approximately $4 million in Q1 2026.</w:t>
      </w: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Divestitures. Revenue and Adjusted EBITDA of divested businesses, which are not reported as discontinued operations, are excluded.</w:t>
      </w:r>
    </w:p>
    <w:p>
      <w:pPr>
        <w:spacing w:after="0" w:line="156" w:lineRule="exact"/>
        <w:rPr>
          <w:sz w:val="20"/>
          <w:szCs w:val="20"/>
          <w:color w:val="auto"/>
        </w:rPr>
      </w:pPr>
    </w:p>
    <w:p>
      <w:pPr>
        <w:ind w:left="8" w:right="40"/>
        <w:spacing w:after="0" w:line="268" w:lineRule="auto"/>
        <w:rPr>
          <w:sz w:val="20"/>
          <w:szCs w:val="20"/>
          <w:color w:val="auto"/>
        </w:rPr>
      </w:pPr>
      <w:r>
        <w:rPr>
          <w:rFonts w:ascii="Arial" w:cs="Arial" w:eastAsia="Arial" w:hAnsi="Arial"/>
          <w:sz w:val="12"/>
          <w:szCs w:val="12"/>
          <w:color w:val="auto"/>
        </w:rPr>
        <w:t>We provide adjusted net income and adjusted EPS financial measures from continuing operations to assist our investors in evaluating our ongoing operating performance for the current reporting period and, where provided, over different reporting periods, by adjusting for certain items which may be recurring or non-recurring and which in our view do not necessarily reflect ongoing performance. We also internally use these measures to assess our operating performance, both absolutely and in comparison to other companies, and in evaluating or making selected compensation decisions.</w:t>
      </w:r>
    </w:p>
    <w:p>
      <w:pPr>
        <w:spacing w:after="0" w:line="132"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2"/>
          <w:szCs w:val="12"/>
          <w:color w:val="auto"/>
        </w:rPr>
        <w:t>Management believes that the adjusted effective tax rate from continuing operations, provided as supplemental information, facilitates a comparison by investors of our actual effective tax rate from continuing operations with an adjusted effective tax rate from continuing operations which reflects the impact of the items which are excluded in providing adjusted net income and certain other identified items, and may provide added insight into our underlying business results and how effective tax rates impact our ongoing business.</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8"/>
          </w:cols>
          <w:pgMar w:left="292" w:top="128" w:right="299" w:bottom="1440" w:gutter="0" w:footer="0" w:header="0"/>
        </w:sectPr>
      </w:pPr>
    </w:p>
    <w:bookmarkStart w:id="18" w:name="page19"/>
    <w:bookmarkEnd w:id="18"/>
    <w:p>
      <w:pPr>
        <w:ind w:left="10568"/>
        <w:spacing w:after="0"/>
        <w:rPr>
          <w:sz w:val="20"/>
          <w:szCs w:val="20"/>
          <w:color w:val="auto"/>
        </w:rPr>
      </w:pPr>
      <w:r>
        <w:rPr>
          <w:rFonts w:ascii="Arial" w:cs="Arial" w:eastAsia="Arial" w:hAnsi="Arial"/>
          <w:sz w:val="11"/>
          <w:szCs w:val="11"/>
          <w:b w:val="1"/>
          <w:bCs w:val="1"/>
          <w:color w:val="auto"/>
        </w:rPr>
        <w:t>EXHIBIT 99.1</w:t>
      </w:r>
    </w:p>
    <w:p>
      <w:pPr>
        <w:spacing w:after="0" w:line="200" w:lineRule="exact"/>
        <w:rPr>
          <w:sz w:val="20"/>
          <w:szCs w:val="20"/>
          <w:color w:val="auto"/>
        </w:rPr>
      </w:pPr>
    </w:p>
    <w:p>
      <w:pPr>
        <w:spacing w:after="0" w:line="34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Adjusted Revenue, Adjusted Operating Income from Continuing Operations and Adjusted Operating Margin from Continuing Operations</w:t>
      </w:r>
    </w:p>
    <w:p>
      <w:pPr>
        <w:spacing w:after="0" w:line="168" w:lineRule="exact"/>
        <w:rPr>
          <w:sz w:val="20"/>
          <w:szCs w:val="20"/>
          <w:color w:val="auto"/>
        </w:rPr>
      </w:pPr>
    </w:p>
    <w:p>
      <w:pPr>
        <w:ind w:left="8" w:right="160"/>
        <w:spacing w:after="0" w:line="286" w:lineRule="auto"/>
        <w:rPr>
          <w:sz w:val="20"/>
          <w:szCs w:val="20"/>
          <w:color w:val="auto"/>
        </w:rPr>
      </w:pPr>
      <w:r>
        <w:rPr>
          <w:rFonts w:ascii="Arial" w:cs="Arial" w:eastAsia="Arial" w:hAnsi="Arial"/>
          <w:sz w:val="12"/>
          <w:szCs w:val="12"/>
          <w:color w:val="auto"/>
        </w:rPr>
        <w:t>We make adjustments to Revenue, Costs and Expenses and Operating Margin from Continuing Operations for the following items, as applicable, for the purpose of calculating Adjusted Revenue from Continuing Operations, Adjusted Operating Income from Continuing Operations and Adjusted Operating Margin from Continuing Operations:</w:t>
      </w:r>
    </w:p>
    <w:p>
      <w:pPr>
        <w:spacing w:after="0" w:line="121"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Amortization of acquired intangible assets.</w:t>
      </w:r>
    </w:p>
    <w:p>
      <w:pPr>
        <w:spacing w:after="0" w:line="18" w:lineRule="exact"/>
        <w:rPr>
          <w:rFonts w:ascii="Arial" w:cs="Arial" w:eastAsia="Arial" w:hAnsi="Arial"/>
          <w:sz w:val="12"/>
          <w:szCs w:val="12"/>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Restructuring and related costs.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Interest expense. Interest expense includes interest on long-term debt and amortization of debt issuance costs.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Goodwill impairment.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(Gain) loss on divestitures and transaction costs, net.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Litigation settlements (recoveries), net.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Loss on extinguishment of debt.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Direct response costs - cyber event.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Other charges (credits).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Divestitures, which are not reported as Discontinued Operations.</w:t>
      </w:r>
    </w:p>
    <w:p>
      <w:pPr>
        <w:spacing w:after="0" w:line="156" w:lineRule="exact"/>
        <w:rPr>
          <w:sz w:val="20"/>
          <w:szCs w:val="20"/>
          <w:color w:val="auto"/>
        </w:rPr>
      </w:pPr>
    </w:p>
    <w:p>
      <w:pPr>
        <w:ind w:left="8" w:right="160"/>
        <w:spacing w:after="0" w:line="268" w:lineRule="auto"/>
        <w:rPr>
          <w:sz w:val="20"/>
          <w:szCs w:val="20"/>
          <w:color w:val="auto"/>
        </w:rPr>
      </w:pPr>
      <w:r>
        <w:rPr>
          <w:rFonts w:ascii="Arial" w:cs="Arial" w:eastAsia="Arial" w:hAnsi="Arial"/>
          <w:sz w:val="12"/>
          <w:szCs w:val="12"/>
          <w:color w:val="auto"/>
        </w:rPr>
        <w:t>We provide our investors with adjusted revenue, adjusted operating income from Continuing Operations and adjusted operating margin from Continuing Operations information, as supplemental information, because we believe it offers added insight, by itself and for comparability between periods, by adjusting for certain non-cash items as well as certain other identified items which we do not believe are indicative of our ongoing business, and may also provide added insight on trends in our ongoing business.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Adjusted EBITDA from Continuing Operations and EBITDA Margin from Continuing Operations</w:t>
      </w:r>
    </w:p>
    <w:p>
      <w:pPr>
        <w:spacing w:after="0" w:line="168" w:lineRule="exact"/>
        <w:rPr>
          <w:sz w:val="20"/>
          <w:szCs w:val="20"/>
          <w:color w:val="auto"/>
        </w:rPr>
      </w:pPr>
    </w:p>
    <w:p>
      <w:pPr>
        <w:ind w:left="8" w:right="40"/>
        <w:spacing w:after="0" w:line="262" w:lineRule="auto"/>
        <w:rPr>
          <w:sz w:val="20"/>
          <w:szCs w:val="20"/>
          <w:color w:val="auto"/>
        </w:rPr>
      </w:pPr>
      <w:r>
        <w:rPr>
          <w:rFonts w:ascii="Arial" w:cs="Arial" w:eastAsia="Arial" w:hAnsi="Arial"/>
          <w:sz w:val="12"/>
          <w:szCs w:val="12"/>
          <w:color w:val="auto"/>
        </w:rPr>
        <w:t>We use Adjusted EBITDA from Continuing Operations and Adjusted EBITDA Margin from Continuing Operations as an additional way of assessing certain aspects of our operations that, when viewed with the U.S. GAAP results and the accompanying reconciliations to corresponding U.S. GAAP financial measures, provide a more complete understanding of our on-going business. Adjusted EBITDA from Continuing Operations represents income (loss) before interest, income taxes, depreciation and amortization and contract inducement amortization adjusted for the following items. Adjusted EBITDA Margin from Continuing Operations is Adjusted EBITDA from Continuing Operations divided by revenue or adjusted revenue, as applicable.</w:t>
      </w:r>
    </w:p>
    <w:p>
      <w:pPr>
        <w:spacing w:after="0" w:line="135"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Restructuring and related costs.</w:t>
      </w:r>
    </w:p>
    <w:p>
      <w:pPr>
        <w:spacing w:after="0" w:line="18"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Goodwill impairment.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(Gain) loss on divestitures and transaction costs, net.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Litigation settlements (recoveries), net.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Loss on extinguishment of debt.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Direct response costs - cyber event.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Other charges (credits).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Divestitures, which are not reported as Discontinued Operations.</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Adjusted EBITDA from Continuing Operations is not intended to represent cash flows from operations, operating income (loss) or net income (loss) as defined by U.S. GAAP as indicators of operating performance.</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8"/>
          </w:cols>
          <w:pgMar w:left="292" w:top="128" w:right="299" w:bottom="1440" w:gutter="0" w:footer="0" w:header="0"/>
        </w:sectPr>
      </w:pPr>
    </w:p>
    <w:bookmarkStart w:id="19" w:name="page20"/>
    <w:bookmarkEnd w:id="19"/>
    <w:p>
      <w:pPr>
        <w:ind w:left="10560"/>
        <w:spacing w:after="0"/>
        <w:rPr>
          <w:sz w:val="20"/>
          <w:szCs w:val="20"/>
          <w:color w:val="auto"/>
        </w:rPr>
      </w:pPr>
      <w:r>
        <w:rPr>
          <w:rFonts w:ascii="Arial" w:cs="Arial" w:eastAsia="Arial" w:hAnsi="Arial"/>
          <w:sz w:val="11"/>
          <w:szCs w:val="11"/>
          <w:b w:val="1"/>
          <w:bCs w:val="1"/>
          <w:color w:val="auto"/>
        </w:rPr>
        <w:t>EXHIBIT 99.1</w:t>
      </w: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Free Cash Flow</w:t>
      </w:r>
    </w:p>
    <w:p>
      <w:pPr>
        <w:spacing w:after="0" w:line="20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Free Cash Flow is defined as cash flows from operating activities as reported on the consolidated statement of cash flows, less cost of additions to land, buildings and equipment, cost of additions to internal use software, and proceeds from sales of land, buildings and equipment, as applicable. We use the non-GAAP measure of Free Cash Flow as a criterion of liquidity. We use Free Cash Flow as a measure of liquidity to determine amounts we can reinvest in our core businesses, such as amounts available to make acquisitions and invest in land, buildings and equipment and internal use software, after required payments on debt. In order to provide a meaningful basis for comparison, we are providing information with respect to our Free Cash Flow reconciled to cash flow provided by operating activities, which we believe to be the most directly comparable measure under U.S. GAAP.</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Adjusted Free Cash Flow</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Adjusted Free Cash Flow is defined as Free Cash Flow from above plus adjustments for transaction costs, proceeds from failed sale-leaseback transactions and certain other identified adjustments, as applicable. We use Adjusted Free Cash Flow, in addition to Free Cash Flow, to provide supplemental information to our investors concerning our ability to generate cash from our ongoing operating activities; by excluding these items, we believe we provide useful additional information to our investors to help them further understand our ability to generate cash period-over-period as well as added information on comparability to our competitors. Such as with Free Cash Flow information, as so adjusted, it is specifically not intended to provide amounts available for discretionary spending. We have added certain adjustments to account for items which we do not believe reflect our core business or operating performance, and we computed all periods with such adjusted costs.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at Constant Currency</w:t>
      </w:r>
    </w:p>
    <w:p>
      <w:pPr>
        <w:spacing w:after="0" w:line="168" w:lineRule="exact"/>
        <w:rPr>
          <w:sz w:val="20"/>
          <w:szCs w:val="20"/>
          <w:color w:val="auto"/>
        </w:rPr>
      </w:pPr>
    </w:p>
    <w:p>
      <w:pPr>
        <w:ind w:right="340"/>
        <w:spacing w:after="0" w:line="268" w:lineRule="auto"/>
        <w:rPr>
          <w:sz w:val="20"/>
          <w:szCs w:val="20"/>
          <w:color w:val="auto"/>
        </w:rPr>
      </w:pPr>
      <w:r>
        <w:rPr>
          <w:rFonts w:ascii="Arial" w:cs="Arial" w:eastAsia="Arial" w:hAnsi="Arial"/>
          <w:sz w:val="12"/>
          <w:szCs w:val="12"/>
          <w:color w:val="auto"/>
        </w:rPr>
        <w:t>To better understand trends in our business, we believe that it is helpful to adjust revenue to exclude the impact of changes in the translation of foreign currencies into U.S. Dollars. We refer to this Adjusted Revenue as “constant currency.” Currency impact is determined as the difference between actual growth rates and constant currency growth rates. This currency impact is calculated by translating the current period activity in local currency using the comparable prior-year period's currency translation rate.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Outlook</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In providing the Full Year 2026 Outlook for Adjusted EBITDA and Adjusted EBITDA Margin from Continuing Operations, we exclude certain items which are otherwise included in determining the comparable U.S. GAAP financial measure. A description of the adjustments which historically have been applicable in determining Adjusted EBITDA and Adjusted EBITDA Margin from Continuing Operations is reflected in the table below. We are providing such outlook only on a non-GAAP basis because we are unable without unreasonable efforts to predict with reasonable certainty the totality or ultimate outcome or occurrence of these adjustments for the forward-looking period, which can be dependent on future events that may not be reliably predicted. Based on past reported results, where one or more of these items have been applicable, such excluded items could be material, individually or in the aggregate, to reported results. We have provided an outlook for Adjusted Revenue only on a non-GAAP basis using foreign currency translation rates as of fiscal year end due to the inability to, without unreasonable efforts, accurately predict foreign currency impact on revenues. In addition, the outlook is on a continuing operations basis.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128" w:right="299" w:bottom="1440" w:gutter="0" w:footer="0" w:header="0"/>
        </w:sectPr>
      </w:pPr>
    </w:p>
    <w:bookmarkStart w:id="20" w:name="page21"/>
    <w:bookmarkEnd w:id="20"/>
    <w:p>
      <w:pPr>
        <w:ind w:left="10560"/>
        <w:spacing w:after="0"/>
        <w:rPr>
          <w:sz w:val="20"/>
          <w:szCs w:val="20"/>
          <w:color w:val="auto"/>
        </w:rPr>
      </w:pPr>
      <w:r>
        <w:rPr>
          <w:rFonts w:ascii="Arial" w:cs="Arial" w:eastAsia="Arial" w:hAnsi="Arial"/>
          <w:sz w:val="11"/>
          <w:szCs w:val="11"/>
          <w:b w:val="1"/>
          <w:bCs w:val="1"/>
          <w:color w:val="auto"/>
        </w:rPr>
        <w:t>EXHIBIT 99.1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Non-GAAP Reconciliations: </w:t>
      </w:r>
      <w:r>
        <w:rPr>
          <w:rFonts w:ascii="Arial" w:cs="Arial" w:eastAsia="Arial" w:hAnsi="Arial"/>
          <w:sz w:val="12"/>
          <w:szCs w:val="12"/>
          <w:color w:val="auto"/>
        </w:rPr>
        <w:t>Revenue at Constant Currency, Adjusted Net Income (Loss) from Continuing Operations, Adjusted Effective Tax from Continuing Operations, Adjusted Operating Income (Loss) from</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Continuing Operations and Adjusted EBITDA from Continuing Operations were as follows (see footnotes on last page of Non-GAAP reconciliations):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3"/>
          </w:tcPr>
          <w:p>
            <w:pPr>
              <w:jc w:val="right"/>
              <w:ind w:right="12"/>
              <w:spacing w:after="0"/>
              <w:rPr>
                <w:sz w:val="20"/>
                <w:szCs w:val="20"/>
                <w:color w:val="auto"/>
              </w:rPr>
            </w:pPr>
            <w:r>
              <w:rPr>
                <w:rFonts w:ascii="Arial" w:cs="Arial" w:eastAsia="Arial" w:hAnsi="Arial"/>
                <w:sz w:val="10"/>
                <w:szCs w:val="10"/>
                <w:color w:val="auto"/>
              </w:rPr>
              <w:t>Three Months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3"/>
          </w:tcPr>
          <w:p>
            <w:pPr>
              <w:jc w:val="right"/>
              <w:ind w:right="12"/>
              <w:spacing w:after="0"/>
              <w:rPr>
                <w:sz w:val="20"/>
                <w:szCs w:val="20"/>
                <w:color w:val="auto"/>
              </w:rPr>
            </w:pPr>
            <w:r>
              <w:rPr>
                <w:rFonts w:ascii="Arial" w:cs="Arial" w:eastAsia="Arial" w:hAnsi="Arial"/>
                <w:sz w:val="10"/>
                <w:szCs w:val="10"/>
                <w:color w:val="auto"/>
              </w:rPr>
              <w:t>Nine Months Ended</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0"/>
                <w:szCs w:val="10"/>
                <w:color w:val="auto"/>
              </w:rPr>
              <w:t>September 30,</w:t>
            </w: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color w:val="auto"/>
              </w:rPr>
              <w:t>September 30,</w:t>
            </w: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200" w:type="dxa"/>
            <w:vAlign w:val="bottom"/>
            <w:gridSpan w:val="7"/>
          </w:tcPr>
          <w:p>
            <w:pPr>
              <w:spacing w:after="0"/>
              <w:rPr>
                <w:sz w:val="20"/>
                <w:szCs w:val="20"/>
                <w:color w:val="auto"/>
              </w:rPr>
            </w:pPr>
            <w:r>
              <w:rPr>
                <w:rFonts w:ascii="Arial" w:cs="Arial" w:eastAsia="Arial" w:hAnsi="Arial"/>
                <w:sz w:val="8"/>
                <w:szCs w:val="8"/>
                <w:color w:val="auto"/>
              </w:rPr>
              <w:t>(in millions)</w:t>
            </w:r>
          </w:p>
        </w:tc>
        <w:tc>
          <w:tcPr>
            <w:tcW w:w="280" w:type="dxa"/>
            <w:vAlign w:val="bottom"/>
          </w:tcPr>
          <w:p>
            <w:pPr>
              <w:spacing w:after="0"/>
              <w:rPr>
                <w:sz w:val="9"/>
                <w:szCs w:val="9"/>
                <w:color w:val="auto"/>
              </w:rPr>
            </w:pPr>
          </w:p>
        </w:tc>
        <w:tc>
          <w:tcPr>
            <w:tcW w:w="920" w:type="dxa"/>
            <w:vAlign w:val="bottom"/>
          </w:tcPr>
          <w:p>
            <w:pPr>
              <w:jc w:val="right"/>
              <w:ind w:right="432"/>
              <w:spacing w:after="0" w:line="106" w:lineRule="exact"/>
              <w:rPr>
                <w:sz w:val="20"/>
                <w:szCs w:val="20"/>
                <w:color w:val="auto"/>
              </w:rPr>
            </w:pPr>
            <w:r>
              <w:rPr>
                <w:rFonts w:ascii="Arial" w:cs="Arial" w:eastAsia="Arial" w:hAnsi="Arial"/>
                <w:sz w:val="10"/>
                <w:szCs w:val="10"/>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jc w:val="right"/>
              <w:ind w:right="452"/>
              <w:spacing w:after="0" w:line="106" w:lineRule="exact"/>
              <w:rPr>
                <w:sz w:val="20"/>
                <w:szCs w:val="20"/>
                <w:color w:val="auto"/>
              </w:rPr>
            </w:pPr>
            <w:r>
              <w:rPr>
                <w:rFonts w:ascii="Arial" w:cs="Arial" w:eastAsia="Arial" w:hAnsi="Arial"/>
                <w:sz w:val="10"/>
                <w:szCs w:val="10"/>
                <w:color w:val="auto"/>
              </w:rPr>
              <w:t>2025</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ind w:right="452"/>
              <w:spacing w:after="0" w:line="106" w:lineRule="exact"/>
              <w:rPr>
                <w:sz w:val="20"/>
                <w:szCs w:val="20"/>
                <w:color w:val="auto"/>
              </w:rPr>
            </w:pPr>
            <w:r>
              <w:rPr>
                <w:rFonts w:ascii="Arial" w:cs="Arial" w:eastAsia="Arial" w:hAnsi="Arial"/>
                <w:sz w:val="10"/>
                <w:szCs w:val="10"/>
                <w:color w:val="auto"/>
              </w:rPr>
              <w:t>2026</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jc w:val="right"/>
              <w:ind w:right="452"/>
              <w:spacing w:after="0" w:line="106" w:lineRule="exact"/>
              <w:rPr>
                <w:sz w:val="20"/>
                <w:szCs w:val="20"/>
                <w:color w:val="auto"/>
              </w:rPr>
            </w:pPr>
            <w:r>
              <w:rPr>
                <w:rFonts w:ascii="Arial" w:cs="Arial" w:eastAsia="Arial" w:hAnsi="Arial"/>
                <w:sz w:val="10"/>
                <w:szCs w:val="10"/>
                <w:color w:val="auto"/>
              </w:rPr>
              <w:t>2025</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40" w:type="dxa"/>
            <w:vAlign w:val="bottom"/>
            <w:gridSpan w:val="4"/>
            <w:vMerge w:val="restart"/>
          </w:tcPr>
          <w:p>
            <w:pPr>
              <w:spacing w:after="0"/>
              <w:rPr>
                <w:sz w:val="20"/>
                <w:szCs w:val="20"/>
                <w:color w:val="auto"/>
              </w:rPr>
            </w:pPr>
            <w:r>
              <w:rPr>
                <w:rFonts w:ascii="Arial" w:cs="Arial" w:eastAsia="Arial" w:hAnsi="Arial"/>
                <w:sz w:val="10"/>
                <w:szCs w:val="10"/>
                <w:b w:val="1"/>
                <w:bCs w:val="1"/>
                <w:color w:val="auto"/>
                <w:w w:val="94"/>
              </w:rPr>
              <w:t>REVENUE AT CONSTANT CURRENCY</w:t>
            </w:r>
          </w:p>
        </w:tc>
        <w:tc>
          <w:tcPr>
            <w:tcW w:w="4460" w:type="dxa"/>
            <w:vAlign w:val="bottom"/>
            <w:gridSpan w:val="3"/>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740" w:type="dxa"/>
            <w:vAlign w:val="bottom"/>
            <w:tcBorders>
              <w:bottom w:val="single" w:sz="8" w:color="auto"/>
            </w:tcBorders>
            <w:gridSpan w:val="4"/>
            <w:vMerge w:val="continue"/>
          </w:tcPr>
          <w:p>
            <w:pPr>
              <w:spacing w:after="0"/>
              <w:rPr>
                <w:sz w:val="7"/>
                <w:szCs w:val="7"/>
                <w:color w:val="auto"/>
              </w:rPr>
            </w:pPr>
          </w:p>
        </w:tc>
        <w:tc>
          <w:tcPr>
            <w:tcW w:w="446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6200" w:type="dxa"/>
            <w:vAlign w:val="bottom"/>
            <w:gridSpan w:val="7"/>
            <w:shd w:val="clear" w:color="auto" w:fill="CCEEFF"/>
          </w:tcPr>
          <w:p>
            <w:pPr>
              <w:spacing w:after="0"/>
              <w:rPr>
                <w:sz w:val="20"/>
                <w:szCs w:val="20"/>
                <w:color w:val="auto"/>
              </w:rPr>
            </w:pPr>
            <w:r>
              <w:rPr>
                <w:rFonts w:ascii="Arial" w:cs="Arial" w:eastAsia="Arial" w:hAnsi="Arial"/>
                <w:sz w:val="10"/>
                <w:szCs w:val="10"/>
                <w:b w:val="1"/>
                <w:bCs w:val="1"/>
                <w:color w:val="auto"/>
              </w:rPr>
              <w:t>Revenue</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1,826</w:t>
            </w:r>
          </w:p>
        </w:tc>
        <w:tc>
          <w:tcPr>
            <w:tcW w:w="0" w:type="dxa"/>
            <w:vAlign w:val="bottom"/>
          </w:tcPr>
          <w:p>
            <w:pPr>
              <w:spacing w:after="0"/>
              <w:rPr>
                <w:sz w:val="1"/>
                <w:szCs w:val="1"/>
                <w:color w:val="auto"/>
              </w:rPr>
            </w:pPr>
          </w:p>
        </w:tc>
      </w:tr>
      <w:tr>
        <w:trPr>
          <w:trHeight w:val="141"/>
        </w:trPr>
        <w:tc>
          <w:tcPr>
            <w:tcW w:w="6200" w:type="dxa"/>
            <w:vAlign w:val="bottom"/>
            <w:tcBorders>
              <w:bottom w:val="single" w:sz="8" w:color="CCEEFF"/>
            </w:tcBorders>
            <w:gridSpan w:val="7"/>
          </w:tcPr>
          <w:p>
            <w:pPr>
              <w:ind w:left="140"/>
              <w:spacing w:after="0"/>
              <w:rPr>
                <w:sz w:val="20"/>
                <w:szCs w:val="20"/>
                <w:color w:val="auto"/>
              </w:rPr>
            </w:pPr>
            <w:r>
              <w:rPr>
                <w:rFonts w:ascii="Arial" w:cs="Arial" w:eastAsia="Arial" w:hAnsi="Arial"/>
                <w:sz w:val="10"/>
                <w:szCs w:val="10"/>
                <w:color w:val="auto"/>
              </w:rPr>
              <w:t>Foreign currency impact</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52"/>
        </w:trPr>
        <w:tc>
          <w:tcPr>
            <w:tcW w:w="62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0"/>
                <w:szCs w:val="10"/>
                <w:b w:val="1"/>
                <w:bCs w:val="1"/>
                <w:color w:val="auto"/>
              </w:rPr>
              <w:t>Revenue at Constant Currency</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535</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602</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1,648</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1,824</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48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0"/>
                <w:szCs w:val="10"/>
                <w:b w:val="1"/>
                <w:bCs w:val="1"/>
                <w:color w:val="auto"/>
                <w:w w:val="95"/>
              </w:rPr>
              <w:t>Adjusted Net Income (Loss) from Continuing Operations calculated from Net Income (Loss) from Continuing Operations</w:t>
            </w:r>
          </w:p>
        </w:tc>
        <w:tc>
          <w:tcPr>
            <w:tcW w:w="720" w:type="dxa"/>
            <w:vAlign w:val="bottom"/>
            <w:tcBorders>
              <w:bottom w:val="single" w:sz="8" w:color="CCEEFF"/>
            </w:tcBorders>
            <w:gridSpan w:val="2"/>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200" w:type="dxa"/>
            <w:vAlign w:val="bottom"/>
            <w:gridSpan w:val="7"/>
          </w:tcPr>
          <w:p>
            <w:pPr>
              <w:spacing w:after="0"/>
              <w:rPr>
                <w:sz w:val="20"/>
                <w:szCs w:val="20"/>
                <w:color w:val="auto"/>
              </w:rPr>
            </w:pPr>
            <w:r>
              <w:rPr>
                <w:rFonts w:ascii="Arial" w:cs="Arial" w:eastAsia="Arial" w:hAnsi="Arial"/>
                <w:sz w:val="10"/>
                <w:szCs w:val="10"/>
                <w:b w:val="1"/>
                <w:bCs w:val="1"/>
                <w:color w:val="auto"/>
              </w:rPr>
              <w:t>Net Income (Loss) from Continuing Operations</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(40)</w:t>
            </w:r>
          </w:p>
        </w:tc>
        <w:tc>
          <w:tcPr>
            <w:tcW w:w="100" w:type="dxa"/>
            <w:vAlign w:val="bottom"/>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(42)</w:t>
            </w:r>
          </w:p>
        </w:tc>
        <w:tc>
          <w:tcPr>
            <w:tcW w:w="100" w:type="dxa"/>
            <w:vAlign w:val="bottom"/>
          </w:tcPr>
          <w:p>
            <w:pPr>
              <w:spacing w:after="0"/>
              <w:rPr>
                <w:sz w:val="12"/>
                <w:szCs w:val="12"/>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(131)</w:t>
            </w:r>
          </w:p>
        </w:tc>
        <w:tc>
          <w:tcPr>
            <w:tcW w:w="80" w:type="dxa"/>
            <w:vAlign w:val="bottom"/>
          </w:tcPr>
          <w:p>
            <w:pPr>
              <w:spacing w:after="0"/>
              <w:rPr>
                <w:sz w:val="12"/>
                <w:szCs w:val="12"/>
                <w:color w:val="auto"/>
              </w:rPr>
            </w:pPr>
          </w:p>
        </w:tc>
        <w:tc>
          <w:tcPr>
            <w:tcW w:w="4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(140)</w:t>
            </w:r>
          </w:p>
        </w:tc>
        <w:tc>
          <w:tcPr>
            <w:tcW w:w="0" w:type="dxa"/>
            <w:vAlign w:val="bottom"/>
          </w:tcPr>
          <w:p>
            <w:pPr>
              <w:spacing w:after="0"/>
              <w:rPr>
                <w:sz w:val="1"/>
                <w:szCs w:val="1"/>
                <w:color w:val="auto"/>
              </w:rPr>
            </w:pPr>
          </w:p>
        </w:tc>
      </w:tr>
      <w:tr>
        <w:trPr>
          <w:trHeight w:val="125"/>
        </w:trPr>
        <w:tc>
          <w:tcPr>
            <w:tcW w:w="5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0"/>
                <w:szCs w:val="10"/>
                <w:color w:val="auto"/>
                <w:w w:val="93"/>
              </w:rPr>
              <w:t>Adjustments:</w:t>
            </w:r>
          </w:p>
        </w:tc>
        <w:tc>
          <w:tcPr>
            <w:tcW w:w="5640" w:type="dxa"/>
            <w:vAlign w:val="bottom"/>
            <w:tcBorders>
              <w:bottom w:val="single" w:sz="8" w:color="CCEEFF"/>
            </w:tcBorders>
            <w:gridSpan w:val="4"/>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200" w:type="dxa"/>
            <w:vAlign w:val="bottom"/>
            <w:gridSpan w:val="7"/>
          </w:tcPr>
          <w:p>
            <w:pPr>
              <w:ind w:left="140"/>
              <w:spacing w:after="0"/>
              <w:rPr>
                <w:sz w:val="20"/>
                <w:szCs w:val="20"/>
                <w:color w:val="auto"/>
              </w:rPr>
            </w:pPr>
            <w:r>
              <w:rPr>
                <w:rFonts w:ascii="Arial" w:cs="Arial" w:eastAsia="Arial" w:hAnsi="Arial"/>
                <w:sz w:val="10"/>
                <w:szCs w:val="10"/>
                <w:color w:val="auto"/>
              </w:rPr>
              <w:t>Amortization of acquired intangible assets</w:t>
            </w:r>
            <w:r>
              <w:rPr>
                <w:rFonts w:ascii="Arial" w:cs="Arial" w:eastAsia="Arial" w:hAnsi="Arial"/>
                <w:sz w:val="12"/>
                <w:szCs w:val="12"/>
                <w:color w:val="auto"/>
                <w:vertAlign w:val="superscript"/>
              </w:rPr>
              <w:t>(2)</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4"/>
        </w:trPr>
        <w:tc>
          <w:tcPr>
            <w:tcW w:w="620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Restructuring and related costs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41"/>
        </w:trPr>
        <w:tc>
          <w:tcPr>
            <w:tcW w:w="6200" w:type="dxa"/>
            <w:vAlign w:val="bottom"/>
            <w:gridSpan w:val="7"/>
          </w:tcPr>
          <w:p>
            <w:pPr>
              <w:ind w:left="140"/>
              <w:spacing w:after="0"/>
              <w:rPr>
                <w:sz w:val="20"/>
                <w:szCs w:val="20"/>
                <w:color w:val="auto"/>
              </w:rPr>
            </w:pPr>
            <w:r>
              <w:rPr>
                <w:rFonts w:ascii="Arial" w:cs="Arial" w:eastAsia="Arial" w:hAnsi="Arial"/>
                <w:sz w:val="10"/>
                <w:szCs w:val="10"/>
                <w:color w:val="auto"/>
              </w:rPr>
              <w:t>Loss on extinguishment of debt</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7"/>
        </w:trPr>
        <w:tc>
          <w:tcPr>
            <w:tcW w:w="620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(Gain) loss on divestitures and transaction costs, net</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41"/>
        </w:trPr>
        <w:tc>
          <w:tcPr>
            <w:tcW w:w="6200" w:type="dxa"/>
            <w:vAlign w:val="bottom"/>
            <w:gridSpan w:val="7"/>
          </w:tcPr>
          <w:p>
            <w:pPr>
              <w:ind w:left="140"/>
              <w:spacing w:after="0"/>
              <w:rPr>
                <w:sz w:val="20"/>
                <w:szCs w:val="20"/>
                <w:color w:val="auto"/>
              </w:rPr>
            </w:pPr>
            <w:r>
              <w:rPr>
                <w:rFonts w:ascii="Arial" w:cs="Arial" w:eastAsia="Arial" w:hAnsi="Arial"/>
                <w:sz w:val="10"/>
                <w:szCs w:val="10"/>
                <w:color w:val="auto"/>
              </w:rPr>
              <w:t>Litigation settlements (recoveries), net</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7"/>
        </w:trPr>
        <w:tc>
          <w:tcPr>
            <w:tcW w:w="620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Direct response costs - cyber event</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41"/>
        </w:trPr>
        <w:tc>
          <w:tcPr>
            <w:tcW w:w="6200" w:type="dxa"/>
            <w:vAlign w:val="bottom"/>
            <w:tcBorders>
              <w:bottom w:val="single" w:sz="8" w:color="CCEEFF"/>
            </w:tcBorders>
            <w:gridSpan w:val="7"/>
          </w:tcPr>
          <w:p>
            <w:pPr>
              <w:ind w:left="140"/>
              <w:spacing w:after="0"/>
              <w:rPr>
                <w:sz w:val="20"/>
                <w:szCs w:val="20"/>
                <w:color w:val="auto"/>
              </w:rPr>
            </w:pPr>
            <w:r>
              <w:rPr>
                <w:rFonts w:ascii="Arial" w:cs="Arial" w:eastAsia="Arial" w:hAnsi="Arial"/>
                <w:sz w:val="10"/>
                <w:szCs w:val="10"/>
                <w:color w:val="auto"/>
              </w:rPr>
              <w:t>Other charges (credits)</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36"/>
        </w:trPr>
        <w:tc>
          <w:tcPr>
            <w:tcW w:w="6200" w:type="dxa"/>
            <w:vAlign w:val="bottom"/>
            <w:gridSpan w:val="7"/>
            <w:shd w:val="clear" w:color="auto" w:fill="CCEEFF"/>
          </w:tcPr>
          <w:p>
            <w:pPr>
              <w:spacing w:after="0"/>
              <w:rPr>
                <w:sz w:val="20"/>
                <w:szCs w:val="20"/>
                <w:color w:val="auto"/>
              </w:rPr>
            </w:pPr>
            <w:r>
              <w:rPr>
                <w:rFonts w:ascii="Arial" w:cs="Arial" w:eastAsia="Arial" w:hAnsi="Arial"/>
                <w:sz w:val="10"/>
                <w:szCs w:val="10"/>
                <w:b w:val="1"/>
                <w:bCs w:val="1"/>
                <w:color w:val="auto"/>
              </w:rPr>
              <w:t>Total Non-GAAP Adjustments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0" w:type="dxa"/>
            <w:vAlign w:val="bottom"/>
          </w:tcPr>
          <w:p>
            <w:pPr>
              <w:spacing w:after="0"/>
              <w:rPr>
                <w:sz w:val="1"/>
                <w:szCs w:val="1"/>
                <w:color w:val="auto"/>
              </w:rPr>
            </w:pPr>
          </w:p>
        </w:tc>
      </w:tr>
      <w:tr>
        <w:trPr>
          <w:trHeight w:val="144"/>
        </w:trPr>
        <w:tc>
          <w:tcPr>
            <w:tcW w:w="6200" w:type="dxa"/>
            <w:vAlign w:val="bottom"/>
            <w:tcBorders>
              <w:bottom w:val="single" w:sz="8" w:color="CCEEFF"/>
            </w:tcBorders>
            <w:gridSpan w:val="7"/>
          </w:tcPr>
          <w:p>
            <w:pPr>
              <w:ind w:left="140"/>
              <w:spacing w:after="0"/>
              <w:rPr>
                <w:sz w:val="20"/>
                <w:szCs w:val="20"/>
                <w:color w:val="auto"/>
              </w:rPr>
            </w:pPr>
            <w:r>
              <w:rPr>
                <w:rFonts w:ascii="Arial" w:cs="Arial" w:eastAsia="Arial" w:hAnsi="Arial"/>
                <w:sz w:val="10"/>
                <w:szCs w:val="10"/>
                <w:color w:val="auto"/>
              </w:rPr>
              <w:t>Income tax adjustments</w:t>
            </w:r>
            <w:r>
              <w:rPr>
                <w:rFonts w:ascii="Arial" w:cs="Arial" w:eastAsia="Arial" w:hAnsi="Arial"/>
                <w:sz w:val="12"/>
                <w:szCs w:val="12"/>
                <w:color w:val="auto"/>
                <w:vertAlign w:val="superscript"/>
              </w:rPr>
              <w:t>(3)</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49"/>
        </w:trPr>
        <w:tc>
          <w:tcPr>
            <w:tcW w:w="62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0"/>
                <w:szCs w:val="10"/>
                <w:b w:val="1"/>
                <w:bCs w:val="1"/>
                <w:color w:val="auto"/>
              </w:rPr>
              <w:t>Adjusted Net Income (Loss) from Continuing Operations</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00" w:type="dxa"/>
            <w:vAlign w:val="bottom"/>
            <w:gridSpan w:val="7"/>
          </w:tcPr>
          <w:p>
            <w:pPr>
              <w:spacing w:after="0"/>
              <w:rPr>
                <w:sz w:val="20"/>
                <w:szCs w:val="20"/>
                <w:color w:val="auto"/>
              </w:rPr>
            </w:pPr>
            <w:r>
              <w:rPr>
                <w:rFonts w:ascii="Arial" w:cs="Arial" w:eastAsia="Arial" w:hAnsi="Arial"/>
                <w:sz w:val="10"/>
                <w:szCs w:val="10"/>
                <w:b w:val="1"/>
                <w:bCs w:val="1"/>
                <w:color w:val="auto"/>
              </w:rPr>
              <w:t>Adjusted Net Income (Loss) from Continuing Operations calculated from Income (Loss) before Income Taxes from Continuing</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520" w:type="dxa"/>
            <w:vAlign w:val="bottom"/>
            <w:tcBorders>
              <w:top w:val="single" w:sz="8" w:color="auto"/>
              <w:bottom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Operations</w:t>
            </w:r>
          </w:p>
        </w:tc>
        <w:tc>
          <w:tcPr>
            <w:tcW w:w="5220" w:type="dxa"/>
            <w:vAlign w:val="bottom"/>
            <w:tcBorders>
              <w:top w:val="single" w:sz="8" w:color="auto"/>
            </w:tcBorders>
            <w:gridSpan w:val="4"/>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200" w:type="dxa"/>
            <w:vAlign w:val="bottom"/>
            <w:gridSpan w:val="7"/>
            <w:shd w:val="clear" w:color="auto" w:fill="CCEEFF"/>
          </w:tcPr>
          <w:p>
            <w:pPr>
              <w:spacing w:after="0"/>
              <w:rPr>
                <w:sz w:val="20"/>
                <w:szCs w:val="20"/>
                <w:color w:val="auto"/>
              </w:rPr>
            </w:pPr>
            <w:r>
              <w:rPr>
                <w:rFonts w:ascii="Arial" w:cs="Arial" w:eastAsia="Arial" w:hAnsi="Arial"/>
                <w:sz w:val="10"/>
                <w:szCs w:val="10"/>
                <w:b w:val="1"/>
                <w:bCs w:val="1"/>
                <w:color w:val="auto"/>
              </w:rPr>
              <w:t>Income (Loss) Before Income Taxes from Continuing Operations</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w:t>
            </w:r>
          </w:p>
        </w:tc>
        <w:tc>
          <w:tcPr>
            <w:tcW w:w="0" w:type="dxa"/>
            <w:vAlign w:val="bottom"/>
          </w:tcPr>
          <w:p>
            <w:pPr>
              <w:spacing w:after="0"/>
              <w:rPr>
                <w:sz w:val="1"/>
                <w:szCs w:val="1"/>
                <w:color w:val="auto"/>
              </w:rPr>
            </w:pPr>
          </w:p>
        </w:tc>
      </w:tr>
      <w:tr>
        <w:trPr>
          <w:trHeight w:val="124"/>
        </w:trPr>
        <w:tc>
          <w:tcPr>
            <w:tcW w:w="56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w w:val="93"/>
              </w:rPr>
              <w:t>Adjustments:</w:t>
            </w:r>
          </w:p>
        </w:tc>
        <w:tc>
          <w:tcPr>
            <w:tcW w:w="5640" w:type="dxa"/>
            <w:vAlign w:val="bottom"/>
            <w:gridSpan w:val="4"/>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20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Total Non-GAAP Adjustments</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0" w:type="dxa"/>
            <w:vAlign w:val="bottom"/>
          </w:tcPr>
          <w:p>
            <w:pPr>
              <w:spacing w:after="0"/>
              <w:rPr>
                <w:sz w:val="1"/>
                <w:szCs w:val="1"/>
                <w:color w:val="auto"/>
              </w:rPr>
            </w:pPr>
          </w:p>
        </w:tc>
      </w:tr>
      <w:tr>
        <w:trPr>
          <w:trHeight w:val="131"/>
        </w:trPr>
        <w:tc>
          <w:tcPr>
            <w:tcW w:w="6200" w:type="dxa"/>
            <w:vAlign w:val="bottom"/>
            <w:tcBorders>
              <w:bottom w:val="single" w:sz="8" w:color="CCEEFF"/>
            </w:tcBorders>
            <w:gridSpan w:val="7"/>
          </w:tcPr>
          <w:p>
            <w:pPr>
              <w:spacing w:after="0"/>
              <w:rPr>
                <w:sz w:val="20"/>
                <w:szCs w:val="20"/>
                <w:color w:val="auto"/>
              </w:rPr>
            </w:pPr>
            <w:r>
              <w:rPr>
                <w:rFonts w:ascii="Arial" w:cs="Arial" w:eastAsia="Arial" w:hAnsi="Arial"/>
                <w:sz w:val="10"/>
                <w:szCs w:val="10"/>
                <w:b w:val="1"/>
                <w:bCs w:val="1"/>
                <w:color w:val="auto"/>
              </w:rPr>
              <w:t>Adjusted PBT from Continuing Operations</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106"/>
        </w:trPr>
        <w:tc>
          <w:tcPr>
            <w:tcW w:w="560" w:type="dxa"/>
            <w:vAlign w:val="bottom"/>
            <w:tcBorders>
              <w:bottom w:val="single" w:sz="8" w:color="auto"/>
            </w:tcBorders>
            <w:gridSpan w:val="3"/>
            <w:shd w:val="clear" w:color="auto" w:fill="CCEEFF"/>
          </w:tcPr>
          <w:p>
            <w:pPr>
              <w:spacing w:after="0" w:line="99" w:lineRule="exact"/>
              <w:rPr>
                <w:sz w:val="20"/>
                <w:szCs w:val="20"/>
                <w:color w:val="auto"/>
              </w:rPr>
            </w:pPr>
            <w:r>
              <w:rPr>
                <w:rFonts w:ascii="Arial" w:cs="Arial" w:eastAsia="Arial" w:hAnsi="Arial"/>
                <w:sz w:val="10"/>
                <w:szCs w:val="10"/>
                <w:color w:val="auto"/>
                <w:w w:val="93"/>
              </w:rPr>
              <w:t>Adjustments:</w:t>
            </w:r>
          </w:p>
        </w:tc>
        <w:tc>
          <w:tcPr>
            <w:tcW w:w="5640" w:type="dxa"/>
            <w:vAlign w:val="bottom"/>
            <w:tcBorders>
              <w:bottom w:val="single" w:sz="8" w:color="CCEEFF"/>
            </w:tcBorders>
            <w:gridSpan w:val="4"/>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6200" w:type="dxa"/>
            <w:vAlign w:val="bottom"/>
            <w:gridSpan w:val="7"/>
          </w:tcPr>
          <w:p>
            <w:pPr>
              <w:ind w:left="140"/>
              <w:spacing w:after="0"/>
              <w:rPr>
                <w:sz w:val="20"/>
                <w:szCs w:val="20"/>
                <w:color w:val="auto"/>
              </w:rPr>
            </w:pPr>
            <w:r>
              <w:rPr>
                <w:rFonts w:ascii="Arial" w:cs="Arial" w:eastAsia="Arial" w:hAnsi="Arial"/>
                <w:sz w:val="10"/>
                <w:szCs w:val="10"/>
                <w:color w:val="auto"/>
              </w:rPr>
              <w:t>Income tax expense (benefit) from continuing operations</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20</w:t>
            </w:r>
          </w:p>
        </w:tc>
        <w:tc>
          <w:tcPr>
            <w:tcW w:w="80" w:type="dxa"/>
            <w:vAlign w:val="bottom"/>
          </w:tcPr>
          <w:p>
            <w:pPr>
              <w:spacing w:after="0"/>
              <w:rPr>
                <w:sz w:val="12"/>
                <w:szCs w:val="12"/>
                <w:color w:val="auto"/>
              </w:rPr>
            </w:pPr>
          </w:p>
        </w:tc>
        <w:tc>
          <w:tcPr>
            <w:tcW w:w="4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47"/>
        </w:trPr>
        <w:tc>
          <w:tcPr>
            <w:tcW w:w="620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Income tax adjustments</w:t>
            </w:r>
            <w:r>
              <w:rPr>
                <w:rFonts w:ascii="Arial" w:cs="Arial" w:eastAsia="Arial" w:hAnsi="Arial"/>
                <w:sz w:val="12"/>
                <w:szCs w:val="12"/>
                <w:color w:val="auto"/>
                <w:vertAlign w:val="superscript"/>
              </w:rPr>
              <w:t>(3)</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32"/>
        </w:trPr>
        <w:tc>
          <w:tcPr>
            <w:tcW w:w="6200" w:type="dxa"/>
            <w:vAlign w:val="bottom"/>
            <w:tcBorders>
              <w:bottom w:val="single" w:sz="8" w:color="CCEEFF"/>
            </w:tcBorders>
            <w:gridSpan w:val="7"/>
          </w:tcPr>
          <w:p>
            <w:pPr>
              <w:spacing w:after="0"/>
              <w:rPr>
                <w:sz w:val="20"/>
                <w:szCs w:val="20"/>
                <w:color w:val="auto"/>
              </w:rPr>
            </w:pPr>
            <w:r>
              <w:rPr>
                <w:rFonts w:ascii="Arial" w:cs="Arial" w:eastAsia="Arial" w:hAnsi="Arial"/>
                <w:sz w:val="10"/>
                <w:szCs w:val="10"/>
                <w:b w:val="1"/>
                <w:bCs w:val="1"/>
                <w:color w:val="auto"/>
              </w:rPr>
              <w:t>Adjusted Income Tax Expense (Benefit) from Continuing Operations</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50"/>
        </w:trPr>
        <w:tc>
          <w:tcPr>
            <w:tcW w:w="62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0"/>
                <w:szCs w:val="10"/>
                <w:b w:val="1"/>
                <w:bCs w:val="1"/>
                <w:color w:val="auto"/>
              </w:rPr>
              <w:t>Adjusted Net Income (Loss) from Continuing Operations</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128" w:right="299" w:bottom="1440" w:gutter="0" w:footer="0" w:header="0"/>
        </w:sectPr>
      </w:pPr>
    </w:p>
    <w:bookmarkStart w:id="21" w:name="page22"/>
    <w:bookmarkEnd w:id="21"/>
    <w:p>
      <w:pPr>
        <w:ind w:left="10560"/>
        <w:spacing w:after="0"/>
        <w:rPr>
          <w:sz w:val="20"/>
          <w:szCs w:val="20"/>
          <w:color w:val="auto"/>
        </w:rPr>
      </w:pPr>
      <w:r>
        <w:rPr>
          <w:rFonts w:ascii="Arial" w:cs="Arial" w:eastAsia="Arial" w:hAnsi="Arial"/>
          <w:sz w:val="11"/>
          <w:szCs w:val="11"/>
          <w:b w:val="1"/>
          <w:bCs w:val="1"/>
          <w:color w:val="auto"/>
        </w:rPr>
        <w:t>EXHIBIT 99.1</w:t>
      </w:r>
    </w:p>
    <w:p>
      <w:pPr>
        <w:sectPr>
          <w:pgSz w:w="11900" w:h="16838" w:orient="portrait"/>
          <w:cols w:equalWidth="0" w:num="1">
            <w:col w:w="11300"/>
          </w:cols>
          <w:pgMar w:left="300" w:top="128" w:right="29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CONTINUED</w:t>
      </w:r>
    </w:p>
    <w:p>
      <w:pPr>
        <w:spacing w:after="0" w:line="51" w:lineRule="exact"/>
        <w:rPr>
          <w:sz w:val="20"/>
          <w:szCs w:val="20"/>
          <w:color w:val="auto"/>
        </w:rPr>
      </w:pPr>
    </w:p>
    <w:p>
      <w:pPr>
        <w:spacing w:after="0"/>
        <w:rPr>
          <w:sz w:val="20"/>
          <w:szCs w:val="20"/>
          <w:color w:val="auto"/>
        </w:rPr>
      </w:pPr>
      <w:r>
        <w:rPr>
          <w:rFonts w:ascii="Arial" w:cs="Arial" w:eastAsia="Arial" w:hAnsi="Arial"/>
          <w:sz w:val="8"/>
          <w:szCs w:val="8"/>
          <w:u w:val="single" w:color="auto"/>
          <w:color w:val="auto"/>
        </w:rPr>
        <w:t>(in millions)</w:t>
      </w:r>
    </w:p>
    <w:p>
      <w:pPr>
        <w:spacing w:after="0" w:line="39" w:lineRule="exact"/>
        <w:rPr>
          <w:sz w:val="20"/>
          <w:szCs w:val="20"/>
          <w:color w:val="auto"/>
        </w:rPr>
      </w:pPr>
    </w:p>
    <w:p>
      <w:pPr>
        <w:spacing w:after="0"/>
        <w:rPr>
          <w:sz w:val="20"/>
          <w:szCs w:val="20"/>
          <w:color w:val="auto"/>
        </w:rPr>
      </w:pPr>
      <w:r>
        <w:rPr>
          <w:rFonts w:ascii="Arial" w:cs="Arial" w:eastAsia="Arial" w:hAnsi="Arial"/>
          <w:sz w:val="8"/>
          <w:szCs w:val="8"/>
          <w:b w:val="1"/>
          <w:bCs w:val="1"/>
          <w:u w:val="single" w:color="auto"/>
          <w:color w:val="auto"/>
        </w:rPr>
        <w:t>Adjusted Operating Income (Loss) from Continuing Operations</w:t>
      </w:r>
    </w:p>
    <w:p>
      <w:pPr>
        <w:spacing w:after="0" w:line="52"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Income (Loss) Before Income Taxes from Continuing Operations</w:t>
      </w:r>
    </w:p>
    <w:p>
      <w:pPr>
        <w:spacing w:after="0" w:line="54"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Adjustments: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non-GAAP adjustments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0"/>
          <w:szCs w:val="10"/>
          <w:color w:val="auto"/>
        </w:rPr>
        <w:t>Interest expense</w:t>
      </w:r>
    </w:p>
    <w:p>
      <w:pPr>
        <w:spacing w:after="0" w:line="54"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Adjusted Operating Income (Loss) from Continuing Operations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1460" w:type="dxa"/>
            <w:vAlign w:val="bottom"/>
            <w:gridSpan w:val="3"/>
          </w:tcPr>
          <w:p>
            <w:pPr>
              <w:jc w:val="right"/>
              <w:ind w:right="12"/>
              <w:spacing w:after="0"/>
              <w:rPr>
                <w:sz w:val="20"/>
                <w:szCs w:val="20"/>
                <w:color w:val="auto"/>
              </w:rPr>
            </w:pPr>
            <w:r>
              <w:rPr>
                <w:rFonts w:ascii="Arial" w:cs="Arial" w:eastAsia="Arial" w:hAnsi="Arial"/>
                <w:sz w:val="10"/>
                <w:szCs w:val="10"/>
                <w:color w:val="auto"/>
              </w:rPr>
              <w:t>Three Months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3"/>
          </w:tcPr>
          <w:p>
            <w:pPr>
              <w:jc w:val="right"/>
              <w:ind w:right="12"/>
              <w:spacing w:after="0"/>
              <w:rPr>
                <w:sz w:val="20"/>
                <w:szCs w:val="20"/>
                <w:color w:val="auto"/>
              </w:rPr>
            </w:pPr>
            <w:r>
              <w:rPr>
                <w:rFonts w:ascii="Arial" w:cs="Arial" w:eastAsia="Arial" w:hAnsi="Arial"/>
                <w:sz w:val="10"/>
                <w:szCs w:val="10"/>
                <w:color w:val="auto"/>
              </w:rPr>
              <w:t>Nine Months Ended</w:t>
            </w:r>
          </w:p>
        </w:tc>
        <w:tc>
          <w:tcPr>
            <w:tcW w:w="780" w:type="dxa"/>
            <w:vAlign w:val="bottom"/>
          </w:tcPr>
          <w:p>
            <w:pPr>
              <w:spacing w:after="0"/>
              <w:rPr>
                <w:sz w:val="10"/>
                <w:szCs w:val="10"/>
                <w:color w:val="auto"/>
              </w:rPr>
            </w:pPr>
          </w:p>
        </w:tc>
      </w:tr>
      <w:tr>
        <w:trPr>
          <w:trHeight w:val="122"/>
        </w:trPr>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0"/>
                <w:szCs w:val="10"/>
                <w:color w:val="auto"/>
              </w:rPr>
              <w:t>September 30,</w:t>
            </w: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color w:val="auto"/>
              </w:rPr>
              <w:t>September 30,</w:t>
            </w:r>
          </w:p>
        </w:tc>
        <w:tc>
          <w:tcPr>
            <w:tcW w:w="780" w:type="dxa"/>
            <w:vAlign w:val="bottom"/>
            <w:tcBorders>
              <w:bottom w:val="single" w:sz="8" w:color="auto"/>
            </w:tcBorders>
          </w:tcPr>
          <w:p>
            <w:pPr>
              <w:spacing w:after="0"/>
              <w:rPr>
                <w:sz w:val="10"/>
                <w:szCs w:val="10"/>
                <w:color w:val="auto"/>
              </w:rPr>
            </w:pPr>
          </w:p>
        </w:tc>
      </w:tr>
      <w:tr>
        <w:trPr>
          <w:trHeight w:val="130"/>
        </w:trPr>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2026</w:t>
            </w: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2025</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2026</w:t>
            </w: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2025</w:t>
            </w:r>
          </w:p>
        </w:tc>
      </w:tr>
      <w:tr>
        <w:trPr>
          <w:trHeight w:val="265"/>
        </w:trPr>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23"/>
                <w:szCs w:val="2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(38)</w:t>
            </w:r>
          </w:p>
        </w:tc>
        <w:tc>
          <w:tcPr>
            <w:tcW w:w="100" w:type="dxa"/>
            <w:vAlign w:val="bottom"/>
          </w:tcPr>
          <w:p>
            <w:pPr>
              <w:spacing w:after="0"/>
              <w:rPr>
                <w:sz w:val="23"/>
                <w:szCs w:val="2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(111)</w:t>
            </w:r>
          </w:p>
        </w:tc>
        <w:tc>
          <w:tcPr>
            <w:tcW w:w="80" w:type="dxa"/>
            <w:vAlign w:val="bottom"/>
          </w:tcPr>
          <w:p>
            <w:pPr>
              <w:spacing w:after="0"/>
              <w:rPr>
                <w:sz w:val="23"/>
                <w:szCs w:val="23"/>
                <w:color w:val="auto"/>
              </w:rPr>
            </w:pPr>
          </w:p>
        </w:tc>
        <w:tc>
          <w:tcPr>
            <w:tcW w:w="4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(143)</w:t>
            </w:r>
          </w:p>
        </w:tc>
      </w:tr>
      <w:tr>
        <w:trPr>
          <w:trHeight w:val="288"/>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64</w:t>
            </w:r>
          </w:p>
        </w:tc>
      </w:tr>
      <w:tr>
        <w:trPr>
          <w:trHeight w:val="147"/>
        </w:trPr>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w:t>
            </w: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w:t>
            </w:r>
          </w:p>
        </w:tc>
      </w:tr>
      <w:tr>
        <w:trPr>
          <w:trHeight w:val="133"/>
        </w:trPr>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4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-485140</wp:posOffset>
            </wp:positionV>
            <wp:extent cx="7178040" cy="91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-302260</wp:posOffset>
            </wp:positionV>
            <wp:extent cx="7178040" cy="91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-119380</wp:posOffset>
            </wp:positionV>
            <wp:extent cx="7178040" cy="108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5480" w:space="720"/>
            <w:col w:w="5100"/>
          </w:cols>
          <w:pgMar w:left="300" w:top="128" w:right="29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6200" w:type="dxa"/>
            <w:vAlign w:val="bottom"/>
            <w:gridSpan w:val="3"/>
            <w:shd w:val="clear" w:color="auto" w:fill="CCEEFF"/>
          </w:tcPr>
          <w:p>
            <w:pPr>
              <w:spacing w:after="0"/>
              <w:rPr>
                <w:sz w:val="20"/>
                <w:szCs w:val="20"/>
                <w:color w:val="auto"/>
              </w:rPr>
            </w:pPr>
            <w:r>
              <w:rPr>
                <w:rFonts w:ascii="Arial" w:cs="Arial" w:eastAsia="Arial" w:hAnsi="Arial"/>
                <w:sz w:val="10"/>
                <w:szCs w:val="10"/>
                <w:b w:val="1"/>
                <w:bCs w:val="1"/>
                <w:color w:val="auto"/>
              </w:rPr>
              <w:t>ADJUSTED EBITDA FROM CONTINUING OPERATIONS</w:t>
            </w: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43"/>
        </w:trPr>
        <w:tc>
          <w:tcPr>
            <w:tcW w:w="25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rPr>
              <w:t>Net Income (Loss) from Continuing Operations</w:t>
            </w:r>
          </w:p>
        </w:tc>
        <w:tc>
          <w:tcPr>
            <w:tcW w:w="370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jc w:val="right"/>
              <w:ind w:right="4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(40)</w:t>
            </w:r>
          </w:p>
        </w:tc>
        <w:tc>
          <w:tcPr>
            <w:tcW w:w="10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jc w:val="right"/>
              <w:ind w:right="4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(42)</w:t>
            </w:r>
          </w:p>
        </w:tc>
        <w:tc>
          <w:tcPr>
            <w:tcW w:w="10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jc w:val="right"/>
              <w:ind w:right="3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(131)</w:t>
            </w: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jc w:val="right"/>
              <w:ind w:right="392"/>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(140)</w:t>
            </w:r>
          </w:p>
        </w:tc>
      </w:tr>
      <w:tr>
        <w:trPr>
          <w:trHeight w:val="145"/>
        </w:trPr>
        <w:tc>
          <w:tcPr>
            <w:tcW w:w="62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Income tax expense (benefit) from continuing operations</w:t>
            </w: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r>
      <w:tr>
        <w:trPr>
          <w:trHeight w:val="141"/>
        </w:trPr>
        <w:tc>
          <w:tcPr>
            <w:tcW w:w="6200" w:type="dxa"/>
            <w:vAlign w:val="bottom"/>
            <w:gridSpan w:val="3"/>
          </w:tcPr>
          <w:p>
            <w:pPr>
              <w:spacing w:after="0"/>
              <w:rPr>
                <w:sz w:val="20"/>
                <w:szCs w:val="20"/>
                <w:color w:val="auto"/>
              </w:rPr>
            </w:pPr>
            <w:r>
              <w:rPr>
                <w:rFonts w:ascii="Arial" w:cs="Arial" w:eastAsia="Arial" w:hAnsi="Arial"/>
                <w:sz w:val="10"/>
                <w:szCs w:val="10"/>
                <w:color w:val="auto"/>
              </w:rPr>
              <w:t>Depreciation and amortization</w:t>
            </w:r>
          </w:p>
        </w:tc>
        <w:tc>
          <w:tcPr>
            <w:tcW w:w="5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124</w:t>
            </w:r>
          </w:p>
        </w:tc>
      </w:tr>
      <w:tr>
        <w:trPr>
          <w:trHeight w:val="147"/>
        </w:trPr>
        <w:tc>
          <w:tcPr>
            <w:tcW w:w="62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Interest expense</w:t>
            </w:r>
          </w:p>
        </w:tc>
        <w:tc>
          <w:tcPr>
            <w:tcW w:w="5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w:t>
            </w:r>
          </w:p>
        </w:tc>
      </w:tr>
      <w:tr>
        <w:trPr>
          <w:trHeight w:val="132"/>
        </w:trPr>
        <w:tc>
          <w:tcPr>
            <w:tcW w:w="6200" w:type="dxa"/>
            <w:vAlign w:val="bottom"/>
            <w:gridSpan w:val="3"/>
          </w:tcPr>
          <w:p>
            <w:pPr>
              <w:spacing w:after="0"/>
              <w:rPr>
                <w:sz w:val="20"/>
                <w:szCs w:val="20"/>
                <w:color w:val="auto"/>
              </w:rPr>
            </w:pPr>
            <w:r>
              <w:rPr>
                <w:rFonts w:ascii="Arial" w:cs="Arial" w:eastAsia="Arial" w:hAnsi="Arial"/>
                <w:sz w:val="10"/>
                <w:szCs w:val="10"/>
                <w:b w:val="1"/>
                <w:bCs w:val="1"/>
                <w:color w:val="auto"/>
              </w:rPr>
              <w:t>EBITDA FROM CONTINUING OPERATIONS</w:t>
            </w:r>
          </w:p>
        </w:tc>
        <w:tc>
          <w:tcPr>
            <w:tcW w:w="5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43</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17</w:t>
            </w:r>
          </w:p>
        </w:tc>
      </w:tr>
      <w:tr>
        <w:trPr>
          <w:trHeight w:val="125"/>
        </w:trPr>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93"/>
              </w:rPr>
              <w:t>Adjustments:</w:t>
            </w:r>
          </w:p>
        </w:tc>
        <w:tc>
          <w:tcPr>
            <w:tcW w:w="5640" w:type="dxa"/>
            <w:vAlign w:val="bottom"/>
            <w:tcBorders>
              <w:bottom w:val="single" w:sz="8" w:color="CCEEFF"/>
            </w:tcBorders>
            <w:gridSpan w:val="2"/>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r>
      <w:tr>
        <w:trPr>
          <w:trHeight w:val="141"/>
        </w:trPr>
        <w:tc>
          <w:tcPr>
            <w:tcW w:w="6200" w:type="dxa"/>
            <w:vAlign w:val="bottom"/>
            <w:gridSpan w:val="3"/>
          </w:tcPr>
          <w:p>
            <w:pPr>
              <w:ind w:left="140"/>
              <w:spacing w:after="0"/>
              <w:rPr>
                <w:sz w:val="20"/>
                <w:szCs w:val="20"/>
                <w:color w:val="auto"/>
              </w:rPr>
            </w:pPr>
            <w:r>
              <w:rPr>
                <w:rFonts w:ascii="Arial" w:cs="Arial" w:eastAsia="Arial" w:hAnsi="Arial"/>
                <w:sz w:val="10"/>
                <w:szCs w:val="10"/>
                <w:color w:val="auto"/>
              </w:rPr>
              <w:t>Restructuring and related costs</w:t>
            </w:r>
          </w:p>
        </w:tc>
        <w:tc>
          <w:tcPr>
            <w:tcW w:w="5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50</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24</w:t>
            </w:r>
          </w:p>
        </w:tc>
      </w:tr>
      <w:tr>
        <w:trPr>
          <w:trHeight w:val="147"/>
        </w:trPr>
        <w:tc>
          <w:tcPr>
            <w:tcW w:w="620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(Gain) loss on divestitures and transaction costs, net</w:t>
            </w: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r>
      <w:tr>
        <w:trPr>
          <w:trHeight w:val="141"/>
        </w:trPr>
        <w:tc>
          <w:tcPr>
            <w:tcW w:w="6200" w:type="dxa"/>
            <w:vAlign w:val="bottom"/>
            <w:gridSpan w:val="3"/>
          </w:tcPr>
          <w:p>
            <w:pPr>
              <w:ind w:left="140"/>
              <w:spacing w:after="0"/>
              <w:rPr>
                <w:sz w:val="20"/>
                <w:szCs w:val="20"/>
                <w:color w:val="auto"/>
              </w:rPr>
            </w:pPr>
            <w:r>
              <w:rPr>
                <w:rFonts w:ascii="Arial" w:cs="Arial" w:eastAsia="Arial" w:hAnsi="Arial"/>
                <w:sz w:val="10"/>
                <w:szCs w:val="10"/>
                <w:color w:val="auto"/>
              </w:rPr>
              <w:t>Litigation settlements (recoveries), net</w:t>
            </w:r>
          </w:p>
        </w:tc>
        <w:tc>
          <w:tcPr>
            <w:tcW w:w="5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47"/>
        </w:trPr>
        <w:tc>
          <w:tcPr>
            <w:tcW w:w="620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Loss on extinguishment of debt</w:t>
            </w:r>
          </w:p>
        </w:tc>
        <w:tc>
          <w:tcPr>
            <w:tcW w:w="5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r>
      <w:tr>
        <w:trPr>
          <w:trHeight w:val="141"/>
        </w:trPr>
        <w:tc>
          <w:tcPr>
            <w:tcW w:w="6200" w:type="dxa"/>
            <w:vAlign w:val="bottom"/>
            <w:gridSpan w:val="3"/>
          </w:tcPr>
          <w:p>
            <w:pPr>
              <w:ind w:left="140"/>
              <w:spacing w:after="0"/>
              <w:rPr>
                <w:sz w:val="20"/>
                <w:szCs w:val="20"/>
                <w:color w:val="auto"/>
              </w:rPr>
            </w:pPr>
            <w:r>
              <w:rPr>
                <w:rFonts w:ascii="Arial" w:cs="Arial" w:eastAsia="Arial" w:hAnsi="Arial"/>
                <w:sz w:val="10"/>
                <w:szCs w:val="10"/>
                <w:color w:val="auto"/>
              </w:rPr>
              <w:t>Direct response costs - cyber event</w:t>
            </w:r>
          </w:p>
        </w:tc>
        <w:tc>
          <w:tcPr>
            <w:tcW w:w="5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25</w:t>
            </w:r>
          </w:p>
        </w:tc>
      </w:tr>
      <w:tr>
        <w:trPr>
          <w:trHeight w:val="144"/>
        </w:trPr>
        <w:tc>
          <w:tcPr>
            <w:tcW w:w="620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Other charges (credits)</w:t>
            </w:r>
          </w:p>
        </w:tc>
        <w:tc>
          <w:tcPr>
            <w:tcW w:w="5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w:t>
            </w:r>
          </w:p>
        </w:tc>
      </w:tr>
      <w:tr>
        <w:trPr>
          <w:trHeight w:val="136"/>
        </w:trPr>
        <w:tc>
          <w:tcPr>
            <w:tcW w:w="6200" w:type="dxa"/>
            <w:vAlign w:val="bottom"/>
            <w:gridSpan w:val="3"/>
          </w:tcPr>
          <w:p>
            <w:pPr>
              <w:spacing w:after="0"/>
              <w:rPr>
                <w:sz w:val="20"/>
                <w:szCs w:val="20"/>
                <w:color w:val="auto"/>
              </w:rPr>
            </w:pPr>
            <w:r>
              <w:rPr>
                <w:rFonts w:ascii="Arial" w:cs="Arial" w:eastAsia="Arial" w:hAnsi="Arial"/>
                <w:sz w:val="10"/>
                <w:szCs w:val="10"/>
                <w:b w:val="1"/>
                <w:bCs w:val="1"/>
                <w:color w:val="auto"/>
              </w:rPr>
              <w:t>Adjusted EBITDA from Continuing Operations</w:t>
            </w: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1"/>
                <w:szCs w:val="11"/>
                <w:color w:val="auto"/>
              </w:rPr>
            </w:pP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w:t>
            </w:r>
          </w:p>
        </w:tc>
        <w:tc>
          <w:tcPr>
            <w:tcW w:w="80" w:type="dxa"/>
            <w:vAlign w:val="bottom"/>
          </w:tcPr>
          <w:p>
            <w:pPr>
              <w:spacing w:after="0"/>
              <w:rPr>
                <w:sz w:val="11"/>
                <w:szCs w:val="11"/>
                <w:color w:val="auto"/>
              </w:rPr>
            </w:pPr>
          </w:p>
        </w:tc>
        <w:tc>
          <w:tcPr>
            <w:tcW w:w="5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w:t>
            </w:r>
          </w:p>
        </w:tc>
      </w:tr>
      <w:tr>
        <w:trPr>
          <w:trHeight w:val="20"/>
        </w:trPr>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128" w:right="29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2"/>
          <w:szCs w:val="12"/>
          <w:b w:val="1"/>
          <w:bCs w:val="1"/>
          <w:color w:val="auto"/>
        </w:rPr>
        <w:t>EXHIBIT 99.1</w:t>
      </w:r>
    </w:p>
    <w:p>
      <w:pPr>
        <w:spacing w:after="0" w:line="374"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color w:val="auto"/>
        </w:rPr>
        <w:t xml:space="preserve">Non-GAAP Reconciliations: </w:t>
      </w:r>
      <w:r>
        <w:rPr>
          <w:rFonts w:ascii="Arial" w:cs="Arial" w:eastAsia="Arial" w:hAnsi="Arial"/>
          <w:sz w:val="12"/>
          <w:szCs w:val="12"/>
          <w:color w:val="auto"/>
        </w:rPr>
        <w:t>Adjusted Weighted Average Shares Outstanding, Adjusted Diluted EPS from Continuing Operations, Adjusted Effective Tax Rate from Continuing Operations, Adjusted Operating</w:t>
      </w:r>
      <w:r>
        <w:rPr>
          <w:rFonts w:ascii="Arial" w:cs="Arial" w:eastAsia="Arial" w:hAnsi="Arial"/>
          <w:sz w:val="12"/>
          <w:szCs w:val="12"/>
          <w:b w:val="1"/>
          <w:bCs w:val="1"/>
          <w:color w:val="auto"/>
        </w:rPr>
        <w:t xml:space="preserve"> </w:t>
      </w:r>
      <w:r>
        <w:rPr>
          <w:rFonts w:ascii="Arial" w:cs="Arial" w:eastAsia="Arial" w:hAnsi="Arial"/>
          <w:sz w:val="12"/>
          <w:szCs w:val="12"/>
          <w:color w:val="auto"/>
        </w:rPr>
        <w:t>Margin from Continuing Operations and Adjusted EBITDA Margin from Continuing Operations were as follows:</w:t>
      </w:r>
    </w:p>
    <w:tbl>
      <w:tblPr>
        <w:tblLayout w:type="fixed"/>
        <w:tblInd w:w="0" w:type="dxa"/>
        <w:tblCellMar>
          <w:top w:w="0" w:type="dxa"/>
          <w:left w:w="0" w:type="dxa"/>
          <w:bottom w:w="0" w:type="dxa"/>
          <w:right w:w="0" w:type="dxa"/>
        </w:tblCellMar>
      </w:tblPr>
      <w:tr>
        <w:trPr>
          <w:trHeight w:val="102"/>
        </w:trPr>
        <w:tc>
          <w:tcPr>
            <w:tcW w:w="5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3"/>
          </w:tcPr>
          <w:p>
            <w:pPr>
              <w:jc w:val="right"/>
              <w:ind w:right="32"/>
              <w:spacing w:after="0" w:line="102" w:lineRule="exact"/>
              <w:rPr>
                <w:sz w:val="20"/>
                <w:szCs w:val="20"/>
                <w:color w:val="auto"/>
              </w:rPr>
            </w:pPr>
            <w:r>
              <w:rPr>
                <w:rFonts w:ascii="Arial" w:cs="Arial" w:eastAsia="Arial" w:hAnsi="Arial"/>
                <w:sz w:val="10"/>
                <w:szCs w:val="10"/>
                <w:color w:val="auto"/>
              </w:rPr>
              <w:t>Three Months Ended</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3"/>
          </w:tcPr>
          <w:p>
            <w:pPr>
              <w:jc w:val="right"/>
              <w:ind w:right="32"/>
              <w:spacing w:after="0" w:line="102" w:lineRule="exact"/>
              <w:rPr>
                <w:sz w:val="20"/>
                <w:szCs w:val="20"/>
                <w:color w:val="auto"/>
              </w:rPr>
            </w:pPr>
            <w:r>
              <w:rPr>
                <w:rFonts w:ascii="Arial" w:cs="Arial" w:eastAsia="Arial" w:hAnsi="Arial"/>
                <w:sz w:val="10"/>
                <w:szCs w:val="10"/>
                <w:color w:val="auto"/>
              </w:rPr>
              <w:t>Nine Months Ended</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0"/>
                <w:szCs w:val="10"/>
                <w:color w:val="auto"/>
              </w:rPr>
              <w:t>September 30,</w:t>
            </w: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0"/>
                <w:szCs w:val="10"/>
                <w:color w:val="auto"/>
              </w:rPr>
              <w:t>September 30,</w:t>
            </w: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280" w:type="dxa"/>
            <w:vAlign w:val="bottom"/>
            <w:tcBorders>
              <w:bottom w:val="single" w:sz="8" w:color="auto"/>
            </w:tcBorders>
            <w:gridSpan w:val="4"/>
          </w:tcPr>
          <w:p>
            <w:pPr>
              <w:spacing w:after="0"/>
              <w:rPr>
                <w:sz w:val="20"/>
                <w:szCs w:val="20"/>
                <w:color w:val="auto"/>
              </w:rPr>
            </w:pPr>
            <w:r>
              <w:rPr>
                <w:rFonts w:ascii="Arial" w:cs="Arial" w:eastAsia="Arial" w:hAnsi="Arial"/>
                <w:sz w:val="8"/>
                <w:szCs w:val="8"/>
                <w:color w:val="auto"/>
              </w:rPr>
              <w:t>(Amounts are in whole dollars, shares are in thousands and margins and rates are in %)</w:t>
            </w:r>
          </w:p>
        </w:tc>
        <w:tc>
          <w:tcPr>
            <w:tcW w:w="2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jc w:val="right"/>
              <w:ind w:right="472"/>
              <w:spacing w:after="0" w:line="106" w:lineRule="exact"/>
              <w:rPr>
                <w:sz w:val="20"/>
                <w:szCs w:val="20"/>
                <w:color w:val="auto"/>
              </w:rPr>
            </w:pPr>
            <w:r>
              <w:rPr>
                <w:rFonts w:ascii="Arial" w:cs="Arial" w:eastAsia="Arial" w:hAnsi="Arial"/>
                <w:sz w:val="10"/>
                <w:szCs w:val="10"/>
                <w:color w:val="auto"/>
              </w:rPr>
              <w:t>2026</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jc w:val="right"/>
              <w:ind w:right="472"/>
              <w:spacing w:after="0" w:line="106" w:lineRule="exact"/>
              <w:rPr>
                <w:sz w:val="20"/>
                <w:szCs w:val="20"/>
                <w:color w:val="auto"/>
              </w:rPr>
            </w:pPr>
            <w:r>
              <w:rPr>
                <w:rFonts w:ascii="Arial" w:cs="Arial" w:eastAsia="Arial" w:hAnsi="Arial"/>
                <w:sz w:val="10"/>
                <w:szCs w:val="10"/>
                <w:color w:val="auto"/>
              </w:rPr>
              <w:t>2025</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jc w:val="right"/>
              <w:ind w:right="472"/>
              <w:spacing w:after="0" w:line="106" w:lineRule="exact"/>
              <w:rPr>
                <w:sz w:val="20"/>
                <w:szCs w:val="20"/>
                <w:color w:val="auto"/>
              </w:rPr>
            </w:pPr>
            <w:r>
              <w:rPr>
                <w:rFonts w:ascii="Arial" w:cs="Arial" w:eastAsia="Arial" w:hAnsi="Arial"/>
                <w:sz w:val="10"/>
                <w:szCs w:val="10"/>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jc w:val="right"/>
              <w:ind w:right="472"/>
              <w:spacing w:after="0" w:line="106" w:lineRule="exact"/>
              <w:rPr>
                <w:sz w:val="20"/>
                <w:szCs w:val="20"/>
                <w:color w:val="auto"/>
              </w:rPr>
            </w:pPr>
            <w:r>
              <w:rPr>
                <w:rFonts w:ascii="Arial" w:cs="Arial" w:eastAsia="Arial" w:hAnsi="Arial"/>
                <w:sz w:val="10"/>
                <w:szCs w:val="10"/>
                <w:color w:val="auto"/>
              </w:rPr>
              <w:t>2025</w:t>
            </w:r>
          </w:p>
        </w:tc>
        <w:tc>
          <w:tcPr>
            <w:tcW w:w="0" w:type="dxa"/>
            <w:vAlign w:val="bottom"/>
          </w:tcPr>
          <w:p>
            <w:pPr>
              <w:spacing w:after="0"/>
              <w:rPr>
                <w:sz w:val="1"/>
                <w:szCs w:val="1"/>
                <w:color w:val="auto"/>
              </w:rPr>
            </w:pPr>
          </w:p>
        </w:tc>
      </w:tr>
      <w:tr>
        <w:trPr>
          <w:trHeight w:val="20"/>
        </w:trPr>
        <w:tc>
          <w:tcPr>
            <w:tcW w:w="5980" w:type="dxa"/>
            <w:vAlign w:val="bottom"/>
            <w:gridSpan w:val="5"/>
            <w:vMerge w:val="restart"/>
          </w:tcPr>
          <w:p>
            <w:pPr>
              <w:spacing w:after="0" w:line="124" w:lineRule="exact"/>
              <w:rPr>
                <w:sz w:val="20"/>
                <w:szCs w:val="20"/>
                <w:color w:val="auto"/>
              </w:rPr>
            </w:pPr>
            <w:r>
              <w:rPr>
                <w:rFonts w:ascii="Arial" w:cs="Arial" w:eastAsia="Arial" w:hAnsi="Arial"/>
                <w:sz w:val="10"/>
                <w:szCs w:val="10"/>
                <w:b w:val="1"/>
                <w:bCs w:val="1"/>
                <w:color w:val="auto"/>
              </w:rPr>
              <w:t>ADJUSTED DILUTED EPS FROM CONTINUING OPERATIONS</w:t>
            </w:r>
            <w:r>
              <w:rPr>
                <w:rFonts w:ascii="Arial" w:cs="Arial" w:eastAsia="Arial" w:hAnsi="Arial"/>
                <w:sz w:val="12"/>
                <w:szCs w:val="12"/>
                <w:b w:val="1"/>
                <w:bCs w:val="1"/>
                <w:color w:val="auto"/>
                <w:vertAlign w:val="superscript"/>
              </w:rPr>
              <w:t>(4)</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598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Weighted Average Common Shares Outstanding</w:t>
            </w:r>
          </w:p>
        </w:tc>
        <w:tc>
          <w:tcPr>
            <w:tcW w:w="3200" w:type="dxa"/>
            <w:vAlign w:val="bottom"/>
            <w:gridSpan w:val="3"/>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155,594</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157,004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155,252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159,899</w:t>
            </w:r>
          </w:p>
        </w:tc>
        <w:tc>
          <w:tcPr>
            <w:tcW w:w="0" w:type="dxa"/>
            <w:vAlign w:val="bottom"/>
          </w:tcPr>
          <w:p>
            <w:pPr>
              <w:spacing w:after="0"/>
              <w:rPr>
                <w:sz w:val="1"/>
                <w:szCs w:val="1"/>
                <w:color w:val="auto"/>
              </w:rPr>
            </w:pPr>
          </w:p>
        </w:tc>
      </w:tr>
      <w:tr>
        <w:trPr>
          <w:trHeight w:val="124"/>
        </w:trPr>
        <w:tc>
          <w:tcPr>
            <w:tcW w:w="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3"/>
              </w:rPr>
              <w:t>Adjustments:</w:t>
            </w:r>
          </w:p>
        </w:tc>
        <w:tc>
          <w:tcPr>
            <w:tcW w:w="5420" w:type="dxa"/>
            <w:vAlign w:val="bottom"/>
            <w:gridSpan w:val="4"/>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598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Restricted stock and performance units / shares</w:t>
            </w: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2"/>
        </w:trPr>
        <w:tc>
          <w:tcPr>
            <w:tcW w:w="5980" w:type="dxa"/>
            <w:vAlign w:val="bottom"/>
            <w:tcBorders>
              <w:bottom w:val="single" w:sz="8" w:color="CCEEFF"/>
            </w:tcBorders>
            <w:gridSpan w:val="5"/>
          </w:tcPr>
          <w:p>
            <w:pPr>
              <w:spacing w:after="0"/>
              <w:rPr>
                <w:sz w:val="20"/>
                <w:szCs w:val="20"/>
                <w:color w:val="auto"/>
              </w:rPr>
            </w:pPr>
            <w:r>
              <w:rPr>
                <w:rFonts w:ascii="Arial" w:cs="Arial" w:eastAsia="Arial" w:hAnsi="Arial"/>
                <w:sz w:val="10"/>
                <w:szCs w:val="10"/>
                <w:b w:val="1"/>
                <w:bCs w:val="1"/>
                <w:color w:val="auto"/>
              </w:rPr>
              <w:t>Adjusted Weighted Average Common Shares Outstanding</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155,594</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157,004</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155,252</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159,899</w:t>
            </w:r>
          </w:p>
        </w:tc>
        <w:tc>
          <w:tcPr>
            <w:tcW w:w="0" w:type="dxa"/>
            <w:vAlign w:val="bottom"/>
          </w:tcPr>
          <w:p>
            <w:pPr>
              <w:spacing w:after="0"/>
              <w:rPr>
                <w:sz w:val="1"/>
                <w:szCs w:val="1"/>
                <w:color w:val="auto"/>
              </w:rPr>
            </w:pPr>
          </w:p>
        </w:tc>
      </w:tr>
      <w:tr>
        <w:trPr>
          <w:trHeight w:val="143"/>
        </w:trPr>
        <w:tc>
          <w:tcPr>
            <w:tcW w:w="5980" w:type="dxa"/>
            <w:vAlign w:val="bottom"/>
            <w:tcBorders>
              <w:top w:val="single" w:sz="8" w:color="CCEEFF"/>
            </w:tcBorders>
            <w:gridSpan w:val="5"/>
          </w:tcPr>
          <w:p>
            <w:pPr>
              <w:spacing w:after="0"/>
              <w:rPr>
                <w:sz w:val="20"/>
                <w:szCs w:val="20"/>
                <w:color w:val="auto"/>
              </w:rPr>
            </w:pPr>
            <w:r>
              <w:rPr>
                <w:rFonts w:ascii="Arial" w:cs="Arial" w:eastAsia="Arial" w:hAnsi="Arial"/>
                <w:sz w:val="10"/>
                <w:szCs w:val="10"/>
                <w:b w:val="1"/>
                <w:bCs w:val="1"/>
                <w:color w:val="auto"/>
              </w:rPr>
              <w:t>Diluted EPS from Continuing Operations</w:t>
            </w:r>
          </w:p>
        </w:tc>
        <w:tc>
          <w:tcPr>
            <w:tcW w:w="300" w:type="dxa"/>
            <w:vAlign w:val="bottom"/>
            <w:tcBorders>
              <w:top w:val="single" w:sz="8" w:color="CCEEFF"/>
            </w:tcBorders>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CCEEFF"/>
            </w:tcBorders>
          </w:tcPr>
          <w:p>
            <w:pPr>
              <w:jc w:val="right"/>
              <w:ind w:right="52"/>
              <w:spacing w:after="0"/>
              <w:rPr>
                <w:sz w:val="20"/>
                <w:szCs w:val="20"/>
                <w:color w:val="auto"/>
              </w:rPr>
            </w:pPr>
            <w:r>
              <w:rPr>
                <w:rFonts w:ascii="Arial" w:cs="Arial" w:eastAsia="Arial" w:hAnsi="Arial"/>
                <w:sz w:val="10"/>
                <w:szCs w:val="10"/>
                <w:color w:val="auto"/>
              </w:rPr>
              <w:t>(0.27)</w:t>
            </w: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jc w:val="right"/>
              <w:ind w:right="35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CCEEFF"/>
            </w:tcBorders>
          </w:tcPr>
          <w:p>
            <w:pPr>
              <w:jc w:val="right"/>
              <w:ind w:right="52"/>
              <w:spacing w:after="0"/>
              <w:rPr>
                <w:sz w:val="20"/>
                <w:szCs w:val="20"/>
                <w:color w:val="auto"/>
              </w:rPr>
            </w:pPr>
            <w:r>
              <w:rPr>
                <w:rFonts w:ascii="Arial" w:cs="Arial" w:eastAsia="Arial" w:hAnsi="Arial"/>
                <w:sz w:val="10"/>
                <w:szCs w:val="10"/>
                <w:color w:val="auto"/>
              </w:rPr>
              <w:t>(0.27)</w:t>
            </w: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CCEEFF"/>
            </w:tcBorders>
          </w:tcPr>
          <w:p>
            <w:pPr>
              <w:jc w:val="right"/>
              <w:ind w:right="52"/>
              <w:spacing w:after="0"/>
              <w:rPr>
                <w:sz w:val="20"/>
                <w:szCs w:val="20"/>
                <w:color w:val="auto"/>
              </w:rPr>
            </w:pPr>
            <w:r>
              <w:rPr>
                <w:rFonts w:ascii="Arial" w:cs="Arial" w:eastAsia="Arial" w:hAnsi="Arial"/>
                <w:sz w:val="10"/>
                <w:szCs w:val="10"/>
                <w:color w:val="auto"/>
              </w:rPr>
              <w:t>(0.89)</w:t>
            </w:r>
          </w:p>
        </w:tc>
        <w:tc>
          <w:tcPr>
            <w:tcW w:w="10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jc w:val="right"/>
              <w:ind w:right="33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CCEEFF"/>
            </w:tcBorders>
          </w:tcPr>
          <w:p>
            <w:pPr>
              <w:jc w:val="right"/>
              <w:ind w:right="52"/>
              <w:spacing w:after="0"/>
              <w:rPr>
                <w:sz w:val="20"/>
                <w:szCs w:val="20"/>
                <w:color w:val="auto"/>
              </w:rPr>
            </w:pPr>
            <w:r>
              <w:rPr>
                <w:rFonts w:ascii="Arial" w:cs="Arial" w:eastAsia="Arial" w:hAnsi="Arial"/>
                <w:sz w:val="10"/>
                <w:szCs w:val="10"/>
                <w:color w:val="auto"/>
              </w:rPr>
              <w:t>(0.92)</w:t>
            </w:r>
          </w:p>
        </w:tc>
        <w:tc>
          <w:tcPr>
            <w:tcW w:w="0" w:type="dxa"/>
            <w:vAlign w:val="bottom"/>
          </w:tcPr>
          <w:p>
            <w:pPr>
              <w:spacing w:after="0"/>
              <w:rPr>
                <w:sz w:val="1"/>
                <w:szCs w:val="1"/>
                <w:color w:val="auto"/>
              </w:rPr>
            </w:pPr>
          </w:p>
        </w:tc>
      </w:tr>
      <w:tr>
        <w:trPr>
          <w:trHeight w:val="125"/>
        </w:trPr>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93"/>
              </w:rPr>
              <w:t>Adjustments:</w:t>
            </w:r>
          </w:p>
        </w:tc>
        <w:tc>
          <w:tcPr>
            <w:tcW w:w="5420" w:type="dxa"/>
            <w:vAlign w:val="bottom"/>
            <w:tcBorders>
              <w:bottom w:val="single" w:sz="8" w:color="CCEEFF"/>
            </w:tcBorders>
            <w:gridSpan w:val="4"/>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5980" w:type="dxa"/>
            <w:vAlign w:val="bottom"/>
            <w:gridSpan w:val="5"/>
          </w:tcPr>
          <w:p>
            <w:pPr>
              <w:ind w:left="140"/>
              <w:spacing w:after="0"/>
              <w:rPr>
                <w:sz w:val="20"/>
                <w:szCs w:val="20"/>
                <w:color w:val="auto"/>
              </w:rPr>
            </w:pPr>
            <w:r>
              <w:rPr>
                <w:rFonts w:ascii="Arial" w:cs="Arial" w:eastAsia="Arial" w:hAnsi="Arial"/>
                <w:sz w:val="10"/>
                <w:szCs w:val="10"/>
                <w:color w:val="auto"/>
              </w:rPr>
              <w:t>Total non-GAAP adjustments</w:t>
            </w:r>
          </w:p>
        </w:tc>
        <w:tc>
          <w:tcPr>
            <w:tcW w:w="300" w:type="dxa"/>
            <w:vAlign w:val="bottom"/>
          </w:tcPr>
          <w:p>
            <w:pPr>
              <w:spacing w:after="0"/>
              <w:rPr>
                <w:sz w:val="12"/>
                <w:szCs w:val="12"/>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0.13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0.08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0.39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0.39</w:t>
            </w:r>
          </w:p>
        </w:tc>
        <w:tc>
          <w:tcPr>
            <w:tcW w:w="0" w:type="dxa"/>
            <w:vAlign w:val="bottom"/>
          </w:tcPr>
          <w:p>
            <w:pPr>
              <w:spacing w:after="0"/>
              <w:rPr>
                <w:sz w:val="1"/>
                <w:szCs w:val="1"/>
                <w:color w:val="auto"/>
              </w:rPr>
            </w:pPr>
          </w:p>
        </w:tc>
      </w:tr>
      <w:tr>
        <w:trPr>
          <w:trHeight w:val="147"/>
        </w:trPr>
        <w:tc>
          <w:tcPr>
            <w:tcW w:w="598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Income tax adjustments</w:t>
            </w:r>
            <w:r>
              <w:rPr>
                <w:rFonts w:ascii="Arial" w:cs="Arial" w:eastAsia="Arial" w:hAnsi="Arial"/>
                <w:sz w:val="12"/>
                <w:szCs w:val="12"/>
                <w:color w:val="auto"/>
                <w:vertAlign w:val="superscript"/>
              </w:rPr>
              <w:t>(3)</w:t>
            </w: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0.03</w:t>
            </w:r>
          </w:p>
        </w:tc>
        <w:tc>
          <w:tcPr>
            <w:tcW w:w="10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0.08</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0.18</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0.12</w:t>
            </w:r>
          </w:p>
        </w:tc>
        <w:tc>
          <w:tcPr>
            <w:tcW w:w="0" w:type="dxa"/>
            <w:vAlign w:val="bottom"/>
          </w:tcPr>
          <w:p>
            <w:pPr>
              <w:spacing w:after="0"/>
              <w:rPr>
                <w:sz w:val="1"/>
                <w:szCs w:val="1"/>
                <w:color w:val="auto"/>
              </w:rPr>
            </w:pPr>
          </w:p>
        </w:tc>
      </w:tr>
      <w:tr>
        <w:trPr>
          <w:trHeight w:val="149"/>
        </w:trPr>
        <w:tc>
          <w:tcPr>
            <w:tcW w:w="5980" w:type="dxa"/>
            <w:vAlign w:val="bottom"/>
            <w:tcBorders>
              <w:bottom w:val="single" w:sz="8" w:color="CCEEFF"/>
            </w:tcBorders>
            <w:gridSpan w:val="5"/>
          </w:tcPr>
          <w:p>
            <w:pPr>
              <w:spacing w:after="0"/>
              <w:rPr>
                <w:sz w:val="20"/>
                <w:szCs w:val="20"/>
                <w:color w:val="auto"/>
              </w:rPr>
            </w:pPr>
            <w:r>
              <w:rPr>
                <w:rFonts w:ascii="Arial" w:cs="Arial" w:eastAsia="Arial" w:hAnsi="Arial"/>
                <w:sz w:val="10"/>
                <w:szCs w:val="10"/>
                <w:b w:val="1"/>
                <w:bCs w:val="1"/>
                <w:color w:val="auto"/>
              </w:rPr>
              <w:t>Adjusted Diluted EPS from Continuing Operations</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(0.11)</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(0.11)</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(0.32)</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(0.41)</w:t>
            </w:r>
          </w:p>
        </w:tc>
        <w:tc>
          <w:tcPr>
            <w:tcW w:w="0" w:type="dxa"/>
            <w:vAlign w:val="bottom"/>
          </w:tcPr>
          <w:p>
            <w:pPr>
              <w:spacing w:after="0"/>
              <w:rPr>
                <w:sz w:val="1"/>
                <w:szCs w:val="1"/>
                <w:color w:val="auto"/>
              </w:rPr>
            </w:pPr>
          </w:p>
        </w:tc>
      </w:tr>
      <w:tr>
        <w:trPr>
          <w:trHeight w:val="162"/>
        </w:trPr>
        <w:tc>
          <w:tcPr>
            <w:tcW w:w="5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980" w:type="dxa"/>
            <w:vAlign w:val="bottom"/>
            <w:gridSpan w:val="5"/>
          </w:tcPr>
          <w:p>
            <w:pPr>
              <w:spacing w:after="0"/>
              <w:rPr>
                <w:sz w:val="20"/>
                <w:szCs w:val="20"/>
                <w:color w:val="auto"/>
              </w:rPr>
            </w:pPr>
            <w:r>
              <w:rPr>
                <w:rFonts w:ascii="Arial" w:cs="Arial" w:eastAsia="Arial" w:hAnsi="Arial"/>
                <w:sz w:val="10"/>
                <w:szCs w:val="10"/>
                <w:b w:val="1"/>
                <w:bCs w:val="1"/>
                <w:color w:val="auto"/>
              </w:rPr>
              <w:t>ADJUSTED EFFECTIVE TAX RATE FROM CONTINUING OPERATIONS</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0"/>
                <w:szCs w:val="10"/>
                <w:b w:val="1"/>
                <w:bCs w:val="1"/>
                <w:color w:val="auto"/>
              </w:rPr>
              <w:t>Effective tax rate</w:t>
            </w:r>
          </w:p>
        </w:tc>
        <w:tc>
          <w:tcPr>
            <w:tcW w:w="282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1.8 %</w:t>
            </w:r>
          </w:p>
        </w:tc>
        <w:tc>
          <w:tcPr>
            <w:tcW w:w="0" w:type="dxa"/>
            <w:vAlign w:val="bottom"/>
          </w:tcPr>
          <w:p>
            <w:pPr>
              <w:spacing w:after="0"/>
              <w:rPr>
                <w:sz w:val="1"/>
                <w:szCs w:val="1"/>
                <w:color w:val="auto"/>
              </w:rPr>
            </w:pPr>
          </w:p>
        </w:tc>
      </w:tr>
      <w:tr>
        <w:trPr>
          <w:trHeight w:val="117"/>
        </w:trPr>
        <w:tc>
          <w:tcPr>
            <w:tcW w:w="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3"/>
              </w:rPr>
              <w:t>Adjustments:</w:t>
            </w:r>
          </w:p>
        </w:tc>
        <w:tc>
          <w:tcPr>
            <w:tcW w:w="5420" w:type="dxa"/>
            <w:vAlign w:val="bottom"/>
            <w:gridSpan w:val="4"/>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p>
      <w:pPr>
        <w:spacing w:after="0" w:line="3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non-GAAP adjustments</w:t>
      </w:r>
    </w:p>
    <w:p>
      <w:pPr>
        <w:spacing w:after="0" w:line="5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Adjusted Effective Tax Rate from Continuing Operations</w:t>
      </w:r>
      <w:r>
        <w:rPr>
          <w:rFonts w:ascii="Arial" w:cs="Arial" w:eastAsia="Arial" w:hAnsi="Arial"/>
          <w:sz w:val="12"/>
          <w:szCs w:val="12"/>
          <w:b w:val="1"/>
          <w:bCs w:val="1"/>
          <w:color w:val="auto"/>
          <w:vertAlign w:val="superscript"/>
        </w:rPr>
        <w:t>(3)</w:t>
      </w:r>
    </w:p>
    <w:p>
      <w:pPr>
        <w:spacing w:after="0" w:line="188" w:lineRule="exact"/>
        <w:rPr>
          <w:sz w:val="20"/>
          <w:szCs w:val="20"/>
          <w:color w:val="auto"/>
        </w:rPr>
      </w:pPr>
    </w:p>
    <w:p>
      <w:pPr>
        <w:ind w:right="1980"/>
        <w:spacing w:after="0" w:line="378" w:lineRule="auto"/>
        <w:rPr>
          <w:sz w:val="20"/>
          <w:szCs w:val="20"/>
          <w:color w:val="auto"/>
        </w:rPr>
      </w:pPr>
      <w:r>
        <w:rPr>
          <w:rFonts w:ascii="Arial" w:cs="Arial" w:eastAsia="Arial" w:hAnsi="Arial"/>
          <w:sz w:val="8"/>
          <w:szCs w:val="8"/>
          <w:b w:val="1"/>
          <w:bCs w:val="1"/>
          <w:u w:val="single" w:color="auto"/>
          <w:color w:val="auto"/>
        </w:rPr>
        <w:t xml:space="preserve">ADJUSTED OPERATING MARGIN FROM CONTINUING OPERATIONS </w:t>
      </w:r>
      <w:r>
        <w:rPr>
          <w:rFonts w:ascii="Arial" w:cs="Arial" w:eastAsia="Arial" w:hAnsi="Arial"/>
          <w:sz w:val="8"/>
          <w:szCs w:val="8"/>
          <w:b w:val="1"/>
          <w:bCs w:val="1"/>
          <w:color w:val="auto"/>
        </w:rPr>
        <w:t>Income (Loss) Before Income Taxes from Continuing Operations Margin</w:t>
      </w:r>
    </w:p>
    <w:p>
      <w:pPr>
        <w:spacing w:after="0"/>
        <w:rPr>
          <w:sz w:val="20"/>
          <w:szCs w:val="20"/>
          <w:color w:val="auto"/>
        </w:rPr>
      </w:pPr>
      <w:r>
        <w:rPr>
          <w:rFonts w:ascii="Arial" w:cs="Arial" w:eastAsia="Arial" w:hAnsi="Arial"/>
          <w:sz w:val="10"/>
          <w:szCs w:val="10"/>
          <w:u w:val="single" w:color="auto"/>
          <w:color w:val="auto"/>
        </w:rPr>
        <w:t>Adjustments: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11.7 %</w:t>
            </w:r>
          </w:p>
        </w:tc>
        <w:tc>
          <w:tcPr>
            <w:tcW w:w="100" w:type="dxa"/>
            <w:vAlign w:val="bottom"/>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43.7 %</w:t>
            </w:r>
          </w:p>
        </w:tc>
        <w:tc>
          <w:tcPr>
            <w:tcW w:w="80" w:type="dxa"/>
            <w:vAlign w:val="bottom"/>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34.8 %</w:t>
            </w:r>
          </w:p>
        </w:tc>
        <w:tc>
          <w:tcPr>
            <w:tcW w:w="100" w:type="dxa"/>
            <w:vAlign w:val="bottom"/>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25.0 %</w:t>
            </w:r>
          </w:p>
        </w:tc>
      </w:tr>
      <w:tr>
        <w:trPr>
          <w:trHeight w:val="133"/>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w:t>
            </w:r>
          </w:p>
        </w:tc>
        <w:tc>
          <w:tcPr>
            <w:tcW w:w="100" w:type="dxa"/>
            <w:vAlign w:val="bottom"/>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31.7 %</w:t>
            </w:r>
          </w:p>
        </w:tc>
        <w:tc>
          <w:tcPr>
            <w:tcW w:w="80" w:type="dxa"/>
            <w:vAlign w:val="bottom"/>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17.1 %</w:t>
            </w:r>
          </w:p>
        </w:tc>
        <w:tc>
          <w:tcPr>
            <w:tcW w:w="100" w:type="dxa"/>
            <w:vAlign w:val="bottom"/>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26.8 %</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23"/>
        </w:trPr>
        <w:tc>
          <w:tcPr>
            <w:tcW w:w="1260" w:type="dxa"/>
            <w:vAlign w:val="bottom"/>
          </w:tcPr>
          <w:p>
            <w:pPr>
              <w:jc w:val="right"/>
              <w:spacing w:after="0"/>
              <w:rPr>
                <w:sz w:val="20"/>
                <w:szCs w:val="20"/>
                <w:color w:val="auto"/>
              </w:rPr>
            </w:pPr>
            <w:r>
              <w:rPr>
                <w:rFonts w:ascii="Arial" w:cs="Arial" w:eastAsia="Arial" w:hAnsi="Arial"/>
                <w:sz w:val="10"/>
                <w:szCs w:val="10"/>
                <w:color w:val="auto"/>
              </w:rPr>
              <w:t>(6.6)%</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(6.3)%</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(6.7)%</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-292735</wp:posOffset>
            </wp:positionV>
            <wp:extent cx="717804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-86995</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95250</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5260" w:space="720"/>
            <w:col w:w="5320"/>
          </w:cols>
          <w:pgMar w:left="300" w:top="128" w:right="299" w:bottom="1440" w:gutter="0" w:footer="0" w:header="0"/>
          <w:type w:val="continuous"/>
        </w:sectPr>
      </w:pPr>
    </w:p>
    <w:p>
      <w:pPr>
        <w:ind w:left="140"/>
        <w:spacing w:after="0"/>
        <w:rPr>
          <w:sz w:val="20"/>
          <w:szCs w:val="20"/>
          <w:color w:val="auto"/>
        </w:rPr>
      </w:pPr>
      <w:r>
        <w:rPr>
          <w:rFonts w:ascii="Arial" w:cs="Arial" w:eastAsia="Arial" w:hAnsi="Arial"/>
          <w:sz w:val="10"/>
          <w:szCs w:val="10"/>
          <w:color w:val="auto"/>
        </w:rPr>
        <w:t>Total non-GAAP adjustments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0"/>
          <w:szCs w:val="10"/>
          <w:color w:val="auto"/>
        </w:rPr>
        <w:t>Interest expense</w:t>
      </w:r>
    </w:p>
    <w:p>
      <w:pPr>
        <w:spacing w:after="0" w:line="54"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Margin for Adjusted Operating Income from Continuing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ADJUSTED EBITDA MARGIN FROM CONTINUING OPERATIONS</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EBITDA Margin from Continuing Operations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non-GAAP adjustments</w:t>
      </w:r>
    </w:p>
    <w:p>
      <w:pPr>
        <w:spacing w:after="0" w:line="5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Adjusted EBITDA from Continuing Operations Margin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1260" w:type="dxa"/>
            <w:vAlign w:val="bottom"/>
            <w:gridSpan w:val="2"/>
          </w:tcPr>
          <w:p>
            <w:pPr>
              <w:jc w:val="right"/>
              <w:spacing w:after="0"/>
              <w:rPr>
                <w:sz w:val="20"/>
                <w:szCs w:val="20"/>
                <w:color w:val="auto"/>
              </w:rPr>
            </w:pPr>
            <w:r>
              <w:rPr>
                <w:rFonts w:ascii="Arial" w:cs="Arial" w:eastAsia="Arial" w:hAnsi="Arial"/>
                <w:sz w:val="10"/>
                <w:szCs w:val="10"/>
                <w:color w:val="auto"/>
              </w:rPr>
              <w:t>4.0 %</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2.6 %</w:t>
            </w:r>
          </w:p>
        </w:tc>
        <w:tc>
          <w:tcPr>
            <w:tcW w:w="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3.7 %</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3.4 %</w:t>
            </w:r>
          </w:p>
        </w:tc>
      </w:tr>
      <w:tr>
        <w:trPr>
          <w:trHeight w:val="147"/>
        </w:trPr>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2.8 %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2.0 %</w:t>
            </w: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2.4 %</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2.0 %</w:t>
            </w:r>
          </w:p>
        </w:tc>
      </w:tr>
      <w:tr>
        <w:trPr>
          <w:trHeight w:val="133"/>
        </w:trPr>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0.2 %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w:t>
            </w:r>
          </w:p>
        </w:tc>
        <w:tc>
          <w:tcPr>
            <w:tcW w:w="100" w:type="dxa"/>
            <w:vAlign w:val="bottom"/>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42"/>
        </w:trPr>
        <w:tc>
          <w:tcPr>
            <w:tcW w:w="1260" w:type="dxa"/>
            <w:vAlign w:val="bottom"/>
            <w:gridSpan w:val="2"/>
          </w:tcPr>
          <w:p>
            <w:pPr>
              <w:jc w:val="right"/>
              <w:spacing w:after="0"/>
              <w:rPr>
                <w:sz w:val="20"/>
                <w:szCs w:val="20"/>
                <w:color w:val="auto"/>
              </w:rPr>
            </w:pPr>
            <w:r>
              <w:rPr>
                <w:rFonts w:ascii="Arial" w:cs="Arial" w:eastAsia="Arial" w:hAnsi="Arial"/>
                <w:sz w:val="10"/>
                <w:szCs w:val="10"/>
                <w:color w:val="auto"/>
              </w:rPr>
              <w:t>3.0 %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2.6 %</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2.6 %</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0.9 %</w:t>
            </w:r>
          </w:p>
        </w:tc>
      </w:tr>
      <w:tr>
        <w:trPr>
          <w:trHeight w:val="147"/>
        </w:trPr>
        <w:tc>
          <w:tcPr>
            <w:tcW w:w="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3.7 %</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2.5 %</w:t>
            </w: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3.6 %</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3.4 %</w:t>
            </w:r>
          </w:p>
        </w:tc>
      </w:tr>
      <w:tr>
        <w:trPr>
          <w:trHeight w:val="133"/>
        </w:trPr>
        <w:tc>
          <w:tcPr>
            <w:tcW w:w="1260" w:type="dxa"/>
            <w:vAlign w:val="bottom"/>
            <w:gridSpan w:val="2"/>
          </w:tcPr>
          <w:p>
            <w:pPr>
              <w:jc w:val="right"/>
              <w:spacing w:after="0"/>
              <w:rPr>
                <w:sz w:val="20"/>
                <w:szCs w:val="20"/>
                <w:color w:val="auto"/>
              </w:rPr>
            </w:pPr>
            <w:r>
              <w:rPr>
                <w:rFonts w:ascii="Arial" w:cs="Arial" w:eastAsia="Arial" w:hAnsi="Arial"/>
                <w:sz w:val="10"/>
                <w:szCs w:val="10"/>
                <w:color w:val="auto"/>
              </w:rPr>
              <w:t>6.7 %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5.1 %</w:t>
            </w:r>
          </w:p>
        </w:tc>
        <w:tc>
          <w:tcPr>
            <w:tcW w:w="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6.2 %</w:t>
            </w:r>
          </w:p>
        </w:tc>
        <w:tc>
          <w:tcPr>
            <w:tcW w:w="10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4.3 %</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-565150</wp:posOffset>
            </wp:positionV>
            <wp:extent cx="7178040" cy="108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-302260</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-119380</wp:posOffset>
            </wp:positionV>
            <wp:extent cx="7178040" cy="108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320"/>
          </w:cols>
          <w:pgMar w:left="300" w:top="128" w:right="299" w:bottom="1440" w:gutter="0" w:footer="0" w:header="0"/>
          <w:type w:val="continuous"/>
        </w:sectPr>
      </w:pPr>
    </w:p>
    <w:p>
      <w:pPr>
        <w:spacing w:after="0" w:line="210" w:lineRule="exact"/>
        <w:rPr>
          <w:sz w:val="20"/>
          <w:szCs w:val="20"/>
          <w:color w:val="auto"/>
        </w:rPr>
      </w:pPr>
    </w:p>
    <w:p>
      <w:pPr>
        <w:ind w:left="1116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128" w:right="299" w:bottom="1440" w:gutter="0" w:footer="0" w:header="0"/>
          <w:type w:val="continuous"/>
        </w:sectPr>
      </w:pPr>
    </w:p>
    <w:bookmarkStart w:id="23" w:name="page24"/>
    <w:bookmarkEnd w:id="23"/>
    <w:tbl>
      <w:tblPr>
        <w:tblLayout w:type="fixed"/>
        <w:tblInd w:w="8" w:type="dxa"/>
        <w:tblCellMar>
          <w:top w:w="0" w:type="dxa"/>
          <w:left w:w="0" w:type="dxa"/>
          <w:bottom w:w="0" w:type="dxa"/>
          <w:right w:w="0" w:type="dxa"/>
        </w:tblCellMar>
      </w:tblPr>
      <w:tr>
        <w:trPr>
          <w:trHeight w:val="164"/>
        </w:trPr>
        <w:tc>
          <w:tcPr>
            <w:tcW w:w="4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EXHIBIT 99.1</w:t>
            </w:r>
          </w:p>
        </w:tc>
      </w:tr>
      <w:tr>
        <w:trPr>
          <w:trHeight w:val="675"/>
        </w:trPr>
        <w:tc>
          <w:tcPr>
            <w:tcW w:w="6200" w:type="dxa"/>
            <w:vAlign w:val="bottom"/>
            <w:gridSpan w:val="2"/>
          </w:tcPr>
          <w:p>
            <w:pPr>
              <w:spacing w:after="0"/>
              <w:rPr>
                <w:sz w:val="20"/>
                <w:szCs w:val="20"/>
                <w:color w:val="auto"/>
              </w:rPr>
            </w:pPr>
            <w:r>
              <w:rPr>
                <w:rFonts w:ascii="Arial" w:cs="Arial" w:eastAsia="Arial" w:hAnsi="Arial"/>
                <w:sz w:val="12"/>
                <w:szCs w:val="12"/>
                <w:b w:val="1"/>
                <w:bCs w:val="1"/>
                <w:color w:val="auto"/>
              </w:rPr>
              <w:t>Free Cash Flow and Adjusted Free Cash Flow Reconciliation:</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2"/>
        </w:trPr>
        <w:tc>
          <w:tcPr>
            <w:tcW w:w="4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3"/>
          </w:tcPr>
          <w:p>
            <w:pPr>
              <w:jc w:val="right"/>
              <w:ind w:right="12"/>
              <w:spacing w:after="0"/>
              <w:rPr>
                <w:sz w:val="20"/>
                <w:szCs w:val="20"/>
                <w:color w:val="auto"/>
              </w:rPr>
            </w:pPr>
            <w:r>
              <w:rPr>
                <w:rFonts w:ascii="Arial" w:cs="Arial" w:eastAsia="Arial" w:hAnsi="Arial"/>
                <w:sz w:val="10"/>
                <w:szCs w:val="10"/>
                <w:color w:val="auto"/>
              </w:rPr>
              <w:t>Three Months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3"/>
          </w:tcPr>
          <w:p>
            <w:pPr>
              <w:jc w:val="right"/>
              <w:spacing w:after="0"/>
              <w:rPr>
                <w:sz w:val="20"/>
                <w:szCs w:val="20"/>
                <w:color w:val="auto"/>
              </w:rPr>
            </w:pPr>
            <w:r>
              <w:rPr>
                <w:rFonts w:ascii="Arial" w:cs="Arial" w:eastAsia="Arial" w:hAnsi="Arial"/>
                <w:sz w:val="10"/>
                <w:szCs w:val="10"/>
                <w:color w:val="auto"/>
              </w:rPr>
              <w:t>Nine Months Ended</w:t>
            </w:r>
          </w:p>
        </w:tc>
        <w:tc>
          <w:tcPr>
            <w:tcW w:w="800" w:type="dxa"/>
            <w:vAlign w:val="bottom"/>
          </w:tcPr>
          <w:p>
            <w:pPr>
              <w:spacing w:after="0"/>
              <w:rPr>
                <w:sz w:val="10"/>
                <w:szCs w:val="10"/>
                <w:color w:val="auto"/>
              </w:rPr>
            </w:pPr>
          </w:p>
        </w:tc>
      </w:tr>
      <w:tr>
        <w:trPr>
          <w:trHeight w:val="122"/>
        </w:trPr>
        <w:tc>
          <w:tcPr>
            <w:tcW w:w="420" w:type="dxa"/>
            <w:vAlign w:val="bottom"/>
            <w:tcBorders>
              <w:bottom w:val="single" w:sz="8" w:color="CCEEFF"/>
            </w:tcBorders>
          </w:tcPr>
          <w:p>
            <w:pPr>
              <w:spacing w:after="0"/>
              <w:rPr>
                <w:sz w:val="10"/>
                <w:szCs w:val="10"/>
                <w:color w:val="auto"/>
              </w:rPr>
            </w:pPr>
          </w:p>
        </w:tc>
        <w:tc>
          <w:tcPr>
            <w:tcW w:w="57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0"/>
                <w:szCs w:val="10"/>
                <w:color w:val="auto"/>
              </w:rPr>
              <w:t>September 30,</w:t>
            </w: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color w:val="auto"/>
              </w:rPr>
              <w:t>September 30,</w:t>
            </w:r>
          </w:p>
        </w:tc>
        <w:tc>
          <w:tcPr>
            <w:tcW w:w="800" w:type="dxa"/>
            <w:vAlign w:val="bottom"/>
            <w:tcBorders>
              <w:bottom w:val="single" w:sz="8" w:color="auto"/>
            </w:tcBorders>
          </w:tcPr>
          <w:p>
            <w:pPr>
              <w:spacing w:after="0"/>
              <w:rPr>
                <w:sz w:val="10"/>
                <w:szCs w:val="10"/>
                <w:color w:val="auto"/>
              </w:rPr>
            </w:pPr>
          </w:p>
        </w:tc>
      </w:tr>
      <w:tr>
        <w:trPr>
          <w:trHeight w:val="106"/>
        </w:trPr>
        <w:tc>
          <w:tcPr>
            <w:tcW w:w="62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(in millions)</w:t>
            </w: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432"/>
              <w:spacing w:after="0" w:line="106" w:lineRule="exact"/>
              <w:rPr>
                <w:sz w:val="20"/>
                <w:szCs w:val="20"/>
                <w:color w:val="auto"/>
              </w:rPr>
            </w:pPr>
            <w:r>
              <w:rPr>
                <w:rFonts w:ascii="Arial" w:cs="Arial" w:eastAsia="Arial" w:hAnsi="Arial"/>
                <w:sz w:val="10"/>
                <w:szCs w:val="10"/>
                <w:color w:val="auto"/>
              </w:rPr>
              <w:t>2026</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452"/>
              <w:spacing w:after="0" w:line="106" w:lineRule="exact"/>
              <w:rPr>
                <w:sz w:val="20"/>
                <w:szCs w:val="20"/>
                <w:color w:val="auto"/>
              </w:rPr>
            </w:pPr>
            <w:r>
              <w:rPr>
                <w:rFonts w:ascii="Arial" w:cs="Arial" w:eastAsia="Arial" w:hAnsi="Arial"/>
                <w:sz w:val="10"/>
                <w:szCs w:val="10"/>
                <w:color w:val="auto"/>
              </w:rPr>
              <w:t>2025</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452"/>
              <w:spacing w:after="0" w:line="106" w:lineRule="exact"/>
              <w:rPr>
                <w:sz w:val="20"/>
                <w:szCs w:val="20"/>
                <w:color w:val="auto"/>
              </w:rPr>
            </w:pPr>
            <w:r>
              <w:rPr>
                <w:rFonts w:ascii="Arial" w:cs="Arial" w:eastAsia="Arial" w:hAnsi="Arial"/>
                <w:sz w:val="10"/>
                <w:szCs w:val="10"/>
                <w:color w:val="auto"/>
              </w:rPr>
              <w:t>2026</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451"/>
              <w:spacing w:after="0" w:line="106" w:lineRule="exact"/>
              <w:rPr>
                <w:sz w:val="20"/>
                <w:szCs w:val="20"/>
                <w:color w:val="auto"/>
              </w:rPr>
            </w:pPr>
            <w:r>
              <w:rPr>
                <w:rFonts w:ascii="Arial" w:cs="Arial" w:eastAsia="Arial" w:hAnsi="Arial"/>
                <w:sz w:val="10"/>
                <w:szCs w:val="10"/>
                <w:color w:val="auto"/>
              </w:rPr>
              <w:t>2025</w:t>
            </w:r>
          </w:p>
        </w:tc>
      </w:tr>
      <w:tr>
        <w:trPr>
          <w:trHeight w:val="20"/>
        </w:trPr>
        <w:tc>
          <w:tcPr>
            <w:tcW w:w="420" w:type="dxa"/>
            <w:vAlign w:val="bottom"/>
            <w:tcBorders>
              <w:top w:val="single" w:sz="8" w:color="auto"/>
            </w:tcBorders>
            <w:shd w:val="clear" w:color="auto" w:fill="CCEEFF"/>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119"/>
        </w:trPr>
        <w:tc>
          <w:tcPr>
            <w:tcW w:w="6200" w:type="dxa"/>
            <w:vAlign w:val="bottom"/>
            <w:gridSpan w:val="2"/>
          </w:tcPr>
          <w:p>
            <w:pPr>
              <w:spacing w:after="0"/>
              <w:rPr>
                <w:sz w:val="20"/>
                <w:szCs w:val="20"/>
                <w:color w:val="auto"/>
              </w:rPr>
            </w:pPr>
            <w:r>
              <w:rPr>
                <w:rFonts w:ascii="Arial" w:cs="Arial" w:eastAsia="Arial" w:hAnsi="Arial"/>
                <w:sz w:val="10"/>
                <w:szCs w:val="10"/>
                <w:b w:val="1"/>
                <w:bCs w:val="1"/>
                <w:color w:val="auto"/>
              </w:rPr>
              <w:t>Operating Cash Flow</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(107)</w:t>
            </w:r>
          </w:p>
        </w:tc>
        <w:tc>
          <w:tcPr>
            <w:tcW w:w="100" w:type="dxa"/>
            <w:vAlign w:val="bottom"/>
          </w:tcPr>
          <w:p>
            <w:pPr>
              <w:spacing w:after="0"/>
              <w:rPr>
                <w:sz w:val="10"/>
                <w:szCs w:val="10"/>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(39)</w:t>
            </w:r>
          </w:p>
        </w:tc>
        <w:tc>
          <w:tcPr>
            <w:tcW w:w="100" w:type="dxa"/>
            <w:vAlign w:val="bottom"/>
          </w:tcPr>
          <w:p>
            <w:pPr>
              <w:spacing w:after="0"/>
              <w:rPr>
                <w:sz w:val="10"/>
                <w:szCs w:val="10"/>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(108)</w:t>
            </w:r>
          </w:p>
        </w:tc>
        <w:tc>
          <w:tcPr>
            <w:tcW w:w="80" w:type="dxa"/>
            <w:vAlign w:val="bottom"/>
          </w:tcPr>
          <w:p>
            <w:pPr>
              <w:spacing w:after="0"/>
              <w:rPr>
                <w:sz w:val="10"/>
                <w:szCs w:val="10"/>
                <w:color w:val="auto"/>
              </w:rPr>
            </w:pPr>
          </w:p>
        </w:tc>
        <w:tc>
          <w:tcPr>
            <w:tcW w:w="42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(112)</w:t>
            </w:r>
          </w:p>
        </w:tc>
      </w:tr>
      <w:tr>
        <w:trPr>
          <w:trHeight w:val="145"/>
        </w:trPr>
        <w:tc>
          <w:tcPr>
            <w:tcW w:w="6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Cost of additions to land, buildings and equipment</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r>
      <w:tr>
        <w:trPr>
          <w:trHeight w:val="141"/>
        </w:trPr>
        <w:tc>
          <w:tcPr>
            <w:tcW w:w="6200" w:type="dxa"/>
            <w:vAlign w:val="bottom"/>
            <w:gridSpan w:val="2"/>
          </w:tcPr>
          <w:p>
            <w:pPr>
              <w:ind w:left="80"/>
              <w:spacing w:after="0"/>
              <w:rPr>
                <w:sz w:val="20"/>
                <w:szCs w:val="20"/>
                <w:color w:val="auto"/>
              </w:rPr>
            </w:pPr>
            <w:r>
              <w:rPr>
                <w:rFonts w:ascii="Arial" w:cs="Arial" w:eastAsia="Arial" w:hAnsi="Arial"/>
                <w:sz w:val="10"/>
                <w:szCs w:val="10"/>
                <w:color w:val="auto"/>
              </w:rPr>
              <w:t>Proceeds from sales of land, buildings and equipment</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Cost of additions to internal use software</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w:t>
            </w:r>
          </w:p>
        </w:tc>
      </w:tr>
      <w:tr>
        <w:trPr>
          <w:trHeight w:val="152"/>
        </w:trPr>
        <w:tc>
          <w:tcPr>
            <w:tcW w:w="62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color w:val="auto"/>
              </w:rPr>
              <w:t>Free Cash Flow</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(171)</w:t>
            </w:r>
          </w:p>
        </w:tc>
      </w:tr>
      <w:tr>
        <w:trPr>
          <w:trHeight w:val="144"/>
        </w:trPr>
        <w:tc>
          <w:tcPr>
            <w:tcW w:w="6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Free Cash Flow</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w:t>
            </w:r>
          </w:p>
        </w:tc>
      </w:tr>
      <w:tr>
        <w:trPr>
          <w:trHeight w:val="141"/>
        </w:trPr>
        <w:tc>
          <w:tcPr>
            <w:tcW w:w="6200" w:type="dxa"/>
            <w:vAlign w:val="bottom"/>
            <w:gridSpan w:val="2"/>
          </w:tcPr>
          <w:p>
            <w:pPr>
              <w:ind w:left="80"/>
              <w:spacing w:after="0"/>
              <w:rPr>
                <w:sz w:val="20"/>
                <w:szCs w:val="20"/>
                <w:color w:val="auto"/>
              </w:rPr>
            </w:pPr>
            <w:r>
              <w:rPr>
                <w:rFonts w:ascii="Arial" w:cs="Arial" w:eastAsia="Arial" w:hAnsi="Arial"/>
                <w:sz w:val="10"/>
                <w:szCs w:val="10"/>
                <w:color w:val="auto"/>
              </w:rPr>
              <w:t>Transaction costs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w:t>
            </w:r>
          </w:p>
        </w:tc>
      </w:tr>
      <w:tr>
        <w:trPr>
          <w:trHeight w:val="147"/>
        </w:trPr>
        <w:tc>
          <w:tcPr>
            <w:tcW w:w="6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Direct response costs - cyber event payments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r>
      <w:tr>
        <w:trPr>
          <w:trHeight w:val="141"/>
        </w:trPr>
        <w:tc>
          <w:tcPr>
            <w:tcW w:w="6200" w:type="dxa"/>
            <w:vAlign w:val="bottom"/>
            <w:gridSpan w:val="2"/>
          </w:tcPr>
          <w:p>
            <w:pPr>
              <w:ind w:left="80"/>
              <w:spacing w:after="0"/>
              <w:rPr>
                <w:sz w:val="20"/>
                <w:szCs w:val="20"/>
                <w:color w:val="auto"/>
              </w:rPr>
            </w:pPr>
            <w:r>
              <w:rPr>
                <w:rFonts w:ascii="Arial" w:cs="Arial" w:eastAsia="Arial" w:hAnsi="Arial"/>
                <w:sz w:val="10"/>
                <w:szCs w:val="10"/>
                <w:color w:val="auto"/>
              </w:rPr>
              <w:t>Vendor finance lease payments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w:t>
            </w:r>
          </w:p>
        </w:tc>
      </w:tr>
      <w:tr>
        <w:trPr>
          <w:trHeight w:val="144"/>
        </w:trPr>
        <w:tc>
          <w:tcPr>
            <w:tcW w:w="6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Proceeds from failed sale-leaseback transactions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r>
      <w:tr>
        <w:trPr>
          <w:trHeight w:val="136"/>
        </w:trPr>
        <w:tc>
          <w:tcPr>
            <w:tcW w:w="6200" w:type="dxa"/>
            <w:vAlign w:val="bottom"/>
            <w:gridSpan w:val="2"/>
          </w:tcPr>
          <w:p>
            <w:pPr>
              <w:spacing w:after="0"/>
              <w:rPr>
                <w:sz w:val="20"/>
                <w:szCs w:val="20"/>
                <w:color w:val="auto"/>
              </w:rPr>
            </w:pPr>
            <w:r>
              <w:rPr>
                <w:rFonts w:ascii="Arial" w:cs="Arial" w:eastAsia="Arial" w:hAnsi="Arial"/>
                <w:sz w:val="10"/>
                <w:szCs w:val="10"/>
                <w:b w:val="1"/>
                <w:bCs w:val="1"/>
                <w:color w:val="auto"/>
              </w:rPr>
              <w:t>Adjusted Free Cash Flow</w:t>
            </w: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(117)</w:t>
            </w:r>
          </w:p>
        </w:tc>
        <w:tc>
          <w:tcPr>
            <w:tcW w:w="1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(54)</w:t>
            </w:r>
          </w:p>
        </w:tc>
        <w:tc>
          <w:tcPr>
            <w:tcW w:w="10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(140)</w:t>
            </w:r>
          </w:p>
        </w:tc>
        <w:tc>
          <w:tcPr>
            <w:tcW w:w="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(158)</w:t>
            </w:r>
          </w:p>
        </w:tc>
      </w:tr>
      <w:tr>
        <w:trPr>
          <w:trHeight w:val="20"/>
        </w:trPr>
        <w:tc>
          <w:tcPr>
            <w:tcW w:w="4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8"/>
        <w:spacing w:after="0"/>
        <w:rPr>
          <w:sz w:val="20"/>
          <w:szCs w:val="20"/>
          <w:color w:val="auto"/>
        </w:rPr>
      </w:pPr>
      <w:r>
        <w:rPr>
          <w:rFonts w:ascii="Arial" w:cs="Arial" w:eastAsia="Arial" w:hAnsi="Arial"/>
          <w:sz w:val="8"/>
          <w:szCs w:val="8"/>
          <w:color w:val="auto"/>
        </w:rPr>
        <w:t>__________</w:t>
      </w:r>
    </w:p>
    <w:p>
      <w:pPr>
        <w:spacing w:after="0" w:line="45"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8"/>
          <w:szCs w:val="8"/>
          <w:i w:val="1"/>
          <w:iCs w:val="1"/>
          <w:color w:val="auto"/>
        </w:rPr>
      </w:pPr>
      <w:r>
        <w:rPr>
          <w:rFonts w:ascii="Arial" w:cs="Arial" w:eastAsia="Arial" w:hAnsi="Arial"/>
          <w:sz w:val="8"/>
          <w:szCs w:val="8"/>
          <w:i w:val="1"/>
          <w:iCs w:val="1"/>
          <w:color w:val="auto"/>
        </w:rPr>
        <w:t>Reserved for future use.</w:t>
      </w:r>
    </w:p>
    <w:p>
      <w:pPr>
        <w:spacing w:after="0" w:line="43" w:lineRule="exact"/>
        <w:rPr>
          <w:rFonts w:ascii="Arial" w:cs="Arial" w:eastAsia="Arial" w:hAnsi="Arial"/>
          <w:sz w:val="8"/>
          <w:szCs w:val="8"/>
          <w:i w:val="1"/>
          <w:iCs w:val="1"/>
          <w:color w:val="auto"/>
        </w:rPr>
      </w:pPr>
    </w:p>
    <w:p>
      <w:pPr>
        <w:ind w:left="208" w:hanging="208"/>
        <w:spacing w:after="0"/>
        <w:tabs>
          <w:tab w:leader="none" w:pos="208" w:val="left"/>
        </w:tabs>
        <w:numPr>
          <w:ilvl w:val="0"/>
          <w:numId w:val="11"/>
        </w:numPr>
        <w:rPr>
          <w:rFonts w:ascii="Arial" w:cs="Arial" w:eastAsia="Arial" w:hAnsi="Arial"/>
          <w:sz w:val="8"/>
          <w:szCs w:val="8"/>
          <w:i w:val="1"/>
          <w:iCs w:val="1"/>
          <w:color w:val="auto"/>
        </w:rPr>
      </w:pPr>
      <w:r>
        <w:rPr>
          <w:rFonts w:ascii="Arial" w:cs="Arial" w:eastAsia="Arial" w:hAnsi="Arial"/>
          <w:sz w:val="8"/>
          <w:szCs w:val="8"/>
          <w:i w:val="1"/>
          <w:iCs w:val="1"/>
          <w:color w:val="auto"/>
        </w:rPr>
        <w:t>Included in Depreciation and amortization on the Consolidated Statements of Income (Loss).</w:t>
      </w:r>
    </w:p>
    <w:p>
      <w:pPr>
        <w:spacing w:after="0" w:line="43" w:lineRule="exact"/>
        <w:rPr>
          <w:rFonts w:ascii="Arial" w:cs="Arial" w:eastAsia="Arial" w:hAnsi="Arial"/>
          <w:sz w:val="8"/>
          <w:szCs w:val="8"/>
          <w:i w:val="1"/>
          <w:iCs w:val="1"/>
          <w:color w:val="auto"/>
        </w:rPr>
      </w:pPr>
    </w:p>
    <w:p>
      <w:pPr>
        <w:ind w:left="208" w:hanging="208"/>
        <w:spacing w:after="0"/>
        <w:tabs>
          <w:tab w:leader="none" w:pos="208" w:val="left"/>
        </w:tabs>
        <w:numPr>
          <w:ilvl w:val="0"/>
          <w:numId w:val="11"/>
        </w:numPr>
        <w:rPr>
          <w:rFonts w:ascii="Arial" w:cs="Arial" w:eastAsia="Arial" w:hAnsi="Arial"/>
          <w:sz w:val="8"/>
          <w:szCs w:val="8"/>
          <w:i w:val="1"/>
          <w:iCs w:val="1"/>
          <w:color w:val="auto"/>
        </w:rPr>
      </w:pPr>
      <w:r>
        <w:rPr>
          <w:rFonts w:ascii="Arial" w:cs="Arial" w:eastAsia="Arial" w:hAnsi="Arial"/>
          <w:sz w:val="8"/>
          <w:szCs w:val="8"/>
          <w:i w:val="1"/>
          <w:iCs w:val="1"/>
          <w:color w:val="auto"/>
        </w:rPr>
        <w:t>The tax impact of Adjusted Pre-tax income (loss) was calculated under the same accounting principles applied to the 'As Reported' pre-tax income (loss), which employs an annual effective tax rate method to the results and without regard to the Total Non-GAAP adjustments.</w:t>
      </w:r>
    </w:p>
    <w:p>
      <w:pPr>
        <w:spacing w:after="0" w:line="43" w:lineRule="exact"/>
        <w:rPr>
          <w:rFonts w:ascii="Arial" w:cs="Arial" w:eastAsia="Arial" w:hAnsi="Arial"/>
          <w:sz w:val="8"/>
          <w:szCs w:val="8"/>
          <w:i w:val="1"/>
          <w:iCs w:val="1"/>
          <w:color w:val="auto"/>
        </w:rPr>
      </w:pPr>
    </w:p>
    <w:p>
      <w:pPr>
        <w:ind w:left="208" w:hanging="208"/>
        <w:spacing w:after="0"/>
        <w:tabs>
          <w:tab w:leader="none" w:pos="208" w:val="left"/>
        </w:tabs>
        <w:numPr>
          <w:ilvl w:val="0"/>
          <w:numId w:val="11"/>
        </w:numPr>
        <w:rPr>
          <w:rFonts w:ascii="Arial" w:cs="Arial" w:eastAsia="Arial" w:hAnsi="Arial"/>
          <w:sz w:val="8"/>
          <w:szCs w:val="8"/>
          <w:i w:val="1"/>
          <w:iCs w:val="1"/>
          <w:color w:val="auto"/>
        </w:rPr>
      </w:pPr>
      <w:r>
        <w:rPr>
          <w:rFonts w:ascii="Arial" w:cs="Arial" w:eastAsia="Arial" w:hAnsi="Arial"/>
          <w:sz w:val="8"/>
          <w:szCs w:val="8"/>
          <w:i w:val="1"/>
          <w:iCs w:val="1"/>
          <w:color w:val="auto"/>
        </w:rPr>
        <w:t>Average shares for the 2026 and 2025 calculation of adjusted EPS excludes 5.4 million shares associated with our Series A convertible preferred stock and includes the impact of preferred stock dividends of approximately $2 million each quarter.</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8"/>
          </w:cols>
          <w:pgMar w:left="292" w:top="128" w:right="299" w:bottom="1440"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13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13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13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13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41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5141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513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2026-11-05T15:16:18Z</dcterms:created>
  <dcterms:modified xsi:type="dcterms:W3CDTF">2026-11-05T15:16:18Z</dcterms:modified>
</cp:coreProperties>
</file>