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4"/>
          <w:szCs w:val="14"/>
          <w:color w:val="auto"/>
        </w:rPr>
        <w:t>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5"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60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ind w:left="600" w:hanging="417"/>
        <w:spacing w:after="0"/>
        <w:tabs>
          <w:tab w:leader="none" w:pos="6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194"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quarterly period ended: March 31, 2025</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1" w:lineRule="exact"/>
        <w:rPr>
          <w:sz w:val="24"/>
          <w:szCs w:val="24"/>
          <w:color w:val="auto"/>
        </w:rPr>
      </w:pPr>
    </w:p>
    <w:p>
      <w:pPr>
        <w:ind w:left="56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 OF</w:t>
      </w:r>
    </w:p>
    <w:p>
      <w:pPr>
        <w:ind w:left="560" w:hanging="377"/>
        <w:spacing w:after="0"/>
        <w:tabs>
          <w:tab w:leader="none" w:pos="5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185" w:lineRule="exact"/>
        <w:rPr>
          <w:sz w:val="24"/>
          <w:szCs w:val="24"/>
          <w:color w:val="auto"/>
        </w:rPr>
      </w:pPr>
    </w:p>
    <w:p>
      <w:pPr>
        <w:ind w:left="660"/>
        <w:spacing w:after="0"/>
        <w:tabs>
          <w:tab w:leader="none" w:pos="43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120650</wp:posOffset>
            </wp:positionV>
            <wp:extent cx="1311275"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127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CONDUENT INCORPORATED</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240"/>
          </w:cols>
          <w:pgMar w:left="320" w:top="264" w:right="339" w:bottom="1440" w:gutter="0" w:footer="0" w:header="0"/>
        </w:sectPr>
      </w:pPr>
    </w:p>
    <w:p>
      <w:pPr>
        <w:spacing w:after="0" w:line="31" w:lineRule="exact"/>
        <w:rPr>
          <w:sz w:val="24"/>
          <w:szCs w:val="24"/>
          <w:color w:val="auto"/>
        </w:rPr>
      </w:pPr>
    </w:p>
    <w:p>
      <w:pPr>
        <w:ind w:left="1760"/>
        <w:spacing w:after="0"/>
        <w:rPr>
          <w:sz w:val="20"/>
          <w:szCs w:val="20"/>
          <w:color w:val="auto"/>
        </w:rPr>
      </w:pPr>
      <w:r>
        <w:rPr>
          <w:rFonts w:ascii="Arial" w:cs="Arial" w:eastAsia="Arial" w:hAnsi="Arial"/>
          <w:sz w:val="17"/>
          <w:szCs w:val="17"/>
          <w:b w:val="1"/>
          <w:bCs w:val="1"/>
          <w:color w:val="auto"/>
        </w:rPr>
        <w:t>New York</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81-2983623</w:t>
      </w:r>
    </w:p>
    <w:p>
      <w:pPr>
        <w:spacing w:after="0" w:line="32" w:lineRule="exact"/>
        <w:rPr>
          <w:sz w:val="24"/>
          <w:szCs w:val="24"/>
          <w:color w:val="auto"/>
        </w:rPr>
      </w:pPr>
    </w:p>
    <w:p>
      <w:pPr>
        <w:sectPr>
          <w:pgSz w:w="11900" w:h="16838" w:orient="portrait"/>
          <w:cols w:equalWidth="0" w:num="2">
            <w:col w:w="7940" w:space="720"/>
            <w:col w:w="2580"/>
          </w:cols>
          <w:pgMar w:left="320" w:top="264" w:right="339" w:bottom="1440" w:gutter="0" w:footer="0" w:header="0"/>
          <w:type w:val="continuous"/>
        </w:sectPr>
      </w:pPr>
    </w:p>
    <w:p>
      <w:pPr>
        <w:ind w:left="1160"/>
        <w:spacing w:after="0"/>
        <w:rPr>
          <w:sz w:val="20"/>
          <w:szCs w:val="20"/>
          <w:color w:val="auto"/>
        </w:rPr>
      </w:pPr>
      <w:r>
        <w:rPr>
          <w:rFonts w:ascii="Arial" w:cs="Arial" w:eastAsia="Arial" w:hAnsi="Arial"/>
          <w:sz w:val="14"/>
          <w:szCs w:val="14"/>
          <w:b w:val="1"/>
          <w:bCs w:val="1"/>
          <w:color w:val="auto"/>
        </w:rPr>
        <w:t>(State or other jurisdiction of</w:t>
      </w:r>
    </w:p>
    <w:p>
      <w:pPr>
        <w:ind w:left="112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500"/>
        <w:spacing w:after="0"/>
        <w:rPr>
          <w:sz w:val="20"/>
          <w:szCs w:val="20"/>
          <w:color w:val="auto"/>
        </w:rPr>
      </w:pPr>
      <w:r>
        <w:rPr>
          <w:rFonts w:ascii="Arial" w:cs="Arial" w:eastAsia="Arial" w:hAnsi="Arial"/>
          <w:sz w:val="14"/>
          <w:szCs w:val="14"/>
          <w:b w:val="1"/>
          <w:bCs w:val="1"/>
          <w:color w:val="auto"/>
        </w:rPr>
        <w:t>(IRS Employer</w:t>
      </w:r>
    </w:p>
    <w:p>
      <w:pPr>
        <w:jc w:val="center"/>
        <w:ind w:right="1500"/>
        <w:spacing w:after="0"/>
        <w:rPr>
          <w:sz w:val="20"/>
          <w:szCs w:val="20"/>
          <w:color w:val="auto"/>
        </w:rPr>
      </w:pPr>
      <w:r>
        <w:rPr>
          <w:rFonts w:ascii="Arial" w:cs="Arial" w:eastAsia="Arial" w:hAnsi="Arial"/>
          <w:sz w:val="14"/>
          <w:szCs w:val="14"/>
          <w:b w:val="1"/>
          <w:bCs w:val="1"/>
          <w:color w:val="auto"/>
        </w:rPr>
        <w:t>Identification No.)</w:t>
      </w:r>
    </w:p>
    <w:p>
      <w:pPr>
        <w:spacing w:after="0" w:line="112" w:lineRule="exact"/>
        <w:rPr>
          <w:sz w:val="24"/>
          <w:szCs w:val="24"/>
          <w:color w:val="auto"/>
        </w:rPr>
      </w:pPr>
    </w:p>
    <w:p>
      <w:pPr>
        <w:sectPr>
          <w:pgSz w:w="11900" w:h="16838" w:orient="portrait"/>
          <w:cols w:equalWidth="0" w:num="2">
            <w:col w:w="7800" w:space="720"/>
            <w:col w:w="2720"/>
          </w:cols>
          <w:pgMar w:left="320" w:top="264" w:right="339" w:bottom="1440" w:gutter="0" w:footer="0" w:header="0"/>
          <w:type w:val="continuous"/>
        </w:sectPr>
      </w:pPr>
    </w:p>
    <w:p>
      <w:pPr>
        <w:ind w:left="920" w:hanging="323"/>
        <w:spacing w:after="0" w:line="292" w:lineRule="auto"/>
        <w:rPr>
          <w:sz w:val="20"/>
          <w:szCs w:val="20"/>
          <w:color w:val="auto"/>
        </w:rPr>
      </w:pPr>
      <w:r>
        <w:rPr>
          <w:rFonts w:ascii="Arial" w:cs="Arial" w:eastAsia="Arial" w:hAnsi="Arial"/>
          <w:sz w:val="17"/>
          <w:szCs w:val="17"/>
          <w:b w:val="1"/>
          <w:bCs w:val="1"/>
          <w:color w:val="auto"/>
        </w:rPr>
        <w:t>100 Campus Drive, Florham Park,</w:t>
      </w:r>
    </w:p>
    <w:p>
      <w:pPr>
        <w:spacing w:after="0" w:line="20" w:lineRule="exact"/>
        <w:rPr>
          <w:sz w:val="24"/>
          <w:szCs w:val="24"/>
          <w:color w:val="auto"/>
        </w:rPr>
      </w:pPr>
      <w:r>
        <w:rPr>
          <w:sz w:val="24"/>
          <w:szCs w:val="24"/>
          <w:color w:val="auto"/>
        </w:rPr>
        <w:br w:type="column"/>
      </w:r>
    </w:p>
    <w:p>
      <w:pPr>
        <w:ind w:left="320"/>
        <w:spacing w:after="0"/>
        <w:rPr>
          <w:sz w:val="20"/>
          <w:szCs w:val="20"/>
          <w:color w:val="auto"/>
        </w:rPr>
      </w:pPr>
      <w:r>
        <w:rPr>
          <w:rFonts w:ascii="Arial" w:cs="Arial" w:eastAsia="Arial" w:hAnsi="Arial"/>
          <w:sz w:val="17"/>
          <w:szCs w:val="17"/>
          <w:b w:val="1"/>
          <w:bCs w:val="1"/>
          <w:color w:val="auto"/>
        </w:rPr>
        <w:t>Suite 200,</w:t>
      </w:r>
    </w:p>
    <w:p>
      <w:pPr>
        <w:spacing w:after="0" w:line="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New Jersey</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07932</w:t>
      </w:r>
    </w:p>
    <w:p>
      <w:pPr>
        <w:spacing w:after="0" w:line="51" w:lineRule="exact"/>
        <w:rPr>
          <w:sz w:val="24"/>
          <w:szCs w:val="24"/>
          <w:color w:val="auto"/>
        </w:rPr>
      </w:pPr>
    </w:p>
    <w:p>
      <w:pPr>
        <w:sectPr>
          <w:pgSz w:w="11900" w:h="16838" w:orient="portrait"/>
          <w:cols w:equalWidth="0" w:num="3">
            <w:col w:w="2200" w:space="560"/>
            <w:col w:w="5400" w:space="720"/>
            <w:col w:w="2360"/>
          </w:cols>
          <w:pgMar w:left="320" w:top="264" w:right="339" w:bottom="1440" w:gutter="0" w:footer="0" w:header="0"/>
          <w:type w:val="continuous"/>
        </w:sectPr>
      </w:pPr>
    </w:p>
    <w:p>
      <w:pPr>
        <w:ind w:left="11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146" w:lineRule="exact"/>
        <w:rPr>
          <w:sz w:val="24"/>
          <w:szCs w:val="24"/>
          <w:color w:val="auto"/>
        </w:rPr>
      </w:pPr>
    </w:p>
    <w:p>
      <w:pPr>
        <w:sectPr>
          <w:pgSz w:w="11900" w:h="16838" w:orient="portrait"/>
          <w:cols w:equalWidth="0" w:num="2">
            <w:col w:w="8060" w:space="720"/>
            <w:col w:w="2460"/>
          </w:cols>
          <w:pgMar w:left="320" w:top="264"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(844) 663-2638</w:t>
      </w:r>
    </w:p>
    <w:p>
      <w:pPr>
        <w:sectPr>
          <w:pgSz w:w="11900" w:h="16838" w:orient="portrait"/>
          <w:cols w:equalWidth="0" w:num="1">
            <w:col w:w="11240"/>
          </w:cols>
          <w:pgMar w:left="320" w:top="264" w:right="339" w:bottom="1440" w:gutter="0" w:footer="0" w:header="0"/>
          <w:type w:val="continuous"/>
        </w:sectPr>
      </w:pPr>
    </w:p>
    <w:p>
      <w:pPr>
        <w:spacing w:after="0" w:line="36"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(Registrant’s telephone number, including area code)</w:t>
      </w:r>
    </w:p>
    <w:p>
      <w:pPr>
        <w:ind w:left="3820"/>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40"/>
          </w:cols>
          <w:pgMar w:left="320" w:top="264" w:right="339" w:bottom="1440" w:gutter="0" w:footer="0" w:header="0"/>
          <w:type w:val="continuous"/>
        </w:sectPr>
      </w:pPr>
    </w:p>
    <w:p>
      <w:pPr>
        <w:spacing w:after="0" w:line="46" w:lineRule="exact"/>
        <w:rPr>
          <w:sz w:val="24"/>
          <w:szCs w:val="24"/>
          <w:color w:val="auto"/>
        </w:rPr>
      </w:pPr>
    </w:p>
    <w:p>
      <w:pPr>
        <w:ind w:left="152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4"/>
          <w:szCs w:val="14"/>
          <w:color w:val="auto"/>
        </w:rPr>
        <w:t>Trading Symbol(s)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32" w:lineRule="exact"/>
        <w:rPr>
          <w:sz w:val="24"/>
          <w:szCs w:val="24"/>
          <w:color w:val="auto"/>
        </w:rPr>
      </w:pPr>
    </w:p>
    <w:p>
      <w:pPr>
        <w:sectPr>
          <w:pgSz w:w="11900" w:h="16838" w:orient="portrait"/>
          <w:cols w:equalWidth="0" w:num="3">
            <w:col w:w="4040" w:space="720"/>
            <w:col w:w="1960" w:space="720"/>
            <w:col w:w="3800"/>
          </w:cols>
          <w:pgMar w:left="320" w:top="264" w:right="339" w:bottom="1440" w:gutter="0" w:footer="0" w:header="0"/>
          <w:type w:val="continuous"/>
        </w:sectPr>
      </w:pPr>
    </w:p>
    <w:p>
      <w:pPr>
        <w:ind w:left="740"/>
        <w:spacing w:after="0"/>
        <w:rPr>
          <w:sz w:val="20"/>
          <w:szCs w:val="20"/>
          <w:color w:val="auto"/>
        </w:rPr>
      </w:pPr>
      <w:r>
        <w:rPr>
          <w:rFonts w:ascii="Arial" w:cs="Arial" w:eastAsia="Arial" w:hAnsi="Arial"/>
          <w:sz w:val="18"/>
          <w:szCs w:val="18"/>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CNDT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NASDAQ Global Select Market</w:t>
      </w:r>
    </w:p>
    <w:p>
      <w:pPr>
        <w:spacing w:after="0" w:line="200" w:lineRule="exact"/>
        <w:rPr>
          <w:sz w:val="24"/>
          <w:szCs w:val="24"/>
          <w:color w:val="auto"/>
        </w:rPr>
      </w:pPr>
    </w:p>
    <w:p>
      <w:pPr>
        <w:sectPr>
          <w:pgSz w:w="11900" w:h="16838" w:orient="portrait"/>
          <w:cols w:equalWidth="0" w:num="3">
            <w:col w:w="4380" w:space="720"/>
            <w:col w:w="1760" w:space="720"/>
            <w:col w:w="3660"/>
          </w:cols>
          <w:pgMar w:left="320" w:top="264" w:right="339" w:bottom="1440" w:gutter="0" w:footer="0" w:header="0"/>
          <w:type w:val="continuous"/>
        </w:sectPr>
      </w:pPr>
    </w:p>
    <w:p>
      <w:pPr>
        <w:ind w:right="300" w:firstLine="162"/>
        <w:spacing w:after="0" w:line="275"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16" w:lineRule="exact"/>
        <w:rPr>
          <w:sz w:val="24"/>
          <w:szCs w:val="24"/>
          <w:color w:val="auto"/>
        </w:rPr>
      </w:pPr>
    </w:p>
    <w:p>
      <w:pPr>
        <w:ind w:right="320" w:firstLine="162"/>
        <w:spacing w:after="0" w:line="266" w:lineRule="auto"/>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23" w:lineRule="exact"/>
        <w:rPr>
          <w:sz w:val="24"/>
          <w:szCs w:val="24"/>
          <w:color w:val="auto"/>
        </w:rPr>
      </w:pPr>
    </w:p>
    <w:p>
      <w:pPr>
        <w:ind w:right="20" w:firstLine="162"/>
        <w:spacing w:after="0" w:line="26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20"/>
        <w:spacing w:after="0" w:line="181" w:lineRule="exact"/>
        <w:tabs>
          <w:tab w:leader="none" w:pos="1960" w:val="left"/>
          <w:tab w:leader="none" w:pos="2420" w:val="left"/>
          <w:tab w:leader="none" w:pos="3740" w:val="left"/>
          <w:tab w:leader="none" w:pos="4220" w:val="left"/>
          <w:tab w:leader="none" w:pos="5880" w:val="left"/>
          <w:tab w:leader="none" w:pos="6380" w:val="left"/>
          <w:tab w:leader="none" w:pos="8340" w:val="left"/>
          <w:tab w:leader="none" w:pos="8860" w:val="left"/>
          <w:tab w:leader="none" w:pos="109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Small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99" w:lineRule="exact"/>
        <w:rPr>
          <w:sz w:val="24"/>
          <w:szCs w:val="24"/>
          <w:color w:val="auto"/>
        </w:rPr>
      </w:pPr>
    </w:p>
    <w:p>
      <w:pPr>
        <w:ind w:right="160" w:firstLine="162"/>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180"/>
        <w:spacing w:after="0" w:line="184" w:lineRule="exact"/>
        <w:tabs>
          <w:tab w:leader="none" w:pos="9100" w:val="left"/>
        </w:tabs>
        <w:rPr>
          <w:sz w:val="20"/>
          <w:szCs w:val="20"/>
          <w:color w:val="auto"/>
        </w:rPr>
      </w:pPr>
      <w:r>
        <w:rPr>
          <w:rFonts w:ascii="Arial" w:cs="Arial" w:eastAsia="Arial" w:hAnsi="Arial"/>
          <w:sz w:val="16"/>
          <w:szCs w:val="16"/>
          <w:color w:val="auto"/>
        </w:rPr>
        <w:t xml:space="preserve">Indicate by a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1760" w:type="dxa"/>
            <w:vAlign w:val="bottom"/>
            <w:tcBorders>
              <w:bottom w:val="single" w:sz="8" w:color="auto"/>
            </w:tcBorders>
          </w:tcPr>
          <w:p>
            <w:pPr>
              <w:ind w:left="1320"/>
              <w:spacing w:after="0"/>
              <w:rPr>
                <w:sz w:val="20"/>
                <w:szCs w:val="20"/>
                <w:color w:val="auto"/>
              </w:rPr>
            </w:pPr>
            <w:r>
              <w:rPr>
                <w:rFonts w:ascii="Arial" w:cs="Arial" w:eastAsia="Arial" w:hAnsi="Arial"/>
                <w:sz w:val="16"/>
                <w:szCs w:val="16"/>
                <w:b w:val="1"/>
                <w:bCs w:val="1"/>
                <w:color w:val="auto"/>
                <w:w w:val="98"/>
              </w:rPr>
              <w:t>Class</w:t>
            </w:r>
          </w:p>
        </w:tc>
        <w:tc>
          <w:tcPr>
            <w:tcW w:w="1320" w:type="dxa"/>
            <w:vAlign w:val="bottom"/>
            <w:tcBorders>
              <w:bottom w:val="single" w:sz="8" w:color="auto"/>
            </w:tcBorders>
          </w:tcPr>
          <w:p>
            <w:pPr>
              <w:spacing w:after="0"/>
              <w:rPr>
                <w:sz w:val="18"/>
                <w:szCs w:val="18"/>
                <w:color w:val="auto"/>
              </w:rPr>
            </w:pPr>
          </w:p>
        </w:tc>
        <w:tc>
          <w:tcPr>
            <w:tcW w:w="4660" w:type="dxa"/>
            <w:vAlign w:val="bottom"/>
          </w:tcPr>
          <w:p>
            <w:pPr>
              <w:spacing w:after="0"/>
              <w:rPr>
                <w:sz w:val="18"/>
                <w:szCs w:val="18"/>
                <w:color w:val="auto"/>
              </w:rPr>
            </w:pPr>
          </w:p>
        </w:tc>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Outstanding at April 30, 2025</w:t>
            </w:r>
          </w:p>
        </w:tc>
      </w:tr>
      <w:tr>
        <w:trPr>
          <w:trHeight w:val="208"/>
        </w:trPr>
        <w:tc>
          <w:tcPr>
            <w:tcW w:w="176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320" w:type="dxa"/>
            <w:vAlign w:val="bottom"/>
          </w:tcPr>
          <w:p>
            <w:pPr>
              <w:spacing w:after="0"/>
              <w:rPr>
                <w:sz w:val="20"/>
                <w:szCs w:val="20"/>
                <w:color w:val="auto"/>
              </w:rPr>
            </w:pPr>
            <w:r>
              <w:rPr>
                <w:rFonts w:ascii="Arial" w:cs="Arial" w:eastAsia="Arial" w:hAnsi="Arial"/>
                <w:sz w:val="16"/>
                <w:szCs w:val="16"/>
                <w:color w:val="auto"/>
              </w:rPr>
              <w:t>$0.01 par value</w:t>
            </w:r>
          </w:p>
        </w:tc>
        <w:tc>
          <w:tcPr>
            <w:tcW w:w="4660" w:type="dxa"/>
            <w:vAlign w:val="bottom"/>
          </w:tcPr>
          <w:p>
            <w:pPr>
              <w:spacing w:after="0"/>
              <w:rPr>
                <w:sz w:val="18"/>
                <w:szCs w:val="18"/>
                <w:color w:val="auto"/>
              </w:rPr>
            </w:pPr>
          </w:p>
        </w:tc>
        <w:tc>
          <w:tcPr>
            <w:tcW w:w="3500" w:type="dxa"/>
            <w:vAlign w:val="bottom"/>
          </w:tcPr>
          <w:p>
            <w:pPr>
              <w:jc w:val="right"/>
              <w:ind w:right="1222"/>
              <w:spacing w:after="0"/>
              <w:rPr>
                <w:sz w:val="20"/>
                <w:szCs w:val="20"/>
                <w:color w:val="auto"/>
              </w:rPr>
            </w:pPr>
            <w:r>
              <w:rPr>
                <w:rFonts w:ascii="Arial" w:cs="Arial" w:eastAsia="Arial" w:hAnsi="Arial"/>
                <w:sz w:val="16"/>
                <w:szCs w:val="16"/>
                <w:color w:val="auto"/>
              </w:rPr>
              <w:t>161,830,138</w:t>
            </w:r>
          </w:p>
        </w:tc>
      </w:tr>
      <w:tr>
        <w:trPr>
          <w:trHeight w:val="398"/>
        </w:trPr>
        <w:tc>
          <w:tcPr>
            <w:tcW w:w="1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500" w:type="dxa"/>
            <w:vAlign w:val="bottom"/>
          </w:tcPr>
          <w:p>
            <w:pPr>
              <w:ind w:left="1760"/>
              <w:spacing w:after="0"/>
              <w:rPr>
                <w:sz w:val="20"/>
                <w:szCs w:val="20"/>
                <w:color w:val="auto"/>
              </w:rPr>
            </w:pPr>
            <w:r>
              <w:rPr>
                <w:rFonts w:ascii="Arial" w:cs="Arial" w:eastAsia="Arial" w:hAnsi="Arial"/>
                <w:sz w:val="14"/>
                <w:szCs w:val="14"/>
                <w:color w:val="3051F2"/>
              </w:rPr>
              <w:t>CNDT Q1 2025 Form 10-Q</w:t>
            </w:r>
          </w:p>
        </w:tc>
      </w:tr>
      <w:tr>
        <w:trPr>
          <w:trHeight w:val="690"/>
        </w:trPr>
        <w:tc>
          <w:tcPr>
            <w:tcW w:w="17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4" w:right="339" w:bottom="1440" w:gutter="0" w:footer="0" w:header="0"/>
          <w:type w:val="continuous"/>
        </w:sectPr>
      </w:pPr>
    </w:p>
    <w:bookmarkStart w:id="1" w:name="page2"/>
    <w:bookmarkEnd w:id="1"/>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FORWARD-LOOKING STATEMENTS</w:t>
      </w:r>
    </w:p>
    <w:p>
      <w:pPr>
        <w:spacing w:after="0" w:line="12"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This Quarterly Report on Form 10-Q ("Form 10-Q") and any exhibits to this Form 10-Q may contain "forward-looking statements" as defined in the Private Securities Litigation Reform Act of 1995 (the "Litigation Reform Act"). These forward-looking statements and other information are based on our beliefs as well as assumptions made by us using information currently available. The words “anticipate,” “believe,” “estimate,” “expect,” "plan," “intend,” “will,” "aim," “should,” "could," "forecast," "target," "may," "continue to," "endeavor," "if," "growing," "projected," "potential," "likely," "see ahead," "further," "going forward," "on the horizon" and similar expressions (including the negative and plural forms of such words and phrases), as they relate to us, are intended to identify forward-looking statements, but the absence of these words does not mean that a statement is not forward-looking. These statements reflect our current views with respect to future events and are subject to certain risks, uncertainties and assumptions, many of which are outside of our control, that could cause actual results to differ materially from those expected or implied by such forward-looking statements and could materially adversely affect our business, financial condition, results of operations, cash flows and liquidity.</w:t>
      </w:r>
    </w:p>
    <w:p>
      <w:pPr>
        <w:spacing w:after="0" w:line="28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Important factors and uncertainties that could cause our actual results to differ materially from those in our forward-looking statements include, but are not limited to: the competitiveness of the markets in which we operate and our ability to renew commercial and government contracts, including contracts awarded through competitive bidding processes; our ability to recover capital and other investments in connection with our contracts; risk and impact of geopolitical events and increasing geopolitical tensions (such as the war in the Ukraine and conflict in the Middle East), macroeconomic conditions, natural disasters and other factors in a particular country or region on our workforce, customers and vendors; our reliance on third-party providers; our ability to deliver on our contractual obligations properly and on time; changes in interest in outsourced business process services; claims of infringement of third-party intellectual property rights; our ability to estimate the scope of work or the costs of performance in our contracts; the loss of key senior management and our ability to attract and retain necessary technical personnel and qualified subcontractors; our failure to develop new service offerings and protect our intellectual property rights; our ability to modernize our information technology infrastructure and consolidate data centers; expectations relating to environmental, social and governance considerations; utilization of our stock repurchase program; risks related to our use of artificial intelligence ("AI"); the failure to comply with laws relating to individually identifiable information and personal health information; the failure to comply with laws relating to processing certain financial transactions, including payment card transactions and debit or credit card transactions; breaches of our information systems or security systems or any service interruptions; risks related to hacking or other cybersecurity threats to our data systems, information systems and network infrastructure and other service interruptions, including relating to the cyber event that took place in January 2025, including the Company’s investigation of such incident and mitigation and remediation efforts, the nature and extent of such incident, the potential disruption to our business or operations, the potential impact on the Company’s reputation, and the Company’s assessments of the likely financial and operational impacts of such incident; our ability to comply with data security standards; developments in various contingent liabilities that are not reflected on our balance sheet, including those arising as a result of being involved in a variety of claims, lawsuits, investigations and proceedings; risks related to recently completed divestitures including the (i) transfer of the Company’s BenefitWallet’s health savings account, medical savings account and flexible spending account portfolio, (ii) sale of the Company’s Curbside Management and Public Safety Solutions businesses and (iii) sale of the Company's Casualty Claims Solutions business, including but not limited to the Company’s ability to realize the benefits anticipated from such transactions, unexpected costs, liabilities or delays in connection with such transactions, and the significant transaction costs associated with such transactions; government appropriations and termination rights contained in our government contracts; risk and impact of potential goodwill and other asset impairments; our significant indebtedness and the terms of such indebtedness; our failure to obtain or maintain a satisfactory credit rating and financial performance; our ability to obtain adequate pricing for our services and to improve our cost structure; our ability to collect our receivables, including those for unbilled services; a decline in revenues from, or a loss of, or a reduction in business from or failure of significant clients; fluctuations in our non-recurring revenue; increases in the cost of voice and data services or significant interruptions in such services; our ability to receive dividends and other payments from our subsidiaries; and other factors that are set forth in the “Risk Factors” section, the “Legal Proceedings” section, the “Management's Discussion and Analysis of Financial Condition and Results of Operations” section and other sections of this Form 10-Q as well as in our 2024 Annual Report on Form 10-K and any subsequent Quarterly Report on Form 10-Q and Current Report on Form 8 -K filed (or furnished) with the Securities and Exchange Commission (the "SEC"). Any forward-looking statements made by us in this Form 10-Q speak only as of the date on which they are made. We are under no obligation to, and expressly disclaim any obligation to, update or alter our forward-looking statements, whether because of new information, subsequent events or otherwise, except as required by law.</w:t>
      </w:r>
    </w:p>
    <w:p>
      <w:pPr>
        <w:spacing w:after="0" w:line="200" w:lineRule="exact"/>
        <w:rPr>
          <w:sz w:val="20"/>
          <w:szCs w:val="20"/>
          <w:color w:val="auto"/>
        </w:rPr>
      </w:pPr>
    </w:p>
    <w:p>
      <w:pPr>
        <w:spacing w:after="0" w:line="346"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2025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 w:name="page3"/>
    <w:bookmarkEnd w:id="2"/>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CONDUENT INCORPORATED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320" w:type="dxa"/>
            <w:vAlign w:val="bottom"/>
          </w:tcPr>
          <w:p>
            <w:pPr>
              <w:spacing w:after="0"/>
              <w:rPr>
                <w:sz w:val="20"/>
                <w:szCs w:val="20"/>
                <w:color w:val="auto"/>
              </w:rPr>
            </w:pPr>
            <w:r>
              <w:rPr>
                <w:rFonts w:ascii="Arial" w:cs="Arial" w:eastAsia="Arial" w:hAnsi="Arial"/>
                <w:sz w:val="18"/>
                <w:szCs w:val="18"/>
                <w:b w:val="1"/>
                <w:bCs w:val="1"/>
                <w:color w:val="1269BC"/>
              </w:rPr>
              <w:t>FORM 10-Q</w:t>
            </w:r>
          </w:p>
        </w:tc>
        <w:tc>
          <w:tcPr>
            <w:tcW w:w="85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459"/>
        </w:trPr>
        <w:tc>
          <w:tcPr>
            <w:tcW w:w="1320" w:type="dxa"/>
            <w:vAlign w:val="bottom"/>
          </w:tcPr>
          <w:p>
            <w:pPr>
              <w:spacing w:after="0"/>
              <w:rPr>
                <w:sz w:val="20"/>
                <w:szCs w:val="20"/>
                <w:color w:val="auto"/>
              </w:rPr>
            </w:pPr>
            <w:r>
              <w:rPr>
                <w:rFonts w:ascii="Arial" w:cs="Arial" w:eastAsia="Arial" w:hAnsi="Arial"/>
                <w:sz w:val="18"/>
                <w:szCs w:val="18"/>
                <w:b w:val="1"/>
                <w:bCs w:val="1"/>
                <w:color w:val="1269BC"/>
              </w:rPr>
              <w:t>March 31, 2025</w:t>
            </w:r>
          </w:p>
        </w:tc>
        <w:tc>
          <w:tcPr>
            <w:tcW w:w="85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78"/>
        </w:trPr>
        <w:tc>
          <w:tcPr>
            <w:tcW w:w="1320" w:type="dxa"/>
            <w:vAlign w:val="bottom"/>
          </w:tcPr>
          <w:p>
            <w:pPr>
              <w:spacing w:after="0"/>
              <w:rPr>
                <w:sz w:val="24"/>
                <w:szCs w:val="24"/>
                <w:color w:val="auto"/>
              </w:rPr>
            </w:pPr>
          </w:p>
        </w:tc>
        <w:tc>
          <w:tcPr>
            <w:tcW w:w="8560" w:type="dxa"/>
            <w:vAlign w:val="bottom"/>
          </w:tcPr>
          <w:p>
            <w:pPr>
              <w:ind w:left="3340"/>
              <w:spacing w:after="0"/>
              <w:rPr>
                <w:sz w:val="20"/>
                <w:szCs w:val="20"/>
                <w:color w:val="auto"/>
              </w:rPr>
            </w:pPr>
            <w:r>
              <w:rPr>
                <w:rFonts w:ascii="Arial" w:cs="Arial" w:eastAsia="Arial" w:hAnsi="Arial"/>
                <w:sz w:val="18"/>
                <w:szCs w:val="18"/>
                <w:b w:val="1"/>
                <w:bCs w:val="1"/>
                <w:color w:val="1269BC"/>
              </w:rPr>
              <w:t>TABLE OF CONTENTS</w:t>
            </w:r>
          </w:p>
        </w:tc>
        <w:tc>
          <w:tcPr>
            <w:tcW w:w="1340" w:type="dxa"/>
            <w:vAlign w:val="bottom"/>
          </w:tcPr>
          <w:p>
            <w:pPr>
              <w:spacing w:after="0"/>
              <w:rPr>
                <w:sz w:val="24"/>
                <w:szCs w:val="24"/>
                <w:color w:val="auto"/>
              </w:rPr>
            </w:pPr>
          </w:p>
        </w:tc>
      </w:tr>
      <w:tr>
        <w:trPr>
          <w:trHeight w:val="461"/>
        </w:trPr>
        <w:tc>
          <w:tcPr>
            <w:tcW w:w="1320" w:type="dxa"/>
            <w:vAlign w:val="bottom"/>
            <w:tcBorders>
              <w:bottom w:val="single" w:sz="8" w:color="CCEEFF"/>
            </w:tcBorders>
          </w:tcPr>
          <w:p>
            <w:pPr>
              <w:spacing w:after="0"/>
              <w:rPr>
                <w:sz w:val="24"/>
                <w:szCs w:val="24"/>
                <w:color w:val="auto"/>
              </w:rPr>
            </w:pPr>
          </w:p>
        </w:tc>
        <w:tc>
          <w:tcPr>
            <w:tcW w:w="856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661DE8"/>
              </w:rPr>
              <w:t>Page</w:t>
            </w:r>
          </w:p>
        </w:tc>
      </w:tr>
      <w:tr>
        <w:trPr>
          <w:trHeight w:val="210"/>
        </w:trPr>
        <w:tc>
          <w:tcPr>
            <w:tcW w:w="9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0000FF"/>
              </w:rPr>
              <w:t>Part I — Financial Information</w:t>
            </w:r>
          </w:p>
        </w:tc>
        <w:tc>
          <w:tcPr>
            <w:tcW w:w="1340" w:type="dxa"/>
            <w:vAlign w:val="bottom"/>
            <w:shd w:val="clear" w:color="auto" w:fill="CCEEFF"/>
          </w:tcPr>
          <w:p>
            <w:pPr>
              <w:spacing w:after="0"/>
              <w:rPr>
                <w:sz w:val="18"/>
                <w:szCs w:val="18"/>
                <w:color w:val="auto"/>
              </w:rPr>
            </w:pP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0000FF"/>
              </w:rPr>
              <w:t>Item 1.</w:t>
            </w:r>
          </w:p>
        </w:tc>
        <w:tc>
          <w:tcPr>
            <w:tcW w:w="8560" w:type="dxa"/>
            <w:vAlign w:val="bottom"/>
          </w:tcPr>
          <w:p>
            <w:pPr>
              <w:ind w:left="20"/>
              <w:spacing w:after="0"/>
              <w:rPr>
                <w:sz w:val="20"/>
                <w:szCs w:val="20"/>
                <w:color w:val="auto"/>
              </w:rPr>
            </w:pPr>
            <w:r>
              <w:rPr>
                <w:rFonts w:ascii="Arial" w:cs="Arial" w:eastAsia="Arial" w:hAnsi="Arial"/>
                <w:sz w:val="18"/>
                <w:szCs w:val="18"/>
                <w:color w:val="0000FF"/>
              </w:rPr>
              <w:t>Financial Statements (Unaudited)</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w:t>
            </w:r>
          </w:p>
        </w:tc>
      </w:tr>
      <w:tr>
        <w:trPr>
          <w:trHeight w:val="229"/>
        </w:trPr>
        <w:tc>
          <w:tcPr>
            <w:tcW w:w="132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Condensed Consolidated Statements of Income (Loss)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w:t>
            </w:r>
          </w:p>
        </w:tc>
      </w:tr>
      <w:tr>
        <w:trPr>
          <w:trHeight w:val="230"/>
        </w:trPr>
        <w:tc>
          <w:tcPr>
            <w:tcW w:w="1320" w:type="dxa"/>
            <w:vAlign w:val="bottom"/>
          </w:tcPr>
          <w:p>
            <w:pPr>
              <w:spacing w:after="0"/>
              <w:rPr>
                <w:sz w:val="19"/>
                <w:szCs w:val="19"/>
                <w:color w:val="auto"/>
              </w:rPr>
            </w:pPr>
          </w:p>
        </w:tc>
        <w:tc>
          <w:tcPr>
            <w:tcW w:w="8560" w:type="dxa"/>
            <w:vAlign w:val="bottom"/>
          </w:tcPr>
          <w:p>
            <w:pPr>
              <w:ind w:left="20"/>
              <w:spacing w:after="0"/>
              <w:rPr>
                <w:sz w:val="20"/>
                <w:szCs w:val="20"/>
                <w:color w:val="auto"/>
              </w:rPr>
            </w:pPr>
            <w:r>
              <w:rPr>
                <w:rFonts w:ascii="Arial" w:cs="Arial" w:eastAsia="Arial" w:hAnsi="Arial"/>
                <w:sz w:val="18"/>
                <w:szCs w:val="18"/>
                <w:color w:val="0000FF"/>
              </w:rPr>
              <w:t>Condensed Consolidated Statements of Comprehensive Income (Loss)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4</w:t>
            </w:r>
          </w:p>
        </w:tc>
      </w:tr>
      <w:tr>
        <w:trPr>
          <w:trHeight w:val="229"/>
        </w:trPr>
        <w:tc>
          <w:tcPr>
            <w:tcW w:w="132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Condensed Consolidated Balance Sheets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5</w:t>
            </w:r>
          </w:p>
        </w:tc>
      </w:tr>
      <w:tr>
        <w:trPr>
          <w:trHeight w:val="229"/>
        </w:trPr>
        <w:tc>
          <w:tcPr>
            <w:tcW w:w="1320" w:type="dxa"/>
            <w:vAlign w:val="bottom"/>
          </w:tcPr>
          <w:p>
            <w:pPr>
              <w:spacing w:after="0"/>
              <w:rPr>
                <w:sz w:val="19"/>
                <w:szCs w:val="19"/>
                <w:color w:val="auto"/>
              </w:rPr>
            </w:pPr>
          </w:p>
        </w:tc>
        <w:tc>
          <w:tcPr>
            <w:tcW w:w="8560" w:type="dxa"/>
            <w:vAlign w:val="bottom"/>
          </w:tcPr>
          <w:p>
            <w:pPr>
              <w:ind w:left="20"/>
              <w:spacing w:after="0"/>
              <w:rPr>
                <w:sz w:val="20"/>
                <w:szCs w:val="20"/>
                <w:color w:val="auto"/>
              </w:rPr>
            </w:pPr>
            <w:r>
              <w:rPr>
                <w:rFonts w:ascii="Arial" w:cs="Arial" w:eastAsia="Arial" w:hAnsi="Arial"/>
                <w:sz w:val="18"/>
                <w:szCs w:val="18"/>
                <w:color w:val="0000FF"/>
              </w:rPr>
              <w:t>Condensed Consolidated Statements of Cash Flows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6</w:t>
            </w:r>
          </w:p>
        </w:tc>
      </w:tr>
      <w:tr>
        <w:trPr>
          <w:trHeight w:val="230"/>
        </w:trPr>
        <w:tc>
          <w:tcPr>
            <w:tcW w:w="132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Condensed Consolidated Statements of Shareholders' Equity</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7</w:t>
            </w:r>
          </w:p>
        </w:tc>
      </w:tr>
      <w:tr>
        <w:trPr>
          <w:trHeight w:val="229"/>
        </w:trPr>
        <w:tc>
          <w:tcPr>
            <w:tcW w:w="1320" w:type="dxa"/>
            <w:vAlign w:val="bottom"/>
          </w:tcPr>
          <w:p>
            <w:pPr>
              <w:spacing w:after="0"/>
              <w:rPr>
                <w:sz w:val="19"/>
                <w:szCs w:val="19"/>
                <w:color w:val="auto"/>
              </w:rPr>
            </w:pPr>
          </w:p>
        </w:tc>
        <w:tc>
          <w:tcPr>
            <w:tcW w:w="8560" w:type="dxa"/>
            <w:vAlign w:val="bottom"/>
          </w:tcPr>
          <w:p>
            <w:pPr>
              <w:ind w:left="20"/>
              <w:spacing w:after="0"/>
              <w:rPr>
                <w:sz w:val="20"/>
                <w:szCs w:val="20"/>
                <w:color w:val="auto"/>
              </w:rPr>
            </w:pPr>
            <w:r>
              <w:rPr>
                <w:rFonts w:ascii="Arial" w:cs="Arial" w:eastAsia="Arial" w:hAnsi="Arial"/>
                <w:sz w:val="18"/>
                <w:szCs w:val="18"/>
                <w:color w:val="0000FF"/>
              </w:rPr>
              <w:t>Notes to the Condensed Consolidated Financial Statements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8</w:t>
            </w:r>
          </w:p>
        </w:tc>
      </w:tr>
      <w:tr>
        <w:trPr>
          <w:trHeight w:val="230"/>
        </w:trPr>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2.</w:t>
            </w:r>
          </w:p>
        </w:tc>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21</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0000FF"/>
              </w:rPr>
              <w:t>Item 3.</w:t>
            </w:r>
          </w:p>
        </w:tc>
        <w:tc>
          <w:tcPr>
            <w:tcW w:w="8560" w:type="dxa"/>
            <w:vAlign w:val="bottom"/>
          </w:tcPr>
          <w:p>
            <w:pPr>
              <w:ind w:left="20"/>
              <w:spacing w:after="0"/>
              <w:rPr>
                <w:sz w:val="20"/>
                <w:szCs w:val="20"/>
                <w:color w:val="auto"/>
              </w:rPr>
            </w:pPr>
            <w:r>
              <w:rPr>
                <w:rFonts w:ascii="Arial" w:cs="Arial" w:eastAsia="Arial" w:hAnsi="Arial"/>
                <w:sz w:val="18"/>
                <w:szCs w:val="18"/>
                <w:color w:val="0000FF"/>
              </w:rPr>
              <w:t>Quantitative and Qualitative Disclosures About Market Risk</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31</w:t>
            </w:r>
          </w:p>
        </w:tc>
      </w:tr>
      <w:tr>
        <w:trPr>
          <w:trHeight w:val="229"/>
        </w:trPr>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4.</w:t>
            </w:r>
          </w:p>
        </w:tc>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Controls and Procedures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31</w:t>
            </w:r>
          </w:p>
        </w:tc>
      </w:tr>
      <w:tr>
        <w:trPr>
          <w:trHeight w:val="148"/>
        </w:trPr>
        <w:tc>
          <w:tcPr>
            <w:tcW w:w="13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30"/>
        </w:trPr>
        <w:tc>
          <w:tcPr>
            <w:tcW w:w="1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0000FF"/>
              </w:rPr>
              <w:t>Part II — Other</w:t>
            </w:r>
          </w:p>
        </w:tc>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0000FF"/>
              </w:rPr>
              <w:t>Information</w:t>
            </w:r>
          </w:p>
        </w:tc>
        <w:tc>
          <w:tcPr>
            <w:tcW w:w="1340" w:type="dxa"/>
            <w:vAlign w:val="bottom"/>
            <w:shd w:val="clear" w:color="auto" w:fill="CCEEFF"/>
          </w:tcPr>
          <w:p>
            <w:pPr>
              <w:spacing w:after="0"/>
              <w:rPr>
                <w:sz w:val="19"/>
                <w:szCs w:val="19"/>
                <w:color w:val="auto"/>
              </w:rPr>
            </w:pPr>
          </w:p>
        </w:tc>
      </w:tr>
      <w:tr>
        <w:trPr>
          <w:trHeight w:val="162"/>
        </w:trPr>
        <w:tc>
          <w:tcPr>
            <w:tcW w:w="13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30"/>
        </w:trPr>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1.</w:t>
            </w:r>
          </w:p>
        </w:tc>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Legal Proceedings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32</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0000FF"/>
              </w:rPr>
              <w:t>Item 1A.</w:t>
            </w:r>
          </w:p>
        </w:tc>
        <w:tc>
          <w:tcPr>
            <w:tcW w:w="8560" w:type="dxa"/>
            <w:vAlign w:val="bottom"/>
          </w:tcPr>
          <w:p>
            <w:pPr>
              <w:ind w:left="20"/>
              <w:spacing w:after="0"/>
              <w:rPr>
                <w:sz w:val="20"/>
                <w:szCs w:val="20"/>
                <w:color w:val="auto"/>
              </w:rPr>
            </w:pPr>
            <w:r>
              <w:rPr>
                <w:rFonts w:ascii="Arial" w:cs="Arial" w:eastAsia="Arial" w:hAnsi="Arial"/>
                <w:sz w:val="18"/>
                <w:szCs w:val="18"/>
                <w:color w:val="0000FF"/>
              </w:rPr>
              <w:t>Risk Factors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32</w:t>
            </w:r>
          </w:p>
        </w:tc>
      </w:tr>
      <w:tr>
        <w:trPr>
          <w:trHeight w:val="230"/>
        </w:trPr>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2.</w:t>
            </w:r>
          </w:p>
        </w:tc>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Unregistered Sales of Equity Securities and Use of Proceeds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33</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0000FF"/>
              </w:rPr>
              <w:t>Item 3.</w:t>
            </w:r>
          </w:p>
        </w:tc>
        <w:tc>
          <w:tcPr>
            <w:tcW w:w="8560" w:type="dxa"/>
            <w:vAlign w:val="bottom"/>
          </w:tcPr>
          <w:p>
            <w:pPr>
              <w:ind w:left="20"/>
              <w:spacing w:after="0"/>
              <w:rPr>
                <w:sz w:val="20"/>
                <w:szCs w:val="20"/>
                <w:color w:val="auto"/>
              </w:rPr>
            </w:pPr>
            <w:r>
              <w:rPr>
                <w:rFonts w:ascii="Arial" w:cs="Arial" w:eastAsia="Arial" w:hAnsi="Arial"/>
                <w:sz w:val="18"/>
                <w:szCs w:val="18"/>
                <w:color w:val="0000FF"/>
              </w:rPr>
              <w:t>Defaults Upon Senior Securities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33</w:t>
            </w:r>
          </w:p>
        </w:tc>
      </w:tr>
      <w:tr>
        <w:trPr>
          <w:trHeight w:val="229"/>
        </w:trPr>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4.</w:t>
            </w:r>
          </w:p>
        </w:tc>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Mine Safety Disclosures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33</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0000FF"/>
              </w:rPr>
              <w:t>Item 5.</w:t>
            </w:r>
          </w:p>
        </w:tc>
        <w:tc>
          <w:tcPr>
            <w:tcW w:w="8560" w:type="dxa"/>
            <w:vAlign w:val="bottom"/>
          </w:tcPr>
          <w:p>
            <w:pPr>
              <w:ind w:left="20"/>
              <w:spacing w:after="0"/>
              <w:rPr>
                <w:sz w:val="20"/>
                <w:szCs w:val="20"/>
                <w:color w:val="auto"/>
              </w:rPr>
            </w:pPr>
            <w:r>
              <w:rPr>
                <w:rFonts w:ascii="Arial" w:cs="Arial" w:eastAsia="Arial" w:hAnsi="Arial"/>
                <w:sz w:val="18"/>
                <w:szCs w:val="18"/>
                <w:color w:val="0000FF"/>
              </w:rPr>
              <w:t>Other Information</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34</w:t>
            </w:r>
          </w:p>
        </w:tc>
      </w:tr>
      <w:tr>
        <w:trPr>
          <w:trHeight w:val="230"/>
        </w:trPr>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6.</w:t>
            </w:r>
          </w:p>
        </w:tc>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Exhibits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35</w:t>
            </w:r>
          </w:p>
        </w:tc>
      </w:tr>
      <w:tr>
        <w:trPr>
          <w:trHeight w:val="247"/>
        </w:trPr>
        <w:tc>
          <w:tcPr>
            <w:tcW w:w="1320" w:type="dxa"/>
            <w:vAlign w:val="bottom"/>
          </w:tcPr>
          <w:p>
            <w:pPr>
              <w:ind w:left="20"/>
              <w:spacing w:after="0"/>
              <w:rPr>
                <w:sz w:val="20"/>
                <w:szCs w:val="20"/>
                <w:color w:val="auto"/>
              </w:rPr>
            </w:pPr>
            <w:r>
              <w:rPr>
                <w:rFonts w:ascii="Arial" w:cs="Arial" w:eastAsia="Arial" w:hAnsi="Arial"/>
                <w:sz w:val="18"/>
                <w:szCs w:val="18"/>
                <w:b w:val="1"/>
                <w:bCs w:val="1"/>
                <w:color w:val="0000FF"/>
              </w:rPr>
              <w:t>Signatures</w:t>
            </w:r>
          </w:p>
        </w:tc>
        <w:tc>
          <w:tcPr>
            <w:tcW w:w="856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36</w:t>
            </w:r>
          </w:p>
        </w:tc>
      </w:tr>
    </w:tbl>
    <w:p>
      <w:pPr>
        <w:spacing w:after="0" w:line="301"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For additional information about Conduent Incorporated and access to our Annual Reports to Shareholders and SEC filings, free of charge, please visit our website at https://investor.conduent.com/. Any information on or linked from the website is not incorporated by reference into this Form 10-Q.</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3" w:name="page4"/>
    <w:bookmarkEnd w:id="3"/>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PART I — FINANCIAL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 — FINANCIAL STATEMENTS (UNAUDITED)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INCOME (LOSS) (UNAUDITED)</w:t>
      </w:r>
    </w:p>
    <w:p>
      <w:pPr>
        <w:spacing w:after="0" w:line="41" w:lineRule="exact"/>
        <w:rPr>
          <w:sz w:val="20"/>
          <w:szCs w:val="20"/>
          <w:color w:val="auto"/>
        </w:rPr>
      </w:pPr>
    </w:p>
    <w:p>
      <w:pPr>
        <w:ind w:left="9380"/>
        <w:spacing w:after="0"/>
        <w:rPr>
          <w:sz w:val="20"/>
          <w:szCs w:val="20"/>
          <w:color w:val="auto"/>
        </w:rPr>
      </w:pPr>
      <w:r>
        <w:rPr>
          <w:rFonts w:ascii="Arial" w:cs="Arial" w:eastAsia="Arial" w:hAnsi="Arial"/>
          <w:sz w:val="14"/>
          <w:szCs w:val="14"/>
          <w:color w:val="auto"/>
        </w:rPr>
        <w:t>Three Months Ended</w:t>
      </w:r>
    </w:p>
    <w:p>
      <w:pPr>
        <w:spacing w:after="0" w:line="2" w:lineRule="exact"/>
        <w:rPr>
          <w:sz w:val="20"/>
          <w:szCs w:val="20"/>
          <w:color w:val="auto"/>
        </w:rPr>
      </w:pPr>
    </w:p>
    <w:p>
      <w:pPr>
        <w:ind w:left="9740"/>
        <w:spacing w:after="0"/>
        <w:rPr>
          <w:sz w:val="20"/>
          <w:szCs w:val="20"/>
          <w:color w:val="auto"/>
        </w:rPr>
      </w:pPr>
      <w:r>
        <w:rPr>
          <w:rFonts w:ascii="Arial" w:cs="Arial" w:eastAsia="Arial" w:hAnsi="Arial"/>
          <w:sz w:val="14"/>
          <w:szCs w:val="14"/>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8880" w:type="dxa"/>
            <w:vAlign w:val="bottom"/>
            <w:gridSpan w:val="2"/>
          </w:tcPr>
          <w:p>
            <w:pPr>
              <w:spacing w:after="0"/>
              <w:rPr>
                <w:sz w:val="20"/>
                <w:szCs w:val="20"/>
                <w:color w:val="auto"/>
              </w:rPr>
            </w:pPr>
            <w:r>
              <w:rPr>
                <w:rFonts w:ascii="Arial" w:cs="Arial" w:eastAsia="Arial" w:hAnsi="Arial"/>
                <w:sz w:val="13"/>
                <w:szCs w:val="13"/>
                <w:color w:val="auto"/>
              </w:rPr>
              <w:t>(in millions, except per share data)</w:t>
            </w: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2025</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top w:val="single" w:sz="8" w:color="auto"/>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Costs and Expenses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8880" w:type="dxa"/>
            <w:vAlign w:val="bottom"/>
            <w:gridSpan w:val="2"/>
          </w:tcPr>
          <w:p>
            <w:pPr>
              <w:ind w:left="200"/>
              <w:spacing w:after="0"/>
              <w:rPr>
                <w:sz w:val="20"/>
                <w:szCs w:val="20"/>
                <w:color w:val="auto"/>
              </w:rPr>
            </w:pPr>
            <w:r>
              <w:rPr>
                <w:rFonts w:ascii="Arial" w:cs="Arial" w:eastAsia="Arial" w:hAnsi="Arial"/>
                <w:sz w:val="14"/>
                <w:szCs w:val="14"/>
                <w:color w:val="auto"/>
              </w:rPr>
              <w:t>Cost of services (excluding depreciation and amortization)</w:t>
            </w: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735</w:t>
            </w:r>
          </w:p>
        </w:tc>
      </w:tr>
      <w:tr>
        <w:trPr>
          <w:trHeight w:val="207"/>
        </w:trPr>
        <w:tc>
          <w:tcPr>
            <w:tcW w:w="20" w:type="dxa"/>
            <w:vAlign w:val="bottom"/>
            <w:shd w:val="clear" w:color="auto" w:fill="CCEEFF"/>
          </w:tcPr>
          <w:p>
            <w:pPr>
              <w:spacing w:after="0"/>
              <w:rPr>
                <w:sz w:val="17"/>
                <w:szCs w:val="17"/>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Selling, general and administrative (excluding depreciation and amortization)</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r>
      <w:tr>
        <w:trPr>
          <w:trHeight w:val="198"/>
        </w:trPr>
        <w:tc>
          <w:tcPr>
            <w:tcW w:w="20" w:type="dxa"/>
            <w:vAlign w:val="bottom"/>
          </w:tcPr>
          <w:p>
            <w:pPr>
              <w:spacing w:after="0"/>
              <w:rPr>
                <w:sz w:val="17"/>
                <w:szCs w:val="17"/>
                <w:color w:val="auto"/>
              </w:rPr>
            </w:pPr>
          </w:p>
        </w:tc>
        <w:tc>
          <w:tcPr>
            <w:tcW w:w="8880" w:type="dxa"/>
            <w:vAlign w:val="bottom"/>
            <w:gridSpan w:val="2"/>
          </w:tcPr>
          <w:p>
            <w:pPr>
              <w:ind w:left="200"/>
              <w:spacing w:after="0"/>
              <w:rPr>
                <w:sz w:val="20"/>
                <w:szCs w:val="20"/>
                <w:color w:val="auto"/>
              </w:rPr>
            </w:pPr>
            <w:r>
              <w:rPr>
                <w:rFonts w:ascii="Arial" w:cs="Arial" w:eastAsia="Arial" w:hAnsi="Arial"/>
                <w:sz w:val="14"/>
                <w:szCs w:val="14"/>
                <w:color w:val="auto"/>
              </w:rPr>
              <w:t>Research and development (excluding depreciation and amortization)</w:t>
            </w: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7"/>
        </w:trPr>
        <w:tc>
          <w:tcPr>
            <w:tcW w:w="20" w:type="dxa"/>
            <w:vAlign w:val="bottom"/>
            <w:shd w:val="clear" w:color="auto" w:fill="CCEEFF"/>
          </w:tcPr>
          <w:p>
            <w:pPr>
              <w:spacing w:after="0"/>
              <w:rPr>
                <w:sz w:val="17"/>
                <w:szCs w:val="17"/>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r>
      <w:tr>
        <w:trPr>
          <w:trHeight w:val="198"/>
        </w:trPr>
        <w:tc>
          <w:tcPr>
            <w:tcW w:w="20" w:type="dxa"/>
            <w:vAlign w:val="bottom"/>
          </w:tcPr>
          <w:p>
            <w:pPr>
              <w:spacing w:after="0"/>
              <w:rPr>
                <w:sz w:val="17"/>
                <w:szCs w:val="17"/>
                <w:color w:val="auto"/>
              </w:rPr>
            </w:pPr>
          </w:p>
        </w:tc>
        <w:tc>
          <w:tcPr>
            <w:tcW w:w="8880" w:type="dxa"/>
            <w:vAlign w:val="bottom"/>
            <w:gridSpan w:val="2"/>
          </w:tcPr>
          <w:p>
            <w:pPr>
              <w:ind w:left="200"/>
              <w:spacing w:after="0"/>
              <w:rPr>
                <w:sz w:val="20"/>
                <w:szCs w:val="20"/>
                <w:color w:val="auto"/>
              </w:rPr>
            </w:pPr>
            <w:r>
              <w:rPr>
                <w:rFonts w:ascii="Arial" w:cs="Arial" w:eastAsia="Arial" w:hAnsi="Arial"/>
                <w:sz w:val="14"/>
                <w:szCs w:val="14"/>
                <w:color w:val="auto"/>
              </w:rPr>
              <w:t>Restructuring and related costs</w:t>
            </w: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07"/>
        </w:trPr>
        <w:tc>
          <w:tcPr>
            <w:tcW w:w="20" w:type="dxa"/>
            <w:vAlign w:val="bottom"/>
            <w:shd w:val="clear" w:color="auto" w:fill="CCEEFF"/>
          </w:tcPr>
          <w:p>
            <w:pPr>
              <w:spacing w:after="0"/>
              <w:rPr>
                <w:sz w:val="17"/>
                <w:szCs w:val="17"/>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198"/>
        </w:trPr>
        <w:tc>
          <w:tcPr>
            <w:tcW w:w="20" w:type="dxa"/>
            <w:vAlign w:val="bottom"/>
          </w:tcPr>
          <w:p>
            <w:pPr>
              <w:spacing w:after="0"/>
              <w:rPr>
                <w:sz w:val="17"/>
                <w:szCs w:val="17"/>
                <w:color w:val="auto"/>
              </w:rPr>
            </w:pPr>
          </w:p>
        </w:tc>
        <w:tc>
          <w:tcPr>
            <w:tcW w:w="8880" w:type="dxa"/>
            <w:vAlign w:val="bottom"/>
            <w:gridSpan w:val="2"/>
          </w:tcPr>
          <w:p>
            <w:pPr>
              <w:ind w:left="200"/>
              <w:spacing w:after="0"/>
              <w:rPr>
                <w:sz w:val="20"/>
                <w:szCs w:val="20"/>
                <w:color w:val="auto"/>
              </w:rPr>
            </w:pPr>
            <w:r>
              <w:rPr>
                <w:rFonts w:ascii="Arial" w:cs="Arial" w:eastAsia="Arial" w:hAnsi="Arial"/>
                <w:sz w:val="14"/>
                <w:szCs w:val="14"/>
                <w:color w:val="auto"/>
              </w:rPr>
              <w:t>(Gain) loss on divestitures and transaction costs, net</w:t>
            </w: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(161)</w:t>
            </w:r>
          </w:p>
        </w:tc>
      </w:tr>
      <w:tr>
        <w:trPr>
          <w:trHeight w:val="207"/>
        </w:trPr>
        <w:tc>
          <w:tcPr>
            <w:tcW w:w="20" w:type="dxa"/>
            <w:vAlign w:val="bottom"/>
            <w:shd w:val="clear" w:color="auto" w:fill="CCEEFF"/>
          </w:tcPr>
          <w:p>
            <w:pPr>
              <w:spacing w:after="0"/>
              <w:rPr>
                <w:sz w:val="17"/>
                <w:szCs w:val="17"/>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Litigation settlements (recoveries), net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98"/>
        </w:trPr>
        <w:tc>
          <w:tcPr>
            <w:tcW w:w="20" w:type="dxa"/>
            <w:vAlign w:val="bottom"/>
          </w:tcPr>
          <w:p>
            <w:pPr>
              <w:spacing w:after="0"/>
              <w:rPr>
                <w:sz w:val="17"/>
                <w:szCs w:val="17"/>
                <w:color w:val="auto"/>
              </w:rPr>
            </w:pPr>
          </w:p>
        </w:tc>
        <w:tc>
          <w:tcPr>
            <w:tcW w:w="8880" w:type="dxa"/>
            <w:vAlign w:val="bottom"/>
            <w:gridSpan w:val="2"/>
          </w:tcPr>
          <w:p>
            <w:pPr>
              <w:ind w:left="200"/>
              <w:spacing w:after="0"/>
              <w:rPr>
                <w:sz w:val="20"/>
                <w:szCs w:val="20"/>
                <w:color w:val="auto"/>
              </w:rPr>
            </w:pPr>
            <w:r>
              <w:rPr>
                <w:rFonts w:ascii="Arial" w:cs="Arial" w:eastAsia="Arial" w:hAnsi="Arial"/>
                <w:sz w:val="14"/>
                <w:szCs w:val="14"/>
                <w:color w:val="auto"/>
              </w:rPr>
              <w:t>Loss on extinguishment of debt</w:t>
            </w:r>
          </w:p>
        </w:tc>
        <w:tc>
          <w:tcPr>
            <w:tcW w:w="2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7"/>
        </w:trPr>
        <w:tc>
          <w:tcPr>
            <w:tcW w:w="20" w:type="dxa"/>
            <w:vAlign w:val="bottom"/>
            <w:shd w:val="clear" w:color="auto" w:fill="CCEEFF"/>
          </w:tcPr>
          <w:p>
            <w:pPr>
              <w:spacing w:after="0"/>
              <w:rPr>
                <w:sz w:val="17"/>
                <w:szCs w:val="17"/>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Other (income) expenses, net</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95"/>
        </w:trPr>
        <w:tc>
          <w:tcPr>
            <w:tcW w:w="20" w:type="dxa"/>
            <w:vAlign w:val="bottom"/>
            <w:tcBorders>
              <w:bottom w:val="single" w:sz="8" w:color="CCEEFF"/>
            </w:tcBorders>
          </w:tcPr>
          <w:p>
            <w:pPr>
              <w:spacing w:after="0"/>
              <w:rPr>
                <w:sz w:val="16"/>
                <w:szCs w:val="16"/>
                <w:color w:val="auto"/>
              </w:rPr>
            </w:pPr>
          </w:p>
        </w:tc>
        <w:tc>
          <w:tcPr>
            <w:tcW w:w="88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Operating Costs and Expenses</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794</w:t>
            </w:r>
          </w:p>
        </w:tc>
      </w:tr>
      <w:tr>
        <w:trPr>
          <w:trHeight w:val="143"/>
        </w:trPr>
        <w:tc>
          <w:tcPr>
            <w:tcW w:w="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6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201"/>
        </w:trPr>
        <w:tc>
          <w:tcPr>
            <w:tcW w:w="20" w:type="dxa"/>
            <w:vAlign w:val="bottom"/>
          </w:tcPr>
          <w:p>
            <w:pPr>
              <w:spacing w:after="0"/>
              <w:rPr>
                <w:sz w:val="17"/>
                <w:szCs w:val="17"/>
                <w:color w:val="auto"/>
              </w:rPr>
            </w:pPr>
          </w:p>
        </w:tc>
        <w:tc>
          <w:tcPr>
            <w:tcW w:w="8880" w:type="dxa"/>
            <w:vAlign w:val="bottom"/>
            <w:gridSpan w:val="2"/>
          </w:tcPr>
          <w:p>
            <w:pPr>
              <w:spacing w:after="0"/>
              <w:rPr>
                <w:sz w:val="20"/>
                <w:szCs w:val="20"/>
                <w:color w:val="auto"/>
              </w:rPr>
            </w:pPr>
            <w:r>
              <w:rPr>
                <w:rFonts w:ascii="Arial" w:cs="Arial" w:eastAsia="Arial" w:hAnsi="Arial"/>
                <w:sz w:val="14"/>
                <w:szCs w:val="14"/>
                <w:b w:val="1"/>
                <w:bCs w:val="1"/>
                <w:color w:val="auto"/>
              </w:rPr>
              <w:t>Income (Loss) Before Income Taxes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127</w:t>
            </w:r>
          </w:p>
        </w:tc>
      </w:tr>
      <w:tr>
        <w:trPr>
          <w:trHeight w:val="163"/>
        </w:trPr>
        <w:tc>
          <w:tcPr>
            <w:tcW w:w="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6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888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r>
      <w:tr>
        <w:trPr>
          <w:trHeight w:val="198"/>
        </w:trPr>
        <w:tc>
          <w:tcPr>
            <w:tcW w:w="20" w:type="dxa"/>
            <w:vAlign w:val="bottom"/>
            <w:tcBorders>
              <w:bottom w:val="single" w:sz="8" w:color="CCEEFF"/>
            </w:tcBorders>
            <w:shd w:val="clear" w:color="auto" w:fill="CCEEFF"/>
          </w:tcPr>
          <w:p>
            <w:pPr>
              <w:spacing w:after="0"/>
              <w:rPr>
                <w:sz w:val="16"/>
                <w:szCs w:val="16"/>
                <w:color w:val="auto"/>
              </w:rPr>
            </w:pPr>
          </w:p>
        </w:tc>
        <w:tc>
          <w:tcPr>
            <w:tcW w:w="8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6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6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03"/>
        </w:trPr>
        <w:tc>
          <w:tcPr>
            <w:tcW w:w="20" w:type="dxa"/>
            <w:vAlign w:val="bottom"/>
            <w:shd w:val="clear" w:color="auto" w:fill="CCEEFF"/>
          </w:tcPr>
          <w:p>
            <w:pPr>
              <w:spacing w:after="0"/>
              <w:rPr>
                <w:sz w:val="17"/>
                <w:szCs w:val="17"/>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 (Loss) per Share: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8880" w:type="dxa"/>
            <w:vAlign w:val="bottom"/>
            <w:gridSpan w:val="2"/>
          </w:tcPr>
          <w:p>
            <w:pPr>
              <w:ind w:left="200"/>
              <w:spacing w:after="0"/>
              <w:rPr>
                <w:sz w:val="20"/>
                <w:szCs w:val="20"/>
                <w:color w:val="auto"/>
              </w:rPr>
            </w:pPr>
            <w:r>
              <w:rPr>
                <w:rFonts w:ascii="Arial" w:cs="Arial" w:eastAsia="Arial" w:hAnsi="Arial"/>
                <w:sz w:val="14"/>
                <w:szCs w:val="14"/>
                <w:color w:val="auto"/>
              </w:rPr>
              <w:t>Basic</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(0.33)</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0.46</w:t>
            </w:r>
          </w:p>
        </w:tc>
      </w:tr>
      <w:tr>
        <w:trPr>
          <w:trHeight w:val="207"/>
        </w:trPr>
        <w:tc>
          <w:tcPr>
            <w:tcW w:w="20" w:type="dxa"/>
            <w:vAlign w:val="bottom"/>
            <w:shd w:val="clear" w:color="auto" w:fill="CCEEFF"/>
          </w:tcPr>
          <w:p>
            <w:pPr>
              <w:spacing w:after="0"/>
              <w:rPr>
                <w:sz w:val="17"/>
                <w:szCs w:val="17"/>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Diluted</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0.46</w:t>
            </w: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2025 Form 10-Q</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4" w:name="page5"/>
    <w:bookmarkEnd w:id="4"/>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COMPREHENSIVE INCOME (LOSS) (UNAUDITED)</w:t>
      </w:r>
    </w:p>
    <w:p>
      <w:pPr>
        <w:spacing w:after="0" w:line="29" w:lineRule="exact"/>
        <w:rPr>
          <w:sz w:val="20"/>
          <w:szCs w:val="20"/>
          <w:color w:val="auto"/>
        </w:rPr>
      </w:pPr>
    </w:p>
    <w:p>
      <w:pPr>
        <w:ind w:left="9240"/>
        <w:spacing w:after="0"/>
        <w:rPr>
          <w:sz w:val="20"/>
          <w:szCs w:val="20"/>
          <w:color w:val="auto"/>
        </w:rPr>
      </w:pPr>
      <w:r>
        <w:rPr>
          <w:rFonts w:ascii="Arial" w:cs="Arial" w:eastAsia="Arial" w:hAnsi="Arial"/>
          <w:sz w:val="14"/>
          <w:szCs w:val="14"/>
          <w:color w:val="auto"/>
        </w:rPr>
        <w:t>Three Months Ended</w:t>
      </w:r>
    </w:p>
    <w:p>
      <w:pPr>
        <w:ind w:left="9620"/>
        <w:spacing w:after="0"/>
        <w:rPr>
          <w:sz w:val="20"/>
          <w:szCs w:val="20"/>
          <w:color w:val="auto"/>
        </w:rPr>
      </w:pPr>
      <w:r>
        <w:rPr>
          <w:rFonts w:ascii="Arial" w:cs="Arial" w:eastAsia="Arial" w:hAnsi="Arial"/>
          <w:sz w:val="14"/>
          <w:szCs w:val="14"/>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0" w:type="dxa"/>
            <w:vAlign w:val="bottom"/>
          </w:tcPr>
          <w:p>
            <w:pPr>
              <w:spacing w:after="0"/>
              <w:rPr>
                <w:sz w:val="14"/>
                <w:szCs w:val="14"/>
                <w:color w:val="auto"/>
              </w:rPr>
            </w:pPr>
          </w:p>
        </w:tc>
        <w:tc>
          <w:tcPr>
            <w:tcW w:w="860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color w:val="auto"/>
              </w:rPr>
              <w:t>2025</w:t>
            </w:r>
          </w:p>
        </w:tc>
        <w:tc>
          <w:tcPr>
            <w:tcW w:w="1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7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0" w:type="dxa"/>
            <w:vAlign w:val="bottom"/>
            <w:tcBorders>
              <w:right w:val="single" w:sz="8" w:color="CCEEFF"/>
            </w:tcBorders>
          </w:tcPr>
          <w:p>
            <w:pPr>
              <w:spacing w:after="0"/>
              <w:rPr>
                <w:sz w:val="17"/>
                <w:szCs w:val="17"/>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 (Loss)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center"/>
              <w:ind w:left="548"/>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8600" w:type="dxa"/>
            <w:vAlign w:val="bottom"/>
            <w:gridSpan w:val="2"/>
          </w:tcPr>
          <w:p>
            <w:pPr>
              <w:spacing w:after="0" w:line="202" w:lineRule="exact"/>
              <w:rPr>
                <w:sz w:val="20"/>
                <w:szCs w:val="20"/>
                <w:color w:val="auto"/>
              </w:rPr>
            </w:pPr>
            <w:r>
              <w:rPr>
                <w:rFonts w:ascii="Arial" w:cs="Arial" w:eastAsia="Arial" w:hAnsi="Arial"/>
                <w:sz w:val="14"/>
                <w:szCs w:val="14"/>
                <w:b w:val="1"/>
                <w:bCs w:val="1"/>
                <w:color w:val="auto"/>
              </w:rPr>
              <w:t>Other Comprehensive Income (Loss), Net</w:t>
            </w:r>
            <w:r>
              <w:rPr>
                <w:rFonts w:ascii="Arial" w:cs="Arial" w:eastAsia="Arial" w:hAnsi="Arial"/>
                <w:sz w:val="18"/>
                <w:szCs w:val="18"/>
                <w:b w:val="1"/>
                <w:bCs w:val="1"/>
                <w:color w:val="auto"/>
                <w:vertAlign w:val="superscript"/>
              </w:rPr>
              <w:t>(1)</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Borders>
              <w:right w:val="single" w:sz="8" w:color="CCEEFF"/>
            </w:tcBorders>
          </w:tcPr>
          <w:p>
            <w:pPr>
              <w:spacing w:after="0"/>
              <w:rPr>
                <w:sz w:val="17"/>
                <w:szCs w:val="17"/>
                <w:color w:val="auto"/>
              </w:rPr>
            </w:pPr>
          </w:p>
        </w:tc>
        <w:tc>
          <w:tcPr>
            <w:tcW w:w="86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Currency translation adjustments, net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left="548"/>
              <w:spacing w:after="0"/>
              <w:rPr>
                <w:sz w:val="20"/>
                <w:szCs w:val="20"/>
                <w:color w:val="auto"/>
              </w:rPr>
            </w:pPr>
            <w:r>
              <w:rPr>
                <w:rFonts w:ascii="Arial" w:cs="Arial" w:eastAsia="Arial" w:hAnsi="Arial"/>
                <w:sz w:val="14"/>
                <w:szCs w:val="14"/>
                <w:color w:val="auto"/>
                <w:w w:val="96"/>
              </w:rPr>
              <w:t>(11)</w:t>
            </w: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860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Unrecognized gains (losses), net</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80" w:type="dxa"/>
            <w:vAlign w:val="bottom"/>
            <w:tcBorders>
              <w:right w:val="single" w:sz="8" w:color="CCEEFF"/>
            </w:tcBorders>
          </w:tcPr>
          <w:p>
            <w:pPr>
              <w:spacing w:after="0"/>
              <w:rPr>
                <w:sz w:val="17"/>
                <w:szCs w:val="17"/>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Other Comprehensive Income (Loss), Net</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center"/>
              <w:ind w:left="548"/>
              <w:spacing w:after="0"/>
              <w:rPr>
                <w:sz w:val="20"/>
                <w:szCs w:val="20"/>
                <w:color w:val="auto"/>
              </w:rPr>
            </w:pPr>
            <w:r>
              <w:rPr>
                <w:rFonts w:ascii="Arial" w:cs="Arial" w:eastAsia="Arial" w:hAnsi="Arial"/>
                <w:sz w:val="14"/>
                <w:szCs w:val="14"/>
                <w:color w:val="auto"/>
                <w:w w:val="96"/>
              </w:rPr>
              <w:t>(11)</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0" w:type="dxa"/>
            <w:vAlign w:val="bottom"/>
            <w:tcBorders>
              <w:right w:val="single" w:sz="8" w:color="CCEEFF"/>
            </w:tcBorders>
          </w:tcPr>
          <w:p>
            <w:pPr>
              <w:spacing w:after="0"/>
              <w:rPr>
                <w:sz w:val="17"/>
                <w:szCs w:val="17"/>
                <w:color w:val="auto"/>
              </w:rPr>
            </w:pPr>
          </w:p>
        </w:tc>
        <w:tc>
          <w:tcPr>
            <w:tcW w:w="8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Comprehensive Income (Loss), Net</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center"/>
              <w:ind w:left="548"/>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0"/>
        </w:trPr>
        <w:tc>
          <w:tcPr>
            <w:tcW w:w="80" w:type="dxa"/>
            <w:vAlign w:val="bottom"/>
            <w:tcBorders>
              <w:right w:val="single" w:sz="8" w:color="CCEEFF"/>
            </w:tcBorders>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680" w:type="dxa"/>
            <w:vAlign w:val="bottom"/>
            <w:gridSpan w:val="3"/>
            <w:vMerge w:val="restart"/>
          </w:tcPr>
          <w:p>
            <w:pPr>
              <w:spacing w:after="0"/>
              <w:rPr>
                <w:sz w:val="20"/>
                <w:szCs w:val="20"/>
                <w:color w:val="auto"/>
              </w:rPr>
            </w:pPr>
            <w:r>
              <w:rPr>
                <w:rFonts w:ascii="Arial" w:cs="Arial" w:eastAsia="Arial" w:hAnsi="Arial"/>
                <w:sz w:val="14"/>
                <w:szCs w:val="14"/>
                <w:color w:val="auto"/>
              </w:rPr>
              <w:t>__________</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8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3"/>
          </w:tcPr>
          <w:p>
            <w:pPr>
              <w:spacing w:after="0"/>
              <w:rPr>
                <w:sz w:val="20"/>
                <w:szCs w:val="20"/>
                <w:color w:val="auto"/>
              </w:rPr>
            </w:pPr>
            <w:r>
              <w:rPr>
                <w:rFonts w:ascii="Arial" w:cs="Arial" w:eastAsia="Arial" w:hAnsi="Arial"/>
                <w:sz w:val="14"/>
                <w:szCs w:val="14"/>
                <w:i w:val="1"/>
                <w:iCs w:val="1"/>
                <w:color w:val="auto"/>
              </w:rPr>
              <w:t>(1)  All amounts are net of tax. Tax effects were immaterial.</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5" w:name="page6"/>
    <w:bookmarkEnd w:id="5"/>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BALANCE SHEETS (UNAUDITED)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20" w:type="dxa"/>
            <w:vAlign w:val="bottom"/>
            <w:gridSpan w:val="2"/>
          </w:tcPr>
          <w:p>
            <w:pPr>
              <w:spacing w:after="0"/>
              <w:rPr>
                <w:sz w:val="20"/>
                <w:szCs w:val="20"/>
                <w:color w:val="auto"/>
              </w:rPr>
            </w:pPr>
            <w:r>
              <w:rPr>
                <w:rFonts w:ascii="Arial" w:cs="Arial" w:eastAsia="Arial" w:hAnsi="Arial"/>
                <w:sz w:val="13"/>
                <w:szCs w:val="13"/>
                <w:color w:val="auto"/>
              </w:rPr>
              <w:t>(in millions, except share data in thousands)</w:t>
            </w:r>
          </w:p>
        </w:tc>
        <w:tc>
          <w:tcPr>
            <w:tcW w:w="240" w:type="dxa"/>
            <w:vAlign w:val="bottom"/>
          </w:tcPr>
          <w:p>
            <w:pPr>
              <w:spacing w:after="0"/>
              <w:rPr>
                <w:sz w:val="14"/>
                <w:szCs w:val="14"/>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color w:val="auto"/>
              </w:rPr>
              <w:t>March 31, 2025</w:t>
            </w:r>
          </w:p>
        </w:tc>
        <w:tc>
          <w:tcPr>
            <w:tcW w:w="180" w:type="dxa"/>
            <w:vAlign w:val="bottom"/>
          </w:tcPr>
          <w:p>
            <w:pPr>
              <w:spacing w:after="0"/>
              <w:rPr>
                <w:sz w:val="14"/>
                <w:szCs w:val="14"/>
                <w:color w:val="auto"/>
              </w:rPr>
            </w:pPr>
          </w:p>
        </w:tc>
        <w:tc>
          <w:tcPr>
            <w:tcW w:w="1560" w:type="dxa"/>
            <w:vAlign w:val="bottom"/>
          </w:tcPr>
          <w:p>
            <w:pPr>
              <w:jc w:val="right"/>
              <w:ind w:right="168"/>
              <w:spacing w:after="0"/>
              <w:rPr>
                <w:sz w:val="20"/>
                <w:szCs w:val="20"/>
                <w:color w:val="auto"/>
              </w:rPr>
            </w:pPr>
            <w:r>
              <w:rPr>
                <w:rFonts w:ascii="Arial" w:cs="Arial" w:eastAsia="Arial" w:hAnsi="Arial"/>
                <w:sz w:val="14"/>
                <w:szCs w:val="14"/>
                <w:color w:val="auto"/>
              </w:rPr>
              <w:t>December 31, 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top w:val="single" w:sz="8" w:color="auto"/>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366</w:t>
            </w: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Accounts receivable, net</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493</w:t>
            </w: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Contract assets</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132</w:t>
            </w: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current assets</w:t>
            </w: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261</w:t>
            </w:r>
          </w:p>
        </w:tc>
      </w:tr>
      <w:tr>
        <w:trPr>
          <w:trHeight w:val="192"/>
        </w:trPr>
        <w:tc>
          <w:tcPr>
            <w:tcW w:w="20" w:type="dxa"/>
            <w:vAlign w:val="bottom"/>
            <w:tcBorders>
              <w:bottom w:val="single" w:sz="8" w:color="CCEEFF"/>
            </w:tcBorders>
          </w:tcPr>
          <w:p>
            <w:pPr>
              <w:spacing w:after="0"/>
              <w:rPr>
                <w:sz w:val="16"/>
                <w:szCs w:val="16"/>
                <w:color w:val="auto"/>
              </w:rPr>
            </w:pPr>
          </w:p>
        </w:tc>
        <w:tc>
          <w:tcPr>
            <w:tcW w:w="7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Total current assets</w:t>
            </w: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1,252</w:t>
            </w:r>
          </w:p>
        </w:tc>
      </w:tr>
      <w:tr>
        <w:trPr>
          <w:trHeight w:val="200"/>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Land, buildings and equipment, net</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167</w:t>
            </w:r>
          </w:p>
        </w:tc>
      </w:tr>
      <w:tr>
        <w:trPr>
          <w:trHeight w:val="199"/>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Operating lease right-of-use assets</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169</w:t>
            </w:r>
          </w:p>
        </w:tc>
      </w:tr>
      <w:tr>
        <w:trPr>
          <w:trHeight w:val="206"/>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Intangible assets, net</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r>
      <w:tr>
        <w:trPr>
          <w:trHeight w:val="199"/>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609</w:t>
            </w:r>
          </w:p>
        </w:tc>
      </w:tr>
      <w:tr>
        <w:trPr>
          <w:trHeight w:val="202"/>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long-term assets</w:t>
            </w: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388</w:t>
            </w:r>
          </w:p>
        </w:tc>
      </w:tr>
      <w:tr>
        <w:trPr>
          <w:trHeight w:val="200"/>
        </w:trPr>
        <w:tc>
          <w:tcPr>
            <w:tcW w:w="20" w:type="dxa"/>
            <w:vAlign w:val="bottom"/>
          </w:tcPr>
          <w:p>
            <w:pPr>
              <w:spacing w:after="0"/>
              <w:rPr>
                <w:sz w:val="17"/>
                <w:szCs w:val="17"/>
                <w:color w:val="auto"/>
              </w:rPr>
            </w:pPr>
          </w:p>
        </w:tc>
        <w:tc>
          <w:tcPr>
            <w:tcW w:w="762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2,599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Liabilities and Equity</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Current portion of long-term debt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24</w:t>
            </w: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157</w:t>
            </w: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Accrued compensation and benefits costs</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170</w:t>
            </w: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Unearned income</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w:t>
            </w:r>
          </w:p>
        </w:tc>
      </w:tr>
      <w:tr>
        <w:trPr>
          <w:trHeight w:val="198"/>
        </w:trPr>
        <w:tc>
          <w:tcPr>
            <w:tcW w:w="20" w:type="dxa"/>
            <w:vAlign w:val="bottom"/>
            <w:tcBorders>
              <w:bottom w:val="single" w:sz="8" w:color="CCEEFF"/>
            </w:tcBorders>
          </w:tcPr>
          <w:p>
            <w:pPr>
              <w:spacing w:after="0"/>
              <w:rPr>
                <w:sz w:val="17"/>
                <w:szCs w:val="17"/>
                <w:color w:val="auto"/>
              </w:rPr>
            </w:pPr>
          </w:p>
        </w:tc>
        <w:tc>
          <w:tcPr>
            <w:tcW w:w="7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current liabilities</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290</w:t>
            </w:r>
          </w:p>
        </w:tc>
      </w:tr>
      <w:tr>
        <w:trPr>
          <w:trHeight w:val="200"/>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Total current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744</w:t>
            </w:r>
          </w:p>
        </w:tc>
      </w:tr>
      <w:tr>
        <w:trPr>
          <w:trHeight w:val="192"/>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615</w:t>
            </w: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Deferred taxes</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Operating lease liabilities</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138</w:t>
            </w: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long-term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93</w:t>
            </w:r>
          </w:p>
        </w:tc>
      </w:tr>
      <w:tr>
        <w:trPr>
          <w:trHeight w:val="195"/>
        </w:trPr>
        <w:tc>
          <w:tcPr>
            <w:tcW w:w="20" w:type="dxa"/>
            <w:vAlign w:val="bottom"/>
            <w:tcBorders>
              <w:bottom w:val="single" w:sz="8" w:color="CCEEFF"/>
            </w:tcBorders>
          </w:tcPr>
          <w:p>
            <w:pPr>
              <w:spacing w:after="0"/>
              <w:rPr>
                <w:sz w:val="16"/>
                <w:szCs w:val="16"/>
                <w:color w:val="auto"/>
              </w:rPr>
            </w:pPr>
          </w:p>
        </w:tc>
        <w:tc>
          <w:tcPr>
            <w:tcW w:w="7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b w:val="1"/>
                <w:bCs w:val="1"/>
                <w:color w:val="auto"/>
              </w:rPr>
              <w:t>Total Liabilities</w:t>
            </w: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1,614</w:t>
            </w:r>
          </w:p>
        </w:tc>
      </w:tr>
      <w:tr>
        <w:trPr>
          <w:trHeight w:val="197"/>
        </w:trPr>
        <w:tc>
          <w:tcPr>
            <w:tcW w:w="2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5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Contingencies (See Note 12)</w:t>
            </w: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Series A convertible preferred stock</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Treasury stock, at cost</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(210)</w:t>
            </w: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Additional paid-in capital</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3,952</w:t>
            </w: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Retained earnings (deficit)</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(2,486)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(2,433)</w:t>
            </w: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r>
      <w:tr>
        <w:trPr>
          <w:trHeight w:val="195"/>
        </w:trPr>
        <w:tc>
          <w:tcPr>
            <w:tcW w:w="20" w:type="dxa"/>
            <w:vAlign w:val="bottom"/>
          </w:tcPr>
          <w:p>
            <w:pPr>
              <w:spacing w:after="0"/>
              <w:rPr>
                <w:sz w:val="16"/>
                <w:szCs w:val="16"/>
                <w:color w:val="auto"/>
              </w:rPr>
            </w:pPr>
          </w:p>
        </w:tc>
        <w:tc>
          <w:tcPr>
            <w:tcW w:w="762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 Conduent Inc. Equity</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839</w:t>
            </w:r>
          </w:p>
        </w:tc>
      </w:tr>
      <w:tr>
        <w:trPr>
          <w:trHeight w:val="203"/>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Noncontrolling Interest</w:t>
            </w: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w:t>
            </w:r>
          </w:p>
        </w:tc>
      </w:tr>
      <w:tr>
        <w:trPr>
          <w:trHeight w:val="195"/>
        </w:trPr>
        <w:tc>
          <w:tcPr>
            <w:tcW w:w="20" w:type="dxa"/>
            <w:vAlign w:val="bottom"/>
            <w:tcBorders>
              <w:bottom w:val="single" w:sz="8" w:color="CCEEFF"/>
            </w:tcBorders>
          </w:tcPr>
          <w:p>
            <w:pPr>
              <w:spacing w:after="0"/>
              <w:rPr>
                <w:sz w:val="16"/>
                <w:szCs w:val="16"/>
                <w:color w:val="auto"/>
              </w:rPr>
            </w:pPr>
          </w:p>
        </w:tc>
        <w:tc>
          <w:tcPr>
            <w:tcW w:w="7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b w:val="1"/>
                <w:bCs w:val="1"/>
                <w:color w:val="auto"/>
              </w:rPr>
              <w:t>Total Equity</w:t>
            </w: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843</w:t>
            </w:r>
          </w:p>
        </w:tc>
      </w:tr>
      <w:tr>
        <w:trPr>
          <w:trHeight w:val="222"/>
        </w:trPr>
        <w:tc>
          <w:tcPr>
            <w:tcW w:w="20" w:type="dxa"/>
            <w:vAlign w:val="bottom"/>
            <w:tcBorders>
              <w:bottom w:val="single" w:sz="8" w:color="CCEEFF"/>
            </w:tcBorders>
            <w:shd w:val="clear" w:color="auto" w:fill="CCEEFF"/>
          </w:tcPr>
          <w:p>
            <w:pPr>
              <w:spacing w:after="0"/>
              <w:rPr>
                <w:sz w:val="18"/>
                <w:szCs w:val="18"/>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b w:val="1"/>
                <w:bCs w:val="1"/>
                <w:color w:val="auto"/>
              </w:rPr>
              <w:t>Total Liabilities and Equity</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2,599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03"/>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 of common stock issued and outstanding</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161,830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161,829</w:t>
            </w: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Shares of series A convertible preferred stock issued and outstanding</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120</w:t>
            </w: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 of common stock held in treasury</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60,868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60,868</w:t>
            </w:r>
          </w:p>
        </w:tc>
      </w:tr>
    </w:tbl>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6" w:name="page7"/>
    <w:bookmarkEnd w:id="6"/>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CASH FLOWS (UNAUDITED)</w:t>
      </w:r>
    </w:p>
    <w:p>
      <w:pPr>
        <w:spacing w:after="0" w:line="29" w:lineRule="exact"/>
        <w:rPr>
          <w:sz w:val="20"/>
          <w:szCs w:val="20"/>
          <w:color w:val="auto"/>
        </w:rPr>
      </w:pPr>
    </w:p>
    <w:p>
      <w:pPr>
        <w:ind w:left="8940"/>
        <w:spacing w:after="0"/>
        <w:rPr>
          <w:sz w:val="20"/>
          <w:szCs w:val="20"/>
          <w:color w:val="auto"/>
        </w:rPr>
      </w:pPr>
      <w:r>
        <w:rPr>
          <w:rFonts w:ascii="Arial" w:cs="Arial" w:eastAsia="Arial" w:hAnsi="Arial"/>
          <w:sz w:val="14"/>
          <w:szCs w:val="14"/>
          <w:color w:val="auto"/>
        </w:rPr>
        <w:t>Three Months Ended</w:t>
      </w: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color w:val="auto"/>
              </w:rPr>
              <w:t>March 31,</w:t>
            </w:r>
          </w:p>
        </w:tc>
        <w:tc>
          <w:tcPr>
            <w:tcW w:w="1100" w:type="dxa"/>
            <w:vAlign w:val="bottom"/>
            <w:tcBorders>
              <w:bottom w:val="single" w:sz="8" w:color="auto"/>
            </w:tcBorders>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804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340" w:type="dxa"/>
            <w:vAlign w:val="bottom"/>
          </w:tcPr>
          <w:p>
            <w:pPr>
              <w:spacing w:after="0"/>
              <w:rPr>
                <w:sz w:val="13"/>
                <w:szCs w:val="13"/>
                <w:color w:val="auto"/>
              </w:rPr>
            </w:pPr>
          </w:p>
        </w:tc>
        <w:tc>
          <w:tcPr>
            <w:tcW w:w="1180" w:type="dxa"/>
            <w:vAlign w:val="bottom"/>
          </w:tcPr>
          <w:p>
            <w:pPr>
              <w:jc w:val="right"/>
              <w:ind w:right="528"/>
              <w:spacing w:after="0" w:line="155" w:lineRule="exact"/>
              <w:rPr>
                <w:sz w:val="20"/>
                <w:szCs w:val="20"/>
                <w:color w:val="auto"/>
              </w:rPr>
            </w:pPr>
            <w:r>
              <w:rPr>
                <w:rFonts w:ascii="Arial" w:cs="Arial" w:eastAsia="Arial" w:hAnsi="Arial"/>
                <w:sz w:val="14"/>
                <w:szCs w:val="14"/>
                <w:color w:val="auto"/>
              </w:rPr>
              <w:t>2025</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jc w:val="right"/>
              <w:ind w:right="528"/>
              <w:spacing w:after="0" w:line="155" w:lineRule="exact"/>
              <w:rPr>
                <w:sz w:val="20"/>
                <w:szCs w:val="20"/>
                <w:color w:val="auto"/>
              </w:rPr>
            </w:pPr>
            <w:r>
              <w:rPr>
                <w:rFonts w:ascii="Arial" w:cs="Arial" w:eastAsia="Arial" w:hAnsi="Arial"/>
                <w:sz w:val="14"/>
                <w:szCs w:val="14"/>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804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99</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Adjustments required to reconcile net income (loss) to cash flows from operating activities: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62</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Contract inducement amortization</w:t>
            </w: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13</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Amortization of debt financing costs</w:t>
            </w: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Loss on extinguishment of debt</w:t>
            </w:r>
          </w:p>
        </w:tc>
        <w:tc>
          <w:tcPr>
            <w:tcW w:w="3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(Gain) loss on divestitures and sales of fixed assets, net</w:t>
            </w: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Stock-based compensation</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8040" w:type="dxa"/>
            <w:vAlign w:val="bottom"/>
            <w:gridSpan w:val="2"/>
          </w:tcPr>
          <w:p>
            <w:pPr>
              <w:ind w:left="540"/>
              <w:spacing w:after="0"/>
              <w:rPr>
                <w:sz w:val="20"/>
                <w:szCs w:val="20"/>
                <w:color w:val="auto"/>
              </w:rPr>
            </w:pPr>
            <w:r>
              <w:rPr>
                <w:rFonts w:ascii="Arial" w:cs="Arial" w:eastAsia="Arial" w:hAnsi="Arial"/>
                <w:sz w:val="14"/>
                <w:szCs w:val="14"/>
                <w:color w:val="auto"/>
              </w:rPr>
              <w:t>Accounts receivable</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Other current and long-term assets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540"/>
              <w:spacing w:after="0"/>
              <w:rPr>
                <w:sz w:val="20"/>
                <w:szCs w:val="20"/>
                <w:color w:val="auto"/>
              </w:rPr>
            </w:pPr>
            <w:r>
              <w:rPr>
                <w:rFonts w:ascii="Arial" w:cs="Arial" w:eastAsia="Arial" w:hAnsi="Arial"/>
                <w:sz w:val="14"/>
                <w:szCs w:val="14"/>
                <w:color w:val="auto"/>
              </w:rPr>
              <w:t>Accounts payable and accrued compensation and benefits costs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Other current and long-term liabilities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98"/>
        </w:trPr>
        <w:tc>
          <w:tcPr>
            <w:tcW w:w="20" w:type="dxa"/>
            <w:vAlign w:val="bottom"/>
            <w:tcBorders>
              <w:bottom w:val="single" w:sz="8" w:color="CCEEFF"/>
            </w:tcBorders>
          </w:tcPr>
          <w:p>
            <w:pPr>
              <w:spacing w:after="0"/>
              <w:rPr>
                <w:sz w:val="17"/>
                <w:szCs w:val="17"/>
                <w:color w:val="auto"/>
              </w:rPr>
            </w:pPr>
          </w:p>
        </w:tc>
        <w:tc>
          <w:tcPr>
            <w:tcW w:w="8040" w:type="dxa"/>
            <w:vAlign w:val="bottom"/>
            <w:tcBorders>
              <w:bottom w:val="single" w:sz="8" w:color="CCEEFF"/>
            </w:tcBorders>
            <w:gridSpan w:val="2"/>
          </w:tcPr>
          <w:p>
            <w:pPr>
              <w:ind w:left="540"/>
              <w:spacing w:after="0"/>
              <w:rPr>
                <w:sz w:val="20"/>
                <w:szCs w:val="20"/>
                <w:color w:val="auto"/>
              </w:rPr>
            </w:pPr>
            <w:r>
              <w:rPr>
                <w:rFonts w:ascii="Arial" w:cs="Arial" w:eastAsia="Arial" w:hAnsi="Arial"/>
                <w:sz w:val="14"/>
                <w:szCs w:val="14"/>
                <w:color w:val="auto"/>
              </w:rPr>
              <w:t>Net change in income tax assets and liabilities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w:t>
            </w:r>
          </w:p>
        </w:tc>
      </w:tr>
      <w:tr>
        <w:trPr>
          <w:trHeight w:val="200"/>
        </w:trPr>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182"/>
        </w:trPr>
        <w:tc>
          <w:tcPr>
            <w:tcW w:w="20" w:type="dxa"/>
            <w:vAlign w:val="bottom"/>
          </w:tcPr>
          <w:p>
            <w:pPr>
              <w:spacing w:after="0"/>
              <w:rPr>
                <w:sz w:val="15"/>
                <w:szCs w:val="15"/>
                <w:color w:val="auto"/>
              </w:rPr>
            </w:pPr>
          </w:p>
        </w:tc>
        <w:tc>
          <w:tcPr>
            <w:tcW w:w="8040" w:type="dxa"/>
            <w:vAlign w:val="bottom"/>
            <w:gridSpan w:val="2"/>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3"/>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Cost of additions to land, buildings and equipment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Cost of additions to internal use software</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Proceeds from divestitures</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164</w:t>
            </w:r>
          </w:p>
        </w:tc>
      </w:tr>
      <w:tr>
        <w:trPr>
          <w:trHeight w:val="192"/>
        </w:trPr>
        <w:tc>
          <w:tcPr>
            <w:tcW w:w="2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143</w:t>
            </w:r>
          </w:p>
        </w:tc>
      </w:tr>
      <w:tr>
        <w:trPr>
          <w:trHeight w:val="187"/>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Proceeds from revolving credit facility</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Payments on revolving credit facility</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Payments on debt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(175)</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Treasury stock purchases</w:t>
            </w: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Taxes paid for settlement of stock-based compensation</w:t>
            </w:r>
          </w:p>
        </w:tc>
        <w:tc>
          <w:tcPr>
            <w:tcW w:w="3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Dividends paid on preferred stock</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92"/>
        </w:trPr>
        <w:tc>
          <w:tcPr>
            <w:tcW w:w="2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w:t>
            </w:r>
          </w:p>
        </w:tc>
      </w:tr>
      <w:tr>
        <w:trPr>
          <w:trHeight w:val="200"/>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98"/>
        </w:trPr>
        <w:tc>
          <w:tcPr>
            <w:tcW w:w="20" w:type="dxa"/>
            <w:vAlign w:val="bottom"/>
          </w:tcPr>
          <w:p>
            <w:pPr>
              <w:spacing w:after="0"/>
              <w:rPr>
                <w:sz w:val="17"/>
                <w:szCs w:val="17"/>
                <w:color w:val="auto"/>
              </w:rPr>
            </w:pPr>
          </w:p>
        </w:tc>
        <w:tc>
          <w:tcPr>
            <w:tcW w:w="8040" w:type="dxa"/>
            <w:vAlign w:val="bottom"/>
            <w:gridSpan w:val="2"/>
          </w:tcPr>
          <w:p>
            <w:pPr>
              <w:spacing w:after="0"/>
              <w:rPr>
                <w:sz w:val="20"/>
                <w:szCs w:val="20"/>
                <w:color w:val="auto"/>
              </w:rPr>
            </w:pPr>
            <w:r>
              <w:rPr>
                <w:rFonts w:ascii="Arial" w:cs="Arial" w:eastAsia="Arial" w:hAnsi="Arial"/>
                <w:sz w:val="14"/>
                <w:szCs w:val="14"/>
                <w:color w:val="auto"/>
              </w:rPr>
              <w:t>Increase (decrease) in cash, cash equivalents and restricted cash</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(95)</w:t>
            </w:r>
          </w:p>
        </w:tc>
      </w:tr>
      <w:tr>
        <w:trPr>
          <w:trHeight w:val="203"/>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Cash Equivalents and Restricted Cash at Beginning of Period</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519</w:t>
            </w:r>
          </w:p>
        </w:tc>
      </w:tr>
      <w:tr>
        <w:trPr>
          <w:trHeight w:val="200"/>
        </w:trPr>
        <w:tc>
          <w:tcPr>
            <w:tcW w:w="20" w:type="dxa"/>
            <w:vAlign w:val="bottom"/>
          </w:tcPr>
          <w:p>
            <w:pPr>
              <w:spacing w:after="0"/>
              <w:rPr>
                <w:sz w:val="17"/>
                <w:szCs w:val="17"/>
                <w:color w:val="auto"/>
              </w:rPr>
            </w:pPr>
          </w:p>
        </w:tc>
        <w:tc>
          <w:tcPr>
            <w:tcW w:w="8040" w:type="dxa"/>
            <w:vAlign w:val="bottom"/>
            <w:gridSpan w:val="2"/>
          </w:tcPr>
          <w:p>
            <w:pPr>
              <w:spacing w:after="0" w:line="200" w:lineRule="exact"/>
              <w:rPr>
                <w:sz w:val="20"/>
                <w:szCs w:val="20"/>
                <w:color w:val="auto"/>
              </w:rPr>
            </w:pPr>
            <w:r>
              <w:rPr>
                <w:rFonts w:ascii="Arial" w:cs="Arial" w:eastAsia="Arial" w:hAnsi="Arial"/>
                <w:sz w:val="14"/>
                <w:szCs w:val="14"/>
                <w:b w:val="1"/>
                <w:bCs w:val="1"/>
                <w:color w:val="auto"/>
              </w:rPr>
              <w:t>Cash, Cash Equivalents and Restricted Cash at End of period</w:t>
            </w:r>
            <w:r>
              <w:rPr>
                <w:rFonts w:ascii="Arial" w:cs="Arial" w:eastAsia="Arial" w:hAnsi="Arial"/>
                <w:sz w:val="18"/>
                <w:szCs w:val="18"/>
                <w:b w:val="1"/>
                <w:bCs w:val="1"/>
                <w:color w:val="auto"/>
                <w:vertAlign w:val="superscript"/>
              </w:rPr>
              <w:t>(1)</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424</w:t>
            </w: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w:t>
      </w:r>
    </w:p>
    <w:p>
      <w:pPr>
        <w:spacing w:after="0" w:line="71" w:lineRule="exact"/>
        <w:rPr>
          <w:sz w:val="20"/>
          <w:szCs w:val="20"/>
          <w:color w:val="auto"/>
        </w:rPr>
      </w:pPr>
    </w:p>
    <w:p>
      <w:pPr>
        <w:ind w:left="340" w:right="60" w:hanging="332"/>
        <w:spacing w:after="0" w:line="302" w:lineRule="auto"/>
        <w:tabs>
          <w:tab w:leader="none" w:pos="327"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$16 million and $9 million of restricted cash as of March 31, 2025 and 2024, respectively, that were included in Other current assets on the respective Condensed Consolidated Balance Sheets.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7" w:name="page8"/>
    <w:bookmarkEnd w:id="7"/>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 xml:space="preserve">CONDENSED CONSOLIDATED STATEMENTS OF SHAREHOLDERS' EQUITY </w:t>
      </w:r>
      <w:r>
        <w:rPr>
          <w:rFonts w:ascii="Arial" w:cs="Arial" w:eastAsia="Arial" w:hAnsi="Arial"/>
          <w:sz w:val="18"/>
          <w:szCs w:val="18"/>
          <w:b w:val="1"/>
          <w:bCs w:val="1"/>
          <w:color w:val="1269BC"/>
        </w:rPr>
        <w:t>(UNAUDITED)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8"/>
          </w:tcPr>
          <w:p>
            <w:pPr>
              <w:ind w:left="440"/>
              <w:spacing w:after="0"/>
              <w:rPr>
                <w:sz w:val="20"/>
                <w:szCs w:val="20"/>
                <w:color w:val="auto"/>
              </w:rPr>
            </w:pPr>
            <w:r>
              <w:rPr>
                <w:rFonts w:ascii="Arial" w:cs="Arial" w:eastAsia="Arial" w:hAnsi="Arial"/>
                <w:sz w:val="13"/>
                <w:szCs w:val="13"/>
                <w:color w:val="auto"/>
              </w:rPr>
              <w:t>Three Months Ended March 31, 2025</w:t>
            </w: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ind w:left="20"/>
              <w:spacing w:after="0" w:line="122" w:lineRule="exact"/>
              <w:rPr>
                <w:sz w:val="20"/>
                <w:szCs w:val="20"/>
                <w:color w:val="auto"/>
              </w:rPr>
            </w:pPr>
            <w:r>
              <w:rPr>
                <w:rFonts w:ascii="Arial" w:cs="Arial" w:eastAsia="Arial" w:hAnsi="Arial"/>
                <w:sz w:val="13"/>
                <w:szCs w:val="13"/>
                <w:color w:val="auto"/>
              </w:rPr>
              <w:t>Additional Paid-in</w:t>
            </w:r>
          </w:p>
        </w:tc>
        <w:tc>
          <w:tcPr>
            <w:tcW w:w="160" w:type="dxa"/>
            <w:vAlign w:val="bottom"/>
          </w:tcPr>
          <w:p>
            <w:pPr>
              <w:spacing w:after="0"/>
              <w:rPr>
                <w:sz w:val="10"/>
                <w:szCs w:val="10"/>
                <w:color w:val="auto"/>
              </w:rPr>
            </w:pPr>
          </w:p>
        </w:tc>
        <w:tc>
          <w:tcPr>
            <w:tcW w:w="960" w:type="dxa"/>
            <w:vAlign w:val="bottom"/>
            <w:gridSpan w:val="2"/>
          </w:tcPr>
          <w:p>
            <w:pPr>
              <w:ind w:left="100"/>
              <w:spacing w:after="0" w:line="122" w:lineRule="exact"/>
              <w:rPr>
                <w:sz w:val="20"/>
                <w:szCs w:val="20"/>
                <w:color w:val="auto"/>
              </w:rPr>
            </w:pPr>
            <w:r>
              <w:rPr>
                <w:rFonts w:ascii="Arial" w:cs="Arial" w:eastAsia="Arial" w:hAnsi="Arial"/>
                <w:sz w:val="13"/>
                <w:szCs w:val="13"/>
                <w:color w:val="auto"/>
              </w:rPr>
              <w:t>Retained</w:t>
            </w:r>
          </w:p>
        </w:tc>
        <w:tc>
          <w:tcPr>
            <w:tcW w:w="200" w:type="dxa"/>
            <w:vAlign w:val="bottom"/>
          </w:tcPr>
          <w:p>
            <w:pPr>
              <w:spacing w:after="0"/>
              <w:rPr>
                <w:sz w:val="10"/>
                <w:szCs w:val="10"/>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3"/>
                <w:szCs w:val="13"/>
                <w:color w:val="auto"/>
              </w:rPr>
              <w:t>AOCL</w:t>
            </w:r>
            <w:r>
              <w:rPr>
                <w:rFonts w:ascii="Arial" w:cs="Arial" w:eastAsia="Arial" w:hAnsi="Arial"/>
                <w:sz w:val="16"/>
                <w:szCs w:val="16"/>
                <w:color w:val="auto"/>
                <w:vertAlign w:val="superscript"/>
              </w:rPr>
              <w:t>(1)</w:t>
            </w:r>
          </w:p>
        </w:tc>
        <w:tc>
          <w:tcPr>
            <w:tcW w:w="8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8"/>
              </w:rPr>
              <w:t>Non-controlling</w:t>
            </w:r>
          </w:p>
        </w:tc>
        <w:tc>
          <w:tcPr>
            <w:tcW w:w="120" w:type="dxa"/>
            <w:vAlign w:val="bottom"/>
          </w:tcPr>
          <w:p>
            <w:pPr>
              <w:spacing w:after="0"/>
              <w:rPr>
                <w:sz w:val="10"/>
                <w:szCs w:val="10"/>
                <w:color w:val="auto"/>
              </w:rPr>
            </w:pPr>
          </w:p>
        </w:tc>
        <w:tc>
          <w:tcPr>
            <w:tcW w:w="980" w:type="dxa"/>
            <w:vAlign w:val="bottom"/>
          </w:tcPr>
          <w:p>
            <w:pPr>
              <w:jc w:val="center"/>
              <w:ind w:right="57"/>
              <w:spacing w:after="0" w:line="122" w:lineRule="exact"/>
              <w:rPr>
                <w:sz w:val="20"/>
                <w:szCs w:val="20"/>
                <w:color w:val="auto"/>
              </w:rPr>
            </w:pPr>
            <w:r>
              <w:rPr>
                <w:rFonts w:ascii="Arial" w:cs="Arial" w:eastAsia="Arial" w:hAnsi="Arial"/>
                <w:sz w:val="13"/>
                <w:szCs w:val="13"/>
                <w:color w:val="auto"/>
                <w:w w:val="97"/>
              </w:rPr>
              <w:t>Shareholders'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140" w:type="dxa"/>
            <w:vAlign w:val="bottom"/>
            <w:gridSpan w:val="3"/>
          </w:tcPr>
          <w:p>
            <w:pPr>
              <w:ind w:left="80"/>
              <w:spacing w:after="0"/>
              <w:rPr>
                <w:sz w:val="20"/>
                <w:szCs w:val="20"/>
                <w:color w:val="auto"/>
              </w:rPr>
            </w:pPr>
            <w:r>
              <w:rPr>
                <w:rFonts w:ascii="Arial" w:cs="Arial" w:eastAsia="Arial" w:hAnsi="Arial"/>
                <w:sz w:val="13"/>
                <w:szCs w:val="13"/>
                <w:color w:val="auto"/>
              </w:rPr>
              <w:t>Common Stock</w:t>
            </w:r>
          </w:p>
        </w:tc>
        <w:tc>
          <w:tcPr>
            <w:tcW w:w="80" w:type="dxa"/>
            <w:vAlign w:val="bottom"/>
          </w:tcPr>
          <w:p>
            <w:pPr>
              <w:spacing w:after="0"/>
              <w:rPr>
                <w:sz w:val="12"/>
                <w:szCs w:val="12"/>
                <w:color w:val="auto"/>
              </w:rPr>
            </w:pPr>
          </w:p>
        </w:tc>
        <w:tc>
          <w:tcPr>
            <w:tcW w:w="1040" w:type="dxa"/>
            <w:vAlign w:val="bottom"/>
            <w:gridSpan w:val="2"/>
          </w:tcPr>
          <w:p>
            <w:pPr>
              <w:spacing w:after="0"/>
              <w:rPr>
                <w:sz w:val="20"/>
                <w:szCs w:val="20"/>
                <w:color w:val="auto"/>
              </w:rPr>
            </w:pPr>
            <w:r>
              <w:rPr>
                <w:rFonts w:ascii="Arial" w:cs="Arial" w:eastAsia="Arial" w:hAnsi="Arial"/>
                <w:sz w:val="13"/>
                <w:szCs w:val="13"/>
                <w:color w:val="auto"/>
              </w:rPr>
              <w:t>Treasury Stock</w:t>
            </w:r>
          </w:p>
        </w:tc>
        <w:tc>
          <w:tcPr>
            <w:tcW w:w="200" w:type="dxa"/>
            <w:vAlign w:val="bottom"/>
          </w:tcPr>
          <w:p>
            <w:pPr>
              <w:spacing w:after="0"/>
              <w:rPr>
                <w:sz w:val="12"/>
                <w:szCs w:val="12"/>
                <w:color w:val="auto"/>
              </w:rPr>
            </w:pPr>
          </w:p>
        </w:tc>
        <w:tc>
          <w:tcPr>
            <w:tcW w:w="940" w:type="dxa"/>
            <w:vAlign w:val="bottom"/>
            <w:gridSpan w:val="2"/>
          </w:tcPr>
          <w:p>
            <w:pPr>
              <w:ind w:left="120"/>
              <w:spacing w:after="0"/>
              <w:rPr>
                <w:sz w:val="20"/>
                <w:szCs w:val="20"/>
                <w:color w:val="auto"/>
              </w:rPr>
            </w:pPr>
            <w:r>
              <w:rPr>
                <w:rFonts w:ascii="Arial" w:cs="Arial" w:eastAsia="Arial" w:hAnsi="Arial"/>
                <w:sz w:val="13"/>
                <w:szCs w:val="13"/>
                <w:color w:val="auto"/>
              </w:rPr>
              <w:t>Capital</w:t>
            </w:r>
          </w:p>
        </w:tc>
        <w:tc>
          <w:tcPr>
            <w:tcW w:w="1120" w:type="dxa"/>
            <w:vAlign w:val="bottom"/>
            <w:gridSpan w:val="3"/>
          </w:tcPr>
          <w:p>
            <w:pPr>
              <w:ind w:left="20"/>
              <w:spacing w:after="0"/>
              <w:rPr>
                <w:sz w:val="20"/>
                <w:szCs w:val="20"/>
                <w:color w:val="auto"/>
              </w:rPr>
            </w:pPr>
            <w:r>
              <w:rPr>
                <w:rFonts w:ascii="Arial" w:cs="Arial" w:eastAsia="Arial" w:hAnsi="Arial"/>
                <w:sz w:val="13"/>
                <w:szCs w:val="13"/>
                <w:color w:val="auto"/>
              </w:rPr>
              <w:t>Earnings (Deficit)</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color w:val="auto"/>
                <w:w w:val="96"/>
              </w:rPr>
              <w:t>Interest</w:t>
            </w:r>
          </w:p>
        </w:tc>
        <w:tc>
          <w:tcPr>
            <w:tcW w:w="120" w:type="dxa"/>
            <w:vAlign w:val="bottom"/>
          </w:tcPr>
          <w:p>
            <w:pPr>
              <w:spacing w:after="0"/>
              <w:rPr>
                <w:sz w:val="12"/>
                <w:szCs w:val="12"/>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2024</w:t>
            </w:r>
          </w:p>
        </w:tc>
        <w:tc>
          <w:tcPr>
            <w:tcW w:w="46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3,952</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Dividends - preferred stock, $20/share</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incentive plans, net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Treasury stock purchases</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Comprehensive Income (Loss):</w:t>
            </w:r>
          </w:p>
        </w:tc>
        <w:tc>
          <w:tcPr>
            <w:tcW w:w="4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Net Income (Loss)</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Other comprehensive income (loss), net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64"/>
        </w:trPr>
        <w:tc>
          <w:tcPr>
            <w:tcW w:w="20" w:type="dxa"/>
            <w:vAlign w:val="bottom"/>
            <w:tcBorders>
              <w:bottom w:val="single" w:sz="8" w:color="CCEEFF"/>
            </w:tcBorders>
          </w:tcPr>
          <w:p>
            <w:pPr>
              <w:spacing w:after="0"/>
              <w:rPr>
                <w:sz w:val="14"/>
                <w:szCs w:val="14"/>
                <w:color w:val="auto"/>
              </w:rPr>
            </w:pPr>
          </w:p>
        </w:tc>
        <w:tc>
          <w:tcPr>
            <w:tcW w:w="33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Total Comprehensive Income (Loss), Net</w:t>
            </w:r>
          </w:p>
        </w:tc>
        <w:tc>
          <w:tcPr>
            <w:tcW w:w="4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(51)</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11</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6"/>
                <w:szCs w:val="16"/>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March 31, 2025</w:t>
            </w:r>
          </w:p>
        </w:tc>
        <w:tc>
          <w:tcPr>
            <w:tcW w:w="46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3,955</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(2,486)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(461)</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8"/>
          </w:tcPr>
          <w:p>
            <w:pPr>
              <w:ind w:left="440"/>
              <w:spacing w:after="0"/>
              <w:rPr>
                <w:sz w:val="20"/>
                <w:szCs w:val="20"/>
                <w:color w:val="auto"/>
              </w:rPr>
            </w:pPr>
            <w:r>
              <w:rPr>
                <w:rFonts w:ascii="Arial" w:cs="Arial" w:eastAsia="Arial" w:hAnsi="Arial"/>
                <w:sz w:val="13"/>
                <w:szCs w:val="13"/>
                <w:color w:val="auto"/>
              </w:rPr>
              <w:t>Three Months Ended March 31, 2024</w:t>
            </w: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ind w:left="20"/>
              <w:spacing w:after="0" w:line="122" w:lineRule="exact"/>
              <w:rPr>
                <w:sz w:val="20"/>
                <w:szCs w:val="20"/>
                <w:color w:val="auto"/>
              </w:rPr>
            </w:pPr>
            <w:r>
              <w:rPr>
                <w:rFonts w:ascii="Arial" w:cs="Arial" w:eastAsia="Arial" w:hAnsi="Arial"/>
                <w:sz w:val="13"/>
                <w:szCs w:val="13"/>
                <w:color w:val="auto"/>
              </w:rPr>
              <w:t>Additional Paid-in</w:t>
            </w:r>
          </w:p>
        </w:tc>
        <w:tc>
          <w:tcPr>
            <w:tcW w:w="160" w:type="dxa"/>
            <w:vAlign w:val="bottom"/>
          </w:tcPr>
          <w:p>
            <w:pPr>
              <w:spacing w:after="0"/>
              <w:rPr>
                <w:sz w:val="10"/>
                <w:szCs w:val="10"/>
                <w:color w:val="auto"/>
              </w:rPr>
            </w:pPr>
          </w:p>
        </w:tc>
        <w:tc>
          <w:tcPr>
            <w:tcW w:w="960" w:type="dxa"/>
            <w:vAlign w:val="bottom"/>
            <w:gridSpan w:val="2"/>
          </w:tcPr>
          <w:p>
            <w:pPr>
              <w:ind w:left="100"/>
              <w:spacing w:after="0" w:line="122" w:lineRule="exact"/>
              <w:rPr>
                <w:sz w:val="20"/>
                <w:szCs w:val="20"/>
                <w:color w:val="auto"/>
              </w:rPr>
            </w:pPr>
            <w:r>
              <w:rPr>
                <w:rFonts w:ascii="Arial" w:cs="Arial" w:eastAsia="Arial" w:hAnsi="Arial"/>
                <w:sz w:val="13"/>
                <w:szCs w:val="13"/>
                <w:color w:val="auto"/>
              </w:rPr>
              <w:t>Retained</w:t>
            </w:r>
          </w:p>
        </w:tc>
        <w:tc>
          <w:tcPr>
            <w:tcW w:w="200" w:type="dxa"/>
            <w:vAlign w:val="bottom"/>
          </w:tcPr>
          <w:p>
            <w:pPr>
              <w:spacing w:after="0"/>
              <w:rPr>
                <w:sz w:val="10"/>
                <w:szCs w:val="10"/>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3"/>
                <w:szCs w:val="13"/>
                <w:color w:val="auto"/>
              </w:rPr>
              <w:t>AOCL</w:t>
            </w:r>
            <w:r>
              <w:rPr>
                <w:rFonts w:ascii="Arial" w:cs="Arial" w:eastAsia="Arial" w:hAnsi="Arial"/>
                <w:sz w:val="16"/>
                <w:szCs w:val="16"/>
                <w:color w:val="auto"/>
                <w:vertAlign w:val="superscript"/>
              </w:rPr>
              <w:t>(1)</w:t>
            </w:r>
          </w:p>
        </w:tc>
        <w:tc>
          <w:tcPr>
            <w:tcW w:w="8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8"/>
              </w:rPr>
              <w:t>Non-controlling</w:t>
            </w:r>
          </w:p>
        </w:tc>
        <w:tc>
          <w:tcPr>
            <w:tcW w:w="120" w:type="dxa"/>
            <w:vAlign w:val="bottom"/>
          </w:tcPr>
          <w:p>
            <w:pPr>
              <w:spacing w:after="0"/>
              <w:rPr>
                <w:sz w:val="10"/>
                <w:szCs w:val="10"/>
                <w:color w:val="auto"/>
              </w:rPr>
            </w:pPr>
          </w:p>
        </w:tc>
        <w:tc>
          <w:tcPr>
            <w:tcW w:w="980" w:type="dxa"/>
            <w:vAlign w:val="bottom"/>
          </w:tcPr>
          <w:p>
            <w:pPr>
              <w:jc w:val="center"/>
              <w:ind w:right="57"/>
              <w:spacing w:after="0" w:line="122" w:lineRule="exact"/>
              <w:rPr>
                <w:sz w:val="20"/>
                <w:szCs w:val="20"/>
                <w:color w:val="auto"/>
              </w:rPr>
            </w:pPr>
            <w:r>
              <w:rPr>
                <w:rFonts w:ascii="Arial" w:cs="Arial" w:eastAsia="Arial" w:hAnsi="Arial"/>
                <w:sz w:val="13"/>
                <w:szCs w:val="13"/>
                <w:color w:val="auto"/>
                <w:w w:val="97"/>
              </w:rPr>
              <w:t>Shareholders'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140" w:type="dxa"/>
            <w:vAlign w:val="bottom"/>
            <w:gridSpan w:val="3"/>
          </w:tcPr>
          <w:p>
            <w:pPr>
              <w:ind w:left="80"/>
              <w:spacing w:after="0"/>
              <w:rPr>
                <w:sz w:val="20"/>
                <w:szCs w:val="20"/>
                <w:color w:val="auto"/>
              </w:rPr>
            </w:pPr>
            <w:r>
              <w:rPr>
                <w:rFonts w:ascii="Arial" w:cs="Arial" w:eastAsia="Arial" w:hAnsi="Arial"/>
                <w:sz w:val="13"/>
                <w:szCs w:val="13"/>
                <w:color w:val="auto"/>
              </w:rPr>
              <w:t>Common Stock</w:t>
            </w:r>
          </w:p>
        </w:tc>
        <w:tc>
          <w:tcPr>
            <w:tcW w:w="80" w:type="dxa"/>
            <w:vAlign w:val="bottom"/>
          </w:tcPr>
          <w:p>
            <w:pPr>
              <w:spacing w:after="0"/>
              <w:rPr>
                <w:sz w:val="12"/>
                <w:szCs w:val="12"/>
                <w:color w:val="auto"/>
              </w:rPr>
            </w:pPr>
          </w:p>
        </w:tc>
        <w:tc>
          <w:tcPr>
            <w:tcW w:w="1040" w:type="dxa"/>
            <w:vAlign w:val="bottom"/>
            <w:gridSpan w:val="2"/>
          </w:tcPr>
          <w:p>
            <w:pPr>
              <w:spacing w:after="0"/>
              <w:rPr>
                <w:sz w:val="20"/>
                <w:szCs w:val="20"/>
                <w:color w:val="auto"/>
              </w:rPr>
            </w:pPr>
            <w:r>
              <w:rPr>
                <w:rFonts w:ascii="Arial" w:cs="Arial" w:eastAsia="Arial" w:hAnsi="Arial"/>
                <w:sz w:val="13"/>
                <w:szCs w:val="13"/>
                <w:color w:val="auto"/>
              </w:rPr>
              <w:t>Treasury Stock</w:t>
            </w:r>
          </w:p>
        </w:tc>
        <w:tc>
          <w:tcPr>
            <w:tcW w:w="200" w:type="dxa"/>
            <w:vAlign w:val="bottom"/>
          </w:tcPr>
          <w:p>
            <w:pPr>
              <w:spacing w:after="0"/>
              <w:rPr>
                <w:sz w:val="12"/>
                <w:szCs w:val="12"/>
                <w:color w:val="auto"/>
              </w:rPr>
            </w:pPr>
          </w:p>
        </w:tc>
        <w:tc>
          <w:tcPr>
            <w:tcW w:w="940" w:type="dxa"/>
            <w:vAlign w:val="bottom"/>
            <w:gridSpan w:val="2"/>
          </w:tcPr>
          <w:p>
            <w:pPr>
              <w:ind w:left="120"/>
              <w:spacing w:after="0"/>
              <w:rPr>
                <w:sz w:val="20"/>
                <w:szCs w:val="20"/>
                <w:color w:val="auto"/>
              </w:rPr>
            </w:pPr>
            <w:r>
              <w:rPr>
                <w:rFonts w:ascii="Arial" w:cs="Arial" w:eastAsia="Arial" w:hAnsi="Arial"/>
                <w:sz w:val="13"/>
                <w:szCs w:val="13"/>
                <w:color w:val="auto"/>
              </w:rPr>
              <w:t>Capital</w:t>
            </w:r>
          </w:p>
        </w:tc>
        <w:tc>
          <w:tcPr>
            <w:tcW w:w="1120" w:type="dxa"/>
            <w:vAlign w:val="bottom"/>
            <w:gridSpan w:val="3"/>
          </w:tcPr>
          <w:p>
            <w:pPr>
              <w:ind w:left="20"/>
              <w:spacing w:after="0"/>
              <w:rPr>
                <w:sz w:val="20"/>
                <w:szCs w:val="20"/>
                <w:color w:val="auto"/>
              </w:rPr>
            </w:pPr>
            <w:r>
              <w:rPr>
                <w:rFonts w:ascii="Arial" w:cs="Arial" w:eastAsia="Arial" w:hAnsi="Arial"/>
                <w:sz w:val="13"/>
                <w:szCs w:val="13"/>
                <w:color w:val="auto"/>
              </w:rPr>
              <w:t>Earnings (Deficit)</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color w:val="auto"/>
                <w:w w:val="96"/>
              </w:rPr>
              <w:t>Interest</w:t>
            </w:r>
          </w:p>
        </w:tc>
        <w:tc>
          <w:tcPr>
            <w:tcW w:w="120" w:type="dxa"/>
            <w:vAlign w:val="bottom"/>
          </w:tcPr>
          <w:p>
            <w:pPr>
              <w:spacing w:after="0"/>
              <w:rPr>
                <w:sz w:val="12"/>
                <w:szCs w:val="12"/>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2023</w:t>
            </w:r>
          </w:p>
        </w:tc>
        <w:tc>
          <w:tcPr>
            <w:tcW w:w="46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3,938</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Dividends - preferred stock, $20/share</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incentive plans, net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Treasury stock purchases</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Comprehensive Income (Loss):</w:t>
            </w:r>
          </w:p>
        </w:tc>
        <w:tc>
          <w:tcPr>
            <w:tcW w:w="4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Net Income (Loss)</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Other comprehensive income (loss), net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64"/>
        </w:trPr>
        <w:tc>
          <w:tcPr>
            <w:tcW w:w="20" w:type="dxa"/>
            <w:vAlign w:val="bottom"/>
            <w:tcBorders>
              <w:bottom w:val="single" w:sz="8" w:color="CCEEFF"/>
            </w:tcBorders>
          </w:tcPr>
          <w:p>
            <w:pPr>
              <w:spacing w:after="0"/>
              <w:rPr>
                <w:sz w:val="14"/>
                <w:szCs w:val="14"/>
                <w:color w:val="auto"/>
              </w:rPr>
            </w:pPr>
          </w:p>
        </w:tc>
        <w:tc>
          <w:tcPr>
            <w:tcW w:w="33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Total Comprehensive Income (Loss), Net</w:t>
            </w:r>
          </w:p>
        </w:tc>
        <w:tc>
          <w:tcPr>
            <w:tcW w:w="4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99</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6"/>
                <w:szCs w:val="16"/>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March 31, 2024</w:t>
            </w:r>
          </w:p>
        </w:tc>
        <w:tc>
          <w:tcPr>
            <w:tcW w:w="46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3,941</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(446)</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p>
    <w:p>
      <w:pPr>
        <w:spacing w:after="0" w:line="71" w:lineRule="exact"/>
        <w:rPr>
          <w:sz w:val="20"/>
          <w:szCs w:val="20"/>
          <w:color w:val="auto"/>
        </w:rPr>
      </w:pPr>
    </w:p>
    <w:p>
      <w:pPr>
        <w:jc w:val="right"/>
        <w:ind w:left="2700" w:right="2040" w:hanging="2692"/>
        <w:spacing w:after="0" w:line="382" w:lineRule="auto"/>
        <w:tabs>
          <w:tab w:leader="none" w:pos="314"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AOCL - Accumulated other comprehensive loss. Refer to Note 11 – Accumulated Other Comprehensive Loss for the components of AOCL. The accompanying notes are an integral part of these Condensed Consolidated Financial Statements.</w:t>
      </w:r>
    </w:p>
    <w:p>
      <w:pPr>
        <w:spacing w:after="0" w:line="12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2025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8" w:name="page9"/>
    <w:bookmarkEnd w:id="8"/>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 – Basis of Presentation</w:t>
      </w:r>
    </w:p>
    <w:p>
      <w:pPr>
        <w:spacing w:after="0" w:line="162"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References herein to “we,” “us,” “our,” the “Company” and “Conduent” refer to Conduent Incorporated and its consolidated subsidiaries unless the context suggests otherwise.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Description of Business</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Conduent Incorporated is a New York corporation, organized in 2016. Conduent delivers digital business solutions and services spanning the commercial, government and transportation spectrum – creating valuable outcomes for its clients and the millions of people who count on them. The Company leverages cloud computing, artificial intelligence ("AI"), machine learning, automation and advanced analytics to deliver mission-critical solutions. Through a dedicated global team of approximately 53,000 associates, as well as process expertise and advanced technologies, Conduent's solutions and services digitally transform its clients’ operations to enhance customer experiences, improve performance, increase efficiencies and reduce costs.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Basis of Presentation</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unaudited interim Condensed Consolidated Financial Statements have been prepared in accordance with accounting principles generally accepted in the United States of America ("U.S. GAAP") on a basis consistent with reporting interim financial information in accordance with instructions to Form 10-Q and Article 10 of Regulation S-X of the Securities and Exchange Commission (the "SEC"). Accordingly, they do not include all the information and notes required by U.S. GAAP for complete financial statements. The year-end Condensed Consolidated Balance Sheet was derived from the audited Consolidated Financial Statements included in the Company's Annual Report on Form 10-K for the year ended December 31, 2024. Intercompany balances and transactions have been eliminated. In the opinion of management, all adjustments necessary for a fair statement of the financial position, results of operations and cash flows have been made. These adjustments consist of normal recurring items. The interim results of operations are not necessarily indicative of the results of the full year. These financial statements should be read in conjunction with the Company’s Consolidated Financial Statements included in the Company’s Annual Report on Form 10-K for the year ended December 31, 2024.</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Use of Estimates</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Preparation of financial statements in conformity with U.S. GAAP requires the Company to make estimates and assumptions that affect the amounts reported and disclosed in the financial statements and the accompanying notes. Actual results could differ materially from these estimates. On an ongoing basis, the Company evaluates its estimates, including those related to fair values of financial instruments, goodwill and intangible assets, income taxes and contingent liabilities, among others. The Company bases its estimates on assumptions, both historical and forward looking, that are believed to be reasonable, the results of which form the basis for making judgments about the carrying values of assets and liabilities.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Summary of Significant Accounting Policies</w:t>
      </w:r>
    </w:p>
    <w:p>
      <w:pPr>
        <w:spacing w:after="0" w:line="171"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The Company's significant accounting policies are described in Note 1 – Basis of Presentation and Summary of Significant Accounting Policies in the Company's Annual Report on Form 10-K for the year ended December 31, 2024.</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During 2025, there have been no changes to the Company's significant accounting policies as described therein.</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2 – Recent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1269BD"/>
        </w:rPr>
        <w:t>New Accounting Standards Adopted</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color w:val="auto"/>
        </w:rPr>
        <w:t>In November 2023, the Financial Accounting Standards Board ("FASB") issued final guidance that expands reportable</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disclosures, particularly incremental segment expense disclosures. This guidance is effective for fiscal years beginning after December 15, 2023 and interim periods within fiscal years beginning after December 15, 2024. As the guidance is disclosure related, adoption did not have any impact on the Company's Condensed Consolidated Financial Statements. The required additional disclosure is included in Note 4 – Segment Reporting.</w:t>
      </w:r>
    </w:p>
    <w:p>
      <w:pPr>
        <w:spacing w:after="0" w:line="200" w:lineRule="exact"/>
        <w:rPr>
          <w:sz w:val="20"/>
          <w:szCs w:val="20"/>
          <w:color w:val="auto"/>
        </w:rPr>
      </w:pPr>
    </w:p>
    <w:p>
      <w:pPr>
        <w:spacing w:after="0" w:line="326"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2025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9" w:name="page10"/>
    <w:bookmarkEnd w:id="9"/>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1269BD"/>
        </w:rPr>
        <w:t>New Accounting Standards To Be Adopted</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In December 2023, the FASB issued final guidance designed to improve income tax disclosures, particularly disclosures</w:t>
      </w:r>
      <w:r>
        <w:rPr>
          <w:rFonts w:ascii="Arial" w:cs="Arial" w:eastAsia="Arial" w:hAnsi="Arial"/>
          <w:sz w:val="18"/>
          <w:szCs w:val="18"/>
          <w:b w:val="1"/>
          <w:bCs w:val="1"/>
          <w:color w:val="auto"/>
        </w:rPr>
        <w:t xml:space="preserve"> </w:t>
      </w:r>
      <w:r>
        <w:rPr>
          <w:rFonts w:ascii="Arial" w:cs="Arial" w:eastAsia="Arial" w:hAnsi="Arial"/>
          <w:sz w:val="18"/>
          <w:szCs w:val="18"/>
          <w:color w:val="auto"/>
        </w:rPr>
        <w:t>around business entities' income tax rate reconciliation and income taxes paid. The guidance requires consistent categories and greater disaggregation of information in the reconciliation of an entity's statutory tax rate to its effective tax rate and information about income taxes paid disaggregated by jurisdiction. This guidance is effective for fiscal years beginning after December 15, 2024. The required disclosure will be included in the Company's Annual Report on Form 10-K for the year ended December 31, 2025. As the guidance is disclosure related, adoption will not have any impact on the Company's Condensed Consolidated Financial Statements.</w:t>
      </w:r>
    </w:p>
    <w:p>
      <w:pPr>
        <w:spacing w:after="0" w:line="12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color w:val="auto"/>
        </w:rPr>
        <w:t xml:space="preserve">Disaggregation of Income Statement Expenses: </w:t>
      </w:r>
      <w:r>
        <w:rPr>
          <w:rFonts w:ascii="Arial" w:cs="Arial" w:eastAsia="Arial" w:hAnsi="Arial"/>
          <w:sz w:val="18"/>
          <w:szCs w:val="18"/>
          <w:color w:val="auto"/>
        </w:rPr>
        <w:t>In November 2024, the FASB issued final guidance designed to enhance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reporting by requiring public business entities to disclose additional details regarding specific expense categories in the notes to the financial statements for both interim and annual periods. The new guidance is effective for annual periods beginning after December 15, 2026 and interim periods beginning after December 15, 2027. The Company is not early adopting this guidance. As the guidance is disclosure related, adoption will not have any impact on the Company's Condensed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3 – Revenue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71" w:lineRule="exact"/>
        <w:rPr>
          <w:sz w:val="20"/>
          <w:szCs w:val="20"/>
          <w:color w:val="auto"/>
        </w:rPr>
      </w:pPr>
    </w:p>
    <w:p>
      <w:pPr>
        <w:jc w:val="both"/>
        <w:ind w:right="140"/>
        <w:spacing w:after="0" w:line="291" w:lineRule="auto"/>
        <w:rPr>
          <w:sz w:val="20"/>
          <w:szCs w:val="20"/>
          <w:color w:val="auto"/>
        </w:rPr>
      </w:pPr>
      <w:r>
        <w:rPr>
          <w:rFonts w:ascii="Arial" w:cs="Arial" w:eastAsia="Arial" w:hAnsi="Arial"/>
          <w:sz w:val="17"/>
          <w:szCs w:val="17"/>
          <w:color w:val="auto"/>
        </w:rPr>
        <w:t>In 2024, revenue from the BenefitWallet Portfolio and the Casualty Claims Solutions business were reclassified to the Divestitures segment from the Commercial segment. In addition, in 2024, revenue from the Curbside Management and Public Safety businesses was reclassified to the Divestitures segment from the Transportation segment. All prior periods presented have been recast to reflect these changes.</w:t>
      </w:r>
    </w:p>
    <w:p>
      <w:pPr>
        <w:spacing w:after="0" w:line="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During the first quarter of 2025, the Company updated the presentation of disaggregated revenue by major service offering within the Commercial segment. This change had no impact on disaggregated revenue by reportable segment or the timing of revenue recognition. All prior periods presented have been revised to reflect this change.</w:t>
      </w:r>
    </w:p>
    <w:p>
      <w:pPr>
        <w:spacing w:after="0" w:line="117"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The following table provides information about disaggregated revenue by major service offering and reportable segment and the timing of revenue recognition. Refer to Note 4 – Segment Reporting for additional information on the Company's reportable segments and Note 5 – Divestitures for additional information on the Company's divestitures.</w:t>
      </w: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10" w:name="page11"/>
    <w:bookmarkEnd w:id="10"/>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9260"/>
        <w:spacing w:after="0"/>
        <w:rPr>
          <w:sz w:val="20"/>
          <w:szCs w:val="20"/>
          <w:color w:val="auto"/>
        </w:rPr>
      </w:pPr>
      <w:r>
        <w:rPr>
          <w:rFonts w:ascii="Arial" w:cs="Arial" w:eastAsia="Arial" w:hAnsi="Arial"/>
          <w:sz w:val="14"/>
          <w:szCs w:val="14"/>
          <w:color w:val="auto"/>
        </w:rPr>
        <w:t>Three Months Ended</w:t>
      </w:r>
    </w:p>
    <w:p>
      <w:pPr>
        <w:ind w:left="9640"/>
        <w:spacing w:after="0"/>
        <w:rPr>
          <w:sz w:val="20"/>
          <w:szCs w:val="20"/>
          <w:color w:val="auto"/>
        </w:rPr>
      </w:pPr>
      <w:r>
        <w:rPr>
          <w:rFonts w:ascii="Arial" w:cs="Arial" w:eastAsia="Arial" w:hAnsi="Arial"/>
          <w:sz w:val="14"/>
          <w:szCs w:val="14"/>
          <w:color w:val="auto"/>
        </w:rPr>
        <w:t>March 31,</w:t>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64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color w:val="auto"/>
              </w:rPr>
              <w:t>2025</w:t>
            </w:r>
          </w:p>
        </w:tc>
        <w:tc>
          <w:tcPr>
            <w:tcW w:w="1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Commercial:</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6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Customer Experience Management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40" w:type="dxa"/>
            <w:vAlign w:val="bottom"/>
            <w:gridSpan w:val="2"/>
          </w:tcPr>
          <w:p>
            <w:pPr>
              <w:ind w:left="120"/>
              <w:spacing w:after="0"/>
              <w:rPr>
                <w:sz w:val="20"/>
                <w:szCs w:val="20"/>
                <w:color w:val="auto"/>
              </w:rPr>
            </w:pPr>
            <w:r>
              <w:rPr>
                <w:rFonts w:ascii="Arial" w:cs="Arial" w:eastAsia="Arial" w:hAnsi="Arial"/>
                <w:sz w:val="14"/>
                <w:szCs w:val="14"/>
                <w:color w:val="auto"/>
              </w:rPr>
              <w:t>BPaaS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86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Integrated Digital Solutions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86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Commercial</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419</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Government: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40" w:type="dxa"/>
            <w:vAlign w:val="bottom"/>
            <w:gridSpan w:val="2"/>
          </w:tcPr>
          <w:p>
            <w:pPr>
              <w:ind w:left="120"/>
              <w:spacing w:after="0"/>
              <w:rPr>
                <w:sz w:val="20"/>
                <w:szCs w:val="20"/>
                <w:color w:val="auto"/>
              </w:rPr>
            </w:pPr>
            <w:r>
              <w:rPr>
                <w:rFonts w:ascii="Arial" w:cs="Arial" w:eastAsia="Arial" w:hAnsi="Arial"/>
                <w:sz w:val="14"/>
                <w:szCs w:val="14"/>
                <w:color w:val="auto"/>
              </w:rPr>
              <w:t>Government Healthcare Solutions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86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Government Services Solutions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86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Government</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5"/>
                <w:szCs w:val="15"/>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Transportation:</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40" w:type="dxa"/>
            <w:vAlign w:val="bottom"/>
            <w:gridSpan w:val="2"/>
          </w:tcPr>
          <w:p>
            <w:pPr>
              <w:ind w:left="120"/>
              <w:spacing w:after="0"/>
              <w:rPr>
                <w:sz w:val="20"/>
                <w:szCs w:val="20"/>
                <w:color w:val="auto"/>
              </w:rPr>
            </w:pPr>
            <w:r>
              <w:rPr>
                <w:rFonts w:ascii="Arial" w:cs="Arial" w:eastAsia="Arial" w:hAnsi="Arial"/>
                <w:sz w:val="14"/>
                <w:szCs w:val="14"/>
                <w:color w:val="auto"/>
              </w:rPr>
              <w:t>Road Usage Charging &amp; Management Solutions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86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Transit Solutions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40" w:type="dxa"/>
            <w:vAlign w:val="bottom"/>
            <w:gridSpan w:val="2"/>
          </w:tcPr>
          <w:p>
            <w:pPr>
              <w:ind w:left="120"/>
              <w:spacing w:after="0"/>
              <w:rPr>
                <w:sz w:val="20"/>
                <w:szCs w:val="20"/>
                <w:color w:val="auto"/>
              </w:rPr>
            </w:pPr>
            <w:r>
              <w:rPr>
                <w:rFonts w:ascii="Arial" w:cs="Arial" w:eastAsia="Arial" w:hAnsi="Arial"/>
                <w:sz w:val="14"/>
                <w:szCs w:val="14"/>
                <w:color w:val="auto"/>
              </w:rPr>
              <w:t>Commercial Vehicles</w:t>
            </w:r>
          </w:p>
        </w:tc>
        <w:tc>
          <w:tcPr>
            <w:tcW w:w="2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8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Transportation</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640" w:type="dxa"/>
            <w:vAlign w:val="bottom"/>
            <w:gridSpan w:val="2"/>
          </w:tcPr>
          <w:p>
            <w:pPr>
              <w:spacing w:after="0"/>
              <w:rPr>
                <w:sz w:val="20"/>
                <w:szCs w:val="20"/>
                <w:color w:val="auto"/>
              </w:rPr>
            </w:pPr>
            <w:r>
              <w:rPr>
                <w:rFonts w:ascii="Arial" w:cs="Arial" w:eastAsia="Arial" w:hAnsi="Arial"/>
                <w:sz w:val="14"/>
                <w:szCs w:val="14"/>
                <w:b w:val="1"/>
                <w:bCs w:val="1"/>
                <w:color w:val="auto"/>
              </w:rPr>
              <w:t>Divestitures</w:t>
            </w:r>
          </w:p>
        </w:tc>
        <w:tc>
          <w:tcPr>
            <w:tcW w:w="2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22"/>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Consolidated Revenue</w:t>
            </w: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921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Timing of Revenue Recognition:</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40" w:type="dxa"/>
            <w:vAlign w:val="bottom"/>
            <w:gridSpan w:val="2"/>
          </w:tcPr>
          <w:p>
            <w:pPr>
              <w:spacing w:after="0"/>
              <w:rPr>
                <w:sz w:val="20"/>
                <w:szCs w:val="20"/>
                <w:color w:val="auto"/>
              </w:rPr>
            </w:pPr>
            <w:r>
              <w:rPr>
                <w:rFonts w:ascii="Arial" w:cs="Arial" w:eastAsia="Arial" w:hAnsi="Arial"/>
                <w:sz w:val="14"/>
                <w:szCs w:val="14"/>
                <w:color w:val="auto"/>
              </w:rPr>
              <w:t>Point in time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Over time</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728</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890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640" w:type="dxa"/>
            <w:vAlign w:val="bottom"/>
            <w:gridSpan w:val="2"/>
          </w:tcPr>
          <w:p>
            <w:pPr>
              <w:spacing w:after="0"/>
              <w:rPr>
                <w:sz w:val="20"/>
                <w:szCs w:val="20"/>
                <w:color w:val="auto"/>
              </w:rPr>
            </w:pPr>
            <w:r>
              <w:rPr>
                <w:rFonts w:ascii="Arial" w:cs="Arial" w:eastAsia="Arial" w:hAnsi="Arial"/>
                <w:sz w:val="14"/>
                <w:szCs w:val="14"/>
                <w:b w:val="1"/>
                <w:bCs w:val="1"/>
                <w:color w:val="auto"/>
              </w:rPr>
              <w:t>Total Revenue</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751</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have been no changes to the major service offerings within the Government and Transportation segments as disclosed in Note 2 - Revenue in the Company's Annual Report on Form 10-K for the year ended December 31, 2024. As noted above, the Company has updated the presentation of its major service offerings within the Commercial segment. These major service offerings are described as follows: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3051F2"/>
        </w:rPr>
        <w:t xml:space="preserve">Customer Experience Management: </w:t>
      </w:r>
      <w:r>
        <w:rPr>
          <w:rFonts w:ascii="Arial" w:cs="Arial" w:eastAsia="Arial" w:hAnsi="Arial"/>
          <w:sz w:val="18"/>
          <w:szCs w:val="18"/>
          <w:color w:val="000000"/>
        </w:rPr>
        <w:t>The Company delivers a full range of customer contact services including customer care, technical</w:t>
      </w:r>
      <w:r>
        <w:rPr>
          <w:rFonts w:ascii="Arial" w:cs="Arial" w:eastAsia="Arial" w:hAnsi="Arial"/>
          <w:sz w:val="18"/>
          <w:szCs w:val="18"/>
          <w:b w:val="1"/>
          <w:bCs w:val="1"/>
          <w:color w:val="3051F2"/>
        </w:rPr>
        <w:t xml:space="preserve"> </w:t>
      </w:r>
      <w:r>
        <w:rPr>
          <w:rFonts w:ascii="Arial" w:cs="Arial" w:eastAsia="Arial" w:hAnsi="Arial"/>
          <w:sz w:val="18"/>
          <w:szCs w:val="18"/>
          <w:color w:val="000000"/>
        </w:rPr>
        <w:t>support, loyalty management, and outbound and inbound sales, handling many complex interactions and representing the brands of its clients. The Company creates better experiences across the customer lifecycle through a variety of channels including chat, email, voice and virtual agent to help customers where and how they want to engage. Through omni-channel communications, automation and analytics, as well as labor efficiencies, the Company helps its clients drive revenue growth, enable scale, and gain cost reductions and other operational efficiencies. The Company serves marquee clients across multiple sectors, including the financial services, healthcare and life sciences, logistics, technology, telecom, travel and hospitality sectors, helping to resolve complex issues for their customers with empathy and effectiveness.</w:t>
      </w:r>
    </w:p>
    <w:p>
      <w:pPr>
        <w:spacing w:after="0" w:line="1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color w:val="3051F2"/>
        </w:rPr>
        <w:t xml:space="preserve">Business Process as a Service ("BPaaS"): </w:t>
      </w:r>
      <w:r>
        <w:rPr>
          <w:rFonts w:ascii="Arial" w:cs="Arial" w:eastAsia="Arial" w:hAnsi="Arial"/>
          <w:sz w:val="18"/>
          <w:szCs w:val="18"/>
          <w:color w:val="000000"/>
        </w:rPr>
        <w:t>The Company helps its clients digitally transform business processes and drive efficiency,</w:t>
      </w:r>
      <w:r>
        <w:rPr>
          <w:rFonts w:ascii="Arial" w:cs="Arial" w:eastAsia="Arial" w:hAnsi="Arial"/>
          <w:sz w:val="18"/>
          <w:szCs w:val="18"/>
          <w:b w:val="1"/>
          <w:bCs w:val="1"/>
          <w:color w:val="3051F2"/>
        </w:rPr>
        <w:t xml:space="preserve"> </w:t>
      </w:r>
      <w:r>
        <w:rPr>
          <w:rFonts w:ascii="Arial" w:cs="Arial" w:eastAsia="Arial" w:hAnsi="Arial"/>
          <w:sz w:val="18"/>
          <w:szCs w:val="18"/>
          <w:color w:val="000000"/>
        </w:rPr>
        <w:t>automation and scale across essential business functions. The Company streamlines client operations through its deep industry experience, understanding of its clients’ needs and the latest technology solutions to reduce costs, improve security, performance and accuracy, and enable revenue growth, while enhancing the end-user experience. The Company's portfolio of BPaaS solutions spans payment integrity, finance, accounting, and procurement, human capital, legal and compliance, and bank and lending.</w:t>
      </w:r>
    </w:p>
    <w:p>
      <w:pPr>
        <w:spacing w:after="0" w:line="1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color w:val="3051F2"/>
        </w:rPr>
        <w:t xml:space="preserve">Integrated Digital Solutions: </w:t>
      </w:r>
      <w:r>
        <w:rPr>
          <w:rFonts w:ascii="Arial" w:cs="Arial" w:eastAsia="Arial" w:hAnsi="Arial"/>
          <w:sz w:val="18"/>
          <w:szCs w:val="18"/>
          <w:color w:val="000000"/>
        </w:rPr>
        <w:t>The Company drives efficiencies for clients with more digitized processes across the customer and document</w:t>
      </w:r>
      <w:r>
        <w:rPr>
          <w:rFonts w:ascii="Arial" w:cs="Arial" w:eastAsia="Arial" w:hAnsi="Arial"/>
          <w:sz w:val="18"/>
          <w:szCs w:val="18"/>
          <w:b w:val="1"/>
          <w:bCs w:val="1"/>
          <w:color w:val="3051F2"/>
        </w:rPr>
        <w:t xml:space="preserve"> </w:t>
      </w:r>
      <w:r>
        <w:rPr>
          <w:rFonts w:ascii="Arial" w:cs="Arial" w:eastAsia="Arial" w:hAnsi="Arial"/>
          <w:sz w:val="18"/>
          <w:szCs w:val="18"/>
          <w:color w:val="000000"/>
        </w:rPr>
        <w:t>lifecycle through automation, data analytics and AI-powered solutions. This helps to shorten time to decisions on items like claims and applications while lowering costs, reducing manual effort, improving data accuracy, providing omnichannel communications and enhancing the overall customer experience. The Company's solutions span: document and claims processing; health plan administration; scanning and digitization of mailrooms, data and documents; omnichannel digital and physical communications, including print and mail and solutions focused specifically in the pharmaceutical and banking industries.</w:t>
      </w: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2025 Form 10-Q</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11" w:name="page12"/>
    <w:bookmarkEnd w:id="11"/>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receives payments from customers based upon contractual billing schedules. Accounts receivable are recorded when the right to consideration becomes unconditional. Contract assets are the Company’s rights to consideration for services provided when the right is conditioned on something other than passage of time (for example, meeting a milestone for the right to bill under the cost-to-cost measure of progress). Contract assets are transferred to Accounts receivable, net when the rights to consideration become unconditional. Unearned income includes payments received in advance of performance under the contract, which are realized when the associated revenue is recognized under the contract.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significant movements in contract assets (current and long-term) for the three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31, 2025 and 2024:</w:t>
      </w:r>
    </w:p>
    <w:p>
      <w:pPr>
        <w:spacing w:after="0" w:line="3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5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420" w:type="dxa"/>
            <w:vAlign w:val="bottom"/>
          </w:tcPr>
          <w:p>
            <w:pPr>
              <w:spacing w:after="0"/>
              <w:rPr>
                <w:sz w:val="14"/>
                <w:szCs w:val="14"/>
                <w:color w:val="auto"/>
              </w:rPr>
            </w:pPr>
          </w:p>
        </w:tc>
        <w:tc>
          <w:tcPr>
            <w:tcW w:w="1360" w:type="dxa"/>
            <w:vAlign w:val="bottom"/>
          </w:tcPr>
          <w:p>
            <w:pPr>
              <w:jc w:val="right"/>
              <w:ind w:right="66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ind w:right="668"/>
              <w:spacing w:after="0"/>
              <w:rPr>
                <w:sz w:val="20"/>
                <w:szCs w:val="20"/>
                <w:color w:val="auto"/>
              </w:rPr>
            </w:pPr>
            <w:r>
              <w:rPr>
                <w:rFonts w:ascii="Arial" w:cs="Arial" w:eastAsia="Arial" w:hAnsi="Arial"/>
                <w:sz w:val="14"/>
                <w:szCs w:val="14"/>
                <w:color w:val="auto"/>
              </w:rPr>
              <w:t>2024</w:t>
            </w:r>
          </w:p>
        </w:tc>
      </w:tr>
      <w:tr>
        <w:trPr>
          <w:trHeight w:val="21"/>
        </w:trPr>
        <w:tc>
          <w:tcPr>
            <w:tcW w:w="64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6"/>
        </w:trPr>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Beginning balance</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r>
      <w:tr>
        <w:trPr>
          <w:trHeight w:val="198"/>
        </w:trPr>
        <w:tc>
          <w:tcPr>
            <w:tcW w:w="7520" w:type="dxa"/>
            <w:vAlign w:val="bottom"/>
            <w:gridSpan w:val="2"/>
          </w:tcPr>
          <w:p>
            <w:pPr>
              <w:ind w:left="120"/>
              <w:spacing w:after="0"/>
              <w:rPr>
                <w:sz w:val="20"/>
                <w:szCs w:val="20"/>
                <w:color w:val="auto"/>
              </w:rPr>
            </w:pPr>
            <w:r>
              <w:rPr>
                <w:rFonts w:ascii="Arial" w:cs="Arial" w:eastAsia="Arial" w:hAnsi="Arial"/>
                <w:sz w:val="14"/>
                <w:szCs w:val="14"/>
                <w:color w:val="auto"/>
              </w:rPr>
              <w:t>Additional contract assets recognized</w:t>
            </w:r>
          </w:p>
        </w:tc>
        <w:tc>
          <w:tcPr>
            <w:tcW w:w="42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203"/>
        </w:trPr>
        <w:tc>
          <w:tcPr>
            <w:tcW w:w="75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Billed and transferred to Accounts receivable and other</w:t>
            </w:r>
          </w:p>
        </w:tc>
        <w:tc>
          <w:tcPr>
            <w:tcW w:w="4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r>
      <w:tr>
        <w:trPr>
          <w:trHeight w:val="200"/>
        </w:trPr>
        <w:tc>
          <w:tcPr>
            <w:tcW w:w="7520" w:type="dxa"/>
            <w:vAlign w:val="bottom"/>
            <w:gridSpan w:val="2"/>
          </w:tcPr>
          <w:p>
            <w:pPr>
              <w:spacing w:after="0" w:line="200" w:lineRule="exact"/>
              <w:rPr>
                <w:sz w:val="20"/>
                <w:szCs w:val="20"/>
                <w:color w:val="auto"/>
              </w:rPr>
            </w:pPr>
            <w:r>
              <w:rPr>
                <w:rFonts w:ascii="Arial" w:cs="Arial" w:eastAsia="Arial" w:hAnsi="Arial"/>
                <w:sz w:val="14"/>
                <w:szCs w:val="14"/>
                <w:color w:val="auto"/>
              </w:rPr>
              <w:t>Ending balance</w:t>
            </w:r>
            <w:r>
              <w:rPr>
                <w:rFonts w:ascii="Arial" w:cs="Arial" w:eastAsia="Arial" w:hAnsi="Arial"/>
                <w:sz w:val="18"/>
                <w:szCs w:val="18"/>
                <w:color w:val="auto"/>
                <w:vertAlign w:val="superscript"/>
              </w:rPr>
              <w:t>(1)</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r>
      <w:tr>
        <w:trPr>
          <w:trHeight w:val="21"/>
        </w:trPr>
        <w:tc>
          <w:tcPr>
            <w:tcW w:w="6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___</w:t>
      </w:r>
    </w:p>
    <w:p>
      <w:pPr>
        <w:spacing w:after="0" w:line="20"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Of which $6 million and $8 million are included in Other long-term assets as of March 31, 2025 and 2024, respectively.</w:t>
      </w:r>
    </w:p>
    <w:p>
      <w:pPr>
        <w:spacing w:after="0" w:line="138"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 following table provides information about significant movements in unearned income balances (current and long-term) for the three months ended March 31, 2025 and 2024:</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5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420" w:type="dxa"/>
            <w:vAlign w:val="bottom"/>
          </w:tcPr>
          <w:p>
            <w:pPr>
              <w:spacing w:after="0"/>
              <w:rPr>
                <w:sz w:val="14"/>
                <w:szCs w:val="14"/>
                <w:color w:val="auto"/>
              </w:rPr>
            </w:pPr>
          </w:p>
        </w:tc>
        <w:tc>
          <w:tcPr>
            <w:tcW w:w="1360" w:type="dxa"/>
            <w:vAlign w:val="bottom"/>
          </w:tcPr>
          <w:p>
            <w:pPr>
              <w:jc w:val="right"/>
              <w:ind w:right="66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ind w:right="668"/>
              <w:spacing w:after="0"/>
              <w:rPr>
                <w:sz w:val="20"/>
                <w:szCs w:val="20"/>
                <w:color w:val="auto"/>
              </w:rPr>
            </w:pPr>
            <w:r>
              <w:rPr>
                <w:rFonts w:ascii="Arial" w:cs="Arial" w:eastAsia="Arial" w:hAnsi="Arial"/>
                <w:sz w:val="14"/>
                <w:szCs w:val="14"/>
                <w:color w:val="auto"/>
              </w:rPr>
              <w:t>2024</w:t>
            </w:r>
          </w:p>
        </w:tc>
      </w:tr>
      <w:tr>
        <w:trPr>
          <w:trHeight w:val="20"/>
        </w:trPr>
        <w:tc>
          <w:tcPr>
            <w:tcW w:w="64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6"/>
        </w:trPr>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Beginning balance</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r>
      <w:tr>
        <w:trPr>
          <w:trHeight w:val="199"/>
        </w:trPr>
        <w:tc>
          <w:tcPr>
            <w:tcW w:w="7520" w:type="dxa"/>
            <w:vAlign w:val="bottom"/>
            <w:gridSpan w:val="2"/>
          </w:tcPr>
          <w:p>
            <w:pPr>
              <w:ind w:left="120"/>
              <w:spacing w:after="0"/>
              <w:rPr>
                <w:sz w:val="20"/>
                <w:szCs w:val="20"/>
                <w:color w:val="auto"/>
              </w:rPr>
            </w:pPr>
            <w:r>
              <w:rPr>
                <w:rFonts w:ascii="Arial" w:cs="Arial" w:eastAsia="Arial" w:hAnsi="Arial"/>
                <w:sz w:val="14"/>
                <w:szCs w:val="14"/>
                <w:color w:val="auto"/>
              </w:rPr>
              <w:t>Additional deferral of income</w:t>
            </w:r>
          </w:p>
        </w:tc>
        <w:tc>
          <w:tcPr>
            <w:tcW w:w="42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206"/>
        </w:trPr>
        <w:tc>
          <w:tcPr>
            <w:tcW w:w="75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Revenue recognized related to deferral of income</w:t>
            </w:r>
            <w:r>
              <w:rPr>
                <w:rFonts w:ascii="Arial" w:cs="Arial" w:eastAsia="Arial" w:hAnsi="Arial"/>
                <w:sz w:val="18"/>
                <w:szCs w:val="18"/>
                <w:color w:val="auto"/>
                <w:vertAlign w:val="superscript"/>
              </w:rPr>
              <w:t>(1)</w:t>
            </w:r>
          </w:p>
        </w:tc>
        <w:tc>
          <w:tcPr>
            <w:tcW w:w="4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r>
      <w:tr>
        <w:trPr>
          <w:trHeight w:val="196"/>
        </w:trPr>
        <w:tc>
          <w:tcPr>
            <w:tcW w:w="7520" w:type="dxa"/>
            <w:vAlign w:val="bottom"/>
            <w:gridSpan w:val="2"/>
          </w:tcPr>
          <w:p>
            <w:pPr>
              <w:spacing w:after="0" w:line="196" w:lineRule="exact"/>
              <w:rPr>
                <w:sz w:val="20"/>
                <w:szCs w:val="20"/>
                <w:color w:val="auto"/>
              </w:rPr>
            </w:pPr>
            <w:r>
              <w:rPr>
                <w:rFonts w:ascii="Arial" w:cs="Arial" w:eastAsia="Arial" w:hAnsi="Arial"/>
                <w:sz w:val="14"/>
                <w:szCs w:val="14"/>
                <w:color w:val="auto"/>
              </w:rPr>
              <w:t>Ending balance</w:t>
            </w:r>
            <w:r>
              <w:rPr>
                <w:rFonts w:ascii="Arial" w:cs="Arial" w:eastAsia="Arial" w:hAnsi="Arial"/>
                <w:sz w:val="18"/>
                <w:szCs w:val="18"/>
                <w:color w:val="auto"/>
                <w:vertAlign w:val="superscript"/>
              </w:rPr>
              <w:t>(2)</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w:t>
            </w:r>
          </w:p>
        </w:tc>
      </w:tr>
      <w:tr>
        <w:trPr>
          <w:trHeight w:val="20"/>
        </w:trPr>
        <w:tc>
          <w:tcPr>
            <w:tcW w:w="6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___</w:t>
      </w:r>
    </w:p>
    <w:p>
      <w:pPr>
        <w:spacing w:after="0" w:line="15" w:lineRule="exact"/>
        <w:rPr>
          <w:sz w:val="20"/>
          <w:szCs w:val="20"/>
          <w:color w:val="auto"/>
        </w:rPr>
      </w:pPr>
    </w:p>
    <w:p>
      <w:pPr>
        <w:ind w:right="60" w:firstLine="8"/>
        <w:spacing w:after="0" w:line="284" w:lineRule="auto"/>
        <w:tabs>
          <w:tab w:leader="none" w:pos="154" w:val="left"/>
        </w:tabs>
        <w:numPr>
          <w:ilvl w:val="0"/>
          <w:numId w:val="6"/>
        </w:numPr>
        <w:rPr>
          <w:rFonts w:ascii="Arial" w:cs="Arial" w:eastAsia="Arial" w:hAnsi="Arial"/>
          <w:sz w:val="9"/>
          <w:szCs w:val="9"/>
          <w:color w:val="auto"/>
        </w:rPr>
      </w:pPr>
      <w:r>
        <w:rPr>
          <w:rFonts w:ascii="Arial" w:cs="Arial" w:eastAsia="Arial" w:hAnsi="Arial"/>
          <w:sz w:val="14"/>
          <w:szCs w:val="14"/>
          <w:color w:val="auto"/>
        </w:rPr>
        <w:t>Of which $52 million and $44 million were recognized during the three months ended March 31, 2025 and 2024, respectively, that related to the Company's unearned income as of December 31, 2024 and 2023, respectively.</w:t>
      </w: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Of which $49 million and $58 million are included in Long-term unearned income as of March 31, 2025 and 2024,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the Remaining Performance Obligations</w:t>
      </w:r>
    </w:p>
    <w:p>
      <w:pPr>
        <w:spacing w:after="0" w:line="171"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Estimated revenue expected to be recognized in the future related to performance obligations that are unsatisfied or partially satisfied at March 31, 2025 was approximately $1.4 billion. The Company expects to recognize approximately 74% of this revenue over the next two years and the remainder thereafter.</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4 – Segment Reporting</w:t>
      </w:r>
    </w:p>
    <w:p>
      <w:pPr>
        <w:spacing w:after="0" w:line="16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Company's reportable segments correspond to how it organizes and manages the business, as defined by the Company's Chief Executive Officer, who is also its Chief Operating Decision Maker ("CODM"), and are aligned to the industries in which the Company's clients operate. The Company's segments involve the delivery of business process services and include service arrangements where it manages a customer's business activity or process.</w:t>
      </w:r>
    </w:p>
    <w:p>
      <w:pPr>
        <w:spacing w:after="0" w:line="122"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Divestitures includes the Company's BenefitWallet Portfolio for which the Company completed the transfer in the second quarter of 2024, its Curbside Management and Public Safety Solutions businesses which it sold in the second quarter of 2024 and its Casualty Claims business which it sold in the third quarter of 2024. Refer to Note 5 – Divestitures for additional information.</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Company's CODM evaluates the Company's financial performance based on Segment profit (loss) for its three reportable segments - Commercial, Government and Transportation. The Company's CODM uses Segment profit (loss) information to monitor budget versus actual results and then uses this information to help make informed decisions about future resource investment, potential restructuring of segments to enhance overall company performance, and future divestitures and acquisitions.</w:t>
      </w:r>
    </w:p>
    <w:p>
      <w:pPr>
        <w:spacing w:after="0" w:line="200" w:lineRule="exact"/>
        <w:rPr>
          <w:sz w:val="20"/>
          <w:szCs w:val="20"/>
          <w:color w:val="auto"/>
        </w:rPr>
      </w:pPr>
    </w:p>
    <w:p>
      <w:pPr>
        <w:spacing w:after="0" w:line="323"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12" w:name="page13"/>
    <w:bookmarkEnd w:id="12"/>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The Company's CODM does not evaluate operating segments using discrete asset information as a significant portion of the assets is managed at the total company level.</w:t>
      </w:r>
    </w:p>
    <w:p>
      <w:pPr>
        <w:spacing w:after="0" w:line="99" w:lineRule="exact"/>
        <w:rPr>
          <w:sz w:val="20"/>
          <w:szCs w:val="20"/>
          <w:color w:val="auto"/>
        </w:rPr>
      </w:pPr>
    </w:p>
    <w:p>
      <w:pPr>
        <w:ind w:left="340" w:right="140" w:hanging="332"/>
        <w:spacing w:after="0" w:line="259" w:lineRule="auto"/>
        <w:tabs>
          <w:tab w:leader="none" w:pos="335"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0066CC"/>
        </w:rPr>
        <w:t xml:space="preserve">Commercial: </w:t>
      </w:r>
      <w:r>
        <w:rPr>
          <w:rFonts w:ascii="Arial" w:cs="Arial" w:eastAsia="Arial" w:hAnsi="Arial"/>
          <w:sz w:val="18"/>
          <w:szCs w:val="18"/>
          <w:color w:val="000000"/>
        </w:rPr>
        <w:t>The Commercial segment provides business process services that span its clients' businesses end-to-end from the front-office to the back-office for a variety of commercial industries. These solutions are both cross-industry and industry-specific in nature. Across the Commercial segment, the Company operates on its clients’ behalf to deliver mission-critical solutions and services to reduce costs, improve efficiencies and enhance performance for the Company's clients and deliver better experiences for their consumers and employees.</w:t>
      </w:r>
    </w:p>
    <w:p>
      <w:pPr>
        <w:spacing w:after="0" w:line="125" w:lineRule="exact"/>
        <w:rPr>
          <w:rFonts w:ascii="Arial" w:cs="Arial" w:eastAsia="Arial" w:hAnsi="Arial"/>
          <w:sz w:val="18"/>
          <w:szCs w:val="18"/>
          <w:b w:val="1"/>
          <w:bCs w:val="1"/>
          <w:color w:val="auto"/>
        </w:rPr>
      </w:pPr>
    </w:p>
    <w:p>
      <w:pPr>
        <w:ind w:left="340" w:right="140" w:hanging="332"/>
        <w:spacing w:after="0" w:line="259"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0066CC"/>
        </w:rPr>
        <w:t xml:space="preserve">Government: </w:t>
      </w:r>
      <w:r>
        <w:rPr>
          <w:rFonts w:ascii="Arial" w:cs="Arial" w:eastAsia="Arial" w:hAnsi="Arial"/>
          <w:sz w:val="18"/>
          <w:szCs w:val="18"/>
          <w:color w:val="000000"/>
        </w:rPr>
        <w:t>The Government segment provides government-centric business process services and solutions to U.S. federal, state,</w:t>
      </w:r>
      <w:r>
        <w:rPr>
          <w:rFonts w:ascii="Arial" w:cs="Arial" w:eastAsia="Arial" w:hAnsi="Arial"/>
          <w:sz w:val="18"/>
          <w:szCs w:val="18"/>
          <w:b w:val="1"/>
          <w:bCs w:val="1"/>
          <w:color w:val="0066CC"/>
        </w:rPr>
        <w:t xml:space="preserve"> </w:t>
      </w:r>
      <w:r>
        <w:rPr>
          <w:rFonts w:ascii="Arial" w:cs="Arial" w:eastAsia="Arial" w:hAnsi="Arial"/>
          <w:sz w:val="18"/>
          <w:szCs w:val="18"/>
          <w:color w:val="000000"/>
        </w:rPr>
        <w:t>local and foreign governments for public assistance, healthcare programs and administration, transaction processing, payment services and case management. In this segment, the Company helps governments respond to changing rules for eligibility and keep pace with increasing citizen expectations, modernize legacy technology systems, combat benefits fraud and shift in response to an evolving regulatory environment.</w:t>
      </w:r>
    </w:p>
    <w:p>
      <w:pPr>
        <w:spacing w:after="0" w:line="125" w:lineRule="exact"/>
        <w:rPr>
          <w:rFonts w:ascii="Arial" w:cs="Arial" w:eastAsia="Arial" w:hAnsi="Arial"/>
          <w:sz w:val="18"/>
          <w:szCs w:val="18"/>
          <w:color w:val="auto"/>
        </w:rPr>
      </w:pPr>
    </w:p>
    <w:p>
      <w:pPr>
        <w:ind w:left="340" w:right="380" w:hanging="332"/>
        <w:spacing w:after="0" w:line="259"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0066CC"/>
        </w:rPr>
        <w:t xml:space="preserve">Transportation: </w:t>
      </w:r>
      <w:r>
        <w:rPr>
          <w:rFonts w:ascii="Arial" w:cs="Arial" w:eastAsia="Arial" w:hAnsi="Arial"/>
          <w:sz w:val="18"/>
          <w:szCs w:val="18"/>
          <w:color w:val="000000"/>
        </w:rPr>
        <w:t>The Transportation segment provides government agencies and transportation authorities around the world with</w:t>
      </w:r>
      <w:r>
        <w:rPr>
          <w:rFonts w:ascii="Arial" w:cs="Arial" w:eastAsia="Arial" w:hAnsi="Arial"/>
          <w:sz w:val="18"/>
          <w:szCs w:val="18"/>
          <w:b w:val="1"/>
          <w:bCs w:val="1"/>
          <w:color w:val="0066CC"/>
        </w:rPr>
        <w:t xml:space="preserve"> </w:t>
      </w:r>
      <w:r>
        <w:rPr>
          <w:rFonts w:ascii="Arial" w:cs="Arial" w:eastAsia="Arial" w:hAnsi="Arial"/>
          <w:sz w:val="18"/>
          <w:szCs w:val="18"/>
          <w:color w:val="000000"/>
        </w:rPr>
        <w:t>systems, support and revenue-generating solutions serving toll and fare collections as well as mobility and digital payments that help streamline operations and increase revenue to government transportation agencies. With an expanded focus on sustainability and enhancing the quality of life for citizens and communities around the world, the Company's solutions help reduce congestion and greenhouse emissions, while creating seamless travel experiences for consumers throughout transportation ecosystems.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for the Company's segments is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5"/>
          </w:tcPr>
          <w:p>
            <w:pPr>
              <w:jc w:val="center"/>
              <w:ind w:right="40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color w:val="auto"/>
              </w:rPr>
              <w:t>March 31,</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6060" w:type="dxa"/>
            <w:vAlign w:val="bottom"/>
            <w:gridSpan w:val="3"/>
          </w:tcPr>
          <w:p>
            <w:pPr>
              <w:spacing w:after="0"/>
              <w:rPr>
                <w:sz w:val="20"/>
                <w:szCs w:val="20"/>
                <w:color w:val="auto"/>
              </w:rPr>
            </w:pPr>
            <w:r>
              <w:rPr>
                <w:rFonts w:ascii="Arial" w:cs="Arial" w:eastAsia="Arial" w:hAnsi="Arial"/>
                <w:sz w:val="13"/>
                <w:szCs w:val="13"/>
                <w:color w:val="auto"/>
              </w:rPr>
              <w:t>(in millions)</w:t>
            </w:r>
          </w:p>
        </w:tc>
        <w:tc>
          <w:tcPr>
            <w:tcW w:w="160" w:type="dxa"/>
            <w:vAlign w:val="bottom"/>
          </w:tcPr>
          <w:p>
            <w:pPr>
              <w:spacing w:after="0"/>
              <w:rPr>
                <w:sz w:val="13"/>
                <w:szCs w:val="13"/>
                <w:color w:val="auto"/>
              </w:rPr>
            </w:pPr>
          </w:p>
        </w:tc>
        <w:tc>
          <w:tcPr>
            <w:tcW w:w="114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13"/>
                <w:szCs w:val="13"/>
                <w:color w:val="auto"/>
              </w:rPr>
            </w:pPr>
          </w:p>
        </w:tc>
        <w:tc>
          <w:tcPr>
            <w:tcW w:w="122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Government</w:t>
            </w:r>
          </w:p>
        </w:tc>
        <w:tc>
          <w:tcPr>
            <w:tcW w:w="140" w:type="dxa"/>
            <w:vAlign w:val="bottom"/>
          </w:tcPr>
          <w:p>
            <w:pPr>
              <w:spacing w:after="0"/>
              <w:rPr>
                <w:sz w:val="13"/>
                <w:szCs w:val="13"/>
                <w:color w:val="auto"/>
              </w:rPr>
            </w:pPr>
          </w:p>
        </w:tc>
        <w:tc>
          <w:tcPr>
            <w:tcW w:w="124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Transportation</w:t>
            </w:r>
          </w:p>
        </w:tc>
        <w:tc>
          <w:tcPr>
            <w:tcW w:w="220" w:type="dxa"/>
            <w:vAlign w:val="bottom"/>
          </w:tcPr>
          <w:p>
            <w:pPr>
              <w:spacing w:after="0"/>
              <w:rPr>
                <w:sz w:val="13"/>
                <w:szCs w:val="13"/>
                <w:color w:val="auto"/>
              </w:rPr>
            </w:pPr>
          </w:p>
        </w:tc>
        <w:tc>
          <w:tcPr>
            <w:tcW w:w="880" w:type="dxa"/>
            <w:vAlign w:val="bottom"/>
          </w:tcPr>
          <w:p>
            <w:pPr>
              <w:jc w:val="right"/>
              <w:ind w:right="268"/>
              <w:spacing w:after="0" w:line="156" w:lineRule="exact"/>
              <w:rPr>
                <w:sz w:val="20"/>
                <w:szCs w:val="20"/>
                <w:color w:val="auto"/>
              </w:rPr>
            </w:pPr>
            <w:r>
              <w:rPr>
                <w:rFonts w:ascii="Arial" w:cs="Arial" w:eastAsia="Arial" w:hAnsi="Arial"/>
                <w:sz w:val="14"/>
                <w:szCs w:val="14"/>
                <w:color w:val="auto"/>
              </w:rPr>
              <w:t>Total</w:t>
            </w:r>
            <w:r>
              <w:rPr>
                <w:rFonts w:ascii="Arial" w:cs="Arial" w:eastAsia="Arial" w:hAnsi="Arial"/>
                <w:sz w:val="18"/>
                <w:szCs w:val="18"/>
                <w:color w:val="auto"/>
                <w:vertAlign w:val="superscript"/>
              </w:rPr>
              <w:t>(1)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53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6060" w:type="dxa"/>
            <w:vAlign w:val="bottom"/>
            <w:gridSpan w:val="3"/>
          </w:tcPr>
          <w:p>
            <w:pPr>
              <w:spacing w:after="0"/>
              <w:rPr>
                <w:sz w:val="20"/>
                <w:szCs w:val="20"/>
                <w:color w:val="auto"/>
              </w:rPr>
            </w:pPr>
            <w:r>
              <w:rPr>
                <w:rFonts w:ascii="Arial" w:cs="Arial" w:eastAsia="Arial" w:hAnsi="Arial"/>
                <w:sz w:val="14"/>
                <w:szCs w:val="14"/>
                <w:color w:val="auto"/>
              </w:rPr>
              <w:t>Segment 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751</w:t>
            </w:r>
          </w:p>
        </w:tc>
      </w:tr>
      <w:tr>
        <w:trPr>
          <w:trHeight w:val="99"/>
        </w:trPr>
        <w:tc>
          <w:tcPr>
            <w:tcW w:w="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r>
      <w:tr>
        <w:trPr>
          <w:trHeight w:val="198"/>
        </w:trPr>
        <w:tc>
          <w:tcPr>
            <w:tcW w:w="20" w:type="dxa"/>
            <w:vAlign w:val="bottom"/>
          </w:tcPr>
          <w:p>
            <w:pPr>
              <w:spacing w:after="0"/>
              <w:rPr>
                <w:sz w:val="17"/>
                <w:szCs w:val="17"/>
                <w:color w:val="auto"/>
              </w:rPr>
            </w:pPr>
          </w:p>
        </w:tc>
        <w:tc>
          <w:tcPr>
            <w:tcW w:w="6060" w:type="dxa"/>
            <w:vAlign w:val="bottom"/>
            <w:gridSpan w:val="3"/>
          </w:tcPr>
          <w:p>
            <w:pPr>
              <w:spacing w:after="0"/>
              <w:rPr>
                <w:sz w:val="20"/>
                <w:szCs w:val="20"/>
                <w:color w:val="auto"/>
              </w:rPr>
            </w:pPr>
            <w:r>
              <w:rPr>
                <w:rFonts w:ascii="Arial" w:cs="Arial" w:eastAsia="Arial" w:hAnsi="Arial"/>
                <w:sz w:val="14"/>
                <w:szCs w:val="14"/>
                <w:color w:val="auto"/>
              </w:rPr>
              <w:t>Expenses</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7"/>
                <w:szCs w:val="17"/>
                <w:color w:val="auto"/>
              </w:rPr>
            </w:pPr>
          </w:p>
        </w:tc>
        <w:tc>
          <w:tcPr>
            <w:tcW w:w="606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Wages and benefits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w:t>
            </w:r>
          </w:p>
        </w:tc>
      </w:tr>
      <w:tr>
        <w:trPr>
          <w:trHeight w:val="198"/>
        </w:trPr>
        <w:tc>
          <w:tcPr>
            <w:tcW w:w="20" w:type="dxa"/>
            <w:vAlign w:val="bottom"/>
          </w:tcPr>
          <w:p>
            <w:pPr>
              <w:spacing w:after="0"/>
              <w:rPr>
                <w:sz w:val="17"/>
                <w:szCs w:val="17"/>
                <w:color w:val="auto"/>
              </w:rPr>
            </w:pPr>
          </w:p>
        </w:tc>
        <w:tc>
          <w:tcPr>
            <w:tcW w:w="6060" w:type="dxa"/>
            <w:vAlign w:val="bottom"/>
            <w:gridSpan w:val="3"/>
          </w:tcPr>
          <w:p>
            <w:pPr>
              <w:ind w:left="340"/>
              <w:spacing w:after="0"/>
              <w:rPr>
                <w:sz w:val="20"/>
                <w:szCs w:val="20"/>
                <w:color w:val="auto"/>
              </w:rPr>
            </w:pPr>
            <w:r>
              <w:rPr>
                <w:rFonts w:ascii="Arial" w:cs="Arial" w:eastAsia="Arial" w:hAnsi="Arial"/>
                <w:sz w:val="14"/>
                <w:szCs w:val="14"/>
                <w:color w:val="auto"/>
              </w:rPr>
              <w:t>Services and supplies</w:t>
            </w:r>
          </w:p>
        </w:tc>
        <w:tc>
          <w:tcPr>
            <w:tcW w:w="16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172</w:t>
            </w:r>
          </w:p>
        </w:tc>
      </w:tr>
      <w:tr>
        <w:trPr>
          <w:trHeight w:val="206"/>
        </w:trPr>
        <w:tc>
          <w:tcPr>
            <w:tcW w:w="20" w:type="dxa"/>
            <w:vAlign w:val="bottom"/>
            <w:shd w:val="clear" w:color="auto" w:fill="CCEEFF"/>
          </w:tcPr>
          <w:p>
            <w:pPr>
              <w:spacing w:after="0"/>
              <w:rPr>
                <w:sz w:val="17"/>
                <w:szCs w:val="17"/>
                <w:color w:val="auto"/>
              </w:rPr>
            </w:pPr>
          </w:p>
        </w:tc>
        <w:tc>
          <w:tcPr>
            <w:tcW w:w="606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Rent lease and maintenance expense</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r>
      <w:tr>
        <w:trPr>
          <w:trHeight w:val="199"/>
        </w:trPr>
        <w:tc>
          <w:tcPr>
            <w:tcW w:w="20" w:type="dxa"/>
            <w:vAlign w:val="bottom"/>
          </w:tcPr>
          <w:p>
            <w:pPr>
              <w:spacing w:after="0"/>
              <w:rPr>
                <w:sz w:val="17"/>
                <w:szCs w:val="17"/>
                <w:color w:val="auto"/>
              </w:rPr>
            </w:pPr>
          </w:p>
        </w:tc>
        <w:tc>
          <w:tcPr>
            <w:tcW w:w="6060" w:type="dxa"/>
            <w:vAlign w:val="bottom"/>
            <w:gridSpan w:val="3"/>
          </w:tcPr>
          <w:p>
            <w:pPr>
              <w:ind w:left="340"/>
              <w:spacing w:after="0"/>
              <w:rPr>
                <w:sz w:val="20"/>
                <w:szCs w:val="20"/>
                <w:color w:val="auto"/>
              </w:rPr>
            </w:pPr>
            <w:r>
              <w:rPr>
                <w:rFonts w:ascii="Arial" w:cs="Arial" w:eastAsia="Arial" w:hAnsi="Arial"/>
                <w:sz w:val="14"/>
                <w:szCs w:val="14"/>
                <w:color w:val="auto"/>
              </w:rPr>
              <w:t>Other operating expense</w:t>
            </w:r>
          </w:p>
        </w:tc>
        <w:tc>
          <w:tcPr>
            <w:tcW w:w="16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6"/>
        </w:trPr>
        <w:tc>
          <w:tcPr>
            <w:tcW w:w="20" w:type="dxa"/>
            <w:vAlign w:val="bottom"/>
            <w:shd w:val="clear" w:color="auto" w:fill="CCEEFF"/>
          </w:tcPr>
          <w:p>
            <w:pPr>
              <w:spacing w:after="0"/>
              <w:rPr>
                <w:sz w:val="17"/>
                <w:szCs w:val="17"/>
                <w:color w:val="auto"/>
              </w:rPr>
            </w:pPr>
          </w:p>
        </w:tc>
        <w:tc>
          <w:tcPr>
            <w:tcW w:w="606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Depreciation and amortization expense</w:t>
            </w: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192"/>
        </w:trPr>
        <w:tc>
          <w:tcPr>
            <w:tcW w:w="20" w:type="dxa"/>
            <w:vAlign w:val="bottom"/>
            <w:tcBorders>
              <w:bottom w:val="single" w:sz="8" w:color="CCEEFF"/>
            </w:tcBorders>
          </w:tcPr>
          <w:p>
            <w:pPr>
              <w:spacing w:after="0"/>
              <w:rPr>
                <w:sz w:val="16"/>
                <w:szCs w:val="16"/>
                <w:color w:val="auto"/>
              </w:rPr>
            </w:pPr>
          </w:p>
        </w:tc>
        <w:tc>
          <w:tcPr>
            <w:tcW w:w="606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Segment expenses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709</w:t>
            </w:r>
          </w:p>
        </w:tc>
      </w:tr>
      <w:tr>
        <w:trPr>
          <w:trHeight w:val="79"/>
        </w:trPr>
        <w:tc>
          <w:tcPr>
            <w:tcW w:w="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53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r>
      <w:tr>
        <w:trPr>
          <w:trHeight w:val="198"/>
        </w:trPr>
        <w:tc>
          <w:tcPr>
            <w:tcW w:w="20" w:type="dxa"/>
            <w:vAlign w:val="bottom"/>
          </w:tcPr>
          <w:p>
            <w:pPr>
              <w:spacing w:after="0"/>
              <w:rPr>
                <w:sz w:val="17"/>
                <w:szCs w:val="17"/>
                <w:color w:val="auto"/>
              </w:rPr>
            </w:pPr>
          </w:p>
        </w:tc>
        <w:tc>
          <w:tcPr>
            <w:tcW w:w="6060" w:type="dxa"/>
            <w:vAlign w:val="bottom"/>
            <w:gridSpan w:val="3"/>
          </w:tcPr>
          <w:p>
            <w:pPr>
              <w:spacing w:after="0"/>
              <w:rPr>
                <w:sz w:val="20"/>
                <w:szCs w:val="20"/>
                <w:color w:val="auto"/>
              </w:rPr>
            </w:pPr>
            <w:r>
              <w:rPr>
                <w:rFonts w:ascii="Arial" w:cs="Arial" w:eastAsia="Arial" w:hAnsi="Arial"/>
                <w:sz w:val="14"/>
                <w:szCs w:val="14"/>
                <w:color w:val="auto"/>
              </w:rPr>
              <w:t>Segment profit (loss)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98"/>
        </w:trPr>
        <w:tc>
          <w:tcPr>
            <w:tcW w:w="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r>
      <w:tr>
        <w:trPr>
          <w:trHeight w:val="199"/>
        </w:trPr>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2024</w:t>
            </w:r>
          </w:p>
        </w:tc>
        <w:tc>
          <w:tcPr>
            <w:tcW w:w="53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r>
      <w:tr>
        <w:trPr>
          <w:trHeight w:val="200"/>
        </w:trPr>
        <w:tc>
          <w:tcPr>
            <w:tcW w:w="20" w:type="dxa"/>
            <w:vAlign w:val="bottom"/>
            <w:shd w:val="clear" w:color="auto" w:fill="CCEEFF"/>
          </w:tcPr>
          <w:p>
            <w:pPr>
              <w:spacing w:after="0"/>
              <w:rPr>
                <w:sz w:val="17"/>
                <w:szCs w:val="17"/>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Segment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w:t>
            </w:r>
          </w:p>
        </w:tc>
      </w:tr>
      <w:tr>
        <w:trPr>
          <w:trHeight w:val="94"/>
        </w:trPr>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203"/>
        </w:trPr>
        <w:tc>
          <w:tcPr>
            <w:tcW w:w="20" w:type="dxa"/>
            <w:vAlign w:val="bottom"/>
            <w:shd w:val="clear" w:color="auto" w:fill="CCEEFF"/>
          </w:tcPr>
          <w:p>
            <w:pPr>
              <w:spacing w:after="0"/>
              <w:rPr>
                <w:sz w:val="17"/>
                <w:szCs w:val="17"/>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Expenses</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6060" w:type="dxa"/>
            <w:vAlign w:val="bottom"/>
            <w:gridSpan w:val="3"/>
          </w:tcPr>
          <w:p>
            <w:pPr>
              <w:ind w:left="340"/>
              <w:spacing w:after="0"/>
              <w:rPr>
                <w:sz w:val="20"/>
                <w:szCs w:val="20"/>
                <w:color w:val="auto"/>
              </w:rPr>
            </w:pPr>
            <w:r>
              <w:rPr>
                <w:rFonts w:ascii="Arial" w:cs="Arial" w:eastAsia="Arial" w:hAnsi="Arial"/>
                <w:sz w:val="14"/>
                <w:szCs w:val="14"/>
                <w:color w:val="auto"/>
              </w:rPr>
              <w:t>Wages and benefits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459</w:t>
            </w:r>
          </w:p>
        </w:tc>
      </w:tr>
      <w:tr>
        <w:trPr>
          <w:trHeight w:val="207"/>
        </w:trPr>
        <w:tc>
          <w:tcPr>
            <w:tcW w:w="20" w:type="dxa"/>
            <w:vAlign w:val="bottom"/>
            <w:shd w:val="clear" w:color="auto" w:fill="CCEEFF"/>
          </w:tcPr>
          <w:p>
            <w:pPr>
              <w:spacing w:after="0"/>
              <w:rPr>
                <w:sz w:val="17"/>
                <w:szCs w:val="17"/>
                <w:color w:val="auto"/>
              </w:rPr>
            </w:pPr>
          </w:p>
        </w:tc>
        <w:tc>
          <w:tcPr>
            <w:tcW w:w="606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Services and supplies</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r>
      <w:tr>
        <w:trPr>
          <w:trHeight w:val="198"/>
        </w:trPr>
        <w:tc>
          <w:tcPr>
            <w:tcW w:w="20" w:type="dxa"/>
            <w:vAlign w:val="bottom"/>
          </w:tcPr>
          <w:p>
            <w:pPr>
              <w:spacing w:after="0"/>
              <w:rPr>
                <w:sz w:val="17"/>
                <w:szCs w:val="17"/>
                <w:color w:val="auto"/>
              </w:rPr>
            </w:pPr>
          </w:p>
        </w:tc>
        <w:tc>
          <w:tcPr>
            <w:tcW w:w="6060" w:type="dxa"/>
            <w:vAlign w:val="bottom"/>
            <w:gridSpan w:val="3"/>
          </w:tcPr>
          <w:p>
            <w:pPr>
              <w:ind w:left="340"/>
              <w:spacing w:after="0"/>
              <w:rPr>
                <w:sz w:val="20"/>
                <w:szCs w:val="20"/>
                <w:color w:val="auto"/>
              </w:rPr>
            </w:pPr>
            <w:r>
              <w:rPr>
                <w:rFonts w:ascii="Arial" w:cs="Arial" w:eastAsia="Arial" w:hAnsi="Arial"/>
                <w:sz w:val="14"/>
                <w:szCs w:val="14"/>
                <w:color w:val="auto"/>
              </w:rPr>
              <w:t>Rent lease and maintenance expense</w:t>
            </w:r>
          </w:p>
        </w:tc>
        <w:tc>
          <w:tcPr>
            <w:tcW w:w="16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207"/>
        </w:trPr>
        <w:tc>
          <w:tcPr>
            <w:tcW w:w="20" w:type="dxa"/>
            <w:vAlign w:val="bottom"/>
            <w:shd w:val="clear" w:color="auto" w:fill="CCEEFF"/>
          </w:tcPr>
          <w:p>
            <w:pPr>
              <w:spacing w:after="0"/>
              <w:rPr>
                <w:sz w:val="17"/>
                <w:szCs w:val="17"/>
                <w:color w:val="auto"/>
              </w:rPr>
            </w:pPr>
          </w:p>
        </w:tc>
        <w:tc>
          <w:tcPr>
            <w:tcW w:w="606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Other operating expense</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98"/>
        </w:trPr>
        <w:tc>
          <w:tcPr>
            <w:tcW w:w="20" w:type="dxa"/>
            <w:vAlign w:val="bottom"/>
            <w:tcBorders>
              <w:bottom w:val="single" w:sz="8" w:color="CCEEFF"/>
            </w:tcBorders>
          </w:tcPr>
          <w:p>
            <w:pPr>
              <w:spacing w:after="0"/>
              <w:rPr>
                <w:sz w:val="17"/>
                <w:szCs w:val="17"/>
                <w:color w:val="auto"/>
              </w:rPr>
            </w:pPr>
          </w:p>
        </w:tc>
        <w:tc>
          <w:tcPr>
            <w:tcW w:w="6060" w:type="dxa"/>
            <w:vAlign w:val="bottom"/>
            <w:tcBorders>
              <w:bottom w:val="single" w:sz="8" w:color="CCEEFF"/>
            </w:tcBorders>
            <w:gridSpan w:val="3"/>
          </w:tcPr>
          <w:p>
            <w:pPr>
              <w:ind w:left="340"/>
              <w:spacing w:after="0"/>
              <w:rPr>
                <w:sz w:val="20"/>
                <w:szCs w:val="20"/>
                <w:color w:val="auto"/>
              </w:rPr>
            </w:pPr>
            <w:r>
              <w:rPr>
                <w:rFonts w:ascii="Arial" w:cs="Arial" w:eastAsia="Arial" w:hAnsi="Arial"/>
                <w:sz w:val="14"/>
                <w:szCs w:val="14"/>
                <w:color w:val="auto"/>
              </w:rPr>
              <w:t>Depreciation and amortization expense</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r>
      <w:tr>
        <w:trPr>
          <w:trHeight w:val="196"/>
        </w:trPr>
        <w:tc>
          <w:tcPr>
            <w:tcW w:w="20" w:type="dxa"/>
            <w:vAlign w:val="bottom"/>
            <w:shd w:val="clear" w:color="auto" w:fill="CCEEFF"/>
          </w:tcPr>
          <w:p>
            <w:pPr>
              <w:spacing w:after="0"/>
              <w:rPr>
                <w:sz w:val="17"/>
                <w:szCs w:val="17"/>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Segment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766</w:t>
            </w:r>
          </w:p>
        </w:tc>
      </w:tr>
      <w:tr>
        <w:trPr>
          <w:trHeight w:val="78"/>
        </w:trPr>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r>
      <w:tr>
        <w:trPr>
          <w:trHeight w:val="203"/>
        </w:trPr>
        <w:tc>
          <w:tcPr>
            <w:tcW w:w="20" w:type="dxa"/>
            <w:vAlign w:val="bottom"/>
            <w:shd w:val="clear" w:color="auto" w:fill="CCEEFF"/>
          </w:tcPr>
          <w:p>
            <w:pPr>
              <w:spacing w:after="0"/>
              <w:rPr>
                <w:sz w:val="17"/>
                <w:szCs w:val="17"/>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r>
      <w:tr>
        <w:trPr>
          <w:trHeight w:val="262"/>
        </w:trPr>
        <w:tc>
          <w:tcPr>
            <w:tcW w:w="5980" w:type="dxa"/>
            <w:vAlign w:val="bottom"/>
            <w:gridSpan w:val="3"/>
          </w:tcPr>
          <w:p>
            <w:pPr>
              <w:spacing w:after="0"/>
              <w:rPr>
                <w:sz w:val="20"/>
                <w:szCs w:val="20"/>
                <w:color w:val="auto"/>
              </w:rPr>
            </w:pPr>
            <w:r>
              <w:rPr>
                <w:rFonts w:ascii="Arial" w:cs="Arial" w:eastAsia="Arial" w:hAnsi="Arial"/>
                <w:sz w:val="14"/>
                <w:szCs w:val="14"/>
                <w:color w:val="auto"/>
              </w:rPr>
              <w:t>__________</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r>
    </w:tbl>
    <w:p>
      <w:pPr>
        <w:spacing w:after="0" w:line="11"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Total excludes Divestitures and Unallocated Costs.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expense shown above is primarily comprised of third-party legal fees and other miscellaneous expenses.</w:t>
      </w:r>
    </w:p>
    <w:p>
      <w:pPr>
        <w:spacing w:after="0" w:line="200" w:lineRule="exact"/>
        <w:rPr>
          <w:sz w:val="20"/>
          <w:szCs w:val="20"/>
          <w:color w:val="auto"/>
        </w:rPr>
      </w:pPr>
    </w:p>
    <w:p>
      <w:pPr>
        <w:spacing w:after="0" w:line="354"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2025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Segment profit (loss) to Income (loss) before income taxes:</w:t>
      </w:r>
    </w:p>
    <w:p>
      <w:pPr>
        <w:spacing w:after="0" w:line="101" w:lineRule="exact"/>
        <w:rPr>
          <w:sz w:val="20"/>
          <w:szCs w:val="20"/>
          <w:color w:val="auto"/>
        </w:rPr>
      </w:pPr>
    </w:p>
    <w:p>
      <w:pPr>
        <w:ind w:left="9300"/>
        <w:spacing w:after="0"/>
        <w:rPr>
          <w:sz w:val="20"/>
          <w:szCs w:val="20"/>
          <w:color w:val="auto"/>
        </w:rPr>
      </w:pPr>
      <w:r>
        <w:rPr>
          <w:rFonts w:ascii="Arial" w:cs="Arial" w:eastAsia="Arial" w:hAnsi="Arial"/>
          <w:sz w:val="14"/>
          <w:szCs w:val="14"/>
          <w:color w:val="auto"/>
        </w:rPr>
        <w:t>Three Months Ended</w:t>
      </w: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8740" w:type="dxa"/>
            <w:vAlign w:val="bottom"/>
            <w:gridSpan w:val="3"/>
          </w:tcPr>
          <w:p>
            <w:pPr>
              <w:spacing w:after="0" w:line="144" w:lineRule="exact"/>
              <w:rPr>
                <w:sz w:val="20"/>
                <w:szCs w:val="20"/>
                <w:color w:val="auto"/>
              </w:rPr>
            </w:pPr>
            <w:r>
              <w:rPr>
                <w:rFonts w:ascii="Arial" w:cs="Arial" w:eastAsia="Arial" w:hAnsi="Arial"/>
                <w:sz w:val="13"/>
                <w:szCs w:val="13"/>
                <w:color w:val="auto"/>
              </w:rPr>
              <w:t>(in millions)</w:t>
            </w:r>
          </w:p>
        </w:tc>
        <w:tc>
          <w:tcPr>
            <w:tcW w:w="820" w:type="dxa"/>
            <w:vAlign w:val="bottom"/>
          </w:tcPr>
          <w:p>
            <w:pPr>
              <w:spacing w:after="0"/>
              <w:rPr>
                <w:sz w:val="12"/>
                <w:szCs w:val="12"/>
                <w:color w:val="auto"/>
              </w:rPr>
            </w:pPr>
          </w:p>
        </w:tc>
        <w:tc>
          <w:tcPr>
            <w:tcW w:w="820" w:type="dxa"/>
            <w:vAlign w:val="bottom"/>
            <w:gridSpan w:val="3"/>
          </w:tcPr>
          <w:p>
            <w:pPr>
              <w:jc w:val="right"/>
              <w:ind w:right="8"/>
              <w:spacing w:after="0" w:line="144" w:lineRule="exact"/>
              <w:rPr>
                <w:sz w:val="20"/>
                <w:szCs w:val="20"/>
                <w:color w:val="auto"/>
              </w:rPr>
            </w:pPr>
            <w:r>
              <w:rPr>
                <w:rFonts w:ascii="Arial" w:cs="Arial" w:eastAsia="Arial" w:hAnsi="Arial"/>
                <w:sz w:val="14"/>
                <w:szCs w:val="14"/>
                <w:color w:val="auto"/>
              </w:rPr>
              <w:t>March 31,</w:t>
            </w:r>
          </w:p>
        </w:tc>
        <w:tc>
          <w:tcPr>
            <w:tcW w:w="84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75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2025</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2024</w:t>
            </w:r>
          </w:p>
        </w:tc>
      </w:tr>
      <w:tr>
        <w:trPr>
          <w:trHeight w:val="200"/>
        </w:trPr>
        <w:tc>
          <w:tcPr>
            <w:tcW w:w="20" w:type="dxa"/>
            <w:vAlign w:val="bottom"/>
            <w:shd w:val="clear" w:color="auto" w:fill="CCEEFF"/>
          </w:tcPr>
          <w:p>
            <w:pPr>
              <w:spacing w:after="0"/>
              <w:rPr>
                <w:sz w:val="17"/>
                <w:szCs w:val="17"/>
                <w:color w:val="auto"/>
              </w:rPr>
            </w:pPr>
          </w:p>
        </w:tc>
        <w:tc>
          <w:tcPr>
            <w:tcW w:w="874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Segment Profit (Loss)</w:t>
            </w: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r>
      <w:tr>
        <w:trPr>
          <w:trHeight w:val="162"/>
        </w:trPr>
        <w:tc>
          <w:tcPr>
            <w:tcW w:w="20" w:type="dxa"/>
            <w:vAlign w:val="bottom"/>
          </w:tcPr>
          <w:p>
            <w:pPr>
              <w:spacing w:after="0"/>
              <w:rPr>
                <w:sz w:val="14"/>
                <w:szCs w:val="14"/>
                <w:color w:val="auto"/>
              </w:rPr>
            </w:pPr>
          </w:p>
        </w:tc>
        <w:tc>
          <w:tcPr>
            <w:tcW w:w="8740" w:type="dxa"/>
            <w:vAlign w:val="bottom"/>
            <w:gridSpan w:val="3"/>
          </w:tcPr>
          <w:p>
            <w:pPr>
              <w:spacing w:after="0"/>
              <w:rPr>
                <w:sz w:val="20"/>
                <w:szCs w:val="20"/>
                <w:color w:val="auto"/>
              </w:rPr>
            </w:pPr>
            <w:r>
              <w:rPr>
                <w:rFonts w:ascii="Arial" w:cs="Arial" w:eastAsia="Arial" w:hAnsi="Arial"/>
                <w:sz w:val="14"/>
                <w:szCs w:val="14"/>
                <w:color w:val="auto"/>
              </w:rPr>
              <w:t>Reconciling items:</w:t>
            </w: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74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4"/>
                <w:szCs w:val="14"/>
                <w:color w:val="auto"/>
              </w:rPr>
              <w:t>Divestitures profit</w:t>
            </w:r>
            <w:r>
              <w:rPr>
                <w:rFonts w:ascii="Arial" w:cs="Arial" w:eastAsia="Arial" w:hAnsi="Arial"/>
                <w:sz w:val="18"/>
                <w:szCs w:val="18"/>
                <w:color w:val="auto"/>
                <w:vertAlign w:val="superscript"/>
              </w:rPr>
              <w:t>(1)</w:t>
            </w:r>
          </w:p>
        </w:tc>
        <w:tc>
          <w:tcPr>
            <w:tcW w:w="8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203"/>
        </w:trPr>
        <w:tc>
          <w:tcPr>
            <w:tcW w:w="20" w:type="dxa"/>
            <w:vAlign w:val="bottom"/>
          </w:tcPr>
          <w:p>
            <w:pPr>
              <w:spacing w:after="0"/>
              <w:rPr>
                <w:sz w:val="17"/>
                <w:szCs w:val="17"/>
                <w:color w:val="auto"/>
              </w:rPr>
            </w:pPr>
          </w:p>
        </w:tc>
        <w:tc>
          <w:tcPr>
            <w:tcW w:w="8740" w:type="dxa"/>
            <w:vAlign w:val="bottom"/>
            <w:gridSpan w:val="3"/>
          </w:tcPr>
          <w:p>
            <w:pPr>
              <w:ind w:left="120"/>
              <w:spacing w:after="0" w:line="202" w:lineRule="exact"/>
              <w:rPr>
                <w:sz w:val="20"/>
                <w:szCs w:val="20"/>
                <w:color w:val="auto"/>
              </w:rPr>
            </w:pPr>
            <w:r>
              <w:rPr>
                <w:rFonts w:ascii="Arial" w:cs="Arial" w:eastAsia="Arial" w:hAnsi="Arial"/>
                <w:sz w:val="14"/>
                <w:szCs w:val="14"/>
                <w:color w:val="auto"/>
              </w:rPr>
              <w:t>Unallocated costs</w:t>
            </w:r>
            <w:r>
              <w:rPr>
                <w:rFonts w:ascii="Arial" w:cs="Arial" w:eastAsia="Arial" w:hAnsi="Arial"/>
                <w:sz w:val="18"/>
                <w:szCs w:val="18"/>
                <w:color w:val="auto"/>
                <w:vertAlign w:val="superscript"/>
              </w:rPr>
              <w:t>(2)</w:t>
            </w:r>
          </w:p>
        </w:tc>
        <w:tc>
          <w:tcPr>
            <w:tcW w:w="8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203"/>
        </w:trPr>
        <w:tc>
          <w:tcPr>
            <w:tcW w:w="20" w:type="dxa"/>
            <w:vAlign w:val="bottom"/>
            <w:shd w:val="clear" w:color="auto" w:fill="CCEEFF"/>
          </w:tcPr>
          <w:p>
            <w:pPr>
              <w:spacing w:after="0"/>
              <w:rPr>
                <w:sz w:val="17"/>
                <w:szCs w:val="17"/>
                <w:color w:val="auto"/>
              </w:rPr>
            </w:pPr>
          </w:p>
        </w:tc>
        <w:tc>
          <w:tcPr>
            <w:tcW w:w="8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Amortization of acquired intangible assets</w:t>
            </w:r>
          </w:p>
        </w:tc>
        <w:tc>
          <w:tcPr>
            <w:tcW w:w="8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98"/>
        </w:trPr>
        <w:tc>
          <w:tcPr>
            <w:tcW w:w="20" w:type="dxa"/>
            <w:vAlign w:val="bottom"/>
          </w:tcPr>
          <w:p>
            <w:pPr>
              <w:spacing w:after="0"/>
              <w:rPr>
                <w:sz w:val="17"/>
                <w:szCs w:val="17"/>
                <w:color w:val="auto"/>
              </w:rPr>
            </w:pPr>
          </w:p>
        </w:tc>
        <w:tc>
          <w:tcPr>
            <w:tcW w:w="8740" w:type="dxa"/>
            <w:vAlign w:val="bottom"/>
            <w:gridSpan w:val="3"/>
          </w:tcPr>
          <w:p>
            <w:pPr>
              <w:ind w:left="120"/>
              <w:spacing w:after="0"/>
              <w:rPr>
                <w:sz w:val="20"/>
                <w:szCs w:val="20"/>
                <w:color w:val="auto"/>
              </w:rPr>
            </w:pPr>
            <w:r>
              <w:rPr>
                <w:rFonts w:ascii="Arial" w:cs="Arial" w:eastAsia="Arial" w:hAnsi="Arial"/>
                <w:sz w:val="14"/>
                <w:szCs w:val="14"/>
                <w:color w:val="auto"/>
              </w:rPr>
              <w:t>Restructuring and related costs</w:t>
            </w:r>
          </w:p>
        </w:tc>
        <w:tc>
          <w:tcPr>
            <w:tcW w:w="8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07"/>
        </w:trPr>
        <w:tc>
          <w:tcPr>
            <w:tcW w:w="20" w:type="dxa"/>
            <w:vAlign w:val="bottom"/>
            <w:shd w:val="clear" w:color="auto" w:fill="CCEEFF"/>
          </w:tcPr>
          <w:p>
            <w:pPr>
              <w:spacing w:after="0"/>
              <w:rPr>
                <w:sz w:val="17"/>
                <w:szCs w:val="17"/>
                <w:color w:val="auto"/>
              </w:rPr>
            </w:pPr>
          </w:p>
        </w:tc>
        <w:tc>
          <w:tcPr>
            <w:tcW w:w="8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198"/>
        </w:trPr>
        <w:tc>
          <w:tcPr>
            <w:tcW w:w="20" w:type="dxa"/>
            <w:vAlign w:val="bottom"/>
          </w:tcPr>
          <w:p>
            <w:pPr>
              <w:spacing w:after="0"/>
              <w:rPr>
                <w:sz w:val="17"/>
                <w:szCs w:val="17"/>
                <w:color w:val="auto"/>
              </w:rPr>
            </w:pPr>
          </w:p>
        </w:tc>
        <w:tc>
          <w:tcPr>
            <w:tcW w:w="8740" w:type="dxa"/>
            <w:vAlign w:val="bottom"/>
            <w:gridSpan w:val="3"/>
          </w:tcPr>
          <w:p>
            <w:pPr>
              <w:ind w:left="120"/>
              <w:spacing w:after="0"/>
              <w:rPr>
                <w:sz w:val="20"/>
                <w:szCs w:val="20"/>
                <w:color w:val="auto"/>
              </w:rPr>
            </w:pPr>
            <w:r>
              <w:rPr>
                <w:rFonts w:ascii="Arial" w:cs="Arial" w:eastAsia="Arial" w:hAnsi="Arial"/>
                <w:sz w:val="14"/>
                <w:szCs w:val="14"/>
                <w:color w:val="auto"/>
              </w:rPr>
              <w:t>Loss on extinguishment of debt</w:t>
            </w:r>
          </w:p>
        </w:tc>
        <w:tc>
          <w:tcPr>
            <w:tcW w:w="820" w:type="dxa"/>
            <w:vAlign w:val="bottom"/>
          </w:tcPr>
          <w:p>
            <w:pPr>
              <w:spacing w:after="0"/>
              <w:rPr>
                <w:sz w:val="17"/>
                <w:szCs w:val="17"/>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7"/>
        </w:trPr>
        <w:tc>
          <w:tcPr>
            <w:tcW w:w="20" w:type="dxa"/>
            <w:vAlign w:val="bottom"/>
            <w:shd w:val="clear" w:color="auto" w:fill="CCEEFF"/>
          </w:tcPr>
          <w:p>
            <w:pPr>
              <w:spacing w:after="0"/>
              <w:rPr>
                <w:sz w:val="17"/>
                <w:szCs w:val="17"/>
                <w:color w:val="auto"/>
              </w:rPr>
            </w:pPr>
          </w:p>
        </w:tc>
        <w:tc>
          <w:tcPr>
            <w:tcW w:w="8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Gain (loss) on divestitures and transaction costs, net</w:t>
            </w: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r>
      <w:tr>
        <w:trPr>
          <w:trHeight w:val="198"/>
        </w:trPr>
        <w:tc>
          <w:tcPr>
            <w:tcW w:w="20" w:type="dxa"/>
            <w:vAlign w:val="bottom"/>
          </w:tcPr>
          <w:p>
            <w:pPr>
              <w:spacing w:after="0"/>
              <w:rPr>
                <w:sz w:val="17"/>
                <w:szCs w:val="17"/>
                <w:color w:val="auto"/>
              </w:rPr>
            </w:pPr>
          </w:p>
        </w:tc>
        <w:tc>
          <w:tcPr>
            <w:tcW w:w="8740" w:type="dxa"/>
            <w:vAlign w:val="bottom"/>
            <w:gridSpan w:val="3"/>
          </w:tcPr>
          <w:p>
            <w:pPr>
              <w:ind w:left="120"/>
              <w:spacing w:after="0"/>
              <w:rPr>
                <w:sz w:val="20"/>
                <w:szCs w:val="20"/>
                <w:color w:val="auto"/>
              </w:rPr>
            </w:pPr>
            <w:r>
              <w:rPr>
                <w:rFonts w:ascii="Arial" w:cs="Arial" w:eastAsia="Arial" w:hAnsi="Arial"/>
                <w:sz w:val="14"/>
                <w:szCs w:val="14"/>
                <w:color w:val="auto"/>
              </w:rPr>
              <w:t>Litigation (settlements) recoveries, net</w:t>
            </w:r>
          </w:p>
        </w:tc>
        <w:tc>
          <w:tcPr>
            <w:tcW w:w="8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2"/>
        </w:trPr>
        <w:tc>
          <w:tcPr>
            <w:tcW w:w="20" w:type="dxa"/>
            <w:vAlign w:val="bottom"/>
            <w:shd w:val="clear" w:color="auto" w:fill="CCEEFF"/>
          </w:tcPr>
          <w:p>
            <w:pPr>
              <w:spacing w:after="0"/>
              <w:rPr>
                <w:sz w:val="17"/>
                <w:szCs w:val="17"/>
                <w:color w:val="auto"/>
              </w:rPr>
            </w:pPr>
          </w:p>
        </w:tc>
        <w:tc>
          <w:tcPr>
            <w:tcW w:w="8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Other income (expenses), net</w:t>
            </w:r>
          </w:p>
        </w:tc>
        <w:tc>
          <w:tcPr>
            <w:tcW w:w="8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00"/>
        </w:trPr>
        <w:tc>
          <w:tcPr>
            <w:tcW w:w="20" w:type="dxa"/>
            <w:vAlign w:val="bottom"/>
          </w:tcPr>
          <w:p>
            <w:pPr>
              <w:spacing w:after="0"/>
              <w:rPr>
                <w:sz w:val="17"/>
                <w:szCs w:val="17"/>
                <w:color w:val="auto"/>
              </w:rPr>
            </w:pPr>
          </w:p>
        </w:tc>
        <w:tc>
          <w:tcPr>
            <w:tcW w:w="8740" w:type="dxa"/>
            <w:vAlign w:val="bottom"/>
            <w:gridSpan w:val="3"/>
          </w:tcPr>
          <w:p>
            <w:pPr>
              <w:spacing w:after="0"/>
              <w:rPr>
                <w:sz w:val="20"/>
                <w:szCs w:val="20"/>
                <w:color w:val="auto"/>
              </w:rPr>
            </w:pPr>
            <w:r>
              <w:rPr>
                <w:rFonts w:ascii="Arial" w:cs="Arial" w:eastAsia="Arial" w:hAnsi="Arial"/>
                <w:sz w:val="14"/>
                <w:szCs w:val="14"/>
                <w:b w:val="1"/>
                <w:bCs w:val="1"/>
                <w:color w:val="auto"/>
              </w:rPr>
              <w:t>Income (Loss) Before Income Taxes</w:t>
            </w:r>
          </w:p>
        </w:tc>
        <w:tc>
          <w:tcPr>
            <w:tcW w:w="8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220" w:hanging="212"/>
        <w:spacing w:after="0"/>
        <w:tabs>
          <w:tab w:leader="none" w:pos="220" w:val="left"/>
        </w:tabs>
        <w:numPr>
          <w:ilvl w:val="0"/>
          <w:numId w:val="9"/>
        </w:numPr>
        <w:rPr>
          <w:rFonts w:ascii="Arial" w:cs="Arial" w:eastAsia="Arial" w:hAnsi="Arial"/>
          <w:sz w:val="9"/>
          <w:szCs w:val="9"/>
          <w:i w:val="1"/>
          <w:iCs w:val="1"/>
          <w:color w:val="auto"/>
        </w:rPr>
      </w:pPr>
      <w:r>
        <w:rPr>
          <w:rFonts w:ascii="Arial" w:cs="Arial" w:eastAsia="Arial" w:hAnsi="Arial"/>
          <w:sz w:val="14"/>
          <w:szCs w:val="14"/>
          <w:i w:val="1"/>
          <w:iCs w:val="1"/>
          <w:color w:val="auto"/>
        </w:rPr>
        <w:t>Divestitures profit is Income (loss) before income taxes.</w:t>
      </w:r>
    </w:p>
    <w:p>
      <w:pPr>
        <w:spacing w:after="0" w:line="68" w:lineRule="exact"/>
        <w:rPr>
          <w:rFonts w:ascii="Arial" w:cs="Arial" w:eastAsia="Arial" w:hAnsi="Arial"/>
          <w:sz w:val="9"/>
          <w:szCs w:val="9"/>
          <w:i w:val="1"/>
          <w:iCs w:val="1"/>
          <w:color w:val="auto"/>
        </w:rPr>
      </w:pPr>
    </w:p>
    <w:p>
      <w:pPr>
        <w:ind w:left="340" w:right="20" w:hanging="332"/>
        <w:spacing w:after="0" w:line="239" w:lineRule="auto"/>
        <w:tabs>
          <w:tab w:leader="none" w:pos="234" w:val="left"/>
        </w:tabs>
        <w:numPr>
          <w:ilvl w:val="0"/>
          <w:numId w:val="9"/>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Unallocated Costs includes IT infrastructure costs that are shared by multiple reportable segments, enterprise application costs and certain corporate overhead expenses not directly attributable or allocated to the reportable segments. Included in the 2025 period are $25 million of Direct response costs related to the January 2025 Cyber Incident and a $9 million insurance recovery related to the 2019 Texas Matter.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Refer to Note 3 – Revenue for additional information on disaggregated revenues of the reportable segments.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Note 5 – Divestitures</w:t>
      </w:r>
    </w:p>
    <w:p>
      <w:pPr>
        <w:spacing w:after="0" w:line="162"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The Company entered into various agreements to transfer or sell certain portfolios and businesses in 2024. Each of these transactions is described below.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Divestiture of Casualty Claims Solutions Business</w:t>
      </w:r>
    </w:p>
    <w:p>
      <w:pPr>
        <w:spacing w:after="0" w:line="17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On May 3, 2024, the Company entered into a definitive agreement to sell the Company’s Casualty Claims Solutions business (collectively referred to as the "Casualty Disposal Group") to MedRisk, Inc ("MedRisk"). On September 1, 2024, the sale was completed and MedRisk paid Conduent $224 million of cash consideration, subject to certain post-closing adjustments. These adjustments were finalized in the first quarter of 2025 and were not material.</w:t>
      </w:r>
    </w:p>
    <w:p>
      <w:pPr>
        <w:spacing w:after="0" w:line="12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At closing, the Company recorded a gain on the sale of $194 million, less costs to sell of $8 million, which was recorded in Gain (loss) on divestitures and transaction costs in the third quarter of 2024. Additionally, the Company recorded $33 million of income tax expense related to the divestiture, which was also recorded in the third quarter of 2024.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Casualty Disposal Group generated revenue and income (loss) before income taxes as follows:</w:t>
      </w:r>
    </w:p>
    <w:p>
      <w:pPr>
        <w:spacing w:after="0" w:line="209" w:lineRule="exact"/>
        <w:rPr>
          <w:sz w:val="20"/>
          <w:szCs w:val="20"/>
          <w:color w:val="auto"/>
        </w:rPr>
      </w:pPr>
    </w:p>
    <w:p>
      <w:pPr>
        <w:ind w:left="9180"/>
        <w:spacing w:after="0"/>
        <w:rPr>
          <w:sz w:val="20"/>
          <w:szCs w:val="20"/>
          <w:color w:val="auto"/>
        </w:rPr>
      </w:pPr>
      <w:r>
        <w:rPr>
          <w:rFonts w:ascii="Arial" w:cs="Arial" w:eastAsia="Arial" w:hAnsi="Arial"/>
          <w:sz w:val="14"/>
          <w:szCs w:val="14"/>
          <w:color w:val="auto"/>
        </w:rPr>
        <w:t>Three Months Ended</w:t>
      </w:r>
    </w:p>
    <w:p>
      <w:pPr>
        <w:ind w:left="9540"/>
        <w:spacing w:after="0"/>
        <w:rPr>
          <w:sz w:val="20"/>
          <w:szCs w:val="20"/>
          <w:color w:val="auto"/>
        </w:rPr>
      </w:pPr>
      <w:r>
        <w:rPr>
          <w:rFonts w:ascii="Arial" w:cs="Arial" w:eastAsia="Arial" w:hAnsi="Arial"/>
          <w:sz w:val="14"/>
          <w:szCs w:val="14"/>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46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rPr>
              <w:t>2025</w:t>
            </w: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7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gridSpan w:val="3"/>
            <w:shd w:val="clear" w:color="auto" w:fill="CCEEFF"/>
          </w:tcPr>
          <w:p>
            <w:pPr>
              <w:ind w:left="820"/>
              <w:spacing w:after="0"/>
              <w:rPr>
                <w:sz w:val="20"/>
                <w:szCs w:val="20"/>
                <w:color w:val="auto"/>
              </w:rPr>
            </w:pPr>
            <w:r>
              <w:rPr>
                <w:rFonts w:ascii="Arial" w:cs="Arial" w:eastAsia="Arial" w:hAnsi="Arial"/>
                <w:sz w:val="14"/>
                <w:szCs w:val="14"/>
                <w:color w:val="auto"/>
              </w:rPr>
              <w:t>—   $</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194"/>
        </w:trPr>
        <w:tc>
          <w:tcPr>
            <w:tcW w:w="20" w:type="dxa"/>
            <w:vAlign w:val="bottom"/>
          </w:tcPr>
          <w:p>
            <w:pPr>
              <w:spacing w:after="0"/>
              <w:rPr>
                <w:sz w:val="16"/>
                <w:szCs w:val="16"/>
                <w:color w:val="auto"/>
              </w:rPr>
            </w:pPr>
          </w:p>
        </w:tc>
        <w:tc>
          <w:tcPr>
            <w:tcW w:w="8460" w:type="dxa"/>
            <w:vAlign w:val="bottom"/>
            <w:gridSpan w:val="2"/>
          </w:tcPr>
          <w:p>
            <w:pPr>
              <w:spacing w:after="0"/>
              <w:rPr>
                <w:sz w:val="20"/>
                <w:szCs w:val="20"/>
                <w:color w:val="auto"/>
              </w:rPr>
            </w:pPr>
            <w:r>
              <w:rPr>
                <w:rFonts w:ascii="Arial" w:cs="Arial" w:eastAsia="Arial" w:hAnsi="Arial"/>
                <w:sz w:val="14"/>
                <w:szCs w:val="14"/>
                <w:color w:val="auto"/>
              </w:rPr>
              <w:t>Income (loss) before income taxes</w:t>
            </w:r>
          </w:p>
        </w:tc>
        <w:tc>
          <w:tcPr>
            <w:tcW w:w="300" w:type="dxa"/>
            <w:vAlign w:val="bottom"/>
          </w:tcPr>
          <w:p>
            <w:pPr>
              <w:spacing w:after="0"/>
              <w:rPr>
                <w:sz w:val="16"/>
                <w:szCs w:val="16"/>
                <w:color w:val="auto"/>
              </w:rPr>
            </w:pPr>
          </w:p>
        </w:tc>
        <w:tc>
          <w:tcPr>
            <w:tcW w:w="1440" w:type="dxa"/>
            <w:vAlign w:val="bottom"/>
            <w:gridSpan w:val="3"/>
          </w:tcPr>
          <w:p>
            <w:pPr>
              <w:ind w:left="8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Divestiture of Curbside Management and Public Safety Solutions Businesses</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December 2023, the Company signed a definitive agreement to sell its Curbside Management and Public Safety Solutions businesses (collectively referred to as the "Curbside Disposal Group") to Modaxo, a division of Constellation Software Inc. ("Modaxo"), for $230 million (plus the assumption of certain indebtedness), subject to customary purchase price adjustments.</w:t>
      </w:r>
    </w:p>
    <w:p>
      <w:pPr>
        <w:spacing w:after="0" w:line="200" w:lineRule="exact"/>
        <w:rPr>
          <w:sz w:val="20"/>
          <w:szCs w:val="20"/>
          <w:color w:val="auto"/>
        </w:rPr>
      </w:pPr>
    </w:p>
    <w:p>
      <w:pPr>
        <w:spacing w:after="0" w:line="331"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2025 Form 10-Q</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On April 30, 2024, Conduent completed the sale of this business. The Company received $181 million of cash consideration and a $ 50 million non-interest bearing note payable to the Company due on April 30, 2025. Additionally, the Company received reimbursement for payments made by the Company related to finance lease liabilities and related costs and the reimbursement for the purchase of certain equipment made by the Company on the buyer's behalf. In 2024, the Company recorded a gain on the sale of $103 million less costs to sell of $5 million, which was recorded in Gain (loss) on divestitures and transaction costs in the second quarter of 2024. The Company recorded $28 million of income tax expense in connection with the divestiture, which was also recorded in the second quarter of 2024.</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Curbside Disposal Group generated revenue and income (loss) before income taxes as follows:</w:t>
      </w:r>
    </w:p>
    <w:p>
      <w:pPr>
        <w:spacing w:after="0" w:line="101" w:lineRule="exact"/>
        <w:rPr>
          <w:sz w:val="20"/>
          <w:szCs w:val="20"/>
          <w:color w:val="auto"/>
        </w:rPr>
      </w:pPr>
    </w:p>
    <w:p>
      <w:pPr>
        <w:ind w:left="9180"/>
        <w:spacing w:after="0"/>
        <w:rPr>
          <w:sz w:val="20"/>
          <w:szCs w:val="20"/>
          <w:color w:val="auto"/>
        </w:rPr>
      </w:pPr>
      <w:r>
        <w:rPr>
          <w:rFonts w:ascii="Arial" w:cs="Arial" w:eastAsia="Arial" w:hAnsi="Arial"/>
          <w:sz w:val="14"/>
          <w:szCs w:val="14"/>
          <w:color w:val="auto"/>
        </w:rPr>
        <w:t>Three Months Ended</w:t>
      </w:r>
    </w:p>
    <w:p>
      <w:pPr>
        <w:ind w:left="9540"/>
        <w:spacing w:after="0"/>
        <w:rPr>
          <w:sz w:val="20"/>
          <w:szCs w:val="20"/>
          <w:color w:val="auto"/>
        </w:rPr>
      </w:pPr>
      <w:r>
        <w:rPr>
          <w:rFonts w:ascii="Arial" w:cs="Arial" w:eastAsia="Arial" w:hAnsi="Arial"/>
          <w:sz w:val="14"/>
          <w:szCs w:val="14"/>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46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rPr>
              <w:t>2025</w:t>
            </w: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rPr>
              <w:t>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7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gridSpan w:val="3"/>
            <w:shd w:val="clear" w:color="auto" w:fill="CCEEFF"/>
          </w:tcPr>
          <w:p>
            <w:pPr>
              <w:ind w:left="820"/>
              <w:spacing w:after="0"/>
              <w:rPr>
                <w:sz w:val="20"/>
                <w:szCs w:val="20"/>
                <w:color w:val="auto"/>
              </w:rPr>
            </w:pPr>
            <w:r>
              <w:rPr>
                <w:rFonts w:ascii="Arial" w:cs="Arial" w:eastAsia="Arial" w:hAnsi="Arial"/>
                <w:sz w:val="14"/>
                <w:szCs w:val="14"/>
                <w:color w:val="auto"/>
              </w:rPr>
              <w:t>—   $</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r>
      <w:tr>
        <w:trPr>
          <w:trHeight w:val="194"/>
        </w:trPr>
        <w:tc>
          <w:tcPr>
            <w:tcW w:w="20" w:type="dxa"/>
            <w:vAlign w:val="bottom"/>
          </w:tcPr>
          <w:p>
            <w:pPr>
              <w:spacing w:after="0"/>
              <w:rPr>
                <w:sz w:val="16"/>
                <w:szCs w:val="16"/>
                <w:color w:val="auto"/>
              </w:rPr>
            </w:pPr>
          </w:p>
        </w:tc>
        <w:tc>
          <w:tcPr>
            <w:tcW w:w="8460" w:type="dxa"/>
            <w:vAlign w:val="bottom"/>
            <w:gridSpan w:val="2"/>
          </w:tcPr>
          <w:p>
            <w:pPr>
              <w:spacing w:after="0"/>
              <w:rPr>
                <w:sz w:val="20"/>
                <w:szCs w:val="20"/>
                <w:color w:val="auto"/>
              </w:rPr>
            </w:pPr>
            <w:r>
              <w:rPr>
                <w:rFonts w:ascii="Arial" w:cs="Arial" w:eastAsia="Arial" w:hAnsi="Arial"/>
                <w:sz w:val="14"/>
                <w:szCs w:val="14"/>
                <w:color w:val="auto"/>
              </w:rPr>
              <w:t>Income (loss) before income taxes</w:t>
            </w:r>
          </w:p>
        </w:tc>
        <w:tc>
          <w:tcPr>
            <w:tcW w:w="300" w:type="dxa"/>
            <w:vAlign w:val="bottom"/>
          </w:tcPr>
          <w:p>
            <w:pPr>
              <w:spacing w:after="0"/>
              <w:rPr>
                <w:sz w:val="16"/>
                <w:szCs w:val="16"/>
                <w:color w:val="auto"/>
              </w:rPr>
            </w:pPr>
          </w:p>
        </w:tc>
        <w:tc>
          <w:tcPr>
            <w:tcW w:w="1440" w:type="dxa"/>
            <w:vAlign w:val="bottom"/>
            <w:gridSpan w:val="3"/>
          </w:tcPr>
          <w:p>
            <w:pPr>
              <w:ind w:left="8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Transfer of BenefitWallet Portfolio</w:t>
      </w:r>
    </w:p>
    <w:p>
      <w:pPr>
        <w:spacing w:after="0" w:line="171" w:lineRule="exact"/>
        <w:rPr>
          <w:sz w:val="20"/>
          <w:szCs w:val="20"/>
          <w:color w:val="auto"/>
        </w:rPr>
      </w:pPr>
    </w:p>
    <w:p>
      <w:pPr>
        <w:jc w:val="both"/>
        <w:ind w:right="540"/>
        <w:spacing w:after="0" w:line="268" w:lineRule="auto"/>
        <w:rPr>
          <w:sz w:val="20"/>
          <w:szCs w:val="20"/>
          <w:color w:val="auto"/>
        </w:rPr>
      </w:pPr>
      <w:r>
        <w:rPr>
          <w:rFonts w:ascii="Arial" w:cs="Arial" w:eastAsia="Arial" w:hAnsi="Arial"/>
          <w:sz w:val="18"/>
          <w:szCs w:val="18"/>
          <w:color w:val="auto"/>
        </w:rPr>
        <w:t>In September 2023, the Company entered into a Custodial Transfer and Asset Purchase Agreement to transfer its BenefitWallet health savings account and medical savings account portfolio (collectively, the "BenefitWallet Portfolio") to HealthEquity, Inc. for an aggregate purchase price of $425 million, subject to customary purchase price adjustments.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BenefitWallet transfer closed in multiple tranches from March to May 2024 and the Company received total aggregate cash consideration of $425 million as the tranches closed. The Company recorded a gain on the transfer of $425 million, less costs to sell of $11 million. Additionally, the Company recorded $ 102 million of income tax expense in connection with the transfer of the BenefitWallet Portfolio. The cash consideration and gain on the transfer of the BenefitWallet Portfolio recorded in the first quarter of 2024 were $164 million and $164 million, respectively. The Company recorded $39 million of income tax expense in connection with the transfer of the BenefitWallet Portfolio in the first quarter of 2024.</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BenefitWallet Portfolio generated revenue and income (loss) before income taxes as follows:</w:t>
      </w:r>
    </w:p>
    <w:p>
      <w:pPr>
        <w:spacing w:after="0" w:line="113" w:lineRule="exact"/>
        <w:rPr>
          <w:sz w:val="20"/>
          <w:szCs w:val="20"/>
          <w:color w:val="auto"/>
        </w:rPr>
      </w:pPr>
    </w:p>
    <w:p>
      <w:pPr>
        <w:ind w:left="9180"/>
        <w:spacing w:after="0"/>
        <w:rPr>
          <w:sz w:val="20"/>
          <w:szCs w:val="20"/>
          <w:color w:val="auto"/>
        </w:rPr>
      </w:pPr>
      <w:r>
        <w:rPr>
          <w:rFonts w:ascii="Arial" w:cs="Arial" w:eastAsia="Arial" w:hAnsi="Arial"/>
          <w:sz w:val="14"/>
          <w:szCs w:val="14"/>
          <w:color w:val="auto"/>
        </w:rPr>
        <w:t>Three Months Ended</w:t>
      </w:r>
    </w:p>
    <w:p>
      <w:pPr>
        <w:spacing w:after="0" w:line="2" w:lineRule="exact"/>
        <w:rPr>
          <w:sz w:val="20"/>
          <w:szCs w:val="20"/>
          <w:color w:val="auto"/>
        </w:rPr>
      </w:pPr>
    </w:p>
    <w:p>
      <w:pPr>
        <w:ind w:left="9540"/>
        <w:spacing w:after="0"/>
        <w:rPr>
          <w:sz w:val="20"/>
          <w:szCs w:val="20"/>
          <w:color w:val="auto"/>
        </w:rPr>
      </w:pPr>
      <w:r>
        <w:rPr>
          <w:rFonts w:ascii="Arial" w:cs="Arial" w:eastAsia="Arial" w:hAnsi="Arial"/>
          <w:sz w:val="14"/>
          <w:szCs w:val="14"/>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846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28"/>
              <w:spacing w:after="0" w:line="155" w:lineRule="exact"/>
              <w:rPr>
                <w:sz w:val="20"/>
                <w:szCs w:val="20"/>
                <w:color w:val="auto"/>
              </w:rPr>
            </w:pPr>
            <w:r>
              <w:rPr>
                <w:rFonts w:ascii="Arial" w:cs="Arial" w:eastAsia="Arial" w:hAnsi="Arial"/>
                <w:sz w:val="14"/>
                <w:szCs w:val="14"/>
                <w:color w:val="auto"/>
              </w:rPr>
              <w:t>2025</w:t>
            </w:r>
          </w:p>
        </w:tc>
        <w:tc>
          <w:tcPr>
            <w:tcW w:w="1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28"/>
              <w:spacing w:after="0" w:line="155" w:lineRule="exact"/>
              <w:rPr>
                <w:sz w:val="20"/>
                <w:szCs w:val="20"/>
                <w:color w:val="auto"/>
              </w:rPr>
            </w:pPr>
            <w:r>
              <w:rPr>
                <w:rFonts w:ascii="Arial" w:cs="Arial" w:eastAsia="Arial" w:hAnsi="Arial"/>
                <w:sz w:val="14"/>
                <w:szCs w:val="14"/>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7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gridSpan w:val="3"/>
            <w:shd w:val="clear" w:color="auto" w:fill="CCEEFF"/>
          </w:tcPr>
          <w:p>
            <w:pPr>
              <w:ind w:left="820"/>
              <w:spacing w:after="0"/>
              <w:rPr>
                <w:sz w:val="20"/>
                <w:szCs w:val="20"/>
                <w:color w:val="auto"/>
              </w:rPr>
            </w:pPr>
            <w:r>
              <w:rPr>
                <w:rFonts w:ascii="Arial" w:cs="Arial" w:eastAsia="Arial" w:hAnsi="Arial"/>
                <w:sz w:val="14"/>
                <w:szCs w:val="14"/>
                <w:color w:val="auto"/>
              </w:rPr>
              <w:t>—   $</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194"/>
        </w:trPr>
        <w:tc>
          <w:tcPr>
            <w:tcW w:w="20" w:type="dxa"/>
            <w:vAlign w:val="bottom"/>
          </w:tcPr>
          <w:p>
            <w:pPr>
              <w:spacing w:after="0"/>
              <w:rPr>
                <w:sz w:val="16"/>
                <w:szCs w:val="16"/>
                <w:color w:val="auto"/>
              </w:rPr>
            </w:pPr>
          </w:p>
        </w:tc>
        <w:tc>
          <w:tcPr>
            <w:tcW w:w="8460" w:type="dxa"/>
            <w:vAlign w:val="bottom"/>
            <w:gridSpan w:val="2"/>
          </w:tcPr>
          <w:p>
            <w:pPr>
              <w:spacing w:after="0"/>
              <w:rPr>
                <w:sz w:val="20"/>
                <w:szCs w:val="20"/>
                <w:color w:val="auto"/>
              </w:rPr>
            </w:pPr>
            <w:r>
              <w:rPr>
                <w:rFonts w:ascii="Arial" w:cs="Arial" w:eastAsia="Arial" w:hAnsi="Arial"/>
                <w:sz w:val="14"/>
                <w:szCs w:val="14"/>
                <w:color w:val="auto"/>
              </w:rPr>
              <w:t>Income (loss) before income taxes</w:t>
            </w:r>
          </w:p>
        </w:tc>
        <w:tc>
          <w:tcPr>
            <w:tcW w:w="300" w:type="dxa"/>
            <w:vAlign w:val="bottom"/>
          </w:tcPr>
          <w:p>
            <w:pPr>
              <w:spacing w:after="0"/>
              <w:rPr>
                <w:sz w:val="16"/>
                <w:szCs w:val="16"/>
                <w:color w:val="auto"/>
              </w:rPr>
            </w:pPr>
          </w:p>
        </w:tc>
        <w:tc>
          <w:tcPr>
            <w:tcW w:w="1440" w:type="dxa"/>
            <w:vAlign w:val="bottom"/>
            <w:gridSpan w:val="3"/>
          </w:tcPr>
          <w:p>
            <w:pPr>
              <w:ind w:left="8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19</w:t>
            </w:r>
          </w:p>
        </w:tc>
      </w:tr>
    </w:tbl>
    <w:p>
      <w:pPr>
        <w:spacing w:after="0" w:line="37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6 – Restructuring Programs and Related Costs</w:t>
      </w:r>
    </w:p>
    <w:p>
      <w:pPr>
        <w:spacing w:after="0" w:line="1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engages in a series of restructuring programs related to exiting certain activities, downsizing its employee base, outsourcing certain internal functions and engaging in other actions designed to reduce its cost structure and improve productivity. The implementation of the Company's operational efficiency improvement initiatives has reduced the Company's real estate footprint across all geographies and segments resulting in lease right-of-use ("ROU") asset impairments and other related costs. Also included in Restructuring and related costs are incremental, non-recurring costs related to the consolidation of the Company's data centers, which totaled $0 million and $2 million for the three months ended March 31, 2025 and 2024, respectively. Management continues to evaluate the Company's businesses and, in the future, there may be additional provisions for new plan initiatives and/or changes in previously recorded estimates as payments are made, or actions are completed.</w:t>
      </w:r>
    </w:p>
    <w:p>
      <w:pPr>
        <w:spacing w:after="0" w:line="13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Costs associated with restructuring, including employee severance and lease termination costs, are generally recognized when it has been determined that a liability has been incurred, which is generally upon communication to the affected employees or exit from the leased facility. In those geographies where the Company has either a formal severance plan or a history of consistently providing severance benefits representing a substantive plan, it recognizes employee severance costs when they are both probable and reasonably estimable. Asset impairment costs related to the reduction of the Company's real estate footprint include impairment of operating lease ROU assets and associated leasehold improvements.</w:t>
      </w:r>
    </w:p>
    <w:p>
      <w:pPr>
        <w:spacing w:after="0" w:line="200" w:lineRule="exact"/>
        <w:rPr>
          <w:sz w:val="20"/>
          <w:szCs w:val="20"/>
          <w:color w:val="auto"/>
        </w:rPr>
      </w:pPr>
    </w:p>
    <w:p>
      <w:pPr>
        <w:spacing w:after="0" w:line="34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Q1 2025 Form 10-Q</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5" w:name="page16"/>
    <w:bookmarkEnd w:id="15"/>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restructuring program activity during the three months ended March 31, 2025 and 2024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4"/>
          </w:tcPr>
          <w:p>
            <w:pPr>
              <w:jc w:val="center"/>
              <w:ind w:right="120"/>
              <w:spacing w:after="0"/>
              <w:rPr>
                <w:sz w:val="20"/>
                <w:szCs w:val="20"/>
                <w:color w:val="auto"/>
              </w:rPr>
            </w:pPr>
            <w:r>
              <w:rPr>
                <w:rFonts w:ascii="Arial" w:cs="Arial" w:eastAsia="Arial" w:hAnsi="Arial"/>
                <w:sz w:val="14"/>
                <w:szCs w:val="14"/>
                <w:color w:val="auto"/>
              </w:rPr>
              <w:t>Severance and Related</w:t>
            </w:r>
          </w:p>
        </w:tc>
        <w:tc>
          <w:tcPr>
            <w:tcW w:w="120" w:type="dxa"/>
            <w:vAlign w:val="bottom"/>
          </w:tcPr>
          <w:p>
            <w:pPr>
              <w:spacing w:after="0"/>
              <w:rPr>
                <w:sz w:val="14"/>
                <w:szCs w:val="14"/>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color w:val="auto"/>
              </w:rPr>
              <w:t>Termination and Other</w:t>
            </w:r>
          </w:p>
        </w:tc>
        <w:tc>
          <w:tcPr>
            <w:tcW w:w="180" w:type="dxa"/>
            <w:vAlign w:val="bottom"/>
          </w:tcPr>
          <w:p>
            <w:pPr>
              <w:spacing w:after="0"/>
              <w:rPr>
                <w:sz w:val="14"/>
                <w:szCs w:val="14"/>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4"/>
                <w:szCs w:val="14"/>
                <w:color w:val="auto"/>
              </w:rPr>
              <w:t>Asset Impairments</w:t>
            </w:r>
          </w:p>
        </w:tc>
        <w:tc>
          <w:tcPr>
            <w:tcW w:w="380" w:type="dxa"/>
            <w:vAlign w:val="bottom"/>
          </w:tcPr>
          <w:p>
            <w:pPr>
              <w:spacing w:after="0"/>
              <w:rPr>
                <w:sz w:val="14"/>
                <w:szCs w:val="14"/>
                <w:color w:val="auto"/>
              </w:rPr>
            </w:pPr>
          </w:p>
        </w:tc>
        <w:tc>
          <w:tcPr>
            <w:tcW w:w="1260" w:type="dxa"/>
            <w:vAlign w:val="bottom"/>
            <w:vMerge w:val="restart"/>
          </w:tcPr>
          <w:p>
            <w:pPr>
              <w:jc w:val="right"/>
              <w:ind w:right="6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3"/>
          </w:tcPr>
          <w:p>
            <w:pPr>
              <w:spacing w:after="0"/>
              <w:rPr>
                <w:sz w:val="20"/>
                <w:szCs w:val="20"/>
                <w:color w:val="auto"/>
              </w:rPr>
            </w:pPr>
            <w:r>
              <w:rPr>
                <w:rFonts w:ascii="Arial" w:cs="Arial" w:eastAsia="Arial" w:hAnsi="Arial"/>
                <w:sz w:val="13"/>
                <w:szCs w:val="13"/>
                <w:color w:val="auto"/>
              </w:rPr>
              <w:t>(in millions)</w:t>
            </w:r>
          </w:p>
        </w:tc>
        <w:tc>
          <w:tcPr>
            <w:tcW w:w="360" w:type="dxa"/>
            <w:vAlign w:val="bottom"/>
          </w:tcPr>
          <w:p>
            <w:pPr>
              <w:spacing w:after="0"/>
              <w:rPr>
                <w:sz w:val="12"/>
                <w:szCs w:val="12"/>
                <w:color w:val="auto"/>
              </w:rPr>
            </w:pPr>
          </w:p>
        </w:tc>
        <w:tc>
          <w:tcPr>
            <w:tcW w:w="1380" w:type="dxa"/>
            <w:vAlign w:val="bottom"/>
            <w:gridSpan w:val="3"/>
          </w:tcPr>
          <w:p>
            <w:pPr>
              <w:jc w:val="center"/>
              <w:ind w:right="460"/>
              <w:spacing w:after="0" w:line="149" w:lineRule="exact"/>
              <w:rPr>
                <w:sz w:val="20"/>
                <w:szCs w:val="20"/>
                <w:color w:val="auto"/>
              </w:rPr>
            </w:pPr>
            <w:r>
              <w:rPr>
                <w:rFonts w:ascii="Arial" w:cs="Arial" w:eastAsia="Arial" w:hAnsi="Arial"/>
                <w:sz w:val="14"/>
                <w:szCs w:val="14"/>
                <w:color w:val="auto"/>
              </w:rPr>
              <w:t>Costs</w:t>
            </w:r>
          </w:p>
        </w:tc>
        <w:tc>
          <w:tcPr>
            <w:tcW w:w="120" w:type="dxa"/>
            <w:vAlign w:val="bottom"/>
          </w:tcPr>
          <w:p>
            <w:pPr>
              <w:spacing w:after="0"/>
              <w:rPr>
                <w:sz w:val="12"/>
                <w:szCs w:val="12"/>
                <w:color w:val="auto"/>
              </w:rPr>
            </w:pPr>
          </w:p>
        </w:tc>
        <w:tc>
          <w:tcPr>
            <w:tcW w:w="16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Costs</w:t>
            </w:r>
            <w:r>
              <w:rPr>
                <w:rFonts w:ascii="Arial" w:cs="Arial" w:eastAsia="Arial" w:hAnsi="Arial"/>
                <w:sz w:val="9"/>
                <w:szCs w:val="9"/>
                <w:color w:val="auto"/>
              </w:rPr>
              <w:t>(2)</w:t>
            </w:r>
          </w:p>
        </w:tc>
        <w:tc>
          <w:tcPr>
            <w:tcW w:w="1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Accrued Balance at December 31, 2024</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00" w:type="dxa"/>
            <w:vAlign w:val="bottom"/>
            <w:gridSpan w:val="3"/>
          </w:tcPr>
          <w:p>
            <w:pPr>
              <w:ind w:left="200"/>
              <w:spacing w:after="0"/>
              <w:rPr>
                <w:sz w:val="20"/>
                <w:szCs w:val="20"/>
                <w:color w:val="auto"/>
              </w:rPr>
            </w:pPr>
            <w:r>
              <w:rPr>
                <w:rFonts w:ascii="Arial" w:cs="Arial" w:eastAsia="Arial" w:hAnsi="Arial"/>
                <w:sz w:val="14"/>
                <w:szCs w:val="14"/>
                <w:color w:val="auto"/>
              </w:rPr>
              <w:t>Provision</w:t>
            </w:r>
          </w:p>
        </w:tc>
        <w:tc>
          <w:tcPr>
            <w:tcW w:w="3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43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Changes in estimates</w:t>
            </w:r>
          </w:p>
        </w:tc>
        <w:tc>
          <w:tcPr>
            <w:tcW w:w="36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gridSpan w:val="3"/>
          </w:tcPr>
          <w:p>
            <w:pPr>
              <w:spacing w:after="0" w:line="196" w:lineRule="exact"/>
              <w:rPr>
                <w:sz w:val="20"/>
                <w:szCs w:val="20"/>
                <w:color w:val="auto"/>
              </w:rPr>
            </w:pPr>
            <w:r>
              <w:rPr>
                <w:rFonts w:ascii="Arial" w:cs="Arial" w:eastAsia="Arial" w:hAnsi="Arial"/>
                <w:sz w:val="14"/>
                <w:szCs w:val="14"/>
                <w:color w:val="auto"/>
              </w:rPr>
              <w:t>Total Net Current Period Charges</w:t>
            </w:r>
            <w:r>
              <w:rPr>
                <w:rFonts w:ascii="Arial" w:cs="Arial" w:eastAsia="Arial" w:hAnsi="Arial"/>
                <w:sz w:val="18"/>
                <w:szCs w:val="18"/>
                <w:color w:val="auto"/>
                <w:vertAlign w:val="superscript"/>
              </w:rPr>
              <w:t>(1)</w:t>
            </w:r>
          </w:p>
        </w:tc>
        <w:tc>
          <w:tcPr>
            <w:tcW w:w="3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43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Charges against reserve and currency</w:t>
            </w: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00" w:type="dxa"/>
            <w:vAlign w:val="bottom"/>
            <w:gridSpan w:val="3"/>
          </w:tcPr>
          <w:p>
            <w:pPr>
              <w:spacing w:after="0"/>
              <w:rPr>
                <w:sz w:val="20"/>
                <w:szCs w:val="20"/>
                <w:color w:val="auto"/>
              </w:rPr>
            </w:pPr>
            <w:r>
              <w:rPr>
                <w:rFonts w:ascii="Arial" w:cs="Arial" w:eastAsia="Arial" w:hAnsi="Arial"/>
                <w:sz w:val="14"/>
                <w:szCs w:val="14"/>
                <w:b w:val="1"/>
                <w:bCs w:val="1"/>
                <w:color w:val="auto"/>
              </w:rPr>
              <w:t>Accrued Balance at March 31, 2025</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40" w:type="dxa"/>
            <w:vAlign w:val="bottom"/>
            <w:gridSpan w:val="4"/>
          </w:tcPr>
          <w:p>
            <w:pPr>
              <w:jc w:val="center"/>
              <w:ind w:right="120"/>
              <w:spacing w:after="0"/>
              <w:rPr>
                <w:sz w:val="20"/>
                <w:szCs w:val="20"/>
                <w:color w:val="auto"/>
              </w:rPr>
            </w:pPr>
            <w:r>
              <w:rPr>
                <w:rFonts w:ascii="Arial" w:cs="Arial" w:eastAsia="Arial" w:hAnsi="Arial"/>
                <w:sz w:val="14"/>
                <w:szCs w:val="14"/>
                <w:color w:val="auto"/>
              </w:rPr>
              <w:t>Severance and Related</w:t>
            </w:r>
          </w:p>
        </w:tc>
        <w:tc>
          <w:tcPr>
            <w:tcW w:w="120" w:type="dxa"/>
            <w:vAlign w:val="bottom"/>
          </w:tcPr>
          <w:p>
            <w:pPr>
              <w:spacing w:after="0"/>
              <w:rPr>
                <w:sz w:val="22"/>
                <w:szCs w:val="22"/>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color w:val="auto"/>
              </w:rPr>
              <w:t>Termination and Other</w:t>
            </w:r>
          </w:p>
        </w:tc>
        <w:tc>
          <w:tcPr>
            <w:tcW w:w="180" w:type="dxa"/>
            <w:vAlign w:val="bottom"/>
          </w:tcPr>
          <w:p>
            <w:pPr>
              <w:spacing w:after="0"/>
              <w:rPr>
                <w:sz w:val="22"/>
                <w:szCs w:val="22"/>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4"/>
                <w:szCs w:val="14"/>
                <w:color w:val="auto"/>
              </w:rPr>
              <w:t>Asset Impairments</w:t>
            </w:r>
          </w:p>
        </w:tc>
        <w:tc>
          <w:tcPr>
            <w:tcW w:w="380" w:type="dxa"/>
            <w:vAlign w:val="bottom"/>
          </w:tcPr>
          <w:p>
            <w:pPr>
              <w:spacing w:after="0"/>
              <w:rPr>
                <w:sz w:val="22"/>
                <w:szCs w:val="22"/>
                <w:color w:val="auto"/>
              </w:rPr>
            </w:pPr>
          </w:p>
        </w:tc>
        <w:tc>
          <w:tcPr>
            <w:tcW w:w="1260" w:type="dxa"/>
            <w:vAlign w:val="bottom"/>
            <w:vMerge w:val="restart"/>
          </w:tcPr>
          <w:p>
            <w:pPr>
              <w:jc w:val="right"/>
              <w:ind w:right="6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00" w:type="dxa"/>
            <w:vAlign w:val="bottom"/>
            <w:gridSpan w:val="3"/>
          </w:tcPr>
          <w:p>
            <w:pPr>
              <w:spacing w:after="0" w:line="129" w:lineRule="exact"/>
              <w:rPr>
                <w:sz w:val="20"/>
                <w:szCs w:val="20"/>
                <w:color w:val="auto"/>
              </w:rPr>
            </w:pPr>
            <w:r>
              <w:rPr>
                <w:rFonts w:ascii="Arial" w:cs="Arial" w:eastAsia="Arial" w:hAnsi="Arial"/>
                <w:sz w:val="13"/>
                <w:szCs w:val="13"/>
                <w:color w:val="auto"/>
              </w:rPr>
              <w:t>(in millions)</w:t>
            </w:r>
          </w:p>
        </w:tc>
        <w:tc>
          <w:tcPr>
            <w:tcW w:w="360" w:type="dxa"/>
            <w:vAlign w:val="bottom"/>
          </w:tcPr>
          <w:p>
            <w:pPr>
              <w:spacing w:after="0"/>
              <w:rPr>
                <w:sz w:val="12"/>
                <w:szCs w:val="12"/>
                <w:color w:val="auto"/>
              </w:rPr>
            </w:pPr>
          </w:p>
        </w:tc>
        <w:tc>
          <w:tcPr>
            <w:tcW w:w="1380" w:type="dxa"/>
            <w:vAlign w:val="bottom"/>
            <w:gridSpan w:val="3"/>
          </w:tcPr>
          <w:p>
            <w:pPr>
              <w:jc w:val="center"/>
              <w:ind w:right="500"/>
              <w:spacing w:after="0" w:line="129" w:lineRule="exact"/>
              <w:rPr>
                <w:sz w:val="20"/>
                <w:szCs w:val="20"/>
                <w:color w:val="auto"/>
              </w:rPr>
            </w:pPr>
            <w:r>
              <w:rPr>
                <w:rFonts w:ascii="Arial" w:cs="Arial" w:eastAsia="Arial" w:hAnsi="Arial"/>
                <w:sz w:val="14"/>
                <w:szCs w:val="14"/>
                <w:color w:val="auto"/>
              </w:rPr>
              <w:t>Costs</w:t>
            </w:r>
          </w:p>
        </w:tc>
        <w:tc>
          <w:tcPr>
            <w:tcW w:w="120" w:type="dxa"/>
            <w:vAlign w:val="bottom"/>
          </w:tcPr>
          <w:p>
            <w:pPr>
              <w:spacing w:after="0"/>
              <w:rPr>
                <w:sz w:val="12"/>
                <w:szCs w:val="12"/>
                <w:color w:val="auto"/>
              </w:rPr>
            </w:pPr>
          </w:p>
        </w:tc>
        <w:tc>
          <w:tcPr>
            <w:tcW w:w="1640" w:type="dxa"/>
            <w:vAlign w:val="bottom"/>
            <w:gridSpan w:val="2"/>
          </w:tcPr>
          <w:p>
            <w:pPr>
              <w:jc w:val="center"/>
              <w:ind w:right="240"/>
              <w:spacing w:after="0" w:line="129" w:lineRule="exact"/>
              <w:rPr>
                <w:sz w:val="20"/>
                <w:szCs w:val="20"/>
                <w:color w:val="auto"/>
              </w:rPr>
            </w:pPr>
            <w:r>
              <w:rPr>
                <w:rFonts w:ascii="Arial" w:cs="Arial" w:eastAsia="Arial" w:hAnsi="Arial"/>
                <w:sz w:val="11"/>
                <w:szCs w:val="11"/>
                <w:color w:val="auto"/>
              </w:rPr>
              <w:t>Costs</w:t>
            </w:r>
            <w:r>
              <w:rPr>
                <w:rFonts w:ascii="Arial" w:cs="Arial" w:eastAsia="Arial" w:hAnsi="Arial"/>
                <w:sz w:val="14"/>
                <w:szCs w:val="14"/>
                <w:color w:val="auto"/>
                <w:vertAlign w:val="superscript"/>
              </w:rPr>
              <w:t>(2)</w:t>
            </w:r>
          </w:p>
        </w:tc>
        <w:tc>
          <w:tcPr>
            <w:tcW w:w="1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Accrued Balance at December 31, 2023</w:t>
            </w:r>
          </w:p>
        </w:tc>
        <w:tc>
          <w:tcPr>
            <w:tcW w:w="2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00" w:type="dxa"/>
            <w:vAlign w:val="bottom"/>
            <w:gridSpan w:val="3"/>
          </w:tcPr>
          <w:p>
            <w:pPr>
              <w:ind w:left="200"/>
              <w:spacing w:after="0"/>
              <w:rPr>
                <w:sz w:val="20"/>
                <w:szCs w:val="20"/>
                <w:color w:val="auto"/>
              </w:rPr>
            </w:pPr>
            <w:r>
              <w:rPr>
                <w:rFonts w:ascii="Arial" w:cs="Arial" w:eastAsia="Arial" w:hAnsi="Arial"/>
                <w:sz w:val="14"/>
                <w:szCs w:val="14"/>
                <w:color w:val="auto"/>
              </w:rPr>
              <w:t>Provision</w:t>
            </w: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9"/>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Changes in estimates</w:t>
            </w:r>
          </w:p>
        </w:tc>
        <w:tc>
          <w:tcPr>
            <w:tcW w:w="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gridSpan w:val="3"/>
          </w:tcPr>
          <w:p>
            <w:pPr>
              <w:spacing w:after="0"/>
              <w:rPr>
                <w:sz w:val="20"/>
                <w:szCs w:val="20"/>
                <w:color w:val="auto"/>
              </w:rPr>
            </w:pPr>
            <w:r>
              <w:rPr>
                <w:rFonts w:ascii="Arial" w:cs="Arial" w:eastAsia="Arial" w:hAnsi="Arial"/>
                <w:sz w:val="14"/>
                <w:szCs w:val="14"/>
                <w:color w:val="auto"/>
              </w:rPr>
              <w:t>Total Net Current Period Charges</w:t>
            </w:r>
            <w:r>
              <w:rPr>
                <w:rFonts w:ascii="Arial" w:cs="Arial" w:eastAsia="Arial" w:hAnsi="Arial"/>
                <w:sz w:val="9"/>
                <w:szCs w:val="9"/>
                <w:color w:val="auto"/>
              </w:rPr>
              <w:t>(1)</w:t>
            </w: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ind w:right="9"/>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Charges against reserve and currency</w:t>
            </w:r>
          </w:p>
        </w:tc>
        <w:tc>
          <w:tcPr>
            <w:tcW w:w="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00" w:type="dxa"/>
            <w:vAlign w:val="bottom"/>
            <w:gridSpan w:val="3"/>
          </w:tcPr>
          <w:p>
            <w:pPr>
              <w:spacing w:after="0"/>
              <w:rPr>
                <w:sz w:val="20"/>
                <w:szCs w:val="20"/>
                <w:color w:val="auto"/>
              </w:rPr>
            </w:pPr>
            <w:r>
              <w:rPr>
                <w:rFonts w:ascii="Arial" w:cs="Arial" w:eastAsia="Arial" w:hAnsi="Arial"/>
                <w:sz w:val="14"/>
                <w:szCs w:val="14"/>
                <w:b w:val="1"/>
                <w:bCs w:val="1"/>
                <w:color w:val="auto"/>
              </w:rPr>
              <w:t>Accrued Balance at March 31, 2024</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9"/>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71"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amounts recognized within the Condensed Consolidated Statements of Income (Loss) for the years shown.</w:t>
      </w:r>
    </w:p>
    <w:p>
      <w:pPr>
        <w:spacing w:after="0" w:line="68" w:lineRule="exact"/>
        <w:rPr>
          <w:rFonts w:ascii="Arial" w:cs="Arial" w:eastAsia="Arial" w:hAnsi="Arial"/>
          <w:sz w:val="14"/>
          <w:szCs w:val="14"/>
          <w:i w:val="1"/>
          <w:iCs w:val="1"/>
          <w:color w:val="auto"/>
        </w:rPr>
      </w:pPr>
    </w:p>
    <w:p>
      <w:pPr>
        <w:ind w:left="340" w:right="320" w:hanging="332"/>
        <w:spacing w:after="0" w:line="282" w:lineRule="auto"/>
        <w:tabs>
          <w:tab w:leader="none" w:pos="327"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During the three months ended March 31, 2024, the Company incurred $1 million of costs for bringing certain technology functions in-house. There were no such costs incurred in the three months ended March 31, 2025. These costs are included in the above table in Termination and other costs.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No restructuring and related costs are allocated to the segments.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7 – Debt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Long-term debt was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60" w:type="dxa"/>
            <w:vAlign w:val="bottom"/>
          </w:tcPr>
          <w:p>
            <w:pPr>
              <w:spacing w:after="0"/>
              <w:rPr>
                <w:sz w:val="14"/>
                <w:szCs w:val="14"/>
                <w:color w:val="auto"/>
              </w:rPr>
            </w:pP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March 31, 2025</w:t>
            </w:r>
          </w:p>
        </w:tc>
        <w:tc>
          <w:tcPr>
            <w:tcW w:w="180" w:type="dxa"/>
            <w:vAlign w:val="bottom"/>
          </w:tcPr>
          <w:p>
            <w:pPr>
              <w:spacing w:after="0"/>
              <w:rPr>
                <w:sz w:val="14"/>
                <w:szCs w:val="14"/>
                <w:color w:val="auto"/>
              </w:rPr>
            </w:pPr>
          </w:p>
        </w:tc>
        <w:tc>
          <w:tcPr>
            <w:tcW w:w="1660" w:type="dxa"/>
            <w:vAlign w:val="bottom"/>
          </w:tcPr>
          <w:p>
            <w:pPr>
              <w:jc w:val="right"/>
              <w:ind w:right="228"/>
              <w:spacing w:after="0"/>
              <w:rPr>
                <w:sz w:val="20"/>
                <w:szCs w:val="20"/>
                <w:color w:val="auto"/>
              </w:rPr>
            </w:pPr>
            <w:r>
              <w:rPr>
                <w:rFonts w:ascii="Arial" w:cs="Arial" w:eastAsia="Arial" w:hAnsi="Arial"/>
                <w:sz w:val="14"/>
                <w:szCs w:val="14"/>
                <w:color w:val="auto"/>
              </w:rPr>
              <w:t>December 31, 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 loan A due 2026</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w:t>
            </w:r>
          </w:p>
        </w:tc>
      </w:tr>
      <w:tr>
        <w:trPr>
          <w:trHeight w:val="198"/>
        </w:trPr>
        <w:tc>
          <w:tcPr>
            <w:tcW w:w="2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4"/>
                <w:szCs w:val="14"/>
                <w:color w:val="auto"/>
              </w:rPr>
              <w:t>Senior notes due 2029</w:t>
            </w: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520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520</w:t>
            </w:r>
          </w:p>
        </w:tc>
      </w:tr>
      <w:tr>
        <w:trPr>
          <w:trHeight w:val="207"/>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Finance lease obligations</w:t>
            </w:r>
          </w:p>
        </w:tc>
        <w:tc>
          <w:tcPr>
            <w:tcW w:w="2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r>
      <w:tr>
        <w:trPr>
          <w:trHeight w:val="198"/>
        </w:trPr>
        <w:tc>
          <w:tcPr>
            <w:tcW w:w="20" w:type="dxa"/>
            <w:vAlign w:val="bottom"/>
            <w:tcBorders>
              <w:bottom w:val="single" w:sz="8" w:color="CCEEFF"/>
            </w:tcBorders>
          </w:tcPr>
          <w:p>
            <w:pPr>
              <w:spacing w:after="0"/>
              <w:rPr>
                <w:sz w:val="17"/>
                <w:szCs w:val="17"/>
                <w:color w:val="auto"/>
              </w:rPr>
            </w:pPr>
          </w:p>
        </w:tc>
        <w:tc>
          <w:tcPr>
            <w:tcW w:w="74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w:t>
            </w:r>
          </w:p>
        </w:tc>
      </w:tr>
      <w:tr>
        <w:trPr>
          <w:trHeight w:val="200"/>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Principal debt balance</w:t>
            </w:r>
          </w:p>
        </w:tc>
        <w:tc>
          <w:tcPr>
            <w:tcW w:w="2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646</w:t>
            </w:r>
          </w:p>
        </w:tc>
      </w:tr>
      <w:tr>
        <w:trPr>
          <w:trHeight w:val="198"/>
        </w:trPr>
        <w:tc>
          <w:tcPr>
            <w:tcW w:w="2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4"/>
                <w:szCs w:val="14"/>
                <w:color w:val="auto"/>
              </w:rPr>
              <w:t>Debt issuance costs and unamortized discounts</w:t>
            </w: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3"/>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Less: current maturities</w:t>
            </w:r>
          </w:p>
        </w:tc>
        <w:tc>
          <w:tcPr>
            <w:tcW w:w="26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200"/>
        </w:trPr>
        <w:tc>
          <w:tcPr>
            <w:tcW w:w="2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4"/>
                <w:szCs w:val="14"/>
                <w:b w:val="1"/>
                <w:bCs w:val="1"/>
                <w:color w:val="auto"/>
              </w:rPr>
              <w:t>Total Long-term Debt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625</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615</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of March 31, 2025, the Company had no outstanding borrowings under its $ 550 million revolving credit facility (the "Revolver"). Additionally, the Company utilized $10 million of the Revolver to issue letters of credit as of March 31, 2025. The net Revolver available to be drawn upon as of March 31, 2025 was $540 million.</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connection with a voluntary prepayment of the Term Loan B made in the first quarter of 2024, the Company wrote-off related debt issuance costs of $2 million, which is included in Loss on extinguishment of debt in the Condensed Consolidated Statements of Income (Loss) for the three months ended March 31, 2024.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2025, the Company was in compliance with all debt covenants related to the borrowings in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2025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6" w:name="page17"/>
    <w:bookmarkEnd w:id="16"/>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8 – Financial Instruments</w:t>
      </w:r>
    </w:p>
    <w:p>
      <w:pPr>
        <w:spacing w:after="0" w:line="16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Company is a global company that is exposed to foreign currency exchange rate fluctuations in the normal course of its business. As a part of the Company's foreign exchange risk management strategy, the Company uses derivative instruments, primarily forward contracts, to hedge the funding of foreign entities which have a non-dollar functional currency, thereby reducing volatility of earnings or protecting fair values of assets and liabilities.</w:t>
      </w:r>
    </w:p>
    <w:p>
      <w:pPr>
        <w:spacing w:after="0" w:line="12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At March 31, 2025 and December 31, 2024, the Company had outstanding forward exchange contracts with gross notional values of $209 million and $203 million, respectively. At March 31, 2025, approximately 78% of these contracts mature within three months, 8% in three to six months, 10% in six to twelve months and 4% in greater than twelve months. Most of these foreign currency derivative contracts are designated as cash flow hedges and did not have a material impact on the Company's condensed consolidated balance sheet, income statement or cash flows for the periods presented.</w:t>
      </w:r>
    </w:p>
    <w:p>
      <w:pPr>
        <w:spacing w:after="0" w:line="12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Refer to Note 9 – Fair Value of Financial Assets and Liabilities for additional information regarding the fair value of the Company's foreign exchange forward contracts.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9 – Fair Value of Financial Assets and Liabilities</w:t>
      </w:r>
    </w:p>
    <w:p>
      <w:pPr>
        <w:spacing w:after="0" w:line="162"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Fair value represents the price that would be received to sell an asset or paid to transfer a liability in an orderly transaction between market participants at the measurement date. U.S. GAAP established a hierarchy framework to classify the fair value based on the observability of significant inputs to the measurement. The levels of the fair value hierarchy are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Level 1: Fair value is determined using an unadjusted quoted price in an active market for identical assets or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2: Fair value is estimated using inputs other than quoted prices included within Level 1 that are observable, either directly or indirectly.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3: Fair value is estimated using unobservable inputs that are significant to the fair value of the assets or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Summary of Financial Assets and Liabilities Accounted for at Fair Value on a Recurring Basis</w:t>
      </w:r>
    </w:p>
    <w:p>
      <w:pPr>
        <w:spacing w:after="0" w:line="171"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color w:val="auto"/>
        </w:rPr>
        <w:t>The following table represents assets and liabilities measured at fair value on a recurring basis. The basis for the measurement at fair value in all cases was Level 2.</w:t>
      </w: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4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540" w:type="dxa"/>
            <w:vAlign w:val="bottom"/>
          </w:tcPr>
          <w:p>
            <w:pPr>
              <w:jc w:val="right"/>
              <w:ind w:right="48"/>
              <w:spacing w:after="0" w:line="159" w:lineRule="exact"/>
              <w:rPr>
                <w:sz w:val="20"/>
                <w:szCs w:val="20"/>
                <w:color w:val="auto"/>
              </w:rPr>
            </w:pPr>
            <w:r>
              <w:rPr>
                <w:rFonts w:ascii="Arial" w:cs="Arial" w:eastAsia="Arial" w:hAnsi="Arial"/>
                <w:sz w:val="14"/>
                <w:szCs w:val="14"/>
                <w:color w:val="auto"/>
              </w:rPr>
              <w:t>March 31, 2025</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100"/>
              <w:spacing w:after="0" w:line="159" w:lineRule="exact"/>
              <w:rPr>
                <w:sz w:val="20"/>
                <w:szCs w:val="20"/>
                <w:color w:val="auto"/>
              </w:rPr>
            </w:pPr>
            <w:r>
              <w:rPr>
                <w:rFonts w:ascii="Arial" w:cs="Arial" w:eastAsia="Arial" w:hAnsi="Arial"/>
                <w:sz w:val="14"/>
                <w:szCs w:val="14"/>
                <w:color w:val="auto"/>
              </w:rPr>
              <w:t>December 31, 2024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1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tcPr>
          <w:p>
            <w:pPr>
              <w:spacing w:after="0"/>
              <w:rPr>
                <w:sz w:val="17"/>
                <w:szCs w:val="17"/>
                <w:color w:val="auto"/>
              </w:rPr>
            </w:pPr>
          </w:p>
        </w:tc>
        <w:tc>
          <w:tcPr>
            <w:tcW w:w="742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Foreign exchange contracts - forward</w:t>
            </w:r>
          </w:p>
        </w:tc>
        <w:tc>
          <w:tcPr>
            <w:tcW w:w="1540" w:type="dxa"/>
            <w:vAlign w:val="bottom"/>
            <w:tcBorders>
              <w:bottom w:val="single" w:sz="8" w:color="auto"/>
            </w:tcBorders>
          </w:tcPr>
          <w:p>
            <w:pPr>
              <w:jc w:val="right"/>
              <w:ind w:right="13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tcPr>
          <w:p>
            <w:pPr>
              <w:ind w:left="1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7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Assets</w:t>
            </w:r>
          </w:p>
        </w:tc>
        <w:tc>
          <w:tcPr>
            <w:tcW w:w="1540" w:type="dxa"/>
            <w:vAlign w:val="bottom"/>
            <w:tcBorders>
              <w:bottom w:val="single" w:sz="8" w:color="auto"/>
            </w:tcBorders>
            <w:shd w:val="clear" w:color="auto" w:fill="CCEEFF"/>
          </w:tcPr>
          <w:p>
            <w:pPr>
              <w:jc w:val="right"/>
              <w:ind w:right="13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jc w:val="center"/>
              <w:ind w:left="2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shd w:val="clear" w:color="auto" w:fill="CCEEFF"/>
          </w:tcPr>
          <w:p>
            <w:pPr>
              <w:ind w:left="1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4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Liabilities:</w:t>
            </w: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7420" w:type="dxa"/>
            <w:vAlign w:val="bottom"/>
            <w:gridSpan w:val="2"/>
            <w:vMerge w:val="continue"/>
          </w:tcPr>
          <w:p>
            <w:pPr>
              <w:spacing w:after="0"/>
              <w:rPr>
                <w:sz w:val="12"/>
                <w:szCs w:val="12"/>
                <w:color w:val="auto"/>
              </w:rPr>
            </w:pPr>
          </w:p>
        </w:tc>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Foreign exchange contracts - forward</w:t>
            </w:r>
          </w:p>
        </w:tc>
        <w:tc>
          <w:tcPr>
            <w:tcW w:w="1540" w:type="dxa"/>
            <w:vAlign w:val="bottom"/>
            <w:tcBorders>
              <w:bottom w:val="single" w:sz="8" w:color="auto"/>
            </w:tcBorders>
            <w:shd w:val="clear" w:color="auto" w:fill="CCEEFF"/>
          </w:tcPr>
          <w:p>
            <w:pPr>
              <w:jc w:val="right"/>
              <w:ind w:right="13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jc w:val="center"/>
              <w:ind w:lef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shd w:val="clear" w:color="auto" w:fill="CCEEFF"/>
          </w:tcPr>
          <w:p>
            <w:pPr>
              <w:ind w:left="146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4"/>
                <w:szCs w:val="14"/>
                <w:b w:val="1"/>
                <w:bCs w:val="1"/>
                <w:color w:val="auto"/>
              </w:rPr>
              <w:t>Total Liabilities</w:t>
            </w:r>
          </w:p>
        </w:tc>
        <w:tc>
          <w:tcPr>
            <w:tcW w:w="1540" w:type="dxa"/>
            <w:vAlign w:val="bottom"/>
            <w:tcBorders>
              <w:bottom w:val="single" w:sz="8" w:color="auto"/>
            </w:tcBorders>
          </w:tcPr>
          <w:p>
            <w:pPr>
              <w:jc w:val="right"/>
              <w:ind w:right="13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tcPr>
          <w:p>
            <w:pPr>
              <w:ind w:left="146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Summary of Other Financial Assets and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of other financial assets and liabilities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March 31, 2025</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688"/>
              <w:spacing w:after="0"/>
              <w:rPr>
                <w:sz w:val="20"/>
                <w:szCs w:val="20"/>
                <w:color w:val="auto"/>
              </w:rPr>
            </w:pPr>
            <w:r>
              <w:rPr>
                <w:rFonts w:ascii="Arial" w:cs="Arial" w:eastAsia="Arial" w:hAnsi="Arial"/>
                <w:sz w:val="14"/>
                <w:szCs w:val="14"/>
                <w:color w:val="auto"/>
              </w:rPr>
              <w:t>December 31, 2024</w:t>
            </w:r>
          </w:p>
        </w:tc>
      </w:tr>
      <w:tr>
        <w:trPr>
          <w:trHeight w:val="146"/>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right="208"/>
              <w:spacing w:after="0" w:line="146" w:lineRule="exact"/>
              <w:rPr>
                <w:sz w:val="20"/>
                <w:szCs w:val="20"/>
                <w:color w:val="auto"/>
              </w:rPr>
            </w:pPr>
            <w:r>
              <w:rPr>
                <w:rFonts w:ascii="Arial" w:cs="Arial" w:eastAsia="Arial" w:hAnsi="Arial"/>
                <w:sz w:val="14"/>
                <w:szCs w:val="14"/>
                <w:color w:val="auto"/>
              </w:rPr>
              <w:t>Carrying</w:t>
            </w:r>
          </w:p>
        </w:tc>
        <w:tc>
          <w:tcPr>
            <w:tcW w:w="540" w:type="dxa"/>
            <w:vAlign w:val="bottom"/>
          </w:tcPr>
          <w:p>
            <w:pPr>
              <w:spacing w:after="0"/>
              <w:rPr>
                <w:sz w:val="12"/>
                <w:szCs w:val="12"/>
                <w:color w:val="auto"/>
              </w:rPr>
            </w:pPr>
          </w:p>
        </w:tc>
        <w:tc>
          <w:tcPr>
            <w:tcW w:w="960" w:type="dxa"/>
            <w:vAlign w:val="bottom"/>
            <w:gridSpan w:val="2"/>
          </w:tcPr>
          <w:p>
            <w:pPr>
              <w:jc w:val="center"/>
              <w:ind w:right="560"/>
              <w:spacing w:after="0" w:line="146" w:lineRule="exact"/>
              <w:rPr>
                <w:sz w:val="20"/>
                <w:szCs w:val="20"/>
                <w:color w:val="auto"/>
              </w:rPr>
            </w:pPr>
            <w:r>
              <w:rPr>
                <w:rFonts w:ascii="Arial" w:cs="Arial" w:eastAsia="Arial" w:hAnsi="Arial"/>
                <w:sz w:val="14"/>
                <w:szCs w:val="14"/>
                <w:color w:val="auto"/>
                <w:w w:val="99"/>
              </w:rPr>
              <w:t>Fair</w:t>
            </w:r>
          </w:p>
        </w:tc>
        <w:tc>
          <w:tcPr>
            <w:tcW w:w="240" w:type="dxa"/>
            <w:vAlign w:val="bottom"/>
          </w:tcPr>
          <w:p>
            <w:pPr>
              <w:spacing w:after="0"/>
              <w:rPr>
                <w:sz w:val="12"/>
                <w:szCs w:val="12"/>
                <w:color w:val="auto"/>
              </w:rPr>
            </w:pPr>
          </w:p>
        </w:tc>
        <w:tc>
          <w:tcPr>
            <w:tcW w:w="1120" w:type="dxa"/>
            <w:vAlign w:val="bottom"/>
          </w:tcPr>
          <w:p>
            <w:pPr>
              <w:jc w:val="center"/>
              <w:ind w:right="208"/>
              <w:spacing w:after="0" w:line="146" w:lineRule="exact"/>
              <w:rPr>
                <w:sz w:val="20"/>
                <w:szCs w:val="20"/>
                <w:color w:val="auto"/>
              </w:rPr>
            </w:pPr>
            <w:r>
              <w:rPr>
                <w:rFonts w:ascii="Arial" w:cs="Arial" w:eastAsia="Arial" w:hAnsi="Arial"/>
                <w:sz w:val="14"/>
                <w:szCs w:val="14"/>
                <w:color w:val="auto"/>
              </w:rPr>
              <w:t>Carrying</w:t>
            </w:r>
          </w:p>
        </w:tc>
        <w:tc>
          <w:tcPr>
            <w:tcW w:w="360" w:type="dxa"/>
            <w:vAlign w:val="bottom"/>
          </w:tcPr>
          <w:p>
            <w:pPr>
              <w:spacing w:after="0"/>
              <w:rPr>
                <w:sz w:val="12"/>
                <w:szCs w:val="12"/>
                <w:color w:val="auto"/>
              </w:rPr>
            </w:pPr>
          </w:p>
        </w:tc>
        <w:tc>
          <w:tcPr>
            <w:tcW w:w="1040" w:type="dxa"/>
            <w:vAlign w:val="bottom"/>
          </w:tcPr>
          <w:p>
            <w:pPr>
              <w:jc w:val="center"/>
              <w:ind w:right="228"/>
              <w:spacing w:after="0" w:line="146" w:lineRule="exact"/>
              <w:rPr>
                <w:sz w:val="20"/>
                <w:szCs w:val="20"/>
                <w:color w:val="auto"/>
              </w:rPr>
            </w:pPr>
            <w:r>
              <w:rPr>
                <w:rFonts w:ascii="Arial" w:cs="Arial" w:eastAsia="Arial" w:hAnsi="Arial"/>
                <w:sz w:val="14"/>
                <w:szCs w:val="14"/>
                <w:color w:val="auto"/>
              </w:rPr>
              <w:t>Fair</w:t>
            </w:r>
          </w:p>
        </w:tc>
      </w:tr>
      <w:tr>
        <w:trPr>
          <w:trHeight w:val="148"/>
        </w:trPr>
        <w:tc>
          <w:tcPr>
            <w:tcW w:w="20" w:type="dxa"/>
            <w:vAlign w:val="bottom"/>
          </w:tcPr>
          <w:p>
            <w:pPr>
              <w:spacing w:after="0"/>
              <w:rPr>
                <w:sz w:val="12"/>
                <w:szCs w:val="12"/>
                <w:color w:val="auto"/>
              </w:rPr>
            </w:pPr>
          </w:p>
        </w:tc>
        <w:tc>
          <w:tcPr>
            <w:tcW w:w="560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40" w:type="dxa"/>
            <w:vAlign w:val="bottom"/>
          </w:tcPr>
          <w:p>
            <w:pPr>
              <w:spacing w:after="0"/>
              <w:rPr>
                <w:sz w:val="12"/>
                <w:szCs w:val="12"/>
                <w:color w:val="auto"/>
              </w:rPr>
            </w:pPr>
          </w:p>
        </w:tc>
        <w:tc>
          <w:tcPr>
            <w:tcW w:w="1100" w:type="dxa"/>
            <w:vAlign w:val="bottom"/>
          </w:tcPr>
          <w:p>
            <w:pPr>
              <w:jc w:val="center"/>
              <w:ind w:right="208"/>
              <w:spacing w:after="0" w:line="149" w:lineRule="exact"/>
              <w:rPr>
                <w:sz w:val="20"/>
                <w:szCs w:val="20"/>
                <w:color w:val="auto"/>
              </w:rPr>
            </w:pPr>
            <w:r>
              <w:rPr>
                <w:rFonts w:ascii="Arial" w:cs="Arial" w:eastAsia="Arial" w:hAnsi="Arial"/>
                <w:sz w:val="14"/>
                <w:szCs w:val="14"/>
                <w:color w:val="auto"/>
              </w:rPr>
              <w:t>Amount</w:t>
            </w:r>
          </w:p>
        </w:tc>
        <w:tc>
          <w:tcPr>
            <w:tcW w:w="540" w:type="dxa"/>
            <w:vAlign w:val="bottom"/>
          </w:tcPr>
          <w:p>
            <w:pPr>
              <w:spacing w:after="0"/>
              <w:rPr>
                <w:sz w:val="12"/>
                <w:szCs w:val="12"/>
                <w:color w:val="auto"/>
              </w:rPr>
            </w:pPr>
          </w:p>
        </w:tc>
        <w:tc>
          <w:tcPr>
            <w:tcW w:w="96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rPr>
              <w:t>Value</w:t>
            </w:r>
          </w:p>
        </w:tc>
        <w:tc>
          <w:tcPr>
            <w:tcW w:w="240" w:type="dxa"/>
            <w:vAlign w:val="bottom"/>
          </w:tcPr>
          <w:p>
            <w:pPr>
              <w:spacing w:after="0"/>
              <w:rPr>
                <w:sz w:val="12"/>
                <w:szCs w:val="12"/>
                <w:color w:val="auto"/>
              </w:rPr>
            </w:pPr>
          </w:p>
        </w:tc>
        <w:tc>
          <w:tcPr>
            <w:tcW w:w="112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9"/>
              </w:rPr>
              <w:t>Amount</w:t>
            </w:r>
          </w:p>
        </w:tc>
        <w:tc>
          <w:tcPr>
            <w:tcW w:w="360" w:type="dxa"/>
            <w:vAlign w:val="bottom"/>
          </w:tcPr>
          <w:p>
            <w:pPr>
              <w:spacing w:after="0"/>
              <w:rPr>
                <w:sz w:val="12"/>
                <w:szCs w:val="12"/>
                <w:color w:val="auto"/>
              </w:rPr>
            </w:pPr>
          </w:p>
        </w:tc>
        <w:tc>
          <w:tcPr>
            <w:tcW w:w="1040" w:type="dxa"/>
            <w:vAlign w:val="bottom"/>
          </w:tcPr>
          <w:p>
            <w:pPr>
              <w:jc w:val="center"/>
              <w:ind w:right="208"/>
              <w:spacing w:after="0" w:line="149" w:lineRule="exact"/>
              <w:rPr>
                <w:sz w:val="20"/>
                <w:szCs w:val="20"/>
                <w:color w:val="auto"/>
              </w:rPr>
            </w:pPr>
            <w:r>
              <w:rPr>
                <w:rFonts w:ascii="Arial" w:cs="Arial" w:eastAsia="Arial" w:hAnsi="Arial"/>
                <w:sz w:val="14"/>
                <w:szCs w:val="14"/>
                <w:color w:val="auto"/>
              </w:rPr>
              <w:t>Value</w:t>
            </w: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Liabilities:</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5600" w:type="dxa"/>
            <w:vAlign w:val="bottom"/>
            <w:gridSpan w:val="2"/>
          </w:tcPr>
          <w:p>
            <w:pPr>
              <w:ind w:left="200"/>
              <w:spacing w:after="0"/>
              <w:rPr>
                <w:sz w:val="20"/>
                <w:szCs w:val="20"/>
                <w:color w:val="auto"/>
              </w:rPr>
            </w:pPr>
            <w:r>
              <w:rPr>
                <w:rFonts w:ascii="Arial" w:cs="Arial" w:eastAsia="Arial" w:hAnsi="Arial"/>
                <w:sz w:val="14"/>
                <w:szCs w:val="14"/>
                <w:color w:val="auto"/>
              </w:rPr>
              <w:t>Long-term debt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625</w:t>
            </w:r>
          </w:p>
        </w:tc>
        <w:tc>
          <w:tcPr>
            <w:tcW w:w="5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593</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615</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588</w:t>
            </w:r>
          </w:p>
        </w:tc>
      </w:tr>
    </w:tbl>
    <w:p>
      <w:pPr>
        <w:spacing w:after="0" w:line="23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fair value amounts for Cash and cash equivalents, Restricted cash, Accounts receivable, net and Short-term debt approximate carrying amounts due to the short-term maturities of these instruments.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Long-term debt was estimated using quoted market prices for identical or similar instruments (Level 2 inputs).</w:t>
      </w:r>
    </w:p>
    <w:p>
      <w:pPr>
        <w:spacing w:after="0" w:line="200" w:lineRule="exact"/>
        <w:rPr>
          <w:sz w:val="20"/>
          <w:szCs w:val="20"/>
          <w:color w:val="auto"/>
        </w:rPr>
      </w:pPr>
    </w:p>
    <w:p>
      <w:pPr>
        <w:spacing w:after="0" w:line="386"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Q1 2025 Form 10-Q</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10 – Employee Benefit Plans</w:t>
      </w:r>
    </w:p>
    <w:p>
      <w:pPr>
        <w:spacing w:after="0" w:line="16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Company has post-retirement pension, savings and investment plans in several countries, including the U.S., India and the Philippines. In many instances, employees participating in defined benefit pension plans that have been amended to freeze future service accruals were transitioned to an enhanced defined contribution plan. In these plans, employees are permitted to contribute a portion of their salaries and bonuses to the plans. The Company, at its discretion, matches a portion of employee contributions.</w:t>
      </w:r>
    </w:p>
    <w:p>
      <w:pPr>
        <w:spacing w:after="0" w:line="122"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The Company recognized an expense related to its defined contribution plans of $2 million and $4 million for the three months ended March 31, 2025 and 2024, respectively. The balance sheet and income statement impacts of any remaining defined benefit plans are immaterial for all periods presented in these Condensed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11 – Accumulated Other Comprehensive Loss ("AOCL")</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Below are the balances and changes in AOCL</w:t>
      </w:r>
      <w:r>
        <w:rPr>
          <w:rFonts w:ascii="Arial" w:cs="Arial" w:eastAsia="Arial" w:hAnsi="Arial"/>
          <w:sz w:val="23"/>
          <w:szCs w:val="23"/>
          <w:color w:val="auto"/>
          <w:vertAlign w:val="superscript"/>
        </w:rPr>
        <w:t>(1)</w:t>
      </w:r>
      <w:r>
        <w:rPr>
          <w:rFonts w:ascii="Arial" w:cs="Arial" w:eastAsia="Arial" w:hAnsi="Arial"/>
          <w:sz w:val="18"/>
          <w:szCs w:val="18"/>
          <w:color w:val="auto"/>
        </w:rPr>
        <w:t>:</w:t>
      </w:r>
    </w:p>
    <w:tbl>
      <w:tblPr>
        <w:tblLayout w:type="fixed"/>
        <w:tblInd w:w="4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300"/>
              <w:spacing w:after="0" w:line="153" w:lineRule="exact"/>
              <w:rPr>
                <w:sz w:val="20"/>
                <w:szCs w:val="20"/>
                <w:color w:val="auto"/>
              </w:rPr>
            </w:pPr>
            <w:r>
              <w:rPr>
                <w:rFonts w:ascii="Arial" w:cs="Arial" w:eastAsia="Arial" w:hAnsi="Arial"/>
                <w:sz w:val="14"/>
                <w:szCs w:val="14"/>
                <w:color w:val="auto"/>
              </w:rPr>
              <w:t>Currency</w:t>
            </w:r>
          </w:p>
        </w:tc>
        <w:tc>
          <w:tcPr>
            <w:tcW w:w="144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rPr>
              <w:t>Gains (Losses) on</w:t>
            </w:r>
          </w:p>
        </w:tc>
        <w:tc>
          <w:tcPr>
            <w:tcW w:w="140" w:type="dxa"/>
            <w:vAlign w:val="bottom"/>
          </w:tcPr>
          <w:p>
            <w:pPr>
              <w:spacing w:after="0"/>
              <w:rPr>
                <w:sz w:val="13"/>
                <w:szCs w:val="13"/>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rPr>
              <w:t>Defined Benefit</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5" w:lineRule="exact"/>
              <w:rPr>
                <w:sz w:val="20"/>
                <w:szCs w:val="20"/>
                <w:color w:val="auto"/>
              </w:rPr>
            </w:pPr>
            <w:r>
              <w:rPr>
                <w:rFonts w:ascii="Arial" w:cs="Arial" w:eastAsia="Arial" w:hAnsi="Arial"/>
                <w:sz w:val="14"/>
                <w:szCs w:val="14"/>
                <w:color w:val="auto"/>
              </w:rPr>
              <w:t>Translation</w:t>
            </w:r>
          </w:p>
        </w:tc>
        <w:tc>
          <w:tcPr>
            <w:tcW w:w="14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restart"/>
          </w:tcPr>
          <w:p>
            <w:pPr>
              <w:jc w:val="right"/>
              <w:ind w:right="4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gridSpan w:val="2"/>
          </w:tcPr>
          <w:p>
            <w:pPr>
              <w:spacing w:after="0" w:line="129" w:lineRule="exact"/>
              <w:rPr>
                <w:sz w:val="20"/>
                <w:szCs w:val="20"/>
                <w:color w:val="auto"/>
              </w:rPr>
            </w:pPr>
            <w:r>
              <w:rPr>
                <w:rFonts w:ascii="Arial" w:cs="Arial" w:eastAsia="Arial" w:hAnsi="Arial"/>
                <w:sz w:val="13"/>
                <w:szCs w:val="13"/>
                <w:color w:val="auto"/>
              </w:rPr>
              <w:t>(in millions)</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29" w:lineRule="exact"/>
              <w:rPr>
                <w:sz w:val="20"/>
                <w:szCs w:val="20"/>
                <w:color w:val="auto"/>
              </w:rPr>
            </w:pPr>
            <w:r>
              <w:rPr>
                <w:rFonts w:ascii="Arial" w:cs="Arial" w:eastAsia="Arial" w:hAnsi="Arial"/>
                <w:sz w:val="14"/>
                <w:szCs w:val="14"/>
                <w:color w:val="auto"/>
              </w:rPr>
              <w:t>Adjustments</w:t>
            </w:r>
          </w:p>
        </w:tc>
        <w:tc>
          <w:tcPr>
            <w:tcW w:w="1440" w:type="dxa"/>
            <w:vAlign w:val="bottom"/>
            <w:gridSpan w:val="3"/>
          </w:tcPr>
          <w:p>
            <w:pPr>
              <w:jc w:val="center"/>
              <w:ind w:right="100"/>
              <w:spacing w:after="0" w:line="129" w:lineRule="exact"/>
              <w:rPr>
                <w:sz w:val="20"/>
                <w:szCs w:val="20"/>
                <w:color w:val="auto"/>
              </w:rPr>
            </w:pPr>
            <w:r>
              <w:rPr>
                <w:rFonts w:ascii="Arial" w:cs="Arial" w:eastAsia="Arial" w:hAnsi="Arial"/>
                <w:sz w:val="14"/>
                <w:szCs w:val="14"/>
                <w:color w:val="auto"/>
              </w:rPr>
              <w:t>Cash Flow Hedges</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29" w:lineRule="exact"/>
              <w:rPr>
                <w:sz w:val="20"/>
                <w:szCs w:val="20"/>
                <w:color w:val="auto"/>
              </w:rPr>
            </w:pPr>
            <w:r>
              <w:rPr>
                <w:rFonts w:ascii="Arial" w:cs="Arial" w:eastAsia="Arial" w:hAnsi="Arial"/>
                <w:sz w:val="14"/>
                <w:szCs w:val="14"/>
                <w:color w:val="auto"/>
              </w:rPr>
              <w:t>Pension Items</w:t>
            </w: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2024</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00" w:type="dxa"/>
            <w:vAlign w:val="bottom"/>
            <w:gridSpan w:val="2"/>
          </w:tcPr>
          <w:p>
            <w:pPr>
              <w:ind w:left="200"/>
              <w:spacing w:after="0"/>
              <w:rPr>
                <w:sz w:val="20"/>
                <w:szCs w:val="20"/>
                <w:color w:val="auto"/>
              </w:rPr>
            </w:pPr>
            <w:r>
              <w:rPr>
                <w:rFonts w:ascii="Arial" w:cs="Arial" w:eastAsia="Arial" w:hAnsi="Arial"/>
                <w:sz w:val="14"/>
                <w:szCs w:val="14"/>
                <w:color w:val="auto"/>
              </w:rPr>
              <w:t>Other comprehensive income (loss)</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March 31, 2025</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color w:val="auto"/>
              </w:rPr>
              <w:t>Currency</w:t>
            </w:r>
          </w:p>
        </w:tc>
        <w:tc>
          <w:tcPr>
            <w:tcW w:w="144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rPr>
              <w:t>Gains (Losses) on</w:t>
            </w:r>
          </w:p>
        </w:tc>
        <w:tc>
          <w:tcPr>
            <w:tcW w:w="140" w:type="dxa"/>
            <w:vAlign w:val="bottom"/>
          </w:tcPr>
          <w:p>
            <w:pPr>
              <w:spacing w:after="0"/>
              <w:rPr>
                <w:sz w:val="21"/>
                <w:szCs w:val="21"/>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rPr>
              <w:t>Defined Benefit</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rPr>
              <w:t>Translation</w:t>
            </w:r>
          </w:p>
        </w:tc>
        <w:tc>
          <w:tcPr>
            <w:tcW w:w="14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restart"/>
          </w:tcPr>
          <w:p>
            <w:pPr>
              <w:jc w:val="right"/>
              <w:ind w:right="4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rPr>
              <w:t>Adjustments</w:t>
            </w:r>
          </w:p>
        </w:tc>
        <w:tc>
          <w:tcPr>
            <w:tcW w:w="144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rPr>
              <w:t>Cash Flow Hedges</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Pension Items</w:t>
            </w: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2023</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00" w:type="dxa"/>
            <w:vAlign w:val="bottom"/>
            <w:gridSpan w:val="2"/>
          </w:tcPr>
          <w:p>
            <w:pPr>
              <w:ind w:left="200"/>
              <w:spacing w:after="0"/>
              <w:rPr>
                <w:sz w:val="20"/>
                <w:szCs w:val="20"/>
                <w:color w:val="auto"/>
              </w:rPr>
            </w:pPr>
            <w:r>
              <w:rPr>
                <w:rFonts w:ascii="Arial" w:cs="Arial" w:eastAsia="Arial" w:hAnsi="Arial"/>
                <w:sz w:val="14"/>
                <w:szCs w:val="14"/>
                <w:color w:val="auto"/>
              </w:rPr>
              <w:t>Other comprehensive income (loss)</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March 31, 2024</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7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All amounts are net of tax. Tax effects were immaterial.</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12 – Contingencies and Litigation</w:t>
      </w:r>
    </w:p>
    <w:p>
      <w:pPr>
        <w:spacing w:after="0" w:line="1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more fully discussed below, the Company is involved in a variety of claims, lawsuits, investigations and proceedings concerning a variety of matters, including: governmental entity contracting, servicing and procurement law; intellectual property law; employment law; commercial and contracts law; the Employee Retirement Income Security Act ("ERISA"); and other laws and regulations. The Company determines whether an estimated loss from a contingency should be accrued by assessing whether a loss is deemed probable and can be reasonably estimated. The Company assesses its potential liability by analyzing its litigation and regulatory matters using available information. The Company develops its view on estimated losses in consultation with outside counsel handling its defense in these matters, which involves an analysis of potential results, assuming a combination of litigation and settlement strategies. Should developments in any of these matters cause a change in the Company's determination as to an unfavorable outcome and result in the need to recognize a material accrual, or should any of these matters result in a final adverse judgment or be settled for significant amounts in excess of any accrual for such matter or matters, this could have a material adverse effect on the Company's results of operations, cash flows and financial position in the period or periods in which such change in determination, judgment or settlement occurs. The Company believes it has recorded adequate provisions for any such matters as of March 31, 2025. Litigation is inherently unpredictable, and it is not possible to predict the ultimate outcome of these matters.</w:t>
      </w:r>
    </w:p>
    <w:p>
      <w:pPr>
        <w:spacing w:after="0" w:line="200" w:lineRule="exact"/>
        <w:rPr>
          <w:sz w:val="20"/>
          <w:szCs w:val="20"/>
          <w:color w:val="auto"/>
        </w:rPr>
      </w:pPr>
    </w:p>
    <w:p>
      <w:pPr>
        <w:spacing w:after="0" w:line="335"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18" w:name="page19"/>
    <w:bookmarkEnd w:id="18"/>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Additionally, guarantees, indemnifications and claims arise during the ordinary course of business from relationships with suppliers, customers and non-consolidated affiliates when the Company undertakes an obligation to guarantee the performance of others if specified triggering events occur. Nonperformance under a contract could trigger an obligation of the Company. These potential claims include actions based upon alleged exposures to products, real estate, intellectual property such as patents, environmental matters and other indemnifications. The ultimate effect on future financial results is not subject to reasonable estimation because considerable uncertainty exists as to the outcome of these claims. However, while the ultimate liabilities resulting from such claims may be significant to results of operations in the period recognized, management does not anticipate they will have a material adverse effect on the Company's Condensed Consolidated Financial position or liquidity. As of March 31, 2025, the Company had accrued its estimate of liability incurred under its indemnification arrangements and guarantees.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Litigation Against the Company</w:t>
      </w:r>
    </w:p>
    <w:p>
      <w:pPr>
        <w:spacing w:after="0" w:line="17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b w:val="1"/>
          <w:bCs w:val="1"/>
          <w:i w:val="1"/>
          <w:iCs w:val="1"/>
          <w:color w:val="1269BC"/>
        </w:rPr>
        <w:t xml:space="preserve">Skyview Capital LLC and Continuum Global Solutions, LLC v. Conduent Business Services, LLC: </w:t>
      </w:r>
      <w:r>
        <w:rPr>
          <w:rFonts w:ascii="Arial" w:cs="Arial" w:eastAsia="Arial" w:hAnsi="Arial"/>
          <w:sz w:val="18"/>
          <w:szCs w:val="18"/>
          <w:color w:val="000000"/>
        </w:rPr>
        <w:t>On February 3, 2020, plaintiffs</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Skyview Capital LLC and Continuum Global Solutions LLC (collectively "Skyview") filed a lawsuit in the Supreme Court of the State of New York, County of New York against Conduent Business Services, LLC, a wholly-owned subsidiary of the Company ("CBS"). The lawsuit relates to the sale of a portion of CBS's select standalone customer care call center business to plaintiffs, which sale closed in February 2019. Under the terms of the sale agreement, CBS received approximately $23 million in principal amount of promissory notes from plaintiffs (the "Notes"). The lawsuit alleges various causes of action in connection with the acquisition, including: indemnification for breach of representation and warranty; indemnification for breach of covenant; and fraud. Plaintiffs alleged that their obligation to mitigate damages and their contractual right of set-off permits them to withhold and deduct from any amounts that are owed to CBS under the Notes, and plaintiffs sought a judgment that they have no obligation to pay the Notes. On August 20, 2020, CBS filed counterclaims against Skyview seeking the outstanding balance on the Notes, the amounts owed for operating certain Jamaica-based call centers on plaintiffs' behalf pending closing (the "Jamaica Deferred Closing"), other obligations under a transition services agreement and TSA amendments (the "TSAs"), and late rent payment obligations. CBS also moved to dismiss Skyview’s claims in 2020. In May 2021, the court denied the motion and allowed the claims to proceed. Fact and expert discovery concluded and the parties filed summary judgment motions in July 2023. On December 5, 2023, the court heard oral argument on the parties’ cross-motions for summary judgment, and rendered its decision on December 8, 2023, finding there are certain material issues of fact that require trial, and also entering partial summary judgment for each side. On January 5, 2024, CBS filed its notice of appeal of the portion of the ruling that did not grant its motion for summary judgment in its entirety and that granted certain limited relief in favor of plaintiffs. On January 23, 2024, Skyview filed its own notice of appeal, challenging the decision granting a portion of CBS’s counterclaims. The parties' appeals have been fully briefed and the Court has scheduled oral argument for May 2025.</w:t>
      </w:r>
    </w:p>
    <w:p>
      <w:pPr>
        <w:spacing w:after="0" w:line="13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July 2024, Skyview informed CBS of its intention to sell a portion of its call center business. The parties reached an agreement on August 8, 2024, under which, contemporaneously with the closing of such a transaction, Skyview would pay the outstanding principal plus interest due on the outstanding Notes, fully discharging Skyview's obligations under the Notes, and would pay certain of CBS's litigation costs.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September 24, 2024, Skyview and the buyer announced a signed and binding asset purchase agreement. Following regulatory review, the transaction closed in December 2024, at which point Skyview paid CBS $33 million, representing the outstanding principal and interest due on the Notes and reimbursement of certain litigation costs. Skyview has withdrawn its arguments in the litigation regarding its purported right to set-off amounts due under the Notes, though Skyview's claims for alleged fraud, breach of covenant, and breach of representation and warranty otherwise are unaffected. In addition, CBS dismissed its two counterclaims related to the Notes. CBS's remaining counterclaims related to the Jamaica Deferred Closing, the TSAs, and rent payment obligations are unaffected.</w:t>
      </w:r>
    </w:p>
    <w:p>
      <w:pPr>
        <w:spacing w:after="0" w:line="128"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CBS continues to deny all of plaintiffs' allegations, believes that it has strong defenses to all of plaintiffs’ claims, and will continue to defend the litigation vigorously. The Company is not able to determine or predict the ultimate outcome of this proceeding or reasonably provide an estimate or range of estimates of the possible outcome or loss, if any, in excess of currently recorded reserves.</w:t>
      </w: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19" w:name="page20"/>
    <w:bookmarkEnd w:id="19"/>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Other Contingencies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Certain contracts, primarily in the Company's Government and Transportation segments, require the Company to provide a surety bond or a letter of credit as a guarantee of performance. As of March 31, 2025, the Company had $549 million of outstanding surety bonds issued to secure its performance of contractual obligations with its clients, and $166 million of outstanding letters of credit issued to secure the Company's performance of contractual obligations to its clients as well as other corporate obligations. In general, the Company would only be liable for these guarantees in the event of default in the Company's performance of its obligations under each contract. The Company believes it has sufficient capacity in the surety markets and liquidity from its cash flow and its various credit arrangements to allow it to respond to future requests for proposals that require such credit support.</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 xml:space="preserve">Note 13 </w:t>
      </w:r>
      <w:r>
        <w:rPr>
          <w:rFonts w:ascii="Arial" w:cs="Arial" w:eastAsia="Arial" w:hAnsi="Arial"/>
          <w:sz w:val="22"/>
          <w:szCs w:val="22"/>
          <w:b w:val="1"/>
          <w:bCs w:val="1"/>
          <w:color w:val="1269BC"/>
        </w:rPr>
        <w:t>–</w:t>
      </w:r>
      <w:r>
        <w:rPr>
          <w:rFonts w:ascii="Arial" w:cs="Arial" w:eastAsia="Arial" w:hAnsi="Arial"/>
          <w:sz w:val="22"/>
          <w:szCs w:val="22"/>
          <w:b w:val="1"/>
          <w:bCs w:val="1"/>
          <w:color w:val="0066CC"/>
        </w:rPr>
        <w:t xml:space="preserve"> Preferred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Series A Preferred Stock</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December 2016, the Company issued 120,000 shares of Series A convertible perpetual preferred stock with an aggregate liquidation preference of $120 million and an initial fair value of $142 million. The convertible preferred stock earns quarterly cash dividends at a rate of 8% per year ($9.6 million per year). Each share of convertible preferred stock is convertible at any time, at the option of the holder, into</w:t>
      </w:r>
    </w:p>
    <w:p>
      <w:pPr>
        <w:spacing w:after="0" w:line="1"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44.9438 shares of common stock for a total of 5,393,000 shares (reflecting an initial conversion price of approximately $22.25 per share of common stock), subject to customary anti-dilution adjustments.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14 – Earnings (Loss) per Share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declare any common stock dividends in the periods presented.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share of common stock:</w:t>
      </w:r>
    </w:p>
    <w:p>
      <w:pPr>
        <w:spacing w:after="0" w:line="59" w:lineRule="exact"/>
        <w:rPr>
          <w:sz w:val="20"/>
          <w:szCs w:val="20"/>
          <w:color w:val="auto"/>
        </w:rPr>
      </w:pPr>
    </w:p>
    <w:p>
      <w:pPr>
        <w:ind w:left="9260"/>
        <w:spacing w:after="0"/>
        <w:rPr>
          <w:sz w:val="20"/>
          <w:szCs w:val="20"/>
          <w:color w:val="auto"/>
        </w:rPr>
      </w:pPr>
      <w:r>
        <w:rPr>
          <w:rFonts w:ascii="Arial" w:cs="Arial" w:eastAsia="Arial" w:hAnsi="Arial"/>
          <w:sz w:val="14"/>
          <w:szCs w:val="14"/>
          <w:color w:val="auto"/>
        </w:rPr>
        <w:t>Three Months Ended</w:t>
      </w:r>
    </w:p>
    <w:p>
      <w:pPr>
        <w:spacing w:after="0" w:line="2" w:lineRule="exact"/>
        <w:rPr>
          <w:sz w:val="20"/>
          <w:szCs w:val="20"/>
          <w:color w:val="auto"/>
        </w:rPr>
      </w:pPr>
    </w:p>
    <w:p>
      <w:pPr>
        <w:ind w:left="9620"/>
        <w:spacing w:after="0"/>
        <w:rPr>
          <w:sz w:val="20"/>
          <w:szCs w:val="20"/>
          <w:color w:val="auto"/>
        </w:rPr>
      </w:pPr>
      <w:r>
        <w:rPr>
          <w:rFonts w:ascii="Arial" w:cs="Arial" w:eastAsia="Arial" w:hAnsi="Arial"/>
          <w:sz w:val="14"/>
          <w:szCs w:val="14"/>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8620" w:type="dxa"/>
            <w:vAlign w:val="bottom"/>
            <w:gridSpan w:val="2"/>
          </w:tcPr>
          <w:p>
            <w:pPr>
              <w:spacing w:after="0"/>
              <w:rPr>
                <w:sz w:val="20"/>
                <w:szCs w:val="20"/>
                <w:color w:val="auto"/>
              </w:rPr>
            </w:pPr>
            <w:r>
              <w:rPr>
                <w:rFonts w:ascii="Arial" w:cs="Arial" w:eastAsia="Arial" w:hAnsi="Arial"/>
                <w:sz w:val="13"/>
                <w:szCs w:val="13"/>
                <w:color w:val="auto"/>
              </w:rPr>
              <w:t>(in millions, except per share data in whole dollars and shares in thousands)</w:t>
            </w: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2025</w:t>
            </w: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4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Basic Net Earnings (Loss) per Share:</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862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99</w:t>
            </w:r>
          </w:p>
        </w:tc>
      </w:tr>
      <w:tr>
        <w:trPr>
          <w:trHeight w:val="203"/>
        </w:trPr>
        <w:tc>
          <w:tcPr>
            <w:tcW w:w="20" w:type="dxa"/>
            <w:vAlign w:val="bottom"/>
            <w:shd w:val="clear" w:color="auto" w:fill="CCEEFF"/>
          </w:tcPr>
          <w:p>
            <w:pPr>
              <w:spacing w:after="0"/>
              <w:rPr>
                <w:sz w:val="17"/>
                <w:szCs w:val="17"/>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Dividend - Preferred Stock</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00"/>
        </w:trPr>
        <w:tc>
          <w:tcPr>
            <w:tcW w:w="20" w:type="dxa"/>
            <w:vAlign w:val="bottom"/>
          </w:tcPr>
          <w:p>
            <w:pPr>
              <w:spacing w:after="0"/>
              <w:rPr>
                <w:sz w:val="17"/>
                <w:szCs w:val="17"/>
                <w:color w:val="auto"/>
              </w:rPr>
            </w:pPr>
          </w:p>
        </w:tc>
        <w:tc>
          <w:tcPr>
            <w:tcW w:w="8620" w:type="dxa"/>
            <w:vAlign w:val="bottom"/>
            <w:gridSpan w:val="2"/>
          </w:tcPr>
          <w:p>
            <w:pPr>
              <w:spacing w:after="0"/>
              <w:rPr>
                <w:sz w:val="20"/>
                <w:szCs w:val="20"/>
                <w:color w:val="auto"/>
              </w:rPr>
            </w:pPr>
            <w:r>
              <w:rPr>
                <w:rFonts w:ascii="Arial" w:cs="Arial" w:eastAsia="Arial" w:hAnsi="Arial"/>
                <w:sz w:val="14"/>
                <w:szCs w:val="14"/>
                <w:color w:val="auto"/>
              </w:rPr>
              <w:t>Adjusted Net Income (Loss) Available to Common Shareholders - Basic</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5"/>
        </w:trPr>
        <w:tc>
          <w:tcPr>
            <w:tcW w:w="20" w:type="dxa"/>
            <w:vAlign w:val="bottom"/>
            <w:shd w:val="clear" w:color="auto" w:fill="CCEEFF"/>
          </w:tcPr>
          <w:p>
            <w:pPr>
              <w:spacing w:after="0"/>
              <w:rPr>
                <w:sz w:val="6"/>
                <w:szCs w:val="6"/>
                <w:color w:val="auto"/>
              </w:rPr>
            </w:pPr>
          </w:p>
        </w:tc>
        <w:tc>
          <w:tcPr>
            <w:tcW w:w="4240" w:type="dxa"/>
            <w:vAlign w:val="bottom"/>
            <w:shd w:val="clear" w:color="auto" w:fill="CCEEFF"/>
          </w:tcPr>
          <w:p>
            <w:pPr>
              <w:spacing w:after="0"/>
              <w:rPr>
                <w:sz w:val="6"/>
                <w:szCs w:val="6"/>
                <w:color w:val="auto"/>
              </w:rPr>
            </w:pPr>
          </w:p>
        </w:tc>
        <w:tc>
          <w:tcPr>
            <w:tcW w:w="43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r>
      <w:tr>
        <w:trPr>
          <w:trHeight w:val="202"/>
        </w:trPr>
        <w:tc>
          <w:tcPr>
            <w:tcW w:w="20" w:type="dxa"/>
            <w:vAlign w:val="bottom"/>
          </w:tcPr>
          <w:p>
            <w:pPr>
              <w:spacing w:after="0"/>
              <w:rPr>
                <w:sz w:val="17"/>
                <w:szCs w:val="17"/>
                <w:color w:val="auto"/>
              </w:rPr>
            </w:pPr>
          </w:p>
        </w:tc>
        <w:tc>
          <w:tcPr>
            <w:tcW w:w="8620" w:type="dxa"/>
            <w:vAlign w:val="bottom"/>
            <w:gridSpan w:val="2"/>
          </w:tcPr>
          <w:p>
            <w:pPr>
              <w:spacing w:after="0"/>
              <w:rPr>
                <w:sz w:val="20"/>
                <w:szCs w:val="20"/>
                <w:color w:val="auto"/>
              </w:rPr>
            </w:pPr>
            <w:r>
              <w:rPr>
                <w:rFonts w:ascii="Arial" w:cs="Arial" w:eastAsia="Arial" w:hAnsi="Arial"/>
                <w:sz w:val="14"/>
                <w:szCs w:val="14"/>
                <w:b w:val="1"/>
                <w:bCs w:val="1"/>
                <w:color w:val="auto"/>
              </w:rPr>
              <w:t>Diluted Net Earnings (Loss) per Share:</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r>
      <w:tr>
        <w:trPr>
          <w:trHeight w:val="198"/>
        </w:trPr>
        <w:tc>
          <w:tcPr>
            <w:tcW w:w="20" w:type="dxa"/>
            <w:vAlign w:val="bottom"/>
            <w:tcBorders>
              <w:bottom w:val="single" w:sz="8" w:color="CCEEFF"/>
            </w:tcBorders>
          </w:tcPr>
          <w:p>
            <w:pPr>
              <w:spacing w:after="0"/>
              <w:rPr>
                <w:sz w:val="17"/>
                <w:szCs w:val="17"/>
                <w:color w:val="auto"/>
              </w:rPr>
            </w:pPr>
          </w:p>
        </w:tc>
        <w:tc>
          <w:tcPr>
            <w:tcW w:w="8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Dividend - Preferred Stock</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8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Adjusted Net Income (Loss) Available to Common Shareholders - Diluted</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4240" w:type="dxa"/>
            <w:vAlign w:val="bottom"/>
          </w:tcPr>
          <w:p>
            <w:pPr>
              <w:spacing w:after="0"/>
              <w:rPr>
                <w:sz w:val="4"/>
                <w:szCs w:val="4"/>
                <w:color w:val="auto"/>
              </w:rPr>
            </w:pPr>
          </w:p>
        </w:tc>
        <w:tc>
          <w:tcPr>
            <w:tcW w:w="4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Weighted Average Common Shares Outstanding - Basic</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161,830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209,160</w:t>
            </w:r>
          </w:p>
        </w:tc>
      </w:tr>
      <w:tr>
        <w:trPr>
          <w:trHeight w:val="198"/>
        </w:trPr>
        <w:tc>
          <w:tcPr>
            <w:tcW w:w="20" w:type="dxa"/>
            <w:vAlign w:val="bottom"/>
          </w:tcPr>
          <w:p>
            <w:pPr>
              <w:spacing w:after="0"/>
              <w:rPr>
                <w:sz w:val="17"/>
                <w:szCs w:val="17"/>
                <w:color w:val="auto"/>
              </w:rPr>
            </w:pPr>
          </w:p>
        </w:tc>
        <w:tc>
          <w:tcPr>
            <w:tcW w:w="8620" w:type="dxa"/>
            <w:vAlign w:val="bottom"/>
            <w:gridSpan w:val="2"/>
          </w:tcPr>
          <w:p>
            <w:pPr>
              <w:spacing w:after="0"/>
              <w:rPr>
                <w:sz w:val="20"/>
                <w:szCs w:val="20"/>
                <w:color w:val="auto"/>
              </w:rPr>
            </w:pPr>
            <w:r>
              <w:rPr>
                <w:rFonts w:ascii="Arial" w:cs="Arial" w:eastAsia="Arial" w:hAnsi="Arial"/>
                <w:sz w:val="14"/>
                <w:szCs w:val="14"/>
                <w:color w:val="auto"/>
              </w:rPr>
              <w:t>Common Shares Issuable With Respect To:</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7"/>
                <w:szCs w:val="17"/>
                <w:color w:val="auto"/>
              </w:rPr>
            </w:pPr>
          </w:p>
        </w:tc>
        <w:tc>
          <w:tcPr>
            <w:tcW w:w="86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Restricted Stock and Performance Units / Shares</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1,194</w:t>
            </w:r>
          </w:p>
        </w:tc>
      </w:tr>
      <w:tr>
        <w:trPr>
          <w:trHeight w:val="198"/>
        </w:trPr>
        <w:tc>
          <w:tcPr>
            <w:tcW w:w="20" w:type="dxa"/>
            <w:vAlign w:val="bottom"/>
          </w:tcPr>
          <w:p>
            <w:pPr>
              <w:spacing w:after="0"/>
              <w:rPr>
                <w:sz w:val="17"/>
                <w:szCs w:val="17"/>
                <w:color w:val="auto"/>
              </w:rPr>
            </w:pPr>
          </w:p>
        </w:tc>
        <w:tc>
          <w:tcPr>
            <w:tcW w:w="8620" w:type="dxa"/>
            <w:vAlign w:val="bottom"/>
            <w:gridSpan w:val="2"/>
          </w:tcPr>
          <w:p>
            <w:pPr>
              <w:ind w:left="120"/>
              <w:spacing w:after="0"/>
              <w:rPr>
                <w:sz w:val="20"/>
                <w:szCs w:val="20"/>
                <w:color w:val="auto"/>
              </w:rPr>
            </w:pPr>
            <w:r>
              <w:rPr>
                <w:rFonts w:ascii="Arial" w:cs="Arial" w:eastAsia="Arial" w:hAnsi="Arial"/>
                <w:sz w:val="14"/>
                <w:szCs w:val="14"/>
                <w:color w:val="auto"/>
              </w:rPr>
              <w:t>8% Convertible Preferred Stock</w:t>
            </w:r>
          </w:p>
        </w:tc>
        <w:tc>
          <w:tcPr>
            <w:tcW w:w="2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5,393</w:t>
            </w: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Weighted Average Common Shares Outstanding - Diluted</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161,830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215,747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4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202"/>
        </w:trPr>
        <w:tc>
          <w:tcPr>
            <w:tcW w:w="20" w:type="dxa"/>
            <w:vAlign w:val="bottom"/>
            <w:shd w:val="clear" w:color="auto" w:fill="CCEEFF"/>
          </w:tcPr>
          <w:p>
            <w:pPr>
              <w:spacing w:after="0"/>
              <w:rPr>
                <w:sz w:val="17"/>
                <w:szCs w:val="17"/>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Earnings (Loss) per Share:</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8620" w:type="dxa"/>
            <w:vAlign w:val="bottom"/>
            <w:gridSpan w:val="2"/>
          </w:tcPr>
          <w:p>
            <w:pPr>
              <w:ind w:left="120"/>
              <w:spacing w:after="0"/>
              <w:rPr>
                <w:sz w:val="20"/>
                <w:szCs w:val="20"/>
                <w:color w:val="auto"/>
              </w:rPr>
            </w:pPr>
            <w:r>
              <w:rPr>
                <w:rFonts w:ascii="Arial" w:cs="Arial" w:eastAsia="Arial" w:hAnsi="Arial"/>
                <w:sz w:val="14"/>
                <w:szCs w:val="14"/>
                <w:color w:val="auto"/>
              </w:rPr>
              <w:t>Basic</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(0.33)</w:t>
            </w:r>
          </w:p>
        </w:tc>
        <w:tc>
          <w:tcPr>
            <w:tcW w:w="12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0.46</w:t>
            </w:r>
          </w:p>
        </w:tc>
      </w:tr>
      <w:tr>
        <w:trPr>
          <w:trHeight w:val="206"/>
        </w:trPr>
        <w:tc>
          <w:tcPr>
            <w:tcW w:w="20" w:type="dxa"/>
            <w:vAlign w:val="bottom"/>
            <w:shd w:val="clear" w:color="auto" w:fill="CCEEFF"/>
          </w:tcPr>
          <w:p>
            <w:pPr>
              <w:spacing w:after="0"/>
              <w:rPr>
                <w:sz w:val="17"/>
                <w:szCs w:val="17"/>
                <w:color w:val="auto"/>
              </w:rPr>
            </w:pPr>
          </w:p>
        </w:tc>
        <w:tc>
          <w:tcPr>
            <w:tcW w:w="86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2146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92" w:lineRule="exact"/>
        <w:rPr>
          <w:sz w:val="20"/>
          <w:szCs w:val="20"/>
          <w:color w:val="auto"/>
        </w:rPr>
      </w:pPr>
    </w:p>
    <w:p>
      <w:pPr>
        <w:ind w:left="20" w:right="340"/>
        <w:spacing w:after="0" w:line="252" w:lineRule="auto"/>
        <w:rPr>
          <w:sz w:val="20"/>
          <w:szCs w:val="20"/>
          <w:color w:val="auto"/>
        </w:rPr>
      </w:pPr>
      <w:r>
        <w:rPr>
          <w:rFonts w:ascii="Arial" w:cs="Arial" w:eastAsia="Arial" w:hAnsi="Arial"/>
          <w:sz w:val="14"/>
          <w:szCs w:val="14"/>
          <w:color w:val="auto"/>
        </w:rPr>
        <w:t>The following securities were not included in the computation of diluted earnings per share as they were either contingently issuable shares or shares that if included would have been anti-dilutive (shares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640" w:type="dxa"/>
            <w:vAlign w:val="bottom"/>
          </w:tcPr>
          <w:p>
            <w:pPr>
              <w:ind w:left="20"/>
              <w:spacing w:after="0"/>
              <w:rPr>
                <w:sz w:val="20"/>
                <w:szCs w:val="20"/>
                <w:color w:val="auto"/>
              </w:rPr>
            </w:pPr>
            <w:r>
              <w:rPr>
                <w:rFonts w:ascii="Arial" w:cs="Arial" w:eastAsia="Arial" w:hAnsi="Arial"/>
                <w:sz w:val="14"/>
                <w:szCs w:val="14"/>
                <w:color w:val="auto"/>
              </w:rPr>
              <w:t>Restricted stock and performance shares/units</w:t>
            </w:r>
          </w:p>
        </w:tc>
        <w:tc>
          <w:tcPr>
            <w:tcW w:w="1240" w:type="dxa"/>
            <w:vAlign w:val="bottom"/>
          </w:tcPr>
          <w:p>
            <w:pPr>
              <w:jc w:val="right"/>
              <w:spacing w:after="0"/>
              <w:rPr>
                <w:sz w:val="20"/>
                <w:szCs w:val="20"/>
                <w:color w:val="auto"/>
              </w:rPr>
            </w:pPr>
            <w:r>
              <w:rPr>
                <w:rFonts w:ascii="Arial" w:cs="Arial" w:eastAsia="Arial" w:hAnsi="Arial"/>
                <w:sz w:val="14"/>
                <w:szCs w:val="14"/>
                <w:color w:val="auto"/>
              </w:rPr>
              <w:t>7,782</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7,454</w:t>
            </w:r>
          </w:p>
        </w:tc>
      </w:tr>
      <w:tr>
        <w:trPr>
          <w:trHeight w:val="202"/>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Convertible preferred stock</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5,393</w:t>
            </w:r>
          </w:p>
        </w:tc>
        <w:tc>
          <w:tcPr>
            <w:tcW w:w="12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8640" w:type="dxa"/>
            <w:vAlign w:val="bottom"/>
          </w:tcPr>
          <w:p>
            <w:pPr>
              <w:ind w:left="20"/>
              <w:spacing w:after="0"/>
              <w:rPr>
                <w:sz w:val="20"/>
                <w:szCs w:val="20"/>
                <w:color w:val="auto"/>
              </w:rPr>
            </w:pPr>
            <w:r>
              <w:rPr>
                <w:rFonts w:ascii="Arial" w:cs="Arial" w:eastAsia="Arial" w:hAnsi="Arial"/>
                <w:sz w:val="14"/>
                <w:szCs w:val="14"/>
                <w:b w:val="1"/>
                <w:bCs w:val="1"/>
                <w:color w:val="auto"/>
              </w:rPr>
              <w:t>Total Anti-Dilutive and Contingently Issuable Securities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13,175</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7,454</w:t>
            </w:r>
          </w:p>
        </w:tc>
      </w:tr>
      <w:tr>
        <w:trPr>
          <w:trHeight w:val="20"/>
        </w:trPr>
        <w:tc>
          <w:tcPr>
            <w:tcW w:w="86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2025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15 – Supplementary Financial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assets and Other liabilities were as follows:</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540" w:type="dxa"/>
            <w:vAlign w:val="bottom"/>
            <w:gridSpan w:val="3"/>
          </w:tcPr>
          <w:p>
            <w:pPr>
              <w:ind w:left="20"/>
              <w:spacing w:after="0"/>
              <w:rPr>
                <w:sz w:val="20"/>
                <w:szCs w:val="20"/>
                <w:color w:val="auto"/>
              </w:rPr>
            </w:pPr>
            <w:r>
              <w:rPr>
                <w:rFonts w:ascii="Arial" w:cs="Arial" w:eastAsia="Arial" w:hAnsi="Arial"/>
                <w:sz w:val="13"/>
                <w:szCs w:val="13"/>
                <w:color w:val="auto"/>
              </w:rPr>
              <w:t>(in millions)</w:t>
            </w:r>
          </w:p>
        </w:tc>
        <w:tc>
          <w:tcPr>
            <w:tcW w:w="240" w:type="dxa"/>
            <w:vAlign w:val="bottom"/>
          </w:tcPr>
          <w:p>
            <w:pPr>
              <w:spacing w:after="0"/>
              <w:rPr>
                <w:sz w:val="14"/>
                <w:szCs w:val="14"/>
                <w:color w:val="auto"/>
              </w:rPr>
            </w:pPr>
          </w:p>
        </w:tc>
        <w:tc>
          <w:tcPr>
            <w:tcW w:w="1640" w:type="dxa"/>
            <w:vAlign w:val="bottom"/>
            <w:gridSpan w:val="2"/>
          </w:tcPr>
          <w:p>
            <w:pPr>
              <w:ind w:left="140"/>
              <w:spacing w:after="0"/>
              <w:rPr>
                <w:sz w:val="20"/>
                <w:szCs w:val="20"/>
                <w:color w:val="auto"/>
              </w:rPr>
            </w:pPr>
            <w:r>
              <w:rPr>
                <w:rFonts w:ascii="Arial" w:cs="Arial" w:eastAsia="Arial" w:hAnsi="Arial"/>
                <w:sz w:val="14"/>
                <w:szCs w:val="14"/>
                <w:color w:val="auto"/>
              </w:rPr>
              <w:t>March 31, 2025</w:t>
            </w:r>
          </w:p>
        </w:tc>
        <w:tc>
          <w:tcPr>
            <w:tcW w:w="18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Arial" w:cs="Arial" w:eastAsia="Arial" w:hAnsi="Arial"/>
                <w:sz w:val="14"/>
                <w:szCs w:val="14"/>
                <w:color w:val="auto"/>
              </w:rPr>
              <w:t>December 31, 2024</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Other Current Assets</w:t>
            </w:r>
          </w:p>
        </w:tc>
        <w:tc>
          <w:tcPr>
            <w:tcW w:w="2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Prepaid expenses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Income taxes receivable</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Value-added tax receivable</w:t>
            </w:r>
          </w:p>
        </w:tc>
        <w:tc>
          <w:tcPr>
            <w:tcW w:w="24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Net receivables from buyers of divested businesses</w:t>
            </w:r>
          </w:p>
        </w:tc>
        <w:tc>
          <w:tcPr>
            <w:tcW w:w="24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0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00"/>
        </w:trPr>
        <w:tc>
          <w:tcPr>
            <w:tcW w:w="75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Other Current 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Other Current Liabilities</w:t>
            </w: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Accrued liabilities to vendors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06"/>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Litigation related accruals</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Current operating lease liabilities</w:t>
            </w:r>
          </w:p>
        </w:tc>
        <w:tc>
          <w:tcPr>
            <w:tcW w:w="24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06"/>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Restructuring liabilities</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Income tax payable</w:t>
            </w:r>
          </w:p>
        </w:tc>
        <w:tc>
          <w:tcPr>
            <w:tcW w:w="24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taxes payable</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Accrued interest</w:t>
            </w:r>
          </w:p>
        </w:tc>
        <w:tc>
          <w:tcPr>
            <w:tcW w:w="24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Direct response costs - cyber event liabilities</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75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25"/>
        </w:trPr>
        <w:tc>
          <w:tcPr>
            <w:tcW w:w="7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Current 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4"/>
                <w:szCs w:val="14"/>
                <w:b w:val="1"/>
                <w:bCs w:val="1"/>
                <w:color w:val="auto"/>
              </w:rPr>
              <w:t>Other Long-term Assets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75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Internal use software, net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Deferred contract costs, net</w:t>
            </w:r>
          </w:p>
        </w:tc>
        <w:tc>
          <w:tcPr>
            <w:tcW w:w="24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06"/>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Product software, net</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9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Deferred tax assets</w:t>
            </w:r>
          </w:p>
        </w:tc>
        <w:tc>
          <w:tcPr>
            <w:tcW w:w="24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0"/>
        </w:trPr>
        <w:tc>
          <w:tcPr>
            <w:tcW w:w="75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Other Long-term 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Other Long-term Liabilities</w:t>
            </w: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Income tax liabilities</w:t>
            </w:r>
          </w:p>
        </w:tc>
        <w:tc>
          <w:tcPr>
            <w:tcW w:w="24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Unearned income</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98"/>
        </w:trPr>
        <w:tc>
          <w:tcPr>
            <w:tcW w:w="75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25"/>
        </w:trPr>
        <w:tc>
          <w:tcPr>
            <w:tcW w:w="7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Long-term 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16 – Subsequent Events</w:t>
      </w:r>
    </w:p>
    <w:p>
      <w:pPr>
        <w:spacing w:after="0" w:line="148" w:lineRule="exact"/>
        <w:rPr>
          <w:sz w:val="20"/>
          <w:szCs w:val="20"/>
          <w:color w:val="auto"/>
        </w:rPr>
      </w:pPr>
    </w:p>
    <w:p>
      <w:pPr>
        <w:jc w:val="both"/>
        <w:ind w:right="840"/>
        <w:spacing w:after="0" w:line="301" w:lineRule="auto"/>
        <w:rPr>
          <w:sz w:val="20"/>
          <w:szCs w:val="20"/>
          <w:color w:val="auto"/>
        </w:rPr>
      </w:pPr>
      <w:r>
        <w:rPr>
          <w:rFonts w:ascii="Arial" w:cs="Arial" w:eastAsia="Arial" w:hAnsi="Arial"/>
          <w:sz w:val="17"/>
          <w:szCs w:val="17"/>
          <w:color w:val="auto"/>
        </w:rPr>
        <w:t>In April 2025, the Company acquired the 20% interest in Conduent Victoria Ticketing System Pty Ltd, ("Conduent Victoria") held by Convergint Australia Pty Ltd. for $5 million, following which, Conduent Victoria became a wholly owned subsidiary of the Company.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21" w:name="page22"/>
    <w:bookmarkEnd w:id="21"/>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560"/>
        <w:spacing w:after="0" w:line="285" w:lineRule="auto"/>
        <w:rPr>
          <w:sz w:val="20"/>
          <w:szCs w:val="20"/>
          <w:color w:val="auto"/>
        </w:rPr>
      </w:pPr>
      <w:r>
        <w:rPr>
          <w:rFonts w:ascii="Arial" w:cs="Arial" w:eastAsia="Arial" w:hAnsi="Arial"/>
          <w:sz w:val="22"/>
          <w:szCs w:val="22"/>
          <w:b w:val="1"/>
          <w:bCs w:val="1"/>
          <w:color w:val="1269BC"/>
        </w:rPr>
        <w:t>ITEM 2 — MANAGEMENT’S DISCUSSION AND ANALYSIS OF FINANCIAL CONDITION AND RESULTS OF OPERATIONS</w:t>
      </w:r>
    </w:p>
    <w:p>
      <w:pPr>
        <w:spacing w:after="0" w:line="7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following Management’s Discussion and Analysis ("MD&amp;A") is intended to provide a reader of our financial statements with a narrative from the perspective of management on our financial condition, results of operations, liquidity, and certain other factors that may affect our future results. Unless otherwise noted, transactions and other factors significantly impacting our financial condition, results of operations and liquidity are discussed in order of magnitude. Our MD&amp;A is presented in seven sections:</w:t>
      </w:r>
    </w:p>
    <w:p>
      <w:pPr>
        <w:spacing w:after="0" w:line="136"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18"/>
          <w:szCs w:val="18"/>
          <w:color w:val="auto"/>
        </w:rPr>
        <w:t>Overview;</w:t>
      </w:r>
    </w:p>
    <w:p>
      <w:pPr>
        <w:spacing w:after="0" w:line="14" w:lineRule="exact"/>
        <w:rPr>
          <w:rFonts w:ascii="Arial" w:cs="Arial" w:eastAsia="Arial" w:hAnsi="Arial"/>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Financial Information and Analysis of Results of Operations;</w:t>
      </w:r>
    </w:p>
    <w:p>
      <w:pPr>
        <w:spacing w:after="0" w:line="1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Metrics;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Capital Resources and Liquidity;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Critical Accounting Estimates and Policies;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Recent Accounting Changes;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Non-GAAP Financial Measures.</w:t>
      </w:r>
    </w:p>
    <w:p>
      <w:pPr>
        <w:spacing w:after="0" w:line="153" w:lineRule="exact"/>
        <w:rPr>
          <w:sz w:val="20"/>
          <w:szCs w:val="20"/>
          <w:color w:val="auto"/>
        </w:rPr>
      </w:pPr>
    </w:p>
    <w:p>
      <w:pPr>
        <w:jc w:val="both"/>
        <w:ind w:right="180"/>
        <w:spacing w:after="0" w:line="287" w:lineRule="auto"/>
        <w:rPr>
          <w:sz w:val="20"/>
          <w:szCs w:val="20"/>
          <w:color w:val="auto"/>
        </w:rPr>
      </w:pPr>
      <w:r>
        <w:rPr>
          <w:rFonts w:ascii="Arial" w:cs="Arial" w:eastAsia="Arial" w:hAnsi="Arial"/>
          <w:sz w:val="18"/>
          <w:szCs w:val="18"/>
          <w:color w:val="auto"/>
        </w:rPr>
        <w:t>The MD&amp;A is provided as a supplement to, and should be read in conjunction with, our Condensed Consolidated Financial Statements and the accompanying Notes.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Overview</w:t>
      </w:r>
    </w:p>
    <w:p>
      <w:pPr>
        <w:spacing w:after="0" w:line="16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We deliver digital business solutions and services spanning the commercial, government and transportation spectrum – creating valuable outcomes for our clients and the millions of people who count on them. We leverage cloud computing, artificial intelligence ("AI"), machine learning, automation and advanced analytics to deliver mission-critical solutions. Through a dedicated global team of approximately 53,000 associates, process expertise and advanced technologies, our solutions and services digitally transform our clients’ operations to enhance customer experiences, improve performance, increase efficiencies and reduce costs.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Headquartered in Florham Park, New Jersey, we have operations in 24 countries as of March 31, 2025.</w:t>
      </w:r>
    </w:p>
    <w:p>
      <w:pPr>
        <w:spacing w:after="0" w:line="171"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Our reportable segments correspond to how we organize and manage the business and are aligned to the industries in which our clients operate. These three segments are:</w:t>
      </w:r>
    </w:p>
    <w:p>
      <w:pPr>
        <w:spacing w:after="0" w:line="99" w:lineRule="exact"/>
        <w:rPr>
          <w:sz w:val="20"/>
          <w:szCs w:val="20"/>
          <w:color w:val="auto"/>
        </w:rPr>
      </w:pPr>
    </w:p>
    <w:p>
      <w:pPr>
        <w:ind w:left="340" w:hanging="332"/>
        <w:spacing w:after="0" w:line="262"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3051F2"/>
        </w:rPr>
        <w:t xml:space="preserve">Commercial </w:t>
      </w:r>
      <w:r>
        <w:rPr>
          <w:rFonts w:ascii="Arial" w:cs="Arial" w:eastAsia="Arial" w:hAnsi="Arial"/>
          <w:sz w:val="18"/>
          <w:szCs w:val="18"/>
          <w:color w:val="000000"/>
        </w:rPr>
        <w:t>– Our Commercial segment provides business process services that span our clients' businesses end-to-end from the front-office to the back-office for a variety of commercial industries. These solutions are both cross-industry and industry-specific in nature. Across the Commercial segment, we operate on our clients’ behalf to deliver mission-critical solutions and services to reduce costs, improve efficiencies and enhance performance for our clients and deliver better experiences for their consumers and employees.</w:t>
      </w:r>
    </w:p>
    <w:p>
      <w:pPr>
        <w:spacing w:after="0" w:line="122" w:lineRule="exact"/>
        <w:rPr>
          <w:rFonts w:ascii="Arial" w:cs="Arial" w:eastAsia="Arial" w:hAnsi="Arial"/>
          <w:sz w:val="18"/>
          <w:szCs w:val="18"/>
          <w:color w:val="auto"/>
        </w:rPr>
      </w:pPr>
    </w:p>
    <w:p>
      <w:pPr>
        <w:ind w:left="340" w:right="140" w:hanging="332"/>
        <w:spacing w:after="0" w:line="259"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3051F2"/>
        </w:rPr>
        <w:t xml:space="preserve">Government </w:t>
      </w:r>
      <w:r>
        <w:rPr>
          <w:rFonts w:ascii="Arial" w:cs="Arial" w:eastAsia="Arial" w:hAnsi="Arial"/>
          <w:sz w:val="18"/>
          <w:szCs w:val="18"/>
          <w:color w:val="000000"/>
        </w:rPr>
        <w:t>– Our Government segment provides government-centric business process services and solutions to U.S. federal, state,</w:t>
      </w:r>
      <w:r>
        <w:rPr>
          <w:rFonts w:ascii="Arial" w:cs="Arial" w:eastAsia="Arial" w:hAnsi="Arial"/>
          <w:sz w:val="18"/>
          <w:szCs w:val="18"/>
          <w:b w:val="1"/>
          <w:bCs w:val="1"/>
          <w:color w:val="3051F2"/>
        </w:rPr>
        <w:t xml:space="preserve"> </w:t>
      </w:r>
      <w:r>
        <w:rPr>
          <w:rFonts w:ascii="Arial" w:cs="Arial" w:eastAsia="Arial" w:hAnsi="Arial"/>
          <w:sz w:val="18"/>
          <w:szCs w:val="18"/>
          <w:color w:val="000000"/>
        </w:rPr>
        <w:t>local and foreign governments for public assistance, healthcare programs and administration, transaction processing, payment services and case management. In this segment, we help governments respond to changing rules for eligibility and keep pace with increasing citizen expectations, modernize legacy technology systems, combat benefits fraud and shift in response to an evolving regulatory environment.</w:t>
      </w:r>
    </w:p>
    <w:p>
      <w:pPr>
        <w:spacing w:after="0" w:line="125" w:lineRule="exact"/>
        <w:rPr>
          <w:rFonts w:ascii="Arial" w:cs="Arial" w:eastAsia="Arial" w:hAnsi="Arial"/>
          <w:sz w:val="18"/>
          <w:szCs w:val="18"/>
          <w:color w:val="auto"/>
        </w:rPr>
      </w:pPr>
    </w:p>
    <w:p>
      <w:pPr>
        <w:ind w:left="340" w:right="380" w:hanging="332"/>
        <w:spacing w:after="0" w:line="259"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3051F2"/>
        </w:rPr>
        <w:t xml:space="preserve">Transportation </w:t>
      </w:r>
      <w:r>
        <w:rPr>
          <w:rFonts w:ascii="Arial" w:cs="Arial" w:eastAsia="Arial" w:hAnsi="Arial"/>
          <w:sz w:val="18"/>
          <w:szCs w:val="18"/>
          <w:color w:val="000000"/>
        </w:rPr>
        <w:t>– Our Transportation segment provides government agencies and transportation authorities around the world with</w:t>
      </w:r>
      <w:r>
        <w:rPr>
          <w:rFonts w:ascii="Arial" w:cs="Arial" w:eastAsia="Arial" w:hAnsi="Arial"/>
          <w:sz w:val="18"/>
          <w:szCs w:val="18"/>
          <w:b w:val="1"/>
          <w:bCs w:val="1"/>
          <w:color w:val="3051F2"/>
        </w:rPr>
        <w:t xml:space="preserve"> </w:t>
      </w:r>
      <w:r>
        <w:rPr>
          <w:rFonts w:ascii="Arial" w:cs="Arial" w:eastAsia="Arial" w:hAnsi="Arial"/>
          <w:sz w:val="18"/>
          <w:szCs w:val="18"/>
          <w:color w:val="000000"/>
        </w:rPr>
        <w:t>systems, support and revenue-generating solutions serving toll and fare collections as well as mobility and digital payments that help streamline operations and increase revenue to government transportation agencies. With an expanded focus on sustainability and enhancing the quality of life for citizens and communities around the world, our solutions help reduce congestion and greenhouse emissions, while creating seamless travel experiences for consumers throughout transportation ecosystems.</w:t>
      </w:r>
    </w:p>
    <w:p>
      <w:pPr>
        <w:spacing w:after="0" w:line="200" w:lineRule="exact"/>
        <w:rPr>
          <w:sz w:val="20"/>
          <w:szCs w:val="20"/>
          <w:color w:val="auto"/>
        </w:rPr>
      </w:pPr>
    </w:p>
    <w:p>
      <w:pPr>
        <w:spacing w:after="0" w:line="326"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2" w:name="page23"/>
    <w:bookmarkEnd w:id="22"/>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Executive Summary</w:t>
      </w:r>
    </w:p>
    <w:p>
      <w:pPr>
        <w:spacing w:after="0" w:line="16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intense emphasis on growth, quality, and efficiency, beginning in the first quarter of 2020, resulted in a strengthened foundation. Building on this solid foundation, during 2023, we held an investor briefing outlining our three-year strategy. We continue to execute on this strategy and remain focused on accelerating growth and enhancing value for our stakeholders. We intend to achieve this by doubling down on key themes outlined in the 2023 investor briefing including focusing on key growth areas within each of our businesses, continuing our portfolio rationalization strategy, divesting certain solutions which have either scarcity value outside of Conduent or are capital intensive relative to their growth opportunity, and taking a balanced approach to allocating capital including internal investments in our solutions, pre-paying debt and repurchasing common shares.</w:t>
      </w:r>
    </w:p>
    <w:p>
      <w:pPr>
        <w:spacing w:after="0" w:line="129"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We believe this strategy has resulted and will continue to result in a more nimble and faster growing Conduent with modest levels of net leverage, enhanced valuation, and a stronger balance sheet.</w:t>
      </w:r>
    </w:p>
    <w:p>
      <w:pPr>
        <w:spacing w:after="0" w:line="99"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2025 is the year in which we intend to complete the remaining commitment of $1 billion of deployable capital through further portfolio rationalization, achieving the financial 2025 exit rate targets we have been anchoring to throughout this 3-year journey, as well as demonstrating revenue growth in the remaining Conduent portfolio of businesses.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2025 we achieved the following:</w:t>
      </w:r>
    </w:p>
    <w:p>
      <w:pPr>
        <w:spacing w:after="0" w:line="171" w:lineRule="exact"/>
        <w:rPr>
          <w:sz w:val="20"/>
          <w:szCs w:val="20"/>
          <w:color w:val="auto"/>
        </w:rPr>
      </w:pPr>
    </w:p>
    <w:p>
      <w:pPr>
        <w:ind w:left="660" w:right="34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Began the second phase of our portfolio rationalization strategy to be executed in 2025, focusing on assets that are either capital intensive or have a negative impact on our earnings profile.</w:t>
      </w:r>
    </w:p>
    <w:p>
      <w:pPr>
        <w:spacing w:after="0" w:line="44" w:lineRule="exact"/>
        <w:rPr>
          <w:rFonts w:ascii="Arial" w:cs="Arial" w:eastAsia="Arial" w:hAnsi="Arial"/>
          <w:sz w:val="18"/>
          <w:szCs w:val="18"/>
          <w:color w:val="auto"/>
        </w:rPr>
      </w:pPr>
    </w:p>
    <w:p>
      <w:pPr>
        <w:ind w:left="660" w:right="20" w:hanging="328"/>
        <w:spacing w:after="0" w:line="255"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Transitioned the tolling system for New York State to an innovative, cloud-based platform, benefiting both the Tolling Authorities and the millions of motorists who use the state's roadways. The new platform, a first of its kind in the country, enables faster transactions, expanded payment options, simplified account management and improved customer experience. The upgrade included a comprehensive redesign of the state’s tolling website and its mobile app for E-ZPass® and Tolls by Mail customers, giving them more control over managing their accounts. In addition, the New York Tolling Authorities now have an integrated customer service phone number for all toll-related needs, plus additional payment and customer service options. These include the ability for customers to message live agents, pay with Apple Pay or Google Pay, and request information or make changes to their accounts without needing to speak with a representative.</w:t>
      </w:r>
    </w:p>
    <w:p>
      <w:pPr>
        <w:spacing w:after="0" w:line="76" w:lineRule="exact"/>
        <w:rPr>
          <w:rFonts w:ascii="Arial" w:cs="Arial" w:eastAsia="Arial" w:hAnsi="Arial"/>
          <w:sz w:val="18"/>
          <w:szCs w:val="18"/>
          <w:color w:val="auto"/>
        </w:rPr>
      </w:pPr>
    </w:p>
    <w:p>
      <w:pPr>
        <w:ind w:left="660" w:right="200" w:hanging="328"/>
        <w:spacing w:after="0" w:line="257" w:lineRule="auto"/>
        <w:tabs>
          <w:tab w:leader="none" w:pos="628"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In our Government segment, we are seeing opportunities at the intersection of two market trends: the increased use of AI and the increased focus on fraud, waste and abuse in government benefits. As communicated previously, one of our AI pilots, in collaboration with Microsoft, leverages traditional rules-based AI combined with GenAI to help prevent account take-over fraud in government benefit payments. We have successfully moved this pilot into production, and, for the past few months, we have been using the solution to prevent fraud in our payments solution. With this solution, we have been able to increase the volume of cases for fraud detection by 150% helping us prevent more fraud.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 Event</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January 13, 2025, the Company experienced an operational disruption and learned that a threat actor gained unauthorized access to a limited portion of the Company’s environment (the "cyber event"). Upon detection, the Company activated its cybersecurity response plan with the help of external cybersecurity experts to contain, assess, and remediate the incident. The Company restored the affected systems and returned to normal operations within days, and in some cases, hours. The disruption did not have a material impact to the Company’s operations.</w:t>
      </w:r>
    </w:p>
    <w:p>
      <w:pPr>
        <w:spacing w:after="0" w:line="1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part of its ongoing investigation, the Company determined that the threat actor exfiltrated a set of files associated with a limited number of the Company’s clients. Due to the complexity of the files, the Company engaged cybersecurity data mining experts to evaluate the exfiltrated data and was recently informed of its nature, scope and validity, confirming that the data sets contained a significant number of individuals’ personal information associated with our clients’ end-users. The Company is continuing to further analyze and document the precise and detailed impact of the data exfiltrated, and clients are being informed as appropriate in order to determine next steps as required by federal and state law. To the Company’s knowledge, the exfiltrated data has not been released on the dark web or otherwise publicly.</w:t>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23" w:name="page24"/>
    <w:bookmarkEnd w:id="23"/>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While the Company did not experience material impacts to its operating environment or costs from the event itself, the Company has incurred and accrued material non-recurring expenses in the first quarter related to the event based on potential notification requirements. The Company maintains a cyber insurance policy and has also notified federal law enforcement authorities of the incident.</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It is possible that future risks and uncertainties resulting from the cyber event—including those related to impacted data, litigation, reputational harm, and regulatory actions—could adversely affect the Company’s financial condition or results of operations. See also Part II, Item 1A (Risk Factors).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Financial Information and Analysis of Results of Operations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5"/>
          </w:tcPr>
          <w:p>
            <w:pPr>
              <w:ind w:left="36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14"/>
                <w:szCs w:val="14"/>
                <w:color w:val="auto"/>
              </w:rPr>
            </w:pPr>
          </w:p>
        </w:tc>
        <w:tc>
          <w:tcPr>
            <w:tcW w:w="2600" w:type="dxa"/>
            <w:vAlign w:val="bottom"/>
            <w:gridSpan w:val="3"/>
            <w:vMerge w:val="restart"/>
          </w:tcPr>
          <w:p>
            <w:pPr>
              <w:jc w:val="right"/>
              <w:ind w:right="888"/>
              <w:spacing w:after="0"/>
              <w:rPr>
                <w:sz w:val="20"/>
                <w:szCs w:val="20"/>
                <w:color w:val="auto"/>
              </w:rPr>
            </w:pPr>
            <w:r>
              <w:rPr>
                <w:rFonts w:ascii="Arial" w:cs="Arial" w:eastAsia="Arial" w:hAnsi="Arial"/>
                <w:sz w:val="14"/>
                <w:szCs w:val="14"/>
                <w:color w:val="auto"/>
              </w:rPr>
              <w:t>2025 vs. 2024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March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13"/>
                <w:szCs w:val="13"/>
                <w:color w:val="auto"/>
              </w:rPr>
            </w:pPr>
          </w:p>
        </w:tc>
        <w:tc>
          <w:tcPr>
            <w:tcW w:w="1000" w:type="dxa"/>
            <w:vAlign w:val="bottom"/>
          </w:tcPr>
          <w:p>
            <w:pPr>
              <w:jc w:val="right"/>
              <w:ind w:right="408"/>
              <w:spacing w:after="0" w:line="155" w:lineRule="exact"/>
              <w:rPr>
                <w:sz w:val="20"/>
                <w:szCs w:val="20"/>
                <w:color w:val="auto"/>
              </w:rPr>
            </w:pPr>
            <w:r>
              <w:rPr>
                <w:rFonts w:ascii="Arial" w:cs="Arial" w:eastAsia="Arial" w:hAnsi="Arial"/>
                <w:sz w:val="14"/>
                <w:szCs w:val="14"/>
                <w:color w:val="auto"/>
              </w:rPr>
              <w:t>2025</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jc w:val="right"/>
              <w:ind w:right="428"/>
              <w:spacing w:after="0" w:line="155" w:lineRule="exact"/>
              <w:rPr>
                <w:sz w:val="20"/>
                <w:szCs w:val="20"/>
                <w:color w:val="auto"/>
              </w:rPr>
            </w:pPr>
            <w:r>
              <w:rPr>
                <w:rFonts w:ascii="Arial" w:cs="Arial" w:eastAsia="Arial" w:hAnsi="Arial"/>
                <w:sz w:val="14"/>
                <w:szCs w:val="14"/>
                <w:color w:val="auto"/>
              </w:rPr>
              <w:t>2024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268"/>
              <w:spacing w:after="0" w:line="155" w:lineRule="exact"/>
              <w:rPr>
                <w:sz w:val="20"/>
                <w:szCs w:val="20"/>
                <w:color w:val="auto"/>
              </w:rPr>
            </w:pPr>
            <w:r>
              <w:rPr>
                <w:rFonts w:ascii="Arial" w:cs="Arial" w:eastAsia="Arial" w:hAnsi="Arial"/>
                <w:sz w:val="14"/>
                <w:szCs w:val="14"/>
                <w:color w:val="auto"/>
              </w:rPr>
              <w:t>$ Change</w:t>
            </w:r>
          </w:p>
        </w:tc>
        <w:tc>
          <w:tcPr>
            <w:tcW w:w="100" w:type="dxa"/>
            <w:vAlign w:val="bottom"/>
          </w:tcPr>
          <w:p>
            <w:pPr>
              <w:spacing w:after="0"/>
              <w:rPr>
                <w:sz w:val="13"/>
                <w:szCs w:val="13"/>
                <w:color w:val="auto"/>
              </w:rPr>
            </w:pPr>
          </w:p>
        </w:tc>
        <w:tc>
          <w:tcPr>
            <w:tcW w:w="1420" w:type="dxa"/>
            <w:vAlign w:val="bottom"/>
          </w:tcPr>
          <w:p>
            <w:pPr>
              <w:jc w:val="right"/>
              <w:ind w:right="308"/>
              <w:spacing w:after="0" w:line="155"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Costs and Expenses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Cost of services (excluding depreciation and amortization)</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618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735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(117)</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 (excluding depreciation and amortization)</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Research and development (excluding depreciation and amortization)</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Restructuring and related costs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(Gain) loss on divestitures and transaction costs, net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Litigation settlements (recoveries), net</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Loss on extinguishment of debt</w:t>
            </w:r>
          </w:p>
        </w:tc>
        <w:tc>
          <w:tcPr>
            <w:tcW w:w="2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 (income) expenses, net</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Operating Costs and Expenses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794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Income (Loss) Before Income Taxes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Income tax expense (benefit)</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Net Income (Loss)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Revenue</w:t>
      </w:r>
    </w:p>
    <w:p>
      <w:pPr>
        <w:spacing w:after="0" w:line="17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Revenue for the three months ended March 31, 2025 decreased compared to the prior year period, approximately 54% of which was due to the impact of the Benefit Wallet Transfer and the sales of the Curbside Management and Public Safety Solutions and Casualty Claims Solutions businesses. Excluding the divestitures impact, lost business and lower Commercial volumes contributed to the decrease and were partially offset by new business ramp, particularly in our Commercial and Transportation segments.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Cost of Services (excluding depreciation and amortization)</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Cost of services for the three months ended March 31, 2025 decreased, compared to the prior year period, primarily due to the impact of the Benefit Wallet Transfer and the sales of the Curbside Management and Public Safety Solutions and Casualty Claims Solutions businesses. Excluding the divestitures impact, lower expenses on lower revenues and cost optimizations contributed to the decline.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Selling, General and Administrative ("SG&amp;A") (excluding depreciation and amortization)</w:t>
      </w:r>
    </w:p>
    <w:p>
      <w:pPr>
        <w:spacing w:after="0" w:line="158" w:lineRule="exact"/>
        <w:rPr>
          <w:sz w:val="20"/>
          <w:szCs w:val="20"/>
          <w:color w:val="auto"/>
        </w:rPr>
      </w:pPr>
    </w:p>
    <w:p>
      <w:pPr>
        <w:jc w:val="both"/>
        <w:ind w:right="300"/>
        <w:spacing w:after="0" w:line="262" w:lineRule="auto"/>
        <w:rPr>
          <w:sz w:val="20"/>
          <w:szCs w:val="20"/>
          <w:color w:val="auto"/>
        </w:rPr>
      </w:pPr>
      <w:r>
        <w:rPr>
          <w:rFonts w:ascii="Arial" w:cs="Arial" w:eastAsia="Arial" w:hAnsi="Arial"/>
          <w:sz w:val="18"/>
          <w:szCs w:val="18"/>
          <w:color w:val="auto"/>
        </w:rPr>
        <w:t>SG&amp;A for the three months ended March 31, 2025 increased, compared to the prior year periods, primarily driven by $25 million of direct response costs related to the cyber event. This was partially offset by a $9 million benefit from the recovery of legal costs from one of our insurance carriers related to the previously disclosed State of Texas matter that settled in February 2019 as well as cost efficiencies in our corporate functions.</w:t>
      </w:r>
    </w:p>
    <w:p>
      <w:pPr>
        <w:spacing w:after="0" w:line="200" w:lineRule="exact"/>
        <w:rPr>
          <w:sz w:val="20"/>
          <w:szCs w:val="20"/>
          <w:color w:val="auto"/>
        </w:rPr>
      </w:pPr>
    </w:p>
    <w:p>
      <w:pPr>
        <w:spacing w:after="0" w:line="323"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2025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4" w:name="page25"/>
    <w:bookmarkEnd w:id="24"/>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Depreciation and Amortization</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Depreciation and amortization for the three months ended March 31, 2025 decreased, compared to the prior year period due to the impact of fully amortized assets still in use and the sales of the Curbside Management and Public Safety Solutions and Casualty Claims Solutions businesses.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Restructuring and Related Costs</w:t>
      </w:r>
    </w:p>
    <w:p>
      <w:pPr>
        <w:spacing w:after="0" w:line="171"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We engage in a series of restructuring programs related to optimizing our employee base, reducing our real estate footprint, exiting certain activities, outsourcing certain internal functions, consolidating our data centers and engaging in other actions designed to reduce our cost structure and improve productivity. The following are the components of our Restructuring and related costs:</w:t>
      </w:r>
    </w:p>
    <w:p>
      <w:pPr>
        <w:ind w:left="9060"/>
        <w:spacing w:after="0" w:line="229" w:lineRule="auto"/>
        <w:rPr>
          <w:sz w:val="20"/>
          <w:szCs w:val="20"/>
          <w:color w:val="auto"/>
        </w:rPr>
      </w:pPr>
      <w:r>
        <w:rPr>
          <w:rFonts w:ascii="Arial" w:cs="Arial" w:eastAsia="Arial" w:hAnsi="Arial"/>
          <w:sz w:val="14"/>
          <w:szCs w:val="14"/>
          <w:color w:val="auto"/>
        </w:rPr>
        <w:t>Three Months Ended</w:t>
      </w:r>
    </w:p>
    <w:p>
      <w:pPr>
        <w:ind w:left="9440"/>
        <w:spacing w:after="0"/>
        <w:rPr>
          <w:sz w:val="20"/>
          <w:szCs w:val="20"/>
          <w:color w:val="auto"/>
        </w:rPr>
      </w:pPr>
      <w:r>
        <w:rPr>
          <w:rFonts w:ascii="Arial" w:cs="Arial" w:eastAsia="Arial" w:hAnsi="Arial"/>
          <w:sz w:val="14"/>
          <w:szCs w:val="14"/>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24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color w:val="auto"/>
              </w:rPr>
              <w:t>2025</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7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Severance and related costs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98"/>
        </w:trPr>
        <w:tc>
          <w:tcPr>
            <w:tcW w:w="20" w:type="dxa"/>
            <w:vAlign w:val="bottom"/>
          </w:tcPr>
          <w:p>
            <w:pPr>
              <w:spacing w:after="0"/>
              <w:rPr>
                <w:sz w:val="17"/>
                <w:szCs w:val="17"/>
                <w:color w:val="auto"/>
              </w:rPr>
            </w:pPr>
          </w:p>
        </w:tc>
        <w:tc>
          <w:tcPr>
            <w:tcW w:w="8240" w:type="dxa"/>
            <w:vAlign w:val="bottom"/>
            <w:gridSpan w:val="2"/>
          </w:tcPr>
          <w:p>
            <w:pPr>
              <w:spacing w:after="0"/>
              <w:rPr>
                <w:sz w:val="20"/>
                <w:szCs w:val="20"/>
                <w:color w:val="auto"/>
              </w:rPr>
            </w:pPr>
            <w:r>
              <w:rPr>
                <w:rFonts w:ascii="Arial" w:cs="Arial" w:eastAsia="Arial" w:hAnsi="Arial"/>
                <w:sz w:val="14"/>
                <w:szCs w:val="14"/>
                <w:color w:val="auto"/>
              </w:rPr>
              <w:t>Data center consolidation costs</w:t>
            </w:r>
          </w:p>
        </w:tc>
        <w:tc>
          <w:tcPr>
            <w:tcW w:w="3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3"/>
        </w:trPr>
        <w:tc>
          <w:tcPr>
            <w:tcW w:w="20" w:type="dxa"/>
            <w:vAlign w:val="bottom"/>
            <w:shd w:val="clear" w:color="auto" w:fill="CCEEFF"/>
          </w:tcPr>
          <w:p>
            <w:pPr>
              <w:spacing w:after="0"/>
              <w:rPr>
                <w:sz w:val="17"/>
                <w:szCs w:val="17"/>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Termination, insourcing and asset impairment costs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200"/>
        </w:trPr>
        <w:tc>
          <w:tcPr>
            <w:tcW w:w="20" w:type="dxa"/>
            <w:vAlign w:val="bottom"/>
          </w:tcPr>
          <w:p>
            <w:pPr>
              <w:spacing w:after="0"/>
              <w:rPr>
                <w:sz w:val="17"/>
                <w:szCs w:val="17"/>
                <w:color w:val="auto"/>
              </w:rPr>
            </w:pPr>
          </w:p>
        </w:tc>
        <w:tc>
          <w:tcPr>
            <w:tcW w:w="8240" w:type="dxa"/>
            <w:vAlign w:val="bottom"/>
            <w:gridSpan w:val="2"/>
          </w:tcPr>
          <w:p>
            <w:pPr>
              <w:spacing w:after="0"/>
              <w:rPr>
                <w:sz w:val="20"/>
                <w:szCs w:val="20"/>
                <w:color w:val="auto"/>
              </w:rPr>
            </w:pPr>
            <w:r>
              <w:rPr>
                <w:rFonts w:ascii="Arial" w:cs="Arial" w:eastAsia="Arial" w:hAnsi="Arial"/>
                <w:sz w:val="14"/>
                <w:szCs w:val="14"/>
                <w:color w:val="auto"/>
              </w:rPr>
              <w:t>Restructuring and related costs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right="60"/>
        <w:spacing w:after="0" w:line="287" w:lineRule="auto"/>
        <w:rPr>
          <w:sz w:val="20"/>
          <w:szCs w:val="20"/>
          <w:color w:val="auto"/>
        </w:rPr>
      </w:pPr>
      <w:r>
        <w:rPr>
          <w:rFonts w:ascii="Arial" w:cs="Arial" w:eastAsia="Arial" w:hAnsi="Arial"/>
          <w:sz w:val="18"/>
          <w:szCs w:val="18"/>
          <w:color w:val="auto"/>
        </w:rPr>
        <w:t>Refer to Note 6 – Restructuring Programs and Related Costs to the Condensed Consolidated Financial Statements for additional information regarding our restructuring programs.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Interest Expense</w:t>
      </w:r>
    </w:p>
    <w:p>
      <w:pPr>
        <w:spacing w:after="0" w:line="171"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color w:val="auto"/>
        </w:rPr>
        <w:t>Interest expense represents interest on long-term debt and the amortization of debt issuance costs. Interest expense for the three months ended March 31, 2025 decreased, compared to the prior year periods primarily due to the 2024 voluntary prepayments of the entire Term Loan B balance outstanding and a portion of the Term Loan A balance with proceeds from divestitures.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(Gain) Loss on Divestitures and Transaction Costs</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completion of the first tranche of the BenefitWallet Transfer in the first quarter of 2024 resulted in a gain of $164 million for the three months ended March 31, 2024. Additionally, professional fees and other costs related to certain consummated and non-consummated transactions considered by the Company are included in this financial statement line item for all periods.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Litigation Settlements (Recoveries), 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Litigation settlements (recoveries), net for the three months ended March 31, 2025 and 2024 were not material.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Income Taxes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effective tax rate for the three months ended March 31, 2025 was 9.0%, compared to 21.9% for the three months ended March 31, 2024. The March 31, 2025 rate was lower than the U.S. statutory rate of 21%, due primarily to geographic mix of income, valuation allowances recorded on net deferred tax assets and discrete tax items. The effective tax rate for the three months ended March 31, 2024 was higher than the U.S. statutory rate of 21% due primarily to incremental tax from geographic mix of income and state taxes partially offset by tax benefit from valuation allowance and audit settlement reserve releases.</w:t>
      </w:r>
    </w:p>
    <w:p>
      <w:pPr>
        <w:spacing w:after="0" w:line="1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Excluding the impact of amortization, restructuring, divestiture, reserves for the Direct response costs - cyber event, valuation allowances and discrete tax items, the normalized effective tax rate for the three months ended March 31, 2025 was 23.9%. The normalized effective tax rate for the three months ended March 31, 2024 was 22.2%, due primarily to excluding the impact of the BenefitWallet Transfer, restructuring costs, amortization of intangible assets, litigation reserve, audit settlement reserve release, valuation allowance and other discrete tax items. The normalized effective tax rate for the three months ended March 31, 2025 was higher than the rate for the three months ended March 31, 2024 due primarily to the geographic mix of income.</w:t>
      </w:r>
    </w:p>
    <w:p>
      <w:pPr>
        <w:spacing w:after="0" w:line="200" w:lineRule="exact"/>
        <w:rPr>
          <w:sz w:val="20"/>
          <w:szCs w:val="20"/>
          <w:color w:val="auto"/>
        </w:rPr>
      </w:pPr>
    </w:p>
    <w:p>
      <w:pPr>
        <w:spacing w:after="0" w:line="329"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Q1 2025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5" w:name="page26"/>
    <w:bookmarkEnd w:id="25"/>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2021, the Organization for Economic Cooperation and Development released model rules for a 15% global minimum tax, known as Pillar Two. This alternative minimum tax is treated as a period cost beginning in 2024 and does not have a material impact on the Company's financial results of operations for the current period. The Company continues to monitor legislative developments, as well as additional guidance from countries that have enacted legislation.</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Operations Review of Segment Revenue and Profit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Our financial performance is based on Segment Profit (Loss) and Segment Adjusted Earnings before Interest, Taxes, Depreciation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Amortization ("Adjusted EBITDA") for the following three segments:</w:t>
      </w:r>
    </w:p>
    <w:p>
      <w:pPr>
        <w:spacing w:after="0" w:line="45"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Commercial;</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Government; and</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Transportation.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Divestitures include our BenefitWallet Portfolio and our Casualty Claims Solutions businesses (both of which were reclassified from our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Commercial segment) and our Curbside Management and Public Safety Solutions businesses (which was reclassified from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Transportation segment).</w:t>
      </w:r>
    </w:p>
    <w:p>
      <w:pPr>
        <w:spacing w:after="0" w:line="15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Unallocated Costs includes IT infrastructure costs that are shared by multiple reportable segments, enterprise application costs and certain corporate overhead expenses not directly attributable or allocated to our reportable segments.</w:t>
      </w: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26" w:name="page27"/>
    <w:bookmarkEnd w:id="26"/>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Results of our financial performance were: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5"/>
          </w:tcPr>
          <w:p>
            <w:pPr>
              <w:ind w:left="48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March 31,</w:t>
            </w: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18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Commercial</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Government</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Transportation</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Divestitures</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Unallocated Costs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29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(in millions)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Reportable Segments</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0" w:type="dxa"/>
            <w:vAlign w:val="bottom"/>
            <w:tcBorders>
              <w:top w:val="single" w:sz="8" w:color="CCEEFF"/>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2025</w:t>
            </w:r>
          </w:p>
        </w:tc>
        <w:tc>
          <w:tcPr>
            <w:tcW w:w="100" w:type="dxa"/>
            <w:vAlign w:val="bottom"/>
            <w:tcBorders>
              <w:top w:val="single" w:sz="8" w:color="CCEEFF"/>
              <w:bottom w:val="single" w:sz="8" w:color="auto"/>
            </w:tcBorders>
          </w:tcPr>
          <w:p>
            <w:pPr>
              <w:spacing w:after="0"/>
              <w:rPr>
                <w:sz w:val="15"/>
                <w:szCs w:val="15"/>
                <w:color w:val="auto"/>
              </w:rPr>
            </w:pPr>
          </w:p>
        </w:tc>
        <w:tc>
          <w:tcPr>
            <w:tcW w:w="440" w:type="dxa"/>
            <w:vAlign w:val="bottom"/>
            <w:tcBorders>
              <w:top w:val="single" w:sz="8" w:color="CCEEFF"/>
              <w:bottom w:val="single" w:sz="8" w:color="auto"/>
            </w:tcBorders>
          </w:tcPr>
          <w:p>
            <w:pPr>
              <w:spacing w:after="0"/>
              <w:rPr>
                <w:sz w:val="15"/>
                <w:szCs w:val="15"/>
                <w:color w:val="auto"/>
              </w:rPr>
            </w:pPr>
          </w:p>
        </w:tc>
        <w:tc>
          <w:tcPr>
            <w:tcW w:w="1800" w:type="dxa"/>
            <w:vAlign w:val="bottom"/>
            <w:tcBorders>
              <w:top w:val="single" w:sz="8" w:color="CCEEFF"/>
              <w:bottom w:val="single" w:sz="8" w:color="auto"/>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auto"/>
              <w:bottom w:val="single" w:sz="8" w:color="CCEEFF"/>
            </w:tcBorders>
          </w:tcPr>
          <w:p>
            <w:pPr>
              <w:spacing w:after="0"/>
              <w:rPr>
                <w:sz w:val="15"/>
                <w:szCs w:val="15"/>
                <w:color w:val="auto"/>
              </w:rPr>
            </w:pPr>
          </w:p>
        </w:tc>
        <w:tc>
          <w:tcPr>
            <w:tcW w:w="112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CCEEFF"/>
            </w:tcBorders>
          </w:tcPr>
          <w:p>
            <w:pPr>
              <w:spacing w:after="0"/>
              <w:rPr>
                <w:sz w:val="15"/>
                <w:szCs w:val="15"/>
                <w:color w:val="auto"/>
              </w:rPr>
            </w:pPr>
          </w:p>
        </w:tc>
        <w:tc>
          <w:tcPr>
            <w:tcW w:w="122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CCEEFF"/>
            </w:tcBorders>
          </w:tcPr>
          <w:p>
            <w:pPr>
              <w:spacing w:after="0"/>
              <w:rPr>
                <w:sz w:val="15"/>
                <w:szCs w:val="15"/>
                <w:color w:val="auto"/>
              </w:rPr>
            </w:pPr>
          </w:p>
        </w:tc>
        <w:tc>
          <w:tcPr>
            <w:tcW w:w="1200" w:type="dxa"/>
            <w:vAlign w:val="bottom"/>
            <w:tcBorders>
              <w:top w:val="single" w:sz="8" w:color="auto"/>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220" w:type="dxa"/>
            <w:vAlign w:val="bottom"/>
            <w:tcBorders>
              <w:top w:val="single" w:sz="8" w:color="CCEEFF"/>
              <w:bottom w:val="single" w:sz="8" w:color="CCEEFF"/>
            </w:tcBorders>
          </w:tcPr>
          <w:p>
            <w:pPr>
              <w:spacing w:after="0"/>
              <w:rPr>
                <w:sz w:val="15"/>
                <w:szCs w:val="15"/>
                <w:color w:val="auto"/>
              </w:rPr>
            </w:pPr>
          </w:p>
        </w:tc>
        <w:tc>
          <w:tcPr>
            <w:tcW w:w="1020" w:type="dxa"/>
            <w:vAlign w:val="bottom"/>
            <w:tcBorders>
              <w:top w:val="single" w:sz="8" w:color="CCEEFF"/>
              <w:bottom w:val="single" w:sz="8" w:color="CCEEFF"/>
            </w:tcBorders>
          </w:tcPr>
          <w:p>
            <w:pPr>
              <w:spacing w:after="0"/>
              <w:rPr>
                <w:sz w:val="15"/>
                <w:szCs w:val="15"/>
                <w:color w:val="auto"/>
              </w:rPr>
            </w:pP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220" w:type="dxa"/>
            <w:vAlign w:val="bottom"/>
            <w:tcBorders>
              <w:top w:val="single" w:sz="8" w:color="CCEEFF"/>
              <w:bottom w:val="single" w:sz="8" w:color="CCEEFF"/>
            </w:tcBorders>
          </w:tcPr>
          <w:p>
            <w:pPr>
              <w:spacing w:after="0"/>
              <w:rPr>
                <w:sz w:val="15"/>
                <w:szCs w:val="15"/>
                <w:color w:val="auto"/>
              </w:rPr>
            </w:pPr>
          </w:p>
        </w:tc>
        <w:tc>
          <w:tcPr>
            <w:tcW w:w="94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280" w:type="dxa"/>
            <w:vAlign w:val="bottom"/>
            <w:tcBorders>
              <w:top w:val="single" w:sz="8" w:color="CCEEFF"/>
              <w:bottom w:val="single" w:sz="8" w:color="CCEEFF"/>
            </w:tcBorders>
          </w:tcPr>
          <w:p>
            <w:pPr>
              <w:spacing w:after="0"/>
              <w:rPr>
                <w:sz w:val="15"/>
                <w:szCs w:val="15"/>
                <w:color w:val="auto"/>
              </w:rPr>
            </w:pPr>
          </w:p>
        </w:tc>
        <w:tc>
          <w:tcPr>
            <w:tcW w:w="9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29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Segment revenue</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402</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216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751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80" w:type="dxa"/>
            <w:vAlign w:val="bottom"/>
            <w:gridSpan w:val="4"/>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16</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48"/>
              <w:spacing w:after="0"/>
              <w:rPr>
                <w:sz w:val="20"/>
                <w:szCs w:val="20"/>
                <w:color w:val="auto"/>
              </w:rPr>
            </w:pPr>
            <w:r>
              <w:rPr>
                <w:rFonts w:ascii="Arial" w:cs="Arial" w:eastAsia="Arial" w:hAnsi="Arial"/>
                <w:sz w:val="14"/>
                <w:szCs w:val="14"/>
                <w:color w:val="auto"/>
              </w:rPr>
              <w:t>28</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7"/>
                <w:szCs w:val="17"/>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9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24</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80" w:type="dxa"/>
            <w:vAlign w:val="bottom"/>
            <w:gridSpan w:val="4"/>
          </w:tcPr>
          <w:p>
            <w:pPr>
              <w:spacing w:after="0"/>
              <w:rPr>
                <w:sz w:val="20"/>
                <w:szCs w:val="20"/>
                <w:color w:val="auto"/>
              </w:rPr>
            </w:pPr>
            <w:r>
              <w:rPr>
                <w:rFonts w:ascii="Arial" w:cs="Arial" w:eastAsia="Arial" w:hAnsi="Arial"/>
                <w:sz w:val="14"/>
                <w:szCs w:val="14"/>
                <w:color w:val="auto"/>
              </w:rPr>
              <w:t>Direct response costs - cyber event</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9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40</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38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9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 of Total Revenue</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53.5 %</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28.8 %</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17.7 %</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80" w:type="dxa"/>
            <w:vAlign w:val="bottom"/>
            <w:gridSpan w:val="4"/>
          </w:tcPr>
          <w:p>
            <w:pPr>
              <w:spacing w:after="0"/>
              <w:rPr>
                <w:sz w:val="20"/>
                <w:szCs w:val="20"/>
                <w:color w:val="auto"/>
              </w:rPr>
            </w:pPr>
            <w:r>
              <w:rPr>
                <w:rFonts w:ascii="Arial" w:cs="Arial" w:eastAsia="Arial" w:hAnsi="Arial"/>
                <w:sz w:val="14"/>
                <w:szCs w:val="14"/>
                <w:color w:val="auto"/>
              </w:rPr>
              <w:t>Adjusted EBITDA Margin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10.0 %</w:t>
            </w:r>
          </w:p>
        </w:tc>
        <w:tc>
          <w:tcPr>
            <w:tcW w:w="24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17.6 %</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4.5 %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ind w:left="700"/>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ind w:left="700"/>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4.9 %</w:t>
            </w:r>
          </w:p>
        </w:tc>
        <w:tc>
          <w:tcPr>
            <w:tcW w:w="0" w:type="dxa"/>
            <w:vAlign w:val="bottom"/>
          </w:tcPr>
          <w:p>
            <w:pPr>
              <w:spacing w:after="0"/>
              <w:rPr>
                <w:sz w:val="1"/>
                <w:szCs w:val="1"/>
                <w:color w:val="auto"/>
              </w:rPr>
            </w:pPr>
          </w:p>
        </w:tc>
      </w:tr>
      <w:tr>
        <w:trPr>
          <w:trHeight w:val="274"/>
        </w:trPr>
        <w:tc>
          <w:tcPr>
            <w:tcW w:w="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29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Segment Revenue</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419</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258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100</w:t>
            </w:r>
          </w:p>
        </w:tc>
        <w:tc>
          <w:tcPr>
            <w:tcW w:w="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921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80" w:type="dxa"/>
            <w:vAlign w:val="bottom"/>
            <w:gridSpan w:val="4"/>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19</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48"/>
              <w:spacing w:after="0"/>
              <w:rPr>
                <w:sz w:val="20"/>
                <w:szCs w:val="20"/>
                <w:color w:val="auto"/>
              </w:rPr>
            </w:pPr>
            <w:r>
              <w:rPr>
                <w:rFonts w:ascii="Arial" w:cs="Arial" w:eastAsia="Arial" w:hAnsi="Arial"/>
                <w:sz w:val="14"/>
                <w:szCs w:val="14"/>
                <w:color w:val="auto"/>
              </w:rPr>
              <w:t>42</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(6)</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24</w:t>
            </w:r>
          </w:p>
        </w:tc>
        <w:tc>
          <w:tcPr>
            <w:tcW w:w="20" w:type="dxa"/>
            <w:vAlign w:val="bottom"/>
          </w:tcPr>
          <w:p>
            <w:pPr>
              <w:spacing w:after="0"/>
              <w:rPr>
                <w:sz w:val="17"/>
                <w:szCs w:val="17"/>
                <w:color w:val="auto"/>
              </w:rPr>
            </w:pPr>
          </w:p>
        </w:tc>
        <w:tc>
          <w:tcPr>
            <w:tcW w:w="3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7"/>
                <w:szCs w:val="17"/>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9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26</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w:t>
            </w:r>
          </w:p>
        </w:tc>
        <w:tc>
          <w:tcPr>
            <w:tcW w:w="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80" w:type="dxa"/>
            <w:vAlign w:val="bottom"/>
            <w:gridSpan w:val="4"/>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45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48"/>
              <w:spacing w:after="0"/>
              <w:rPr>
                <w:sz w:val="20"/>
                <w:szCs w:val="20"/>
                <w:color w:val="auto"/>
              </w:rPr>
            </w:pPr>
            <w:r>
              <w:rPr>
                <w:rFonts w:ascii="Arial" w:cs="Arial" w:eastAsia="Arial" w:hAnsi="Arial"/>
                <w:sz w:val="14"/>
                <w:szCs w:val="14"/>
                <w:color w:val="auto"/>
              </w:rPr>
              <w:t>55</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33</w:t>
            </w:r>
          </w:p>
        </w:tc>
        <w:tc>
          <w:tcPr>
            <w:tcW w:w="20" w:type="dxa"/>
            <w:vAlign w:val="bottom"/>
          </w:tcPr>
          <w:p>
            <w:pPr>
              <w:spacing w:after="0"/>
              <w:rPr>
                <w:sz w:val="17"/>
                <w:szCs w:val="17"/>
                <w:color w:val="auto"/>
              </w:rPr>
            </w:pPr>
          </w:p>
        </w:tc>
        <w:tc>
          <w:tcPr>
            <w:tcW w:w="3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7"/>
                <w:szCs w:val="17"/>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80" w:type="dxa"/>
            <w:vAlign w:val="bottom"/>
            <w:gridSpan w:val="4"/>
          </w:tcPr>
          <w:p>
            <w:pPr>
              <w:spacing w:after="0"/>
              <w:rPr>
                <w:sz w:val="20"/>
                <w:szCs w:val="20"/>
                <w:color w:val="auto"/>
              </w:rPr>
            </w:pPr>
            <w:r>
              <w:rPr>
                <w:rFonts w:ascii="Arial" w:cs="Arial" w:eastAsia="Arial" w:hAnsi="Arial"/>
                <w:sz w:val="14"/>
                <w:szCs w:val="14"/>
                <w:color w:val="auto"/>
              </w:rPr>
              <w:t>% of Total Revenue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45.5 %</w:t>
            </w:r>
          </w:p>
        </w:tc>
        <w:tc>
          <w:tcPr>
            <w:tcW w:w="24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28.0 %</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15.6 %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10.9 %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ind w:left="700"/>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9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Adjusted EBITDA Margin</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10.7 %</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21.3 %</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0.7 %</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7.5 %</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240" w:type="dxa"/>
            <w:vAlign w:val="bottom"/>
            <w:gridSpan w:val="2"/>
            <w:vMerge w:val="restart"/>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340" w:type="dxa"/>
            <w:vAlign w:val="bottom"/>
            <w:gridSpan w:val="5"/>
          </w:tcPr>
          <w:p>
            <w:pPr>
              <w:jc w:val="right"/>
              <w:ind w:right="628"/>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Borders>
              <w:bottom w:val="single" w:sz="8" w:color="auto"/>
            </w:tcBorders>
            <w:gridSpan w:val="2"/>
            <w:vMerge w:val="continue"/>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4"/>
          </w:tcPr>
          <w:p>
            <w:pPr>
              <w:jc w:val="right"/>
              <w:ind w:right="100"/>
              <w:spacing w:after="0" w:line="125" w:lineRule="exact"/>
              <w:rPr>
                <w:sz w:val="20"/>
                <w:szCs w:val="20"/>
                <w:color w:val="auto"/>
              </w:rPr>
            </w:pPr>
            <w:r>
              <w:rPr>
                <w:rFonts w:ascii="Arial" w:cs="Arial" w:eastAsia="Arial" w:hAnsi="Arial"/>
                <w:sz w:val="14"/>
                <w:szCs w:val="14"/>
                <w:color w:val="auto"/>
              </w:rPr>
              <w:t>March 31,</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80" w:type="dxa"/>
            <w:vAlign w:val="bottom"/>
            <w:gridSpan w:val="11"/>
            <w:vMerge w:val="restart"/>
          </w:tcPr>
          <w:p>
            <w:pPr>
              <w:spacing w:after="0"/>
              <w:rPr>
                <w:sz w:val="20"/>
                <w:szCs w:val="20"/>
                <w:color w:val="auto"/>
              </w:rPr>
            </w:pPr>
            <w:r>
              <w:rPr>
                <w:rFonts w:ascii="Arial" w:cs="Arial" w:eastAsia="Arial" w:hAnsi="Arial"/>
                <w:sz w:val="14"/>
                <w:szCs w:val="14"/>
                <w:b w:val="1"/>
                <w:bCs w:val="1"/>
                <w:color w:val="auto"/>
              </w:rPr>
              <w:t>Adjusted EBITDA and Segment Profit (Loss) Reconciliation to Income (Loss) Before Income Taxes</w:t>
            </w: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7180" w:type="dxa"/>
            <w:vAlign w:val="bottom"/>
            <w:tcBorders>
              <w:bottom w:val="single" w:sz="8" w:color="CCEEFF"/>
            </w:tcBorders>
            <w:gridSpan w:val="11"/>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298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Adjusted EBITDA</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80" w:type="dxa"/>
            <w:vAlign w:val="bottom"/>
            <w:gridSpan w:val="4"/>
          </w:tcPr>
          <w:p>
            <w:pPr>
              <w:spacing w:after="0"/>
              <w:rPr>
                <w:sz w:val="20"/>
                <w:szCs w:val="20"/>
                <w:color w:val="auto"/>
              </w:rPr>
            </w:pPr>
            <w:r>
              <w:rPr>
                <w:rFonts w:ascii="Arial" w:cs="Arial" w:eastAsia="Arial" w:hAnsi="Arial"/>
                <w:sz w:val="14"/>
                <w:szCs w:val="14"/>
                <w:color w:val="auto"/>
              </w:rPr>
              <w:t>Reconciling items: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98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Segment depreciation and amortization</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2980" w:type="dxa"/>
            <w:vAlign w:val="bottom"/>
            <w:tcBorders>
              <w:bottom w:val="single" w:sz="8" w:color="CCEEFF"/>
            </w:tcBorders>
            <w:gridSpan w:val="4"/>
          </w:tcPr>
          <w:p>
            <w:pPr>
              <w:ind w:left="220"/>
              <w:spacing w:after="0"/>
              <w:rPr>
                <w:sz w:val="20"/>
                <w:szCs w:val="20"/>
                <w:color w:val="auto"/>
              </w:rPr>
            </w:pPr>
            <w:r>
              <w:rPr>
                <w:rFonts w:ascii="Arial" w:cs="Arial" w:eastAsia="Arial" w:hAnsi="Arial"/>
                <w:sz w:val="14"/>
                <w:szCs w:val="14"/>
                <w:color w:val="auto"/>
              </w:rPr>
              <w:t>Direct response costs - cyber event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298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Segment Profit (Loss)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80" w:type="dxa"/>
            <w:vAlign w:val="bottom"/>
            <w:gridSpan w:val="4"/>
          </w:tcPr>
          <w:p>
            <w:pPr>
              <w:spacing w:after="0"/>
              <w:rPr>
                <w:sz w:val="20"/>
                <w:szCs w:val="20"/>
                <w:color w:val="auto"/>
              </w:rPr>
            </w:pPr>
            <w:r>
              <w:rPr>
                <w:rFonts w:ascii="Arial" w:cs="Arial" w:eastAsia="Arial" w:hAnsi="Arial"/>
                <w:sz w:val="14"/>
                <w:szCs w:val="14"/>
                <w:color w:val="auto"/>
              </w:rPr>
              <w:t>Reconciling items: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98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Amortization of acquired intangible assets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80" w:type="dxa"/>
            <w:vAlign w:val="bottom"/>
            <w:gridSpan w:val="4"/>
          </w:tcPr>
          <w:p>
            <w:pPr>
              <w:ind w:left="200"/>
              <w:spacing w:after="0"/>
              <w:rPr>
                <w:sz w:val="20"/>
                <w:szCs w:val="20"/>
                <w:color w:val="auto"/>
              </w:rPr>
            </w:pPr>
            <w:r>
              <w:rPr>
                <w:rFonts w:ascii="Arial" w:cs="Arial" w:eastAsia="Arial" w:hAnsi="Arial"/>
                <w:sz w:val="14"/>
                <w:szCs w:val="14"/>
                <w:color w:val="auto"/>
              </w:rPr>
              <w:t>Restructuring and related costs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98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Interest expense</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80" w:type="dxa"/>
            <w:vAlign w:val="bottom"/>
            <w:gridSpan w:val="4"/>
          </w:tcPr>
          <w:p>
            <w:pPr>
              <w:ind w:left="200"/>
              <w:spacing w:after="0"/>
              <w:rPr>
                <w:sz w:val="20"/>
                <w:szCs w:val="20"/>
                <w:color w:val="auto"/>
              </w:rPr>
            </w:pPr>
            <w:r>
              <w:rPr>
                <w:rFonts w:ascii="Arial" w:cs="Arial" w:eastAsia="Arial" w:hAnsi="Arial"/>
                <w:sz w:val="14"/>
                <w:szCs w:val="14"/>
                <w:color w:val="auto"/>
              </w:rPr>
              <w:t>Loss on extinguishment of debt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4380" w:type="dxa"/>
            <w:vAlign w:val="bottom"/>
            <w:gridSpan w:val="7"/>
            <w:shd w:val="clear" w:color="auto" w:fill="CCEEFF"/>
          </w:tcPr>
          <w:p>
            <w:pPr>
              <w:ind w:left="200"/>
              <w:spacing w:after="0"/>
              <w:rPr>
                <w:sz w:val="20"/>
                <w:szCs w:val="20"/>
                <w:color w:val="auto"/>
              </w:rPr>
            </w:pPr>
            <w:r>
              <w:rPr>
                <w:rFonts w:ascii="Arial" w:cs="Arial" w:eastAsia="Arial" w:hAnsi="Arial"/>
                <w:sz w:val="14"/>
                <w:szCs w:val="14"/>
                <w:color w:val="auto"/>
              </w:rPr>
              <w:t>(Gain) loss on divestitures and transaction costs, net</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80" w:type="dxa"/>
            <w:vAlign w:val="bottom"/>
            <w:gridSpan w:val="4"/>
          </w:tcPr>
          <w:p>
            <w:pPr>
              <w:ind w:left="200"/>
              <w:spacing w:after="0"/>
              <w:rPr>
                <w:sz w:val="20"/>
                <w:szCs w:val="20"/>
                <w:color w:val="auto"/>
              </w:rPr>
            </w:pPr>
            <w:r>
              <w:rPr>
                <w:rFonts w:ascii="Arial" w:cs="Arial" w:eastAsia="Arial" w:hAnsi="Arial"/>
                <w:sz w:val="14"/>
                <w:szCs w:val="14"/>
                <w:color w:val="auto"/>
              </w:rPr>
              <w:t>Litigation settlements (recoveries), net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98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Other (income) expenses, net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80" w:type="dxa"/>
            <w:vAlign w:val="bottom"/>
            <w:gridSpan w:val="4"/>
          </w:tcPr>
          <w:p>
            <w:pPr>
              <w:spacing w:after="0"/>
              <w:rPr>
                <w:sz w:val="20"/>
                <w:szCs w:val="20"/>
                <w:color w:val="auto"/>
              </w:rPr>
            </w:pPr>
            <w:r>
              <w:rPr>
                <w:rFonts w:ascii="Arial" w:cs="Arial" w:eastAsia="Arial" w:hAnsi="Arial"/>
                <w:sz w:val="14"/>
                <w:szCs w:val="14"/>
                <w:b w:val="1"/>
                <w:bCs w:val="1"/>
                <w:color w:val="auto"/>
              </w:rPr>
              <w:t>Income (Loss) Before Income Taxes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6"/>
                <w:szCs w:val="16"/>
                <w:color w:val="auto"/>
              </w:rPr>
            </w:pPr>
          </w:p>
        </w:tc>
        <w:tc>
          <w:tcPr>
            <w:tcW w:w="3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Commercial Segment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69"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Commercial revenue for the three months ended March 31, 2025 declined compared to the prior year period, driven by lower volumes, partially offset by new business ramp outpacing lost business.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16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Commercial segment profit and adjusted EBITDA for the three months ended March 31, 2025 decreased compared to the prior year period primarily due to lower volumes and a higher proportion of fixed technology overhead, partially offset by cost efficiencies. Commercial segment profit also benefited from the impact of lower depreciation due to the prior year write-off of internal use software and fully amortized assets.</w:t>
      </w:r>
    </w:p>
    <w:p>
      <w:pPr>
        <w:spacing w:after="0" w:line="200" w:lineRule="exact"/>
        <w:rPr>
          <w:sz w:val="20"/>
          <w:szCs w:val="20"/>
          <w:color w:val="auto"/>
        </w:rPr>
      </w:pPr>
    </w:p>
    <w:p>
      <w:pPr>
        <w:spacing w:after="0" w:line="323"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2025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7" w:name="page28"/>
    <w:bookmarkEnd w:id="27"/>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Government Segment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6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Government revenue for the three months ended March 31, 2025 decreased, compared to the prior year periods, primarily driven by lost business in our Government Healthcare business and some discrete negative impacts from the establishment of reserves for service level disputes.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169"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Government segment profit and adjusted EBITDA for the three months ended March 31, 2025 decreased compared to the prior year period primarily due to the revenue drivers mentioned above partially offset by cost efficiencies and lower expenses driven by our fraud prevention activities in our Government Services business resulting from the investments we have been making in AI.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Transportation Segment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69"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color w:val="auto"/>
        </w:rPr>
        <w:t>Transportation revenue for the three months ended March 31, 2025 declined compared to the prior year period, primarily due to the non-retained portion of a Tolling contract offset by incremental revenue in the retained portion of the same contract related to the go-live of our congestion charging back office solution, as well as reduced activities from our smaller projects.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169" w:lineRule="exact"/>
        <w:rPr>
          <w:sz w:val="20"/>
          <w:szCs w:val="20"/>
          <w:color w:val="auto"/>
        </w:rPr>
      </w:pPr>
    </w:p>
    <w:p>
      <w:pPr>
        <w:jc w:val="both"/>
        <w:ind w:right="300"/>
        <w:spacing w:after="0" w:line="287" w:lineRule="auto"/>
        <w:rPr>
          <w:sz w:val="20"/>
          <w:szCs w:val="20"/>
          <w:color w:val="auto"/>
        </w:rPr>
      </w:pPr>
      <w:r>
        <w:rPr>
          <w:rFonts w:ascii="Arial" w:cs="Arial" w:eastAsia="Arial" w:hAnsi="Arial"/>
          <w:sz w:val="18"/>
          <w:szCs w:val="18"/>
          <w:color w:val="auto"/>
        </w:rPr>
        <w:t>Transportation segment profit and adjusted EBITDA for the three months ended March 31, 2025 increased due to the absence of costs to transition the non-retained portion of a Tolling contract, partially offset by the revenue drivers mentioned above.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Divestitures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Segment Profit and Adjusted EBITDA</w:t>
      </w:r>
    </w:p>
    <w:p>
      <w:pPr>
        <w:spacing w:after="0" w:line="16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decrease in revenue, segment profit and Adjusted EBITDA for the three months ended March 31, 2025 as compared to the prior year period was due to the transfer of the BenefitWallet portfolio, and the sale of the Curbside Management and Public Safety Solutions businesses and Casualty Claims Solutions businesses in 2024.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Unallocated Costs</w:t>
      </w:r>
    </w:p>
    <w:p>
      <w:pPr>
        <w:spacing w:after="0" w:line="171"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Unallocated Costs for the three months ended March 31, 2025 increased compared to the prior year periods primarily due to the Direct response costs - cyber event, partially offset by a $9 million recovery of legal costs from one of our insurance carriers related to the previously disclosed State of Texas matter that settled in February 2019 as well as cost efficiencies in our corporate functions.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Metrics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Metrics</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use metrics to evaluate our business, determine the allocation of our resources, make decisions regarding corporate strategies and evaluate forward-looking projections and trends affecting our business. We disclose these metrics to provide transparency in our performance trends. We present certain key metrics, including Signings and Net ARR Activity below. The metrics for all periods presented below have been recast to remove the activity related to the BenefitWallet Portfolio and the Curbside Management and Public Safety Solutions businesses.</w:t>
      </w: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28" w:name="page29"/>
    <w:bookmarkEnd w:id="28"/>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269BC"/>
        </w:rPr>
        <w:t>Signings</w:t>
      </w:r>
    </w:p>
    <w:p>
      <w:pPr>
        <w:spacing w:after="0" w:line="16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Signings are defined as estimated future revenues from contracts signed during the period, including renewals of existing contracts. Total Contract Value ("TCV") is the estimated total contractual revenue related to signed contracts. TCV signings is defined as estimated future revenues from contracts signed during the period, including renewals of existing contracts. Due to the inconsistency of when existing contracts end, quarterly and yearly comparisons are not a good measure of renewal performance. New business Annual Contract Value ("ACV") is calculated as TCV divided by the contract term, in months, multiplied by 12 for an annual measure.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Signing information for the three months ended March 31, 2025 and 2024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780" w:type="dxa"/>
            <w:vAlign w:val="bottom"/>
            <w:gridSpan w:val="4"/>
          </w:tcPr>
          <w:p>
            <w:pPr>
              <w:jc w:val="right"/>
              <w:ind w:right="448"/>
              <w:spacing w:after="0"/>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80" w:type="dxa"/>
            <w:vAlign w:val="bottom"/>
            <w:gridSpan w:val="3"/>
            <w:vMerge w:val="restart"/>
          </w:tcPr>
          <w:p>
            <w:pPr>
              <w:ind w:left="660"/>
              <w:spacing w:after="0"/>
              <w:rPr>
                <w:sz w:val="20"/>
                <w:szCs w:val="20"/>
                <w:color w:val="auto"/>
              </w:rPr>
            </w:pPr>
            <w:r>
              <w:rPr>
                <w:rFonts w:ascii="Arial" w:cs="Arial" w:eastAsia="Arial" w:hAnsi="Arial"/>
                <w:sz w:val="14"/>
                <w:szCs w:val="14"/>
                <w:color w:val="auto"/>
              </w:rPr>
              <w:t>2025 vs. 2024</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788"/>
              <w:spacing w:after="0"/>
              <w:rPr>
                <w:sz w:val="20"/>
                <w:szCs w:val="20"/>
                <w:color w:val="auto"/>
              </w:rPr>
            </w:pPr>
            <w:r>
              <w:rPr>
                <w:rFonts w:ascii="Arial" w:cs="Arial" w:eastAsia="Arial" w:hAnsi="Arial"/>
                <w:sz w:val="14"/>
                <w:szCs w:val="14"/>
                <w:color w:val="auto"/>
              </w:rPr>
              <w:t>March 31,</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vMerge w:val="continue"/>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40" w:type="dxa"/>
            <w:vAlign w:val="bottom"/>
            <w:gridSpan w:val="2"/>
          </w:tcPr>
          <w:p>
            <w:pPr>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 in millions)</w:t>
            </w:r>
          </w:p>
        </w:tc>
        <w:tc>
          <w:tcPr>
            <w:tcW w:w="1080" w:type="dxa"/>
            <w:vAlign w:val="bottom"/>
          </w:tcPr>
          <w:p>
            <w:pPr>
              <w:jc w:val="right"/>
              <w:ind w:right="68"/>
              <w:spacing w:after="0" w:line="155" w:lineRule="exact"/>
              <w:rPr>
                <w:sz w:val="20"/>
                <w:szCs w:val="20"/>
                <w:color w:val="auto"/>
              </w:rPr>
            </w:pPr>
            <w:r>
              <w:rPr>
                <w:rFonts w:ascii="Arial" w:cs="Arial" w:eastAsia="Arial" w:hAnsi="Arial"/>
                <w:sz w:val="14"/>
                <w:szCs w:val="14"/>
                <w:color w:val="auto"/>
              </w:rPr>
              <w:t>2025</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48"/>
              <w:spacing w:after="0" w:line="156" w:lineRule="exact"/>
              <w:rPr>
                <w:sz w:val="20"/>
                <w:szCs w:val="20"/>
                <w:color w:val="auto"/>
              </w:rPr>
            </w:pPr>
            <w:r>
              <w:rPr>
                <w:rFonts w:ascii="Arial" w:cs="Arial" w:eastAsia="Arial" w:hAnsi="Arial"/>
                <w:sz w:val="14"/>
                <w:szCs w:val="14"/>
                <w:color w:val="auto"/>
              </w:rPr>
              <w:t>2024</w:t>
            </w:r>
            <w:r>
              <w:rPr>
                <w:rFonts w:ascii="Arial" w:cs="Arial" w:eastAsia="Arial" w:hAnsi="Arial"/>
                <w:sz w:val="18"/>
                <w:szCs w:val="18"/>
                <w:color w:val="auto"/>
                <w:vertAlign w:val="superscript"/>
              </w:rPr>
              <w:t>(3)</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580" w:type="dxa"/>
            <w:vAlign w:val="bottom"/>
            <w:gridSpan w:val="3"/>
          </w:tcPr>
          <w:p>
            <w:pPr>
              <w:ind w:left="20"/>
              <w:spacing w:after="0" w:line="155" w:lineRule="exact"/>
              <w:rPr>
                <w:sz w:val="20"/>
                <w:szCs w:val="20"/>
                <w:color w:val="auto"/>
              </w:rPr>
            </w:pPr>
            <w:r>
              <w:rPr>
                <w:rFonts w:ascii="Arial" w:cs="Arial" w:eastAsia="Arial" w:hAnsi="Arial"/>
                <w:sz w:val="14"/>
                <w:szCs w:val="14"/>
                <w:color w:val="auto"/>
              </w:rPr>
              <w:t>Change</w:t>
            </w:r>
          </w:p>
        </w:tc>
        <w:tc>
          <w:tcPr>
            <w:tcW w:w="1200" w:type="dxa"/>
            <w:vAlign w:val="bottom"/>
          </w:tcPr>
          <w:p>
            <w:pPr>
              <w:jc w:val="right"/>
              <w:ind w:right="428"/>
              <w:spacing w:after="0" w:line="155"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business ACV</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business TCV</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96 %</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45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Renewals TCV</w:t>
            </w:r>
          </w:p>
        </w:tc>
        <w:tc>
          <w:tcPr>
            <w:tcW w:w="10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395</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Signings</w:t>
            </w:r>
          </w:p>
        </w:tc>
        <w:tc>
          <w:tcPr>
            <w:tcW w:w="1080" w:type="dxa"/>
            <w:vAlign w:val="bottom"/>
            <w:tcBorders>
              <w:bottom w:val="single" w:sz="8" w:color="auto"/>
            </w:tcBorders>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538</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Annual recurring revenue signings</w:t>
            </w:r>
            <w:r>
              <w:rPr>
                <w:rFonts w:ascii="Arial" w:cs="Arial" w:eastAsia="Arial" w:hAnsi="Arial"/>
                <w:sz w:val="18"/>
                <w:szCs w:val="18"/>
                <w:color w:val="auto"/>
                <w:vertAlign w:val="superscript"/>
              </w:rPr>
              <w:t>(1)</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71 %</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Arial" w:cs="Arial" w:eastAsia="Arial" w:hAnsi="Arial"/>
                <w:sz w:val="14"/>
                <w:szCs w:val="14"/>
                <w:color w:val="auto"/>
              </w:rPr>
              <w:t>Non-recurring revenue signings</w:t>
            </w:r>
            <w:r>
              <w:rPr>
                <w:rFonts w:ascii="Arial" w:cs="Arial" w:eastAsia="Arial" w:hAnsi="Arial"/>
                <w:sz w:val="18"/>
                <w:szCs w:val="18"/>
                <w:color w:val="auto"/>
                <w:vertAlign w:val="superscript"/>
              </w:rPr>
              <w:t>(2)</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1"/>
                <w:szCs w:val="21"/>
                <w:color w:val="auto"/>
              </w:rPr>
            </w:pP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1"/>
                <w:szCs w:val="21"/>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w:t>
      </w:r>
    </w:p>
    <w:p>
      <w:pPr>
        <w:spacing w:after="0" w:line="71"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Recurring revenue signings are for new business contracts longer than one year.</w:t>
      </w:r>
    </w:p>
    <w:p>
      <w:pPr>
        <w:spacing w:after="0" w:line="68" w:lineRule="exact"/>
        <w:rPr>
          <w:rFonts w:ascii="Arial" w:cs="Arial" w:eastAsia="Arial" w:hAnsi="Arial"/>
          <w:sz w:val="14"/>
          <w:szCs w:val="14"/>
          <w:i w:val="1"/>
          <w:iCs w:val="1"/>
          <w:color w:val="auto"/>
        </w:rPr>
      </w:pPr>
    </w:p>
    <w:p>
      <w:pPr>
        <w:ind w:left="320" w:hanging="312"/>
        <w:spacing w:after="0"/>
        <w:tabs>
          <w:tab w:leader="none" w:pos="32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Non-recurring revenue signings are for contracts shorter than one year.</w:t>
      </w:r>
    </w:p>
    <w:p>
      <w:pPr>
        <w:spacing w:after="0" w:line="68" w:lineRule="exact"/>
        <w:rPr>
          <w:rFonts w:ascii="Arial" w:cs="Arial" w:eastAsia="Arial" w:hAnsi="Arial"/>
          <w:sz w:val="14"/>
          <w:szCs w:val="14"/>
          <w:i w:val="1"/>
          <w:iCs w:val="1"/>
          <w:color w:val="auto"/>
        </w:rPr>
      </w:pPr>
    </w:p>
    <w:p>
      <w:pPr>
        <w:ind w:left="320" w:hanging="312"/>
        <w:spacing w:after="0"/>
        <w:tabs>
          <w:tab w:leader="none" w:pos="32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Adjusted to remove new business signings of the Curbside Management and Public Safety Solutions businesses and Casualty Claims Solutions business.</w:t>
      </w:r>
    </w:p>
    <w:p>
      <w:pPr>
        <w:spacing w:after="0" w:line="165"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The total new business pipeline at the end of March 31, 2025 and 2024 was $3.2 billion and $2.7 billion, respectively. Total new business pipeline is defined as total new business ACV pipeline of deals at or beyond the qualified prospect stage. Beginning in the first quarter of 2025, we transitioned our measure of sales pipeline from TCV to ACV to align with our primary sales metric. This extends past the next twelve-month period to include total pipeline, excluding the impact of divested business as required.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269BC"/>
        </w:rPr>
        <w:t>Net ARR Activity</w:t>
      </w:r>
    </w:p>
    <w:p>
      <w:pPr>
        <w:spacing w:after="0" w:line="156"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Net ARR Activity is a metric that is defined as Projected Annual Recurring Revenue ("ARR") for contracts signed in the prior 12 months, less the annualized impact of any client losses, contractual volume and price changes, and other known impacts for which the Company was</w:t>
      </w:r>
    </w:p>
    <w:p>
      <w:pPr>
        <w:spacing w:after="0" w:line="1"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notified in that same time period, which could positively or negatively impact results. The metric annualizes the net impact to revenue. Timing of revenue impact varies and may not be realized within the forward 12-month timeframe. The metric is for indicative purposes only. This metric excludes non-recurring revenue signings. This metric is not indicative of any specific 12-month timeframe.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Net ARR activity metric for the trailing twelve months for each of the prior five quarters was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14"/>
                <w:szCs w:val="14"/>
                <w:color w:val="auto"/>
              </w:rPr>
            </w:pPr>
          </w:p>
        </w:tc>
        <w:tc>
          <w:tcPr>
            <w:tcW w:w="2100" w:type="dxa"/>
            <w:vAlign w:val="bottom"/>
          </w:tcPr>
          <w:p>
            <w:pPr>
              <w:jc w:val="right"/>
              <w:ind w:right="368"/>
              <w:spacing w:after="0"/>
              <w:rPr>
                <w:sz w:val="20"/>
                <w:szCs w:val="20"/>
                <w:color w:val="auto"/>
              </w:rPr>
            </w:pPr>
            <w:r>
              <w:rPr>
                <w:rFonts w:ascii="Arial" w:cs="Arial" w:eastAsia="Arial" w:hAnsi="Arial"/>
                <w:sz w:val="14"/>
                <w:szCs w:val="14"/>
                <w:color w:val="auto"/>
              </w:rPr>
              <w:t>Net ARR Activity metric</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8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March 31, 2025</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r>
      <w:tr>
        <w:trPr>
          <w:trHeight w:val="198"/>
        </w:trPr>
        <w:tc>
          <w:tcPr>
            <w:tcW w:w="20" w:type="dxa"/>
            <w:vAlign w:val="bottom"/>
          </w:tcPr>
          <w:p>
            <w:pPr>
              <w:spacing w:after="0"/>
              <w:rPr>
                <w:sz w:val="17"/>
                <w:szCs w:val="17"/>
                <w:color w:val="auto"/>
              </w:rPr>
            </w:pPr>
          </w:p>
        </w:tc>
        <w:tc>
          <w:tcPr>
            <w:tcW w:w="8840" w:type="dxa"/>
            <w:vAlign w:val="bottom"/>
            <w:gridSpan w:val="2"/>
          </w:tcPr>
          <w:p>
            <w:pPr>
              <w:spacing w:after="0"/>
              <w:rPr>
                <w:sz w:val="20"/>
                <w:szCs w:val="20"/>
                <w:color w:val="auto"/>
              </w:rPr>
            </w:pPr>
            <w:r>
              <w:rPr>
                <w:rFonts w:ascii="Arial" w:cs="Arial" w:eastAsia="Arial" w:hAnsi="Arial"/>
                <w:sz w:val="14"/>
                <w:szCs w:val="14"/>
                <w:color w:val="auto"/>
              </w:rPr>
              <w:t>December 31, 2024</w:t>
            </w:r>
          </w:p>
        </w:tc>
        <w:tc>
          <w:tcPr>
            <w:tcW w:w="2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92</w:t>
            </w:r>
          </w:p>
        </w:tc>
      </w:tr>
      <w:tr>
        <w:trPr>
          <w:trHeight w:val="207"/>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September 30, 2024</w:t>
            </w:r>
          </w:p>
        </w:tc>
        <w:tc>
          <w:tcPr>
            <w:tcW w:w="280" w:type="dxa"/>
            <w:vAlign w:val="bottom"/>
            <w:shd w:val="clear" w:color="auto" w:fill="CCEEFF"/>
          </w:tcPr>
          <w:p>
            <w:pPr>
              <w:spacing w:after="0"/>
              <w:rPr>
                <w:sz w:val="17"/>
                <w:szCs w:val="17"/>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198"/>
        </w:trPr>
        <w:tc>
          <w:tcPr>
            <w:tcW w:w="20" w:type="dxa"/>
            <w:vAlign w:val="bottom"/>
          </w:tcPr>
          <w:p>
            <w:pPr>
              <w:spacing w:after="0"/>
              <w:rPr>
                <w:sz w:val="17"/>
                <w:szCs w:val="17"/>
                <w:color w:val="auto"/>
              </w:rPr>
            </w:pPr>
          </w:p>
        </w:tc>
        <w:tc>
          <w:tcPr>
            <w:tcW w:w="8840" w:type="dxa"/>
            <w:vAlign w:val="bottom"/>
            <w:gridSpan w:val="2"/>
          </w:tcPr>
          <w:p>
            <w:pPr>
              <w:spacing w:after="0"/>
              <w:rPr>
                <w:sz w:val="20"/>
                <w:szCs w:val="20"/>
                <w:color w:val="auto"/>
              </w:rPr>
            </w:pPr>
            <w:r>
              <w:rPr>
                <w:rFonts w:ascii="Arial" w:cs="Arial" w:eastAsia="Arial" w:hAnsi="Arial"/>
                <w:sz w:val="14"/>
                <w:szCs w:val="14"/>
                <w:color w:val="auto"/>
              </w:rPr>
              <w:t>June 30, 2024</w:t>
            </w:r>
          </w:p>
        </w:tc>
        <w:tc>
          <w:tcPr>
            <w:tcW w:w="2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207"/>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March 31, 2024</w:t>
            </w:r>
          </w:p>
        </w:tc>
        <w:tc>
          <w:tcPr>
            <w:tcW w:w="280" w:type="dxa"/>
            <w:vAlign w:val="bottom"/>
            <w:shd w:val="clear" w:color="auto" w:fill="CCEEFF"/>
          </w:tcPr>
          <w:p>
            <w:pPr>
              <w:spacing w:after="0"/>
              <w:rPr>
                <w:sz w:val="17"/>
                <w:szCs w:val="17"/>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Capital Resources and Liquidity</w:t>
      </w:r>
    </w:p>
    <w:p>
      <w:pPr>
        <w:spacing w:after="0" w:line="162"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As of March 31, 2025 and December 31, 2024, total cash and cash equivalents were $277 million and $ 366 million, respectively. We also have a $550 million revolving line of credit for our various cash needs, of which $10 million was used for letters of credit. The net amount available to be drawn upon under our revolving line of credit as of March 31, 2025, was $540 million.</w:t>
      </w:r>
    </w:p>
    <w:p>
      <w:pPr>
        <w:spacing w:after="0" w:line="200" w:lineRule="exact"/>
        <w:rPr>
          <w:sz w:val="20"/>
          <w:szCs w:val="20"/>
          <w:color w:val="auto"/>
        </w:rPr>
      </w:pPr>
    </w:p>
    <w:p>
      <w:pPr>
        <w:spacing w:after="0" w:line="318"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Q1 2025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9" w:name="page30"/>
    <w:bookmarkEnd w:id="29"/>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As of March 31, 2025, our total principal debt outstanding was $657 million, of which $26 million was due within one year. Refer to Note 7 – Debt in the Condensed Consolidated Financial Statements for additional debt information.</w:t>
      </w:r>
    </w:p>
    <w:p>
      <w:pPr>
        <w:spacing w:after="0" w:line="9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To provide financial flexibility and finance certain investments and projects, we may continue to utilize external financing arrangements. However, we believe that our cash on hand, projected cash flow from operations, sound balance sheet and our revolving line of credit will continue to provide sufficient financial resources to meet our expected business obligations for at least the next twelve months.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Cash Flow Analysis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as reported in our Condensed Consolidated Statement of Cash Flows in the accompanying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Financial Statements: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color w:val="auto"/>
              </w:rPr>
              <w:t>Three Months Ended March 31,</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646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2025</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2024</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ind w:right="228"/>
              <w:spacing w:after="0"/>
              <w:rPr>
                <w:sz w:val="20"/>
                <w:szCs w:val="20"/>
                <w:color w:val="auto"/>
              </w:rPr>
            </w:pPr>
            <w:r>
              <w:rPr>
                <w:rFonts w:ascii="Arial" w:cs="Arial" w:eastAsia="Arial" w:hAnsi="Arial"/>
                <w:sz w:val="14"/>
                <w:szCs w:val="14"/>
                <w:color w:val="auto"/>
              </w:rPr>
              <w:t>Better (Worse)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(used in) operating activities</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199"/>
        </w:trPr>
        <w:tc>
          <w:tcPr>
            <w:tcW w:w="20" w:type="dxa"/>
            <w:vAlign w:val="bottom"/>
          </w:tcPr>
          <w:p>
            <w:pPr>
              <w:spacing w:after="0"/>
              <w:rPr>
                <w:sz w:val="17"/>
                <w:szCs w:val="17"/>
                <w:color w:val="auto"/>
              </w:rPr>
            </w:pPr>
          </w:p>
        </w:tc>
        <w:tc>
          <w:tcPr>
            <w:tcW w:w="6460" w:type="dxa"/>
            <w:vAlign w:val="bottom"/>
            <w:gridSpan w:val="2"/>
          </w:tcPr>
          <w:p>
            <w:pPr>
              <w:spacing w:after="0"/>
              <w:rPr>
                <w:sz w:val="20"/>
                <w:szCs w:val="20"/>
                <w:color w:val="auto"/>
              </w:rPr>
            </w:pPr>
            <w:r>
              <w:rPr>
                <w:rFonts w:ascii="Arial" w:cs="Arial" w:eastAsia="Arial" w:hAnsi="Arial"/>
                <w:sz w:val="14"/>
                <w:szCs w:val="14"/>
                <w:color w:val="auto"/>
              </w:rPr>
              <w:t>Net cash provided by (used in) investing activities</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(160)</w:t>
            </w:r>
          </w:p>
        </w:tc>
      </w:tr>
      <w:tr>
        <w:trPr>
          <w:trHeight w:val="206"/>
        </w:trPr>
        <w:tc>
          <w:tcPr>
            <w:tcW w:w="20" w:type="dxa"/>
            <w:vAlign w:val="bottom"/>
            <w:shd w:val="clear" w:color="auto" w:fill="CCEEFF"/>
          </w:tcPr>
          <w:p>
            <w:pPr>
              <w:spacing w:after="0"/>
              <w:rPr>
                <w:sz w:val="17"/>
                <w:szCs w:val="17"/>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(used in) financing activities</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189</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Operating activities</w:t>
      </w:r>
    </w:p>
    <w:p>
      <w:pPr>
        <w:spacing w:after="0" w:line="171"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The net increase in cash used in operating activities of $21 million, compared to the prior year period, was primarily due to a $22 million United States federal tax refund related to the 2018 tax year received in the first quarter of 2024.</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Investing activities</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Investing cash flow decreased by $160 million mainly due to $164 million of proceeds received from the BenefitWallet Portfolio transfer in the first quarter of 2024.</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Financing activities</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decrease in cash used in financing activities was due to the voluntary prepayment of $164 million of debt using the proceeds received from the BenefitWallet Portfolio transfer in the first quarter of 2024. Additionally, the prior year included $17 million of treasury stock purchases under the program that was completed in September 2024.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Sales of Accounts Receivable</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entered into a factoring agreement in the normal course of business as part of our cash and liquidity management, to sell certain accounts receivable without recourse to a third-party financial institution. The transactions under this agreement are treated as sales and are accounted for as reductions in accounts receivable because the agreement transfers effective control over, and risk related to, the receivables to the buyer. Cash proceeds from this arrangement are included in cash flow from operating activities in the Condensed Consolidated Statements of Cash Flows.</w:t>
      </w:r>
    </w:p>
    <w:p>
      <w:pPr>
        <w:spacing w:after="0" w:line="1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net impact from the sales of accounts receivable on net cash provided by (used in) operating activities for the three months ended March 31, 2025 and 2024 was $3 million and $(8) million,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Material Cash Requirements from Contractual Obligations</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believe our balances of cash and cash equivalents, which totaled $277 million as of March 31, 2025, along with cash generated by operations and amounts available for borrowing under our revolving credit facility, will be sufficient to satisfy our cash requirements over the next 12 months and beyond.</w:t>
      </w:r>
    </w:p>
    <w:p>
      <w:pPr>
        <w:spacing w:after="0" w:line="117"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At March 31, 2025, the Company’s material cash requirements include debt, leases and estimated purchase commitments. See Part II, Item 7 – Management's Discussion and Analysis of Financial Condition and Results of Operation of our Annual Report on Form 10-K for the year ended December 31, 2024 for additional information on our material cash requirements.</w:t>
      </w:r>
    </w:p>
    <w:p>
      <w:pPr>
        <w:spacing w:after="0" w:line="200" w:lineRule="exact"/>
        <w:rPr>
          <w:sz w:val="20"/>
          <w:szCs w:val="20"/>
          <w:color w:val="auto"/>
        </w:rPr>
      </w:pPr>
    </w:p>
    <w:p>
      <w:pPr>
        <w:spacing w:after="0" w:line="318"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30" w:name="page31"/>
    <w:bookmarkEnd w:id="30"/>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6CC"/>
        </w:rPr>
        <w:t>Critical Accounting Estimates and Policies</w:t>
      </w:r>
    </w:p>
    <w:p>
      <w:pPr>
        <w:spacing w:after="0" w:line="16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accounting principles generally accepted in the United States of America ("U.S. GAAP"). The preparation of financial statements in conformity with U.S. GAAP requires us to make estimates and assumptions in certain circumstances that affect amounts reported in the accompanying Condensed Consolidated Financial Statements and notes thereto.</w:t>
      </w:r>
    </w:p>
    <w:p>
      <w:pPr>
        <w:spacing w:after="0" w:line="12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There have been no significant changes during the three months ended March 31, 2025 to our critical accounting estimates and policies from those disclosed in our Annual Report on Form 10-K for the year ended December 31, 2024.</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6CC"/>
        </w:rPr>
        <w:t>Recent Accounting Changes</w:t>
      </w:r>
    </w:p>
    <w:p>
      <w:pPr>
        <w:spacing w:after="0" w:line="16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See Note 2 – Recent Accounting Pronouncements for information on accounting standards adopted during the current year, as well as recently issued accounting standards not yet required to be adopted and the expected impact of the adoption of these accounting standards.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6CC"/>
        </w:rPr>
        <w:t>Non-GAAP Financial Measures</w:t>
      </w:r>
    </w:p>
    <w:p>
      <w:pPr>
        <w:spacing w:after="0" w:line="16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We report our financial results in accordance with accounting principles generally accepted in the U.S. (U.S. GAAP). In addition, within this Form 10-Q Part I Item 2 we have discussed our financial results using non-GAAP measures.</w:t>
      </w:r>
    </w:p>
    <w:p>
      <w:pPr>
        <w:spacing w:after="0" w:line="9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believe these non-GAAP measures allow investors to better understand the trends in our business and to better understand and compare our results. Accordingly, we believe it is necessary to adjust several reported amounts, determined in accordance with U.S. GAAP, to exclude the effects of certain items as well as their related tax effects. Management believes that these non-GAAP financial measures provide an additional means of analyzing the results of the current period compared to the corresponding prior period. However, these non-GAAP financial measures should be viewed in addition to, and not as a substitute for, the Company’s reported results prepared in accordance with U.S. GAAP. Our non-GAAP financial measures are not meant to be considered in isolation or as a substitute for comparable U.S. GAAP measures and should be read only in conjunction with our Consolidated Financial Statements prepared in accordance with U.S. GAAP. Our management regularly uses our non-GAAP financial measures internally to understand, manage and evaluate our business and make operating decisions, and providing such non-GAAP financial measures to investors allows for a further level of transparency as to how management reviews and evaluates our business results and trends. These non-GAAP measures are among the primary factors management uses in planning for and forecasting future periods. Compensation of our executives is based in part on the performance of our business based on certain of these non-GAAP measures.</w:t>
      </w:r>
    </w:p>
    <w:p>
      <w:pPr>
        <w:spacing w:after="0" w:line="136" w:lineRule="exact"/>
        <w:rPr>
          <w:sz w:val="20"/>
          <w:szCs w:val="20"/>
          <w:color w:val="auto"/>
        </w:rPr>
      </w:pPr>
    </w:p>
    <w:p>
      <w:pPr>
        <w:ind w:right="680"/>
        <w:spacing w:after="0" w:line="318" w:lineRule="auto"/>
        <w:rPr>
          <w:sz w:val="20"/>
          <w:szCs w:val="20"/>
          <w:color w:val="auto"/>
        </w:rPr>
      </w:pPr>
      <w:r>
        <w:rPr>
          <w:rFonts w:ascii="Arial" w:cs="Arial" w:eastAsia="Arial" w:hAnsi="Arial"/>
          <w:sz w:val="17"/>
          <w:szCs w:val="17"/>
          <w:color w:val="auto"/>
        </w:rPr>
        <w:t>A reconciliation of the non-GAAP financial measures Adjusted EBITDA and EBITDA Margin to the most directly comparable financial measures calculated and presented in accordance with U.S. GAAP are provided in the Segment Performance Review above.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Adjusted EBITDA and Adjusted EBITDA Margin</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use adjusted EBITDA and adjusted EBITDA Margin as an additional way of assessing certain aspects of our operations that, when viewed with the U.S. GAAP results and the accompanying reconciliations to corresponding U.S. GAAP financial measures, provide a more complete understanding of our on-going business. Adjusted EBITDA Margin is adjusted EBITDA divided by revenue. Adjusted EBITDA represents income (loss) before interest, income taxes, depreciation and amortization and contract inducement amortization adjusted for the following items:</w:t>
      </w:r>
    </w:p>
    <w:p>
      <w:pPr>
        <w:spacing w:after="0" w:line="71" w:lineRule="exact"/>
        <w:rPr>
          <w:sz w:val="20"/>
          <w:szCs w:val="20"/>
          <w:color w:val="auto"/>
        </w:rPr>
      </w:pPr>
    </w:p>
    <w:p>
      <w:pPr>
        <w:ind w:left="660" w:right="120" w:hanging="328"/>
        <w:spacing w:after="0" w:line="26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Amortization of acquired intangible assets. The amortization of acquired intangible assets is driven by acquisition activity, which can vary in size, nature and timing as compared to other companies within our industry and from period to period.</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Restructuring and related costs. Restructuring and related costs include restructuring and asset impairment charges as well as costs associated with our strategic transformation program.</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Goodwill impairment. This represents goodwill impairment charges arising from annual or interim goodwill testing.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(Gain) loss on divestitures and transaction costs. This represents (gain) loss on divested businesses and transaction costs.</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2025 Form 10-Q</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31" w:name="page32"/>
    <w:bookmarkEnd w:id="31"/>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Litigation settlements (recoveries), net. This represents settlements or recoveries for various matters subject to litigation.</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on extinguishment of debt. This represents write-off of debt issuance costs related to prepayments of debt.</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 response costs - cyber event. This represents costs related to investigating, remediating and responding to the cyber event that occurred in January 2025.</w:t>
      </w:r>
    </w:p>
    <w:p>
      <w:pPr>
        <w:ind w:left="660" w:right="200" w:hanging="328"/>
        <w:spacing w:after="0" w:line="26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charges (credits). This includes Other (income) expenses, net on the Condensed Consolidated Statements of Income (Loss) and other adjustments.</w:t>
      </w:r>
    </w:p>
    <w:p>
      <w:pPr>
        <w:spacing w:after="0" w:line="117" w:lineRule="exact"/>
        <w:rPr>
          <w:sz w:val="20"/>
          <w:szCs w:val="20"/>
          <w:color w:val="auto"/>
        </w:rPr>
      </w:pPr>
    </w:p>
    <w:p>
      <w:pPr>
        <w:jc w:val="both"/>
        <w:ind w:right="260"/>
        <w:spacing w:after="0" w:line="262" w:lineRule="auto"/>
        <w:rPr>
          <w:sz w:val="20"/>
          <w:szCs w:val="20"/>
          <w:color w:val="auto"/>
        </w:rPr>
      </w:pPr>
      <w:r>
        <w:rPr>
          <w:rFonts w:ascii="Arial" w:cs="Arial" w:eastAsia="Arial" w:hAnsi="Arial"/>
          <w:sz w:val="18"/>
          <w:szCs w:val="18"/>
          <w:color w:val="auto"/>
        </w:rPr>
        <w:t>Adjusted EBITDA is not intended to represent cash flows from operations, operating income (loss) or net income (loss) as defined by U.S. GAAP as indicators of operating performance. Management cautions that amounts presented in accordance with Conduent's definition of adjusted EBITDA and adjusted EBITDA Margin may not be comparable to similar measures disclosed by other companies because not all companies calculate adjusted EBITDA and adjusted EBITDA Margin in the same manner.</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3 — QUANTITATIVE AND QUALITATIVE DISCLOSURES ABOUT MARKET RISK</w:t>
      </w:r>
    </w:p>
    <w:p>
      <w:pPr>
        <w:spacing w:after="0" w:line="1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are exposed to market risk from foreign currency exchange rates which could affect operating results, financial position and cash flows. We manage our exposure to this market risk through our regular operating and financing activities and, when appropriate, using derivative financial instruments. We utilized derivative financial instruments to hedge economic exposures, as well as reduce earnings and cash flow volatility resulting from shifts in market rates. We also hedge the cost to fund material non-dollar entities by buying currencies periodically in advance of the funding date. This is accounted for using derivative accounting.</w:t>
      </w:r>
    </w:p>
    <w:p>
      <w:pPr>
        <w:spacing w:after="0" w:line="125"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Recent market events have not caused us to materially modify or change our financial risk management strategies with respect to our exposures to foreign currency risk. Refer to Note 8 – Financial Instruments in the Condensed Consolidated Financial Statements for additional discussion on our financial risk management.</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During the reporting period, there have been no material changes to the quantitative and qualitative disclosures regarding our market risk set forth in our Annual Report on Form 10-K for the year ended December 31, 2024.</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4 — CONTROLS AND PROCEDURES</w:t>
      </w:r>
    </w:p>
    <w:p>
      <w:pPr>
        <w:spacing w:after="0" w:line="162"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18"/>
          <w:szCs w:val="18"/>
          <w:b w:val="1"/>
          <w:bCs w:val="1"/>
          <w:color w:val="1269BC"/>
        </w:rPr>
      </w:pPr>
      <w:r>
        <w:rPr>
          <w:rFonts w:ascii="Arial" w:cs="Arial" w:eastAsia="Arial" w:hAnsi="Arial"/>
          <w:sz w:val="18"/>
          <w:szCs w:val="18"/>
          <w:b w:val="1"/>
          <w:bCs w:val="1"/>
          <w:color w:val="1269BC"/>
        </w:rPr>
        <w:t>Evaluation of Disclosure Controls and Procedures</w:t>
      </w:r>
    </w:p>
    <w:p>
      <w:pPr>
        <w:spacing w:after="0" w:line="171" w:lineRule="exact"/>
        <w:rPr>
          <w:sz w:val="20"/>
          <w:szCs w:val="20"/>
          <w:color w:val="auto"/>
        </w:rPr>
      </w:pPr>
    </w:p>
    <w:p>
      <w:pPr>
        <w:ind w:left="340" w:right="140"/>
        <w:spacing w:after="0" w:line="255" w:lineRule="auto"/>
        <w:rPr>
          <w:sz w:val="20"/>
          <w:szCs w:val="20"/>
          <w:color w:val="auto"/>
        </w:rPr>
      </w:pPr>
      <w:r>
        <w:rPr>
          <w:rFonts w:ascii="Arial" w:cs="Arial" w:eastAsia="Arial" w:hAnsi="Arial"/>
          <w:sz w:val="18"/>
          <w:szCs w:val="18"/>
          <w:color w:val="auto"/>
        </w:rPr>
        <w:t>The Company’s management evaluated, with the participation of our principal executive officer and principal financial officer, or persons performing similar functions, the effectiveness of our disclosure controls and procedures, as defined in Rules 13a-15(e) and 15d -15(e) under the Securities Exchange Act of 1934, as amended (the "Exchange Act"), as of the end of the period covered by this Form 10-Q. Based on this evaluation, our principal executive officer and principal financial officer have concluded that, as of the end of the period covered by this Form 10-Q, our disclosure controls and procedures were effective to ensure that information we are required to disclose in the reports that we file or submit under the Exchange Act, is recorded, processed, summarized and reported within the time periods specified in the SEC’s rules and forms relating to the Company, including our consolidated subsidiaries, and was accumulated and communicated to the Company’s management, including the principal executive officer and principal financial officer, or persons performing similar functions, as appropriate to allow timely decisions regarding required disclosure.</w:t>
      </w:r>
    </w:p>
    <w:p>
      <w:pPr>
        <w:spacing w:after="0" w:line="127" w:lineRule="exact"/>
        <w:rPr>
          <w:sz w:val="20"/>
          <w:szCs w:val="20"/>
          <w:color w:val="auto"/>
        </w:rPr>
      </w:pPr>
    </w:p>
    <w:p>
      <w:pPr>
        <w:ind w:left="440" w:hanging="432"/>
        <w:spacing w:after="0"/>
        <w:tabs>
          <w:tab w:leader="none" w:pos="440" w:val="left"/>
        </w:tabs>
        <w:numPr>
          <w:ilvl w:val="0"/>
          <w:numId w:val="19"/>
        </w:numPr>
        <w:rPr>
          <w:rFonts w:ascii="Arial" w:cs="Arial" w:eastAsia="Arial" w:hAnsi="Arial"/>
          <w:sz w:val="18"/>
          <w:szCs w:val="18"/>
          <w:b w:val="1"/>
          <w:bCs w:val="1"/>
          <w:color w:val="1269BC"/>
        </w:rPr>
      </w:pPr>
      <w:r>
        <w:rPr>
          <w:rFonts w:ascii="Arial" w:cs="Arial" w:eastAsia="Arial" w:hAnsi="Arial"/>
          <w:sz w:val="18"/>
          <w:szCs w:val="18"/>
          <w:b w:val="1"/>
          <w:bCs w:val="1"/>
          <w:color w:val="1269BC"/>
        </w:rPr>
        <w:t>Changes in Internal Control Over Financial Reporting</w:t>
      </w:r>
    </w:p>
    <w:p>
      <w:pPr>
        <w:spacing w:after="0" w:line="171" w:lineRule="exact"/>
        <w:rPr>
          <w:sz w:val="20"/>
          <w:szCs w:val="20"/>
          <w:color w:val="auto"/>
        </w:rPr>
      </w:pPr>
    </w:p>
    <w:p>
      <w:pPr>
        <w:ind w:left="340" w:right="160"/>
        <w:spacing w:after="0" w:line="28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March 31, 2025, that have materially affected, or are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PART II — OTHER INFORMATION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32" w:name="page33"/>
    <w:bookmarkEnd w:id="32"/>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 — LEGAL PROCEEDINGS</w:t>
      </w:r>
    </w:p>
    <w:p>
      <w:pPr>
        <w:spacing w:after="0" w:line="16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information set forth under Note 12 – Contingencies and Litigation in the Condensed Consolidated Financial Statements of this Form 10-Q is incorporated herein by reference in answer to this Item.</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1A — RISK FACTORS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the Risk Factors set forth in Part I, Item 1A of our Annual Report on Form 10-K for the year ended December 31, 2024.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risk factors as previously reported in our Annual Report on Form 10-K for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2024, except as set forth below.</w:t>
      </w:r>
    </w:p>
    <w:p>
      <w:pPr>
        <w:spacing w:after="0" w:line="155"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b w:val="1"/>
          <w:bCs w:val="1"/>
          <w:i w:val="1"/>
          <w:iCs w:val="1"/>
          <w:color w:val="auto"/>
        </w:rPr>
        <w:t>Our data systems, information systems and network infrastructure have been, and may in the future be, subject to hacking or other cybersecurity threats and other service interruptions, which could expose us to liability, impair our reputation or temporarily render us unable to fulfill our service obligations under our contracts.</w:t>
      </w:r>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a leader in business process solutions, we leverage cloud computing, AI, machine learning and advanced analytics. We act as a trusted business partner in both front-office and back-office platforms, providing interactions on a substantial scale with our customers and other third-parties. Our customers include global commercial clients and government clients who depend upon our operational efficiency, non-interruption of service, and accuracy and security of information. We also use third-party providers such as subcontractors, software vendors, utility providers and network providers, upon whom we rely to support our business process solutions, to deliver uninterrupted, secure service. As part of our business process solutions, we also develop system software platforms necessary to support our customers’ needs, with significant ongoing investment in developing and operating customer-appropriate operating systems, databases and system software solutions. We also receive, process, transmit and store substantial volumes of information relating to identifiable individuals, both in our role as a solution provider and as an employer, and we are subject to numerous laws, rules and regulations in the United States (both federal and state) and foreign jurisdictions designed to protect both individually identifiable information as well as personal health information. We also receive, process and implement financial transactions, and disburse funds, on behalf of both commercial and government customers, which activity includes receiving debit and credit card information to process payments due to our customers as well as disbursing funds to payees of our customers. As a result of these and other business process solutions, the integrity, security, accuracy and non-interruption of our systems and information technology and that of our third-party providers and our interfaces with our customers are extremely important to our business, operating results, growth, prospects and reputation.</w:t>
      </w:r>
    </w:p>
    <w:p>
      <w:pPr>
        <w:spacing w:after="0" w:line="1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in the past been, and remain, susceptible to breach of security systems which may result and has resulted in unauthorized access to our facilities and those of our customers and/or access to and exfiltration of the information we and our customers are trying to protect. Cybersecurity failure might be caused by computer hacking, compromised credentials, malware, computer viruses, worms, trojans, ransomware and other destructive software, “cyber-attacks” and other malicious activity, as well as natural disasters, power outages, terrorist attacks and similar events. Operational or business delays may also result from the disruption of network or information systems and subsequent remediation activities.</w:t>
      </w:r>
    </w:p>
    <w:p>
      <w:pPr>
        <w:spacing w:after="0" w:line="12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Because the techniques used to obtain unauthorized access are constantly changing and becoming increasingly more sophisticated and often are not recognized until launched against a target, we or our third-party service providers may be unable to anticipate these techniques or implement sufficient preventative measures. Unauthorized access, hacking, malware, phishing, viruses, worms, trojans, ransomware and other “cyber-attacks” have become more prevalent, have occurred in our systems in the past, and may occur in our systems in the future. Our cyber practices and cybersecurity systems may prove to be inadequate and result in the disruption, failure, misappropriation or corruption of our network and information systems and it may not be possible for us to fully or timely know if or when such incidents arise, or the full business impact of any cybersecurity breach.</w:t>
      </w:r>
    </w:p>
    <w:p>
      <w:pPr>
        <w:spacing w:after="0" w:line="200" w:lineRule="exact"/>
        <w:rPr>
          <w:sz w:val="20"/>
          <w:szCs w:val="20"/>
          <w:color w:val="auto"/>
        </w:rPr>
      </w:pPr>
    </w:p>
    <w:p>
      <w:pPr>
        <w:spacing w:after="0" w:line="343"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2025 Form 10-Q</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33" w:name="page34"/>
    <w:bookmarkEnd w:id="33"/>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Additionally, with advances in computer capabilities and data protection requirements to address ongoing threats, we may be required to expend significant capital and other resources to protect against potential security breaches or to alleviate problems caused by security breaches. Moreover, employee error or malfeasance, faulty password management or other irregularities may result in a defeat of our or our third-party service providers’ security measures and a breach of our or our third-party service providers’ information systems (whether digital, cloud-based or otherwise). In addition, the increased use of employee-owned devices for communications as well as work-from-home arrangements, present additional operational risks to our information technology systems, including, but not limited to, increased risks of cyber-attacks.</w:t>
      </w:r>
    </w:p>
    <w:p>
      <w:pPr>
        <w:spacing w:after="0" w:line="12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in the past experienced, and in the future could experience, an unauthorized party gaining physical access to one of our or one of our third-party service providers’ facilities or gain electronic access to our or one of our third-party service providers’ information systems. For example, on January 13, 2025, the Company experienced an operational disruption and learned that a threat actor gained unauthorized access to a limited portion of the Company’s environment and exfiltrated a set of files associated with a limited number of the Company’s clients. See Part II, Item 7 – Management's Discussion and Analysis of Financial Condition and Results of Operation – “Cyber Event” for additional information. This and any other such access could result in, among other things, unfavorable publicity and significant damage to our brand, governmental inquiry, oversight and possible regulatory action, difficulty in marketing our services, loss of existing and potential customers, allegations by our customers that we have not performed our contractual obligations, litigation by affected parties and possible financial obligations for substantial damages related to the theft or misuse of such information, any of which could materially adversely affect our results of operations and financial condition. Similar consequences may arise if sensitive or confidential information is misdirected, lost or stolen during transmission or transport, or is stolen or misused. Moreover, security breaches have and could require us to devote significant management resources to address the problems created by the security breach and to expend significant additional resources to upgrade further the security measures that we employ to guard such personal information against "cyber-attacks" and to maintain various systems and data centers for our customers. Often these systems and data centers must be maintained worldwide and on a 24/7 basis. We have in the past experienced and in the future could experience service interruptions that could result in curtailed operations and loss of existing and potential customers, which could significantly reduce our revenues and profits in addition to significantly impairing our reputation. If our information systems and our back-up systems are damaged, breached or cease to function properly, we may have to make a significant investment to repair or replace them, and we may suffer interruptions in our operations in the interim, each of which could materially adversely affect our results of operations and financial condition.</w:t>
      </w:r>
    </w:p>
    <w:p>
      <w:pPr>
        <w:spacing w:after="0" w:line="13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addition, our and our customers’ systems and networks are subject to continued threats of terrorism, which could disrupt our operations as well as disrupt the utilities and telecommunications infrastructure on which our business depends. To the extent any such disruptions were to occur, our business, operating results and financial condition could be materially adversely affected. In addition, our liability insurance, which includes cyber insurance, might not be sufficient in type or amount to cover us, or the carrier may decline to cover us, against claims related to security incidents, cyberattacks and other related incidents.</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2 — UNREGISTERED SALES OF EQUITY SECURITIES AND USE OF PROCEEDS</w:t>
      </w:r>
    </w:p>
    <w:p>
      <w:pPr>
        <w:spacing w:after="0" w:line="162" w:lineRule="exact"/>
        <w:rPr>
          <w:sz w:val="20"/>
          <w:szCs w:val="20"/>
          <w:color w:val="auto"/>
        </w:rPr>
      </w:pPr>
    </w:p>
    <w:p>
      <w:pPr>
        <w:ind w:left="640" w:hanging="632"/>
        <w:spacing w:after="0"/>
        <w:tabs>
          <w:tab w:leader="none" w:pos="640" w:val="left"/>
        </w:tabs>
        <w:numPr>
          <w:ilvl w:val="0"/>
          <w:numId w:val="20"/>
        </w:numPr>
        <w:rPr>
          <w:rFonts w:ascii="Arial" w:cs="Arial" w:eastAsia="Arial" w:hAnsi="Arial"/>
          <w:sz w:val="18"/>
          <w:szCs w:val="18"/>
          <w:b w:val="1"/>
          <w:bCs w:val="1"/>
          <w:color w:val="1269BC"/>
        </w:rPr>
      </w:pPr>
      <w:r>
        <w:rPr>
          <w:rFonts w:ascii="Arial" w:cs="Arial" w:eastAsia="Arial" w:hAnsi="Arial"/>
          <w:sz w:val="18"/>
          <w:szCs w:val="18"/>
          <w:b w:val="1"/>
          <w:bCs w:val="1"/>
          <w:color w:val="1269BC"/>
        </w:rPr>
        <w:t>Sales of Unregistered Securities during the Quarter ended March 31, 2025</w:t>
      </w:r>
    </w:p>
    <w:p>
      <w:pPr>
        <w:spacing w:after="0" w:line="171" w:lineRule="exact"/>
        <w:rPr>
          <w:sz w:val="20"/>
          <w:szCs w:val="20"/>
          <w:color w:val="auto"/>
        </w:rPr>
      </w:pPr>
    </w:p>
    <w:p>
      <w:pPr>
        <w:ind w:left="420"/>
        <w:spacing w:after="0" w:line="287" w:lineRule="auto"/>
        <w:rPr>
          <w:sz w:val="20"/>
          <w:szCs w:val="20"/>
          <w:color w:val="auto"/>
        </w:rPr>
      </w:pPr>
      <w:r>
        <w:rPr>
          <w:rFonts w:ascii="Arial" w:cs="Arial" w:eastAsia="Arial" w:hAnsi="Arial"/>
          <w:sz w:val="18"/>
          <w:szCs w:val="18"/>
          <w:color w:val="auto"/>
        </w:rPr>
        <w:t>During the quarter ended March 31, 2025, the Company did not issue any securities in transactions that were not registered under the Securities Act of 1933, as amended.</w:t>
      </w:r>
    </w:p>
    <w:p>
      <w:pPr>
        <w:spacing w:after="0" w:line="99" w:lineRule="exact"/>
        <w:rPr>
          <w:sz w:val="20"/>
          <w:szCs w:val="20"/>
          <w:color w:val="auto"/>
        </w:rPr>
      </w:pPr>
    </w:p>
    <w:p>
      <w:pPr>
        <w:ind w:left="640" w:hanging="632"/>
        <w:spacing w:after="0"/>
        <w:tabs>
          <w:tab w:leader="none" w:pos="640" w:val="left"/>
        </w:tabs>
        <w:numPr>
          <w:ilvl w:val="0"/>
          <w:numId w:val="21"/>
        </w:numPr>
        <w:rPr>
          <w:rFonts w:ascii="Arial" w:cs="Arial" w:eastAsia="Arial" w:hAnsi="Arial"/>
          <w:sz w:val="18"/>
          <w:szCs w:val="18"/>
          <w:b w:val="1"/>
          <w:bCs w:val="1"/>
          <w:color w:val="1269BC"/>
        </w:rPr>
      </w:pPr>
      <w:r>
        <w:rPr>
          <w:rFonts w:ascii="Arial" w:cs="Arial" w:eastAsia="Arial" w:hAnsi="Arial"/>
          <w:sz w:val="18"/>
          <w:szCs w:val="18"/>
          <w:b w:val="1"/>
          <w:bCs w:val="1"/>
          <w:color w:val="1269BC"/>
        </w:rPr>
        <w:t>Purchases of Equity Securities by the Issuer and Affiliated Purchasers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share repurchases during the three months ended March 31, 2025.</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3 — DEFAULTS UPON SENIOR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4 — MINE SAFETY DISCLOSURES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34" w:name="page35"/>
    <w:bookmarkEnd w:id="34"/>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5 — OTHER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10b5-1 Plans</w:t>
      </w:r>
    </w:p>
    <w:p>
      <w:pPr>
        <w:spacing w:after="0" w:line="171"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During the three months ended March 31, 2025, none of the Company’s directors or officers (as defined in Rule 16a-1(f) of the Securities Exchange Act of 1934) adopted, terminated or modified a Rule 10b5-1 trading arrangement or non-Rule 10b5-1 trading arrangement (as such terms are defined in Item 408 of Regulation S-K of the Securities Act of 1933).</w:t>
      </w: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35" w:name="page36"/>
    <w:bookmarkEnd w:id="35"/>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6 — EXHIBITS</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20" w:type="dxa"/>
            <w:vAlign w:val="bottom"/>
            <w:vMerge w:val="restart"/>
          </w:tcPr>
          <w:p>
            <w:pPr>
              <w:ind w:left="180"/>
              <w:spacing w:after="0"/>
              <w:rPr>
                <w:sz w:val="20"/>
                <w:szCs w:val="20"/>
                <w:color w:val="auto"/>
              </w:rPr>
            </w:pPr>
            <w:r>
              <w:rPr>
                <w:rFonts w:ascii="Arial" w:cs="Arial" w:eastAsia="Arial" w:hAnsi="Arial"/>
                <w:sz w:val="18"/>
                <w:szCs w:val="18"/>
                <w:color w:val="auto"/>
              </w:rPr>
              <w:t>Exhibit No.</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140" w:type="dxa"/>
            <w:vAlign w:val="bottom"/>
            <w:gridSpan w:val="21"/>
            <w:vMerge w:val="restart"/>
          </w:tcPr>
          <w:p>
            <w:pPr>
              <w:ind w:left="20"/>
              <w:spacing w:after="0"/>
              <w:rPr>
                <w:sz w:val="20"/>
                <w:szCs w:val="20"/>
                <w:color w:val="auto"/>
              </w:rPr>
            </w:pPr>
            <w:r>
              <w:rPr>
                <w:rFonts w:ascii="Arial" w:cs="Arial" w:eastAsia="Arial" w:hAnsi="Arial"/>
                <w:sz w:val="18"/>
                <w:szCs w:val="18"/>
                <w:color w:val="auto"/>
              </w:rPr>
              <w:t>Description</w:t>
            </w:r>
          </w:p>
        </w:tc>
        <w:tc>
          <w:tcPr>
            <w:tcW w:w="1020" w:type="dxa"/>
            <w:vAlign w:val="bottom"/>
          </w:tcPr>
          <w:p>
            <w:pPr>
              <w:jc w:val="center"/>
              <w:spacing w:after="0"/>
              <w:rPr>
                <w:sz w:val="20"/>
                <w:szCs w:val="20"/>
                <w:color w:val="auto"/>
              </w:rPr>
            </w:pPr>
            <w:r>
              <w:rPr>
                <w:rFonts w:ascii="Arial" w:cs="Arial" w:eastAsia="Arial" w:hAnsi="Arial"/>
                <w:sz w:val="18"/>
                <w:szCs w:val="18"/>
                <w:color w:val="auto"/>
              </w:rPr>
              <w:t>Filed</w:t>
            </w:r>
          </w:p>
        </w:tc>
        <w:tc>
          <w:tcPr>
            <w:tcW w:w="0" w:type="dxa"/>
            <w:vAlign w:val="bottom"/>
          </w:tcPr>
          <w:p>
            <w:pPr>
              <w:spacing w:after="0"/>
              <w:rPr>
                <w:sz w:val="1"/>
                <w:szCs w:val="1"/>
                <w:color w:val="auto"/>
              </w:rPr>
            </w:pPr>
          </w:p>
        </w:tc>
      </w:tr>
      <w:tr>
        <w:trPr>
          <w:trHeight w:val="243"/>
        </w:trPr>
        <w:tc>
          <w:tcPr>
            <w:tcW w:w="13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140" w:type="dxa"/>
            <w:vAlign w:val="bottom"/>
            <w:gridSpan w:val="21"/>
            <w:vMerge w:val="continue"/>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Herewith</w:t>
            </w:r>
          </w:p>
        </w:tc>
        <w:tc>
          <w:tcPr>
            <w:tcW w:w="0" w:type="dxa"/>
            <w:vAlign w:val="bottom"/>
          </w:tcPr>
          <w:p>
            <w:pPr>
              <w:spacing w:after="0"/>
              <w:rPr>
                <w:sz w:val="1"/>
                <w:szCs w:val="1"/>
                <w:color w:val="auto"/>
              </w:rPr>
            </w:pPr>
          </w:p>
        </w:tc>
      </w:tr>
      <w:tr>
        <w:trPr>
          <w:trHeight w:val="182"/>
        </w:trPr>
        <w:tc>
          <w:tcPr>
            <w:tcW w:w="1320" w:type="dxa"/>
            <w:vAlign w:val="bottom"/>
          </w:tcPr>
          <w:p>
            <w:pPr>
              <w:spacing w:after="0" w:line="182" w:lineRule="exact"/>
              <w:rPr>
                <w:sz w:val="20"/>
                <w:szCs w:val="20"/>
                <w:color w:val="auto"/>
              </w:rPr>
            </w:pPr>
            <w:r>
              <w:rPr>
                <w:rFonts w:ascii="Arial" w:cs="Arial" w:eastAsia="Arial" w:hAnsi="Arial"/>
                <w:sz w:val="18"/>
                <w:szCs w:val="18"/>
                <w:color w:val="auto"/>
              </w:rPr>
              <w:t>2.1</w:t>
            </w:r>
          </w:p>
        </w:tc>
        <w:tc>
          <w:tcPr>
            <w:tcW w:w="20" w:type="dxa"/>
            <w:vAlign w:val="bottom"/>
            <w:tcBorders>
              <w:top w:val="single" w:sz="8" w:color="auto"/>
            </w:tcBorders>
          </w:tcPr>
          <w:p>
            <w:pPr>
              <w:spacing w:after="0"/>
              <w:rPr>
                <w:sz w:val="15"/>
                <w:szCs w:val="15"/>
                <w:color w:val="auto"/>
              </w:rPr>
            </w:pPr>
          </w:p>
        </w:tc>
        <w:tc>
          <w:tcPr>
            <w:tcW w:w="4340" w:type="dxa"/>
            <w:vAlign w:val="bottom"/>
            <w:tcBorders>
              <w:top w:val="single" w:sz="8" w:color="auto"/>
              <w:bottom w:val="single" w:sz="8" w:color="0000FF"/>
            </w:tcBorders>
            <w:gridSpan w:val="9"/>
          </w:tcPr>
          <w:p>
            <w:pPr>
              <w:spacing w:after="0" w:line="182" w:lineRule="exact"/>
              <w:rPr>
                <w:rFonts w:ascii="Arial" w:cs="Arial" w:eastAsia="Arial" w:hAnsi="Arial"/>
                <w:sz w:val="18"/>
                <w:szCs w:val="18"/>
                <w:color w:val="0000FF"/>
                <w:w w:val="99"/>
              </w:rPr>
            </w:pPr>
            <w:hyperlink r:id="rId46">
              <w:r>
                <w:rPr>
                  <w:rFonts w:ascii="Arial" w:cs="Arial" w:eastAsia="Arial" w:hAnsi="Arial"/>
                  <w:sz w:val="18"/>
                  <w:szCs w:val="18"/>
                  <w:color w:val="0000FF"/>
                  <w:w w:val="99"/>
                </w:rPr>
                <w:t>Custodial Transfer and Purchase Agreement, between</w:t>
              </w:r>
            </w:hyperlink>
          </w:p>
        </w:tc>
        <w:tc>
          <w:tcPr>
            <w:tcW w:w="820" w:type="dxa"/>
            <w:vAlign w:val="bottom"/>
            <w:tcBorders>
              <w:top w:val="single" w:sz="8" w:color="auto"/>
            </w:tcBorders>
            <w:gridSpan w:val="15"/>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gridSpan w:val="25"/>
          </w:tcPr>
          <w:p>
            <w:pPr>
              <w:spacing w:after="0" w:line="156" w:lineRule="exact"/>
              <w:rPr>
                <w:rFonts w:ascii="Arial" w:cs="Arial" w:eastAsia="Arial" w:hAnsi="Arial"/>
                <w:sz w:val="18"/>
                <w:szCs w:val="18"/>
                <w:color w:val="0000FF"/>
              </w:rPr>
            </w:pPr>
            <w:hyperlink r:id="rId46">
              <w:r>
                <w:rPr>
                  <w:rFonts w:ascii="Arial" w:cs="Arial" w:eastAsia="Arial" w:hAnsi="Arial"/>
                  <w:sz w:val="18"/>
                  <w:szCs w:val="18"/>
                  <w:color w:val="0000FF"/>
                </w:rPr>
                <w:t>Conduent Business Services, LLC and HealthEquity, Inc., dated</w:t>
              </w:r>
            </w:hyperlink>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80" w:type="dxa"/>
            <w:vAlign w:val="bottom"/>
            <w:tcBorders>
              <w:top w:val="single" w:sz="8" w:color="0000FF"/>
            </w:tcBorders>
            <w:gridSpan w:val="21"/>
          </w:tcPr>
          <w:p>
            <w:pPr>
              <w:spacing w:after="0" w:line="169" w:lineRule="exact"/>
              <w:rPr>
                <w:rFonts w:ascii="Arial" w:cs="Arial" w:eastAsia="Arial" w:hAnsi="Arial"/>
                <w:sz w:val="18"/>
                <w:szCs w:val="18"/>
                <w:color w:val="0000FF"/>
              </w:rPr>
            </w:pPr>
            <w:hyperlink r:id="rId46">
              <w:r>
                <w:rPr>
                  <w:rFonts w:ascii="Arial" w:cs="Arial" w:eastAsia="Arial" w:hAnsi="Arial"/>
                  <w:sz w:val="18"/>
                  <w:szCs w:val="18"/>
                  <w:color w:val="0000FF"/>
                </w:rPr>
                <w:t>as of September 18, 2023.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Pr>
          <w:p>
            <w:pPr>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5240" w:type="dxa"/>
            <w:vAlign w:val="bottom"/>
            <w:gridSpan w:val="25"/>
          </w:tcPr>
          <w:p>
            <w:pPr>
              <w:spacing w:after="0"/>
              <w:rPr>
                <w:rFonts w:ascii="Arial" w:cs="Arial" w:eastAsia="Arial" w:hAnsi="Arial"/>
                <w:sz w:val="18"/>
                <w:szCs w:val="18"/>
                <w:color w:val="0000FF"/>
              </w:rPr>
            </w:pPr>
            <w:hyperlink r:id="rId47">
              <w:r>
                <w:rPr>
                  <w:rFonts w:ascii="Arial" w:cs="Arial" w:eastAsia="Arial" w:hAnsi="Arial"/>
                  <w:sz w:val="18"/>
                  <w:szCs w:val="18"/>
                  <w:color w:val="0000FF"/>
                </w:rPr>
                <w:t>First Amendment to Custodial Transfer and Purchase</w:t>
              </w:r>
            </w:hyperlink>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gridSpan w:val="25"/>
          </w:tcPr>
          <w:p>
            <w:pPr>
              <w:spacing w:after="0" w:line="156" w:lineRule="exact"/>
              <w:rPr>
                <w:rFonts w:ascii="Arial" w:cs="Arial" w:eastAsia="Arial" w:hAnsi="Arial"/>
                <w:sz w:val="18"/>
                <w:szCs w:val="18"/>
                <w:color w:val="0000FF"/>
              </w:rPr>
            </w:pPr>
            <w:hyperlink r:id="rId47">
              <w:r>
                <w:rPr>
                  <w:rFonts w:ascii="Arial" w:cs="Arial" w:eastAsia="Arial" w:hAnsi="Arial"/>
                  <w:sz w:val="18"/>
                  <w:szCs w:val="18"/>
                  <w:color w:val="0000FF"/>
                </w:rPr>
                <w:t>Agreement, between Conduent Business Services, LLC and</w:t>
              </w:r>
            </w:hyperlink>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40" w:type="dxa"/>
            <w:vAlign w:val="bottom"/>
            <w:tcBorders>
              <w:top w:val="single" w:sz="8" w:color="0000FF"/>
              <w:bottom w:val="single" w:sz="8" w:color="0000FF"/>
            </w:tcBorders>
            <w:gridSpan w:val="6"/>
          </w:tcPr>
          <w:p>
            <w:pPr>
              <w:spacing w:after="0" w:line="169" w:lineRule="exact"/>
              <w:rPr>
                <w:rFonts w:ascii="Arial" w:cs="Arial" w:eastAsia="Arial" w:hAnsi="Arial"/>
                <w:sz w:val="18"/>
                <w:szCs w:val="18"/>
                <w:color w:val="0000FF"/>
                <w:w w:val="99"/>
              </w:rPr>
            </w:pPr>
            <w:hyperlink r:id="rId47">
              <w:r>
                <w:rPr>
                  <w:rFonts w:ascii="Arial" w:cs="Arial" w:eastAsia="Arial" w:hAnsi="Arial"/>
                  <w:sz w:val="18"/>
                  <w:szCs w:val="18"/>
                  <w:color w:val="0000FF"/>
                  <w:w w:val="99"/>
                </w:rPr>
                <w:t>HealthEquity, Inc., dated as of March 7, 2024.</w:t>
              </w:r>
            </w:hyperlink>
          </w:p>
        </w:tc>
        <w:tc>
          <w:tcPr>
            <w:tcW w:w="1160" w:type="dxa"/>
            <w:vAlign w:val="bottom"/>
            <w:tcBorders>
              <w:top w:val="single" w:sz="8" w:color="0000FF"/>
            </w:tcBorders>
            <w:gridSpan w:val="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5240" w:type="dxa"/>
            <w:vAlign w:val="bottom"/>
            <w:gridSpan w:val="25"/>
          </w:tcPr>
          <w:p>
            <w:pPr>
              <w:spacing w:after="0"/>
              <w:rPr>
                <w:rFonts w:ascii="Arial" w:cs="Arial" w:eastAsia="Arial" w:hAnsi="Arial"/>
                <w:sz w:val="18"/>
                <w:szCs w:val="18"/>
                <w:color w:val="0000FF"/>
              </w:rPr>
            </w:pPr>
            <w:hyperlink r:id="rId48">
              <w:r>
                <w:rPr>
                  <w:rFonts w:ascii="Arial" w:cs="Arial" w:eastAsia="Arial" w:hAnsi="Arial"/>
                  <w:sz w:val="18"/>
                  <w:szCs w:val="18"/>
                  <w:color w:val="0000FF"/>
                </w:rPr>
                <w:t>Restated Certificate of Incorporation of Registrant filed with the</w:t>
              </w:r>
            </w:hyperlink>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8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9"/>
              </w:rPr>
            </w:pPr>
            <w:hyperlink r:id="rId48">
              <w:r>
                <w:rPr>
                  <w:rFonts w:ascii="Arial" w:cs="Arial" w:eastAsia="Arial" w:hAnsi="Arial"/>
                  <w:sz w:val="18"/>
                  <w:szCs w:val="18"/>
                  <w:color w:val="0000FF"/>
                  <w:w w:val="99"/>
                </w:rPr>
                <w:t>Department of the State of New York on December 31, 2016.</w:t>
              </w:r>
            </w:hyperlink>
          </w:p>
        </w:tc>
        <w:tc>
          <w:tcPr>
            <w:tcW w:w="120" w:type="dxa"/>
            <w:vAlign w:val="bottom"/>
            <w:tcBorders>
              <w:top w:val="single" w:sz="8" w:color="0000FF"/>
            </w:tcBorders>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5240" w:type="dxa"/>
            <w:vAlign w:val="bottom"/>
            <w:gridSpan w:val="25"/>
          </w:tcPr>
          <w:p>
            <w:pPr>
              <w:spacing w:after="0"/>
              <w:rPr>
                <w:rFonts w:ascii="Arial" w:cs="Arial" w:eastAsia="Arial" w:hAnsi="Arial"/>
                <w:sz w:val="18"/>
                <w:szCs w:val="18"/>
                <w:color w:val="0000FF"/>
              </w:rPr>
            </w:pPr>
            <w:hyperlink r:id="rId49">
              <w:r>
                <w:rPr>
                  <w:rFonts w:ascii="Arial" w:cs="Arial" w:eastAsia="Arial" w:hAnsi="Arial"/>
                  <w:sz w:val="18"/>
                  <w:szCs w:val="18"/>
                  <w:color w:val="0000FF"/>
                </w:rPr>
                <w:t>Amended and Restated By-Laws of Registrant as amended</w:t>
              </w:r>
            </w:hyperlink>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4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49">
              <w:r>
                <w:rPr>
                  <w:rFonts w:ascii="Arial" w:cs="Arial" w:eastAsia="Arial" w:hAnsi="Arial"/>
                  <w:sz w:val="18"/>
                  <w:szCs w:val="18"/>
                  <w:color w:val="0000FF"/>
                </w:rPr>
                <w:t>through October 31, 2023.</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9"/>
                <w:szCs w:val="19"/>
                <w:color w:val="auto"/>
              </w:rPr>
            </w:pPr>
          </w:p>
        </w:tc>
        <w:tc>
          <w:tcPr>
            <w:tcW w:w="5240" w:type="dxa"/>
            <w:vAlign w:val="bottom"/>
            <w:gridSpan w:val="25"/>
          </w:tcPr>
          <w:p>
            <w:pPr>
              <w:spacing w:after="0"/>
              <w:rPr>
                <w:sz w:val="20"/>
                <w:szCs w:val="20"/>
                <w:color w:val="auto"/>
              </w:rPr>
            </w:pPr>
            <w:r>
              <w:rPr>
                <w:rFonts w:ascii="Arial" w:cs="Arial" w:eastAsia="Arial" w:hAnsi="Arial"/>
                <w:sz w:val="18"/>
                <w:szCs w:val="18"/>
                <w:color w:val="0000FF"/>
              </w:rPr>
              <w:t>Letter Agreement dated May 16, 2024 between Conduent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0" w:type="dxa"/>
            <w:vAlign w:val="bottom"/>
            <w:tcBorders>
              <w:top w:val="single" w:sz="8" w:color="0000FF"/>
            </w:tcBorders>
            <w:gridSpan w:val="11"/>
          </w:tcPr>
          <w:p>
            <w:pPr>
              <w:spacing w:after="0" w:line="156" w:lineRule="exact"/>
              <w:rPr>
                <w:sz w:val="20"/>
                <w:szCs w:val="20"/>
                <w:color w:val="auto"/>
              </w:rPr>
            </w:pPr>
            <w:r>
              <w:rPr>
                <w:rFonts w:ascii="Arial" w:cs="Arial" w:eastAsia="Arial" w:hAnsi="Arial"/>
                <w:sz w:val="18"/>
                <w:szCs w:val="18"/>
                <w:color w:val="0000FF"/>
              </w:rPr>
              <w:t>Incorporated and Michael McDaniel</w:t>
            </w:r>
            <w:r>
              <w:rPr>
                <w:rFonts w:ascii="Arial" w:cs="Arial" w:eastAsia="Arial" w:hAnsi="Arial"/>
                <w:sz w:val="18"/>
                <w:szCs w:val="18"/>
                <w:color w:val="000000"/>
              </w:rPr>
              <w:t>.</w:t>
            </w:r>
          </w:p>
        </w:tc>
        <w:tc>
          <w:tcPr>
            <w:tcW w:w="6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10.6(a)(i)</w:t>
            </w:r>
          </w:p>
        </w:tc>
        <w:tc>
          <w:tcPr>
            <w:tcW w:w="20" w:type="dxa"/>
            <w:vAlign w:val="bottom"/>
          </w:tcPr>
          <w:p>
            <w:pPr>
              <w:spacing w:after="0"/>
              <w:rPr>
                <w:sz w:val="19"/>
                <w:szCs w:val="19"/>
                <w:color w:val="auto"/>
              </w:rPr>
            </w:pPr>
          </w:p>
        </w:tc>
        <w:tc>
          <w:tcPr>
            <w:tcW w:w="5240" w:type="dxa"/>
            <w:vAlign w:val="bottom"/>
            <w:gridSpan w:val="25"/>
          </w:tcPr>
          <w:p>
            <w:pPr>
              <w:spacing w:after="0"/>
              <w:rPr>
                <w:sz w:val="20"/>
                <w:szCs w:val="20"/>
                <w:color w:val="auto"/>
              </w:rPr>
            </w:pPr>
            <w:r>
              <w:rPr>
                <w:rFonts w:ascii="Arial" w:cs="Arial" w:eastAsia="Arial" w:hAnsi="Arial"/>
                <w:sz w:val="18"/>
                <w:szCs w:val="18"/>
                <w:color w:val="0000FF"/>
              </w:rPr>
              <w:t>Form of Restricted Stock Unit Award Agreement 2025 under the</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20" w:type="dxa"/>
            <w:vAlign w:val="bottom"/>
            <w:tcBorders>
              <w:top w:val="single" w:sz="8" w:color="0000FF"/>
            </w:tcBorders>
            <w:gridSpan w:val="23"/>
          </w:tcPr>
          <w:p>
            <w:pPr>
              <w:spacing w:after="0" w:line="156" w:lineRule="exact"/>
              <w:rPr>
                <w:sz w:val="20"/>
                <w:szCs w:val="20"/>
                <w:color w:val="auto"/>
              </w:rPr>
            </w:pPr>
            <w:r>
              <w:rPr>
                <w:rFonts w:ascii="Arial" w:cs="Arial" w:eastAsia="Arial" w:hAnsi="Arial"/>
                <w:sz w:val="18"/>
                <w:szCs w:val="18"/>
                <w:color w:val="0000FF"/>
              </w:rPr>
              <w:t>2021 PIP</w:t>
            </w:r>
            <w:r>
              <w:rPr>
                <w:rFonts w:ascii="Arial" w:cs="Arial" w:eastAsia="Arial" w:hAnsi="Arial"/>
                <w:sz w:val="18"/>
                <w:szCs w:val="18"/>
                <w:color w:val="000000"/>
              </w:rPr>
              <w:t>.</w:t>
            </w:r>
          </w:p>
        </w:tc>
        <w:tc>
          <w:tcPr>
            <w:tcW w:w="120" w:type="dxa"/>
            <w:vAlign w:val="bottom"/>
            <w:gridSpan w:val="2"/>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10.6(a)(ii)</w:t>
            </w:r>
          </w:p>
        </w:tc>
        <w:tc>
          <w:tcPr>
            <w:tcW w:w="20" w:type="dxa"/>
            <w:vAlign w:val="bottom"/>
          </w:tcPr>
          <w:p>
            <w:pPr>
              <w:spacing w:after="0"/>
              <w:rPr>
                <w:sz w:val="19"/>
                <w:szCs w:val="19"/>
                <w:color w:val="auto"/>
              </w:rPr>
            </w:pPr>
          </w:p>
        </w:tc>
        <w:tc>
          <w:tcPr>
            <w:tcW w:w="5240" w:type="dxa"/>
            <w:vAlign w:val="bottom"/>
            <w:gridSpan w:val="25"/>
          </w:tcPr>
          <w:p>
            <w:pPr>
              <w:spacing w:after="0"/>
              <w:rPr>
                <w:sz w:val="20"/>
                <w:szCs w:val="20"/>
                <w:color w:val="auto"/>
              </w:rPr>
            </w:pPr>
            <w:r>
              <w:rPr>
                <w:rFonts w:ascii="Arial" w:cs="Arial" w:eastAsia="Arial" w:hAnsi="Arial"/>
                <w:sz w:val="18"/>
                <w:szCs w:val="18"/>
                <w:color w:val="0000FF"/>
              </w:rPr>
              <w:t>Form of Performance Stock Unit Award Agreement 2025</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7"/>
          </w:tcPr>
          <w:p>
            <w:pPr>
              <w:spacing w:after="0" w:line="156" w:lineRule="exact"/>
              <w:rPr>
                <w:sz w:val="20"/>
                <w:szCs w:val="20"/>
                <w:color w:val="auto"/>
              </w:rPr>
            </w:pPr>
            <w:r>
              <w:rPr>
                <w:rFonts w:ascii="Arial" w:cs="Arial" w:eastAsia="Arial" w:hAnsi="Arial"/>
                <w:sz w:val="18"/>
                <w:szCs w:val="18"/>
                <w:color w:val="0000FF"/>
                <w:w w:val="99"/>
              </w:rPr>
              <w:t>(Adjusted Revenue Growth) under the 2021 PIP.</w:t>
            </w:r>
          </w:p>
        </w:tc>
        <w:tc>
          <w:tcPr>
            <w:tcW w:w="640" w:type="dxa"/>
            <w:vAlign w:val="bottom"/>
            <w:tcBorders>
              <w:top w:val="single" w:sz="8" w:color="0000FF"/>
            </w:tcBorders>
            <w:gridSpan w:val="3"/>
          </w:tcPr>
          <w:p>
            <w:pPr>
              <w:spacing w:after="0"/>
              <w:rPr>
                <w:sz w:val="13"/>
                <w:szCs w:val="13"/>
                <w:color w:val="auto"/>
              </w:rPr>
            </w:pPr>
          </w:p>
        </w:tc>
        <w:tc>
          <w:tcPr>
            <w:tcW w:w="1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4"/>
          </w:tcPr>
          <w:p>
            <w:pPr>
              <w:spacing w:after="0"/>
              <w:rPr>
                <w:sz w:val="13"/>
                <w:szCs w:val="13"/>
                <w:color w:val="auto"/>
              </w:rPr>
            </w:pPr>
          </w:p>
        </w:tc>
        <w:tc>
          <w:tcPr>
            <w:tcW w:w="140" w:type="dxa"/>
            <w:vAlign w:val="bottom"/>
            <w:gridSpan w:val="3"/>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10.6(a)(iii)</w:t>
            </w:r>
          </w:p>
        </w:tc>
        <w:tc>
          <w:tcPr>
            <w:tcW w:w="20" w:type="dxa"/>
            <w:vAlign w:val="bottom"/>
          </w:tcPr>
          <w:p>
            <w:pPr>
              <w:spacing w:after="0"/>
              <w:rPr>
                <w:sz w:val="19"/>
                <w:szCs w:val="19"/>
                <w:color w:val="auto"/>
              </w:rPr>
            </w:pPr>
          </w:p>
        </w:tc>
        <w:tc>
          <w:tcPr>
            <w:tcW w:w="5240" w:type="dxa"/>
            <w:vAlign w:val="bottom"/>
            <w:gridSpan w:val="25"/>
          </w:tcPr>
          <w:p>
            <w:pPr>
              <w:spacing w:after="0"/>
              <w:rPr>
                <w:sz w:val="20"/>
                <w:szCs w:val="20"/>
                <w:color w:val="auto"/>
              </w:rPr>
            </w:pPr>
            <w:r>
              <w:rPr>
                <w:rFonts w:ascii="Arial" w:cs="Arial" w:eastAsia="Arial" w:hAnsi="Arial"/>
                <w:sz w:val="18"/>
                <w:szCs w:val="18"/>
                <w:color w:val="0000FF"/>
              </w:rPr>
              <w:t>Form of Performance Stock Unit Award Agreement 2025 for</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60" w:type="dxa"/>
            <w:vAlign w:val="bottom"/>
            <w:tcBorders>
              <w:top w:val="single" w:sz="8" w:color="0000FF"/>
            </w:tcBorders>
            <w:gridSpan w:val="14"/>
          </w:tcPr>
          <w:p>
            <w:pPr>
              <w:spacing w:after="0" w:line="156" w:lineRule="exact"/>
              <w:rPr>
                <w:sz w:val="20"/>
                <w:szCs w:val="20"/>
                <w:color w:val="auto"/>
              </w:rPr>
            </w:pPr>
            <w:r>
              <w:rPr>
                <w:rFonts w:ascii="Arial" w:cs="Arial" w:eastAsia="Arial" w:hAnsi="Arial"/>
                <w:sz w:val="18"/>
                <w:szCs w:val="18"/>
                <w:color w:val="0000FF"/>
              </w:rPr>
              <w:t>CEO and CFO (Adjusted Revenue Growth CEO and CFO)</w:t>
            </w: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4"/>
          </w:tcPr>
          <w:p>
            <w:pPr>
              <w:spacing w:after="0"/>
              <w:rPr>
                <w:sz w:val="13"/>
                <w:szCs w:val="13"/>
                <w:color w:val="auto"/>
              </w:rPr>
            </w:pPr>
          </w:p>
        </w:tc>
        <w:tc>
          <w:tcPr>
            <w:tcW w:w="140" w:type="dxa"/>
            <w:vAlign w:val="bottom"/>
            <w:gridSpan w:val="3"/>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Borders>
              <w:top w:val="single" w:sz="8" w:color="0000FF"/>
              <w:bottom w:val="single" w:sz="8" w:color="0000FF"/>
            </w:tcBorders>
            <w:gridSpan w:val="3"/>
          </w:tcPr>
          <w:p>
            <w:pPr>
              <w:spacing w:after="0" w:line="169" w:lineRule="exact"/>
              <w:rPr>
                <w:sz w:val="20"/>
                <w:szCs w:val="20"/>
                <w:color w:val="auto"/>
              </w:rPr>
            </w:pPr>
            <w:r>
              <w:rPr>
                <w:rFonts w:ascii="Arial" w:cs="Arial" w:eastAsia="Arial" w:hAnsi="Arial"/>
                <w:sz w:val="18"/>
                <w:szCs w:val="18"/>
                <w:color w:val="0000FF"/>
                <w:w w:val="97"/>
              </w:rPr>
              <w:t>under the 2021 PIP.</w:t>
            </w:r>
          </w:p>
        </w:tc>
        <w:tc>
          <w:tcPr>
            <w:tcW w:w="3080" w:type="dxa"/>
            <w:vAlign w:val="bottom"/>
            <w:tcBorders>
              <w:top w:val="single" w:sz="8" w:color="0000FF"/>
            </w:tcBorders>
            <w:gridSpan w:val="9"/>
          </w:tcPr>
          <w:p>
            <w:pPr>
              <w:spacing w:after="0"/>
              <w:rPr>
                <w:sz w:val="14"/>
                <w:szCs w:val="14"/>
                <w:color w:val="auto"/>
              </w:rPr>
            </w:pPr>
          </w:p>
        </w:tc>
        <w:tc>
          <w:tcPr>
            <w:tcW w:w="16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4"/>
          </w:tcPr>
          <w:p>
            <w:pPr>
              <w:spacing w:after="0"/>
              <w:rPr>
                <w:sz w:val="14"/>
                <w:szCs w:val="14"/>
                <w:color w:val="auto"/>
              </w:rPr>
            </w:pPr>
          </w:p>
        </w:tc>
        <w:tc>
          <w:tcPr>
            <w:tcW w:w="140" w:type="dxa"/>
            <w:vAlign w:val="bottom"/>
            <w:gridSpan w:val="3"/>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20"/>
                <w:szCs w:val="20"/>
                <w:color w:val="auto"/>
              </w:rPr>
            </w:pPr>
            <w:r>
              <w:rPr>
                <w:rFonts w:ascii="Arial" w:cs="Arial" w:eastAsia="Arial" w:hAnsi="Arial"/>
                <w:sz w:val="18"/>
                <w:szCs w:val="18"/>
                <w:color w:val="auto"/>
              </w:rPr>
              <w:t>10.6(a)(iv)</w:t>
            </w:r>
          </w:p>
        </w:tc>
        <w:tc>
          <w:tcPr>
            <w:tcW w:w="20" w:type="dxa"/>
            <w:vAlign w:val="bottom"/>
          </w:tcPr>
          <w:p>
            <w:pPr>
              <w:spacing w:after="0"/>
              <w:rPr>
                <w:sz w:val="18"/>
                <w:szCs w:val="18"/>
                <w:color w:val="auto"/>
              </w:rPr>
            </w:pPr>
          </w:p>
        </w:tc>
        <w:tc>
          <w:tcPr>
            <w:tcW w:w="5240" w:type="dxa"/>
            <w:vAlign w:val="bottom"/>
            <w:gridSpan w:val="25"/>
          </w:tcPr>
          <w:p>
            <w:pPr>
              <w:spacing w:after="0"/>
              <w:rPr>
                <w:sz w:val="20"/>
                <w:szCs w:val="20"/>
                <w:color w:val="auto"/>
              </w:rPr>
            </w:pPr>
            <w:r>
              <w:rPr>
                <w:rFonts w:ascii="Arial" w:cs="Arial" w:eastAsia="Arial" w:hAnsi="Arial"/>
                <w:sz w:val="18"/>
                <w:szCs w:val="18"/>
                <w:color w:val="0000FF"/>
              </w:rPr>
              <w:t>Form of Performance Stock Unit Award Agreement 2025 (rTSR)</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97"/>
              </w:rPr>
              <w:t>under the 2021 PIP.</w:t>
            </w:r>
          </w:p>
        </w:tc>
        <w:tc>
          <w:tcPr>
            <w:tcW w:w="3520" w:type="dxa"/>
            <w:vAlign w:val="bottom"/>
            <w:tcBorders>
              <w:top w:val="single" w:sz="8" w:color="0000FF"/>
            </w:tcBorders>
            <w:gridSpan w:val="19"/>
          </w:tcPr>
          <w:p>
            <w:pPr>
              <w:spacing w:after="0"/>
              <w:rPr>
                <w:sz w:val="13"/>
                <w:szCs w:val="13"/>
                <w:color w:val="auto"/>
              </w:rPr>
            </w:pPr>
          </w:p>
        </w:tc>
        <w:tc>
          <w:tcPr>
            <w:tcW w:w="140" w:type="dxa"/>
            <w:vAlign w:val="bottom"/>
            <w:gridSpan w:val="3"/>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31(a)</w:t>
            </w:r>
          </w:p>
        </w:tc>
        <w:tc>
          <w:tcPr>
            <w:tcW w:w="20" w:type="dxa"/>
            <w:vAlign w:val="bottom"/>
          </w:tcPr>
          <w:p>
            <w:pPr>
              <w:spacing w:after="0"/>
              <w:rPr>
                <w:sz w:val="19"/>
                <w:szCs w:val="19"/>
                <w:color w:val="auto"/>
              </w:rPr>
            </w:pPr>
          </w:p>
        </w:tc>
        <w:tc>
          <w:tcPr>
            <w:tcW w:w="5240" w:type="dxa"/>
            <w:vAlign w:val="bottom"/>
            <w:gridSpan w:val="25"/>
          </w:tcPr>
          <w:p>
            <w:pPr>
              <w:spacing w:after="0"/>
              <w:rPr>
                <w:sz w:val="20"/>
                <w:szCs w:val="20"/>
                <w:color w:val="auto"/>
              </w:rPr>
            </w:pPr>
            <w:r>
              <w:rPr>
                <w:rFonts w:ascii="Arial" w:cs="Arial" w:eastAsia="Arial" w:hAnsi="Arial"/>
                <w:sz w:val="18"/>
                <w:szCs w:val="18"/>
                <w:color w:val="0000FF"/>
              </w:rPr>
              <w:t>Certification of CEO pursuant to Rule 13a-14(a) or Rule 15d-</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7"/>
              </w:rPr>
              <w:t>14(a).</w:t>
            </w:r>
          </w:p>
        </w:tc>
        <w:tc>
          <w:tcPr>
            <w:tcW w:w="4380" w:type="dxa"/>
            <w:vAlign w:val="bottom"/>
            <w:tcBorders>
              <w:top w:val="single" w:sz="8" w:color="0000FF"/>
            </w:tcBorders>
            <w:gridSpan w:val="17"/>
          </w:tcPr>
          <w:p>
            <w:pPr>
              <w:spacing w:after="0"/>
              <w:rPr>
                <w:sz w:val="13"/>
                <w:szCs w:val="13"/>
                <w:color w:val="auto"/>
              </w:rPr>
            </w:pPr>
          </w:p>
        </w:tc>
        <w:tc>
          <w:tcPr>
            <w:tcW w:w="380" w:type="dxa"/>
            <w:vAlign w:val="bottom"/>
            <w:gridSpan w:val="7"/>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31(b)</w:t>
            </w:r>
          </w:p>
        </w:tc>
        <w:tc>
          <w:tcPr>
            <w:tcW w:w="20" w:type="dxa"/>
            <w:vAlign w:val="bottom"/>
          </w:tcPr>
          <w:p>
            <w:pPr>
              <w:spacing w:after="0"/>
              <w:rPr>
                <w:sz w:val="19"/>
                <w:szCs w:val="19"/>
                <w:color w:val="auto"/>
              </w:rPr>
            </w:pPr>
          </w:p>
        </w:tc>
        <w:tc>
          <w:tcPr>
            <w:tcW w:w="5240" w:type="dxa"/>
            <w:vAlign w:val="bottom"/>
            <w:gridSpan w:val="25"/>
          </w:tcPr>
          <w:p>
            <w:pPr>
              <w:spacing w:after="0"/>
              <w:rPr>
                <w:sz w:val="20"/>
                <w:szCs w:val="20"/>
                <w:color w:val="auto"/>
              </w:rPr>
            </w:pPr>
            <w:r>
              <w:rPr>
                <w:rFonts w:ascii="Arial" w:cs="Arial" w:eastAsia="Arial" w:hAnsi="Arial"/>
                <w:sz w:val="18"/>
                <w:szCs w:val="18"/>
                <w:color w:val="0000FF"/>
              </w:rPr>
              <w:t>Certification of CFO pursuant to Rule 13a-14(a) or Rule 15d-</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7"/>
              </w:rPr>
              <w:t>14(a).</w:t>
            </w:r>
          </w:p>
        </w:tc>
        <w:tc>
          <w:tcPr>
            <w:tcW w:w="4360" w:type="dxa"/>
            <w:vAlign w:val="bottom"/>
            <w:tcBorders>
              <w:top w:val="single" w:sz="8" w:color="0000FF"/>
            </w:tcBorders>
            <w:gridSpan w:val="16"/>
          </w:tcPr>
          <w:p>
            <w:pPr>
              <w:spacing w:after="0"/>
              <w:rPr>
                <w:sz w:val="13"/>
                <w:szCs w:val="13"/>
                <w:color w:val="auto"/>
              </w:rPr>
            </w:pPr>
          </w:p>
        </w:tc>
        <w:tc>
          <w:tcPr>
            <w:tcW w:w="400" w:type="dxa"/>
            <w:vAlign w:val="bottom"/>
            <w:gridSpan w:val="8"/>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5240" w:type="dxa"/>
            <w:vAlign w:val="bottom"/>
            <w:gridSpan w:val="25"/>
          </w:tcPr>
          <w:p>
            <w:pPr>
              <w:spacing w:after="0"/>
              <w:rPr>
                <w:sz w:val="20"/>
                <w:szCs w:val="20"/>
                <w:color w:val="auto"/>
              </w:rPr>
            </w:pPr>
            <w:r>
              <w:rPr>
                <w:rFonts w:ascii="Arial" w:cs="Arial" w:eastAsia="Arial" w:hAnsi="Arial"/>
                <w:sz w:val="18"/>
                <w:szCs w:val="18"/>
                <w:color w:val="0000FF"/>
              </w:rPr>
              <w:t>Certification of CEO and CFO pursuant to 18 U.S.C. Section</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8"/>
        </w:trPr>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20" w:type="dxa"/>
            <w:vAlign w:val="bottom"/>
            <w:tcBorders>
              <w:top w:val="single" w:sz="8" w:color="0000FF"/>
            </w:tcBorders>
            <w:gridSpan w:val="16"/>
          </w:tcPr>
          <w:p>
            <w:pPr>
              <w:spacing w:after="0" w:line="168" w:lineRule="exact"/>
              <w:rPr>
                <w:sz w:val="20"/>
                <w:szCs w:val="20"/>
                <w:color w:val="auto"/>
              </w:rPr>
            </w:pPr>
            <w:r>
              <w:rPr>
                <w:rFonts w:ascii="Arial" w:cs="Arial" w:eastAsia="Arial" w:hAnsi="Arial"/>
                <w:sz w:val="18"/>
                <w:szCs w:val="18"/>
                <w:u w:val="single" w:color="auto"/>
                <w:color w:val="0000FF"/>
              </w:rPr>
              <w:t>1350, as adopted pursuant to Section 906 of the Sarbanes-</w:t>
            </w:r>
          </w:p>
        </w:tc>
        <w:tc>
          <w:tcPr>
            <w:tcW w:w="420" w:type="dxa"/>
            <w:vAlign w:val="bottom"/>
            <w:gridSpan w:val="9"/>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1360"/>
        <w:spacing w:after="0"/>
        <w:rPr>
          <w:sz w:val="20"/>
          <w:szCs w:val="20"/>
          <w:color w:val="auto"/>
        </w:rPr>
      </w:pPr>
      <w:r>
        <w:rPr>
          <w:rFonts w:ascii="Arial" w:cs="Arial" w:eastAsia="Arial" w:hAnsi="Arial"/>
          <w:sz w:val="18"/>
          <w:szCs w:val="18"/>
          <w:u w:val="single" w:color="auto"/>
          <w:color w:val="0000FF"/>
        </w:rPr>
        <w:t>Oxley Act of 2002.</w:t>
      </w:r>
    </w:p>
    <w:p>
      <w:pPr>
        <w:spacing w:after="0" w:line="14" w:lineRule="exact"/>
        <w:rPr>
          <w:sz w:val="20"/>
          <w:szCs w:val="20"/>
          <w:color w:val="auto"/>
        </w:rPr>
      </w:pPr>
    </w:p>
    <w:p>
      <w:pPr>
        <w:ind w:left="1360" w:right="1160" w:hanging="1334"/>
        <w:spacing w:after="0" w:line="213" w:lineRule="auto"/>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following materials from the Registrant's Quarterly Report on Form 10-Q for the quarter ended March 31, 2025 formatted in Inline XBRL: (i) Condensed Consolidated Statements of Income, (ii) Condensed Consolidated Statements of Comprehensive Income, (iii) Condensed Consolidated Balance Sheets, (iv) Condensed Consolidated Statements of Cash Flows, (v) Condensed Consolidated Statements of Shareholders' Equity and (vi) Notes to Condensed Consolidated Financial Statements.</w:t>
      </w:r>
    </w:p>
    <w:p>
      <w:pPr>
        <w:spacing w:after="0" w:line="11" w:lineRule="exact"/>
        <w:rPr>
          <w:sz w:val="20"/>
          <w:szCs w:val="20"/>
          <w:color w:val="auto"/>
        </w:rPr>
      </w:pPr>
    </w:p>
    <w:p>
      <w:pPr>
        <w:ind w:left="1360" w:right="1200" w:hanging="1334"/>
        <w:spacing w:after="0"/>
        <w:tabs>
          <w:tab w:leader="none" w:pos="1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2371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80" w:type="dxa"/>
            <w:vAlign w:val="bottom"/>
            <w:gridSpan w:val="2"/>
          </w:tcPr>
          <w:p>
            <w:pPr>
              <w:ind w:left="180"/>
              <w:spacing w:after="0"/>
              <w:rPr>
                <w:sz w:val="20"/>
                <w:szCs w:val="20"/>
                <w:color w:val="auto"/>
              </w:rPr>
            </w:pPr>
            <w:r>
              <w:rPr>
                <w:rFonts w:ascii="Arial" w:cs="Arial" w:eastAsia="Arial" w:hAnsi="Arial"/>
                <w:sz w:val="18"/>
                <w:szCs w:val="18"/>
                <w:color w:val="auto"/>
              </w:rPr>
              <w:t>Form</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Exhibit No.</w:t>
            </w:r>
          </w:p>
        </w:tc>
        <w:tc>
          <w:tcPr>
            <w:tcW w:w="1240" w:type="dxa"/>
            <w:vAlign w:val="bottom"/>
          </w:tcPr>
          <w:p>
            <w:pPr>
              <w:ind w:left="180"/>
              <w:spacing w:after="0"/>
              <w:rPr>
                <w:sz w:val="20"/>
                <w:szCs w:val="20"/>
                <w:color w:val="auto"/>
              </w:rPr>
            </w:pPr>
            <w:r>
              <w:rPr>
                <w:rFonts w:ascii="Arial" w:cs="Arial" w:eastAsia="Arial" w:hAnsi="Arial"/>
                <w:sz w:val="18"/>
                <w:szCs w:val="18"/>
                <w:color w:val="auto"/>
              </w:rPr>
              <w:t>Filing Date</w:t>
            </w:r>
          </w:p>
        </w:tc>
      </w:tr>
      <w:tr>
        <w:trPr>
          <w:trHeight w:val="232"/>
        </w:trPr>
        <w:tc>
          <w:tcPr>
            <w:tcW w:w="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8-K</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ind w:right="950"/>
              <w:spacing w:after="0"/>
              <w:rPr>
                <w:sz w:val="20"/>
                <w:szCs w:val="20"/>
                <w:color w:val="auto"/>
              </w:rPr>
            </w:pPr>
            <w:r>
              <w:rPr>
                <w:rFonts w:ascii="Arial" w:cs="Arial" w:eastAsia="Arial" w:hAnsi="Arial"/>
                <w:sz w:val="18"/>
                <w:szCs w:val="18"/>
                <w:color w:val="auto"/>
                <w:w w:val="95"/>
              </w:rPr>
              <w:t>2.1</w:t>
            </w:r>
          </w:p>
        </w:tc>
        <w:tc>
          <w:tcPr>
            <w:tcW w:w="100" w:type="dxa"/>
            <w:vAlign w:val="bottom"/>
          </w:tcPr>
          <w:p>
            <w:pPr>
              <w:spacing w:after="0"/>
              <w:rPr>
                <w:sz w:val="20"/>
                <w:szCs w:val="20"/>
                <w:color w:val="auto"/>
              </w:rPr>
            </w:pPr>
          </w:p>
        </w:tc>
        <w:tc>
          <w:tcPr>
            <w:tcW w:w="1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9/19/2023</w:t>
            </w:r>
          </w:p>
        </w:tc>
      </w:tr>
      <w:tr>
        <w:trPr>
          <w:trHeight w:val="589"/>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10-Q</w:t>
            </w:r>
          </w:p>
        </w:tc>
        <w:tc>
          <w:tcPr>
            <w:tcW w:w="1300" w:type="dxa"/>
            <w:vAlign w:val="bottom"/>
          </w:tcPr>
          <w:p>
            <w:pPr>
              <w:jc w:val="right"/>
              <w:ind w:right="950"/>
              <w:spacing w:after="0"/>
              <w:rPr>
                <w:sz w:val="20"/>
                <w:szCs w:val="20"/>
                <w:color w:val="auto"/>
              </w:rPr>
            </w:pPr>
            <w:r>
              <w:rPr>
                <w:rFonts w:ascii="Arial" w:cs="Arial" w:eastAsia="Arial" w:hAnsi="Arial"/>
                <w:sz w:val="18"/>
                <w:szCs w:val="18"/>
                <w:color w:val="auto"/>
                <w:w w:val="95"/>
              </w:rPr>
              <w:t>2.2</w:t>
            </w:r>
          </w:p>
        </w:tc>
        <w:tc>
          <w:tcPr>
            <w:tcW w:w="10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8/7/2024</w:t>
            </w:r>
          </w:p>
        </w:tc>
      </w:tr>
      <w:tr>
        <w:trPr>
          <w:trHeight w:val="594"/>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300" w:type="dxa"/>
            <w:vAlign w:val="bottom"/>
          </w:tcPr>
          <w:p>
            <w:pPr>
              <w:jc w:val="right"/>
              <w:ind w:right="950"/>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12/23/2016</w:t>
            </w:r>
          </w:p>
        </w:tc>
      </w:tr>
      <w:tr>
        <w:trPr>
          <w:trHeight w:val="418"/>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10-Q</w:t>
            </w:r>
          </w:p>
        </w:tc>
        <w:tc>
          <w:tcPr>
            <w:tcW w:w="1300" w:type="dxa"/>
            <w:vAlign w:val="bottom"/>
          </w:tcPr>
          <w:p>
            <w:pPr>
              <w:jc w:val="right"/>
              <w:ind w:right="950"/>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11/1/2023</w:t>
            </w:r>
          </w:p>
        </w:tc>
      </w:tr>
    </w:tbl>
    <w:p>
      <w:pPr>
        <w:spacing w:after="0" w:line="6056" w:lineRule="exact"/>
        <w:rPr>
          <w:sz w:val="20"/>
          <w:szCs w:val="20"/>
          <w:color w:val="auto"/>
        </w:rPr>
      </w:pPr>
    </w:p>
    <w:p>
      <w:pPr>
        <w:sectPr>
          <w:pgSz w:w="11900" w:h="16838" w:orient="portrait"/>
          <w:cols w:equalWidth="0" w:num="2">
            <w:col w:w="7620" w:space="100"/>
            <w:col w:w="3520"/>
          </w:cols>
          <w:pgMar w:left="320" w:top="156" w:right="339" w:bottom="1440" w:gutter="0" w:footer="0" w:header="0"/>
        </w:sect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07" w:lineRule="exact"/>
        <w:rPr>
          <w:sz w:val="20"/>
          <w:szCs w:val="20"/>
          <w:color w:val="auto"/>
        </w:rPr>
      </w:pPr>
    </w:p>
    <w:p>
      <w:pPr>
        <w:ind w:left="660" w:right="140" w:hanging="652"/>
        <w:spacing w:after="0" w:line="268" w:lineRule="auto"/>
        <w:tabs>
          <w:tab w:leader="none" w:pos="282" w:val="left"/>
        </w:tabs>
        <w:numPr>
          <w:ilvl w:val="0"/>
          <w:numId w:val="24"/>
        </w:numPr>
        <w:rPr>
          <w:rFonts w:ascii="Arial" w:cs="Arial" w:eastAsia="Arial" w:hAnsi="Arial"/>
          <w:sz w:val="18"/>
          <w:szCs w:val="18"/>
          <w:color w:val="auto"/>
        </w:rPr>
      </w:pPr>
      <w:r>
        <w:rPr>
          <w:rFonts w:ascii="Arial" w:cs="Arial" w:eastAsia="Arial" w:hAnsi="Arial"/>
          <w:sz w:val="18"/>
          <w:szCs w:val="18"/>
          <w:color w:val="auto"/>
        </w:rPr>
        <w:t>Document has been furnished, is deemed not filed and is not to be incorporated by reference into any of Registrant’s filings under the Securities Act of 1933, as amended, or the Securities Exchange Act of 1934, as amended, irrespective of any general incorporation language contained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Q1 2025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type w:val="continuous"/>
        </w:sectPr>
      </w:pPr>
    </w:p>
    <w:bookmarkStart w:id="36" w:name="page37"/>
    <w:bookmarkEnd w:id="36"/>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SIGNATURES</w:t>
      </w:r>
    </w:p>
    <w:p>
      <w:pPr>
        <w:spacing w:after="0" w:line="243"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ind w:left="80"/>
        <w:spacing w:after="0" w:line="226" w:lineRule="auto"/>
        <w:rPr>
          <w:sz w:val="20"/>
          <w:szCs w:val="20"/>
          <w:color w:val="auto"/>
        </w:rPr>
      </w:pPr>
      <w:r>
        <w:rPr>
          <w:rFonts w:ascii="Arial" w:cs="Arial" w:eastAsia="Arial" w:hAnsi="Arial"/>
          <w:sz w:val="18"/>
          <w:szCs w:val="18"/>
          <w:b w:val="1"/>
          <w:bCs w:val="1"/>
          <w:color w:val="auto"/>
        </w:rPr>
        <w:t>CONDUENT INCORPORATED</w:t>
      </w:r>
    </w:p>
    <w:p>
      <w:pPr>
        <w:ind w:left="80"/>
        <w:spacing w:after="0"/>
        <w:rPr>
          <w:sz w:val="20"/>
          <w:szCs w:val="20"/>
          <w:color w:val="auto"/>
        </w:rPr>
      </w:pPr>
      <w:r>
        <w:rPr>
          <w:rFonts w:ascii="Arial" w:cs="Arial" w:eastAsia="Arial" w:hAnsi="Arial"/>
          <w:sz w:val="18"/>
          <w:szCs w:val="18"/>
          <w:color w:val="auto"/>
        </w:rPr>
        <w:t>(Registrant)</w:t>
      </w:r>
    </w:p>
    <w:p>
      <w:pPr>
        <w:spacing w:after="0" w:line="86" w:lineRule="exact"/>
        <w:rPr>
          <w:sz w:val="20"/>
          <w:szCs w:val="20"/>
          <w:color w:val="auto"/>
        </w:rPr>
      </w:pPr>
    </w:p>
    <w:p>
      <w:pPr>
        <w:ind w:left="80"/>
        <w:spacing w:after="0"/>
        <w:tabs>
          <w:tab w:leader="none" w:pos="560" w:val="left"/>
        </w:tabs>
        <w:rPr>
          <w:sz w:val="20"/>
          <w:szCs w:val="20"/>
          <w:color w:val="auto"/>
        </w:rPr>
      </w:pPr>
      <w:r>
        <w:rPr>
          <w:rFonts w:ascii="Arial" w:cs="Arial" w:eastAsia="Arial" w:hAnsi="Arial"/>
          <w:sz w:val="18"/>
          <w:szCs w:val="18"/>
          <w:color w:val="auto"/>
        </w:rPr>
        <w:t>By:</w:t>
        <w:tab/>
        <w:t>/S/ GEORGE ABATE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17780</wp:posOffset>
            </wp:positionV>
            <wp:extent cx="28886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George Abate</w:t>
      </w:r>
    </w:p>
    <w:p>
      <w:pPr>
        <w:ind w:left="580"/>
        <w:spacing w:after="0" w:line="203" w:lineRule="auto"/>
        <w:rPr>
          <w:sz w:val="20"/>
          <w:szCs w:val="20"/>
          <w:color w:val="auto"/>
        </w:rPr>
      </w:pPr>
      <w:r>
        <w:rPr>
          <w:rFonts w:ascii="Arial" w:cs="Arial" w:eastAsia="Arial" w:hAnsi="Arial"/>
          <w:sz w:val="14"/>
          <w:szCs w:val="14"/>
          <w:b w:val="1"/>
          <w:bCs w:val="1"/>
          <w:color w:val="auto"/>
        </w:rPr>
        <w:t>Vice President and Chief Accounting Officer</w:t>
      </w:r>
    </w:p>
    <w:p>
      <w:pPr>
        <w:ind w:left="580"/>
        <w:spacing w:after="0"/>
        <w:rPr>
          <w:sz w:val="20"/>
          <w:szCs w:val="20"/>
          <w:color w:val="auto"/>
        </w:rPr>
      </w:pPr>
      <w:r>
        <w:rPr>
          <w:rFonts w:ascii="Arial" w:cs="Arial" w:eastAsia="Arial" w:hAnsi="Arial"/>
          <w:sz w:val="14"/>
          <w:szCs w:val="14"/>
          <w:b w:val="1"/>
          <w:bCs w:val="1"/>
          <w:color w:val="auto"/>
        </w:rPr>
        <w:t>(Principal Accounting Officer)</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Date: May 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156" w:right="359" w:bottom="1440" w:gutter="0" w:footer="0" w:header="0"/>
        </w:sectPr>
      </w:pPr>
    </w:p>
    <w:bookmarkStart w:id="37" w:name="page38"/>
    <w:bookmarkEnd w:id="37"/>
    <w:p>
      <w:pPr>
        <w:ind w:left="42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936625</wp:posOffset>
            </wp:positionH>
            <wp:positionV relativeFrom="page">
              <wp:posOffset>88900</wp:posOffset>
            </wp:positionV>
            <wp:extent cx="1945640" cy="7029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945640" cy="702945"/>
                    </a:xfrm>
                    <a:prstGeom prst="rect">
                      <a:avLst/>
                    </a:prstGeom>
                    <a:noFill/>
                  </pic:spPr>
                </pic:pic>
              </a:graphicData>
            </a:graphic>
          </wp:anchor>
        </w:drawing>
        <w:t>EXHIBIT 10.1</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Personal and Confidential</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May 16, 2024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Michael McDaniel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Phoenix, AZ</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Dear Michael,</w:t>
      </w:r>
    </w:p>
    <w:p>
      <w:pPr>
        <w:spacing w:after="0" w:line="252"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We are pleased to extend you an offer of employment with Conduent Business Services, LLC as President, Commercial Solutions. You will report to Cliff Skelton at the Conduent office located at US – AZ – Remote, starting on July 17, 2024. As a full-time and exempt employee, your base salary will be $500,000 per US Annual paid semi-monthly (paid one week in arrears).</w:t>
      </w:r>
    </w:p>
    <w:p>
      <w:pPr>
        <w:spacing w:after="0" w:line="198" w:lineRule="exact"/>
        <w:rPr>
          <w:sz w:val="20"/>
          <w:szCs w:val="20"/>
          <w:color w:val="auto"/>
        </w:rPr>
      </w:pPr>
    </w:p>
    <w:p>
      <w:pPr>
        <w:ind w:right="3220"/>
        <w:spacing w:after="0" w:line="287" w:lineRule="auto"/>
        <w:rPr>
          <w:sz w:val="20"/>
          <w:szCs w:val="20"/>
          <w:color w:val="auto"/>
        </w:rPr>
      </w:pPr>
      <w:r>
        <w:rPr>
          <w:rFonts w:ascii="Arial" w:cs="Arial" w:eastAsia="Arial" w:hAnsi="Arial"/>
          <w:sz w:val="18"/>
          <w:szCs w:val="18"/>
          <w:color w:val="auto"/>
        </w:rPr>
        <w:t>As a full-time employee of Conduent Business Services and its subsidiaries ("Conduent") you will be eligible for the following:</w:t>
      </w:r>
    </w:p>
    <w:p>
      <w:pPr>
        <w:spacing w:after="0" w:line="180" w:lineRule="exact"/>
        <w:rPr>
          <w:sz w:val="20"/>
          <w:szCs w:val="20"/>
          <w:color w:val="auto"/>
        </w:rPr>
      </w:pPr>
    </w:p>
    <w:p>
      <w:pPr>
        <w:ind w:right="500" w:firstLine="8"/>
        <w:spacing w:after="0" w:line="287" w:lineRule="auto"/>
        <w:tabs>
          <w:tab w:leader="none" w:pos="113"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Benefits, which include medical, dental, vision, AD&amp;D, STD, LTD and Life Insurance. You are eligible for coverage on your first day of employment if you choose to enroll.</w:t>
      </w:r>
    </w:p>
    <w:p>
      <w:pPr>
        <w:spacing w:after="0" w:line="179" w:lineRule="exact"/>
        <w:rPr>
          <w:rFonts w:ascii="Arial" w:cs="Arial" w:eastAsia="Arial" w:hAnsi="Arial"/>
          <w:sz w:val="18"/>
          <w:szCs w:val="18"/>
          <w:color w:val="auto"/>
        </w:rPr>
      </w:pPr>
    </w:p>
    <w:p>
      <w:pPr>
        <w:ind w:left="120" w:hanging="112"/>
        <w:spacing w:after="0"/>
        <w:tabs>
          <w:tab w:leader="none" w:pos="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Participation in our 401(k) Plan.</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You are eligible to participate in the Flexible Vacation Plan.</w:t>
      </w:r>
    </w:p>
    <w:p>
      <w:pPr>
        <w:spacing w:after="0" w:line="25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You are eligible to participate in the Annual Performance Incentive Plan (APIP) for 2024 with an annual target level of 85% of your base salary prorated for time eligible to participate in the plan. Subject to the terms and conditions of the APIP, business and individual performance are generally key factors in determining payouts. Details of this plan are contained in the APIP Guide which will be provided to you separately.</w:t>
      </w:r>
    </w:p>
    <w:p>
      <w:pPr>
        <w:spacing w:after="0" w:line="20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You will be recommended to receive an equity award for a targeted amount of $900,000. If approved, your award will be issued on the next available grant date. Please note that your eligibility to participate in the LTIP does not guarantee that you will receive the same award amount in subsequent years, nor does it guarantee that you will receive any future grants under the LTIP.</w:t>
      </w:r>
    </w:p>
    <w:p>
      <w:pPr>
        <w:spacing w:after="0" w:line="19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You will be recommended to receive an additional one-time sign-on equity award in the amount of $100,000. If approved, your award will be issued on the next available grant date.</w:t>
      </w:r>
    </w:p>
    <w:p>
      <w:pPr>
        <w:spacing w:after="0" w:line="18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addition, you will receive a one-time cash sign-on award of $100,000 payable in one installment on December 31, 2024. You must be actively employed with Conduent on the payment date to be eligible to receive payment. If you voluntarily terminate your employment with Conduent or Conduent terminates your employment “for cause” at any time prior to December 31, 2025, you agree and understand that you will be required to repay the entire net amount of the cash sign-on award to Conduent at the time of your separation.</w:t>
      </w:r>
    </w:p>
    <w:p>
      <w:pPr>
        <w:spacing w:after="0" w:line="2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term “for cause” as used in this letter shall mean any one or more of the following reasons for termination: (i) your failure to follow the directions of your manager provided such directions are not inconsistent with your job duties and/or with applicable law; (ii) your performance of any act of fraud, dishonesty, misappropriation or embezzlement, or other similar willful misconduct while conducting business on behalf of Conduent or executing upon your job duties and responsibilities; (iii) your conviction of any felony or a crime involving moral turpitude (including pleading guilty or no contest to such crime or a lesser crime which results from plea bargaining); (iv) your performance becomes impaired due to alcohol or substance abuse and you refuse to seek treatment; (v) your performance of any act which injures or reasonably could be expected to injure the reputation, brand, business or business relationships of Conduent; and (vi) your violation of any material Conduent policy, including, but not limited to, policies prohibiting sexual harassment, retaliation, discrimination, and violence.</w:t>
      </w:r>
    </w:p>
    <w:p>
      <w:pPr>
        <w:spacing w:after="0" w:line="212"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You are eligible to participate in the Severance Protection and Change-in-Control Benefits as outlined in the applicable plan documents based on your role.</w:t>
      </w:r>
    </w:p>
    <w:p>
      <w:pPr>
        <w:sectPr>
          <w:pgSz w:w="11900" w:h="16838" w:orient="portrait"/>
          <w:cols w:equalWidth="0" w:num="1">
            <w:col w:w="11200"/>
          </w:cols>
          <w:pgMar w:left="320" w:top="1103" w:right="379" w:bottom="1440" w:gutter="0" w:footer="0" w:header="0"/>
        </w:sectPr>
      </w:pPr>
    </w:p>
    <w:bookmarkStart w:id="38" w:name="page39"/>
    <w:bookmarkEnd w:id="38"/>
    <w:p>
      <w:pPr>
        <w:ind w:left="42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936625</wp:posOffset>
            </wp:positionH>
            <wp:positionV relativeFrom="page">
              <wp:posOffset>88900</wp:posOffset>
            </wp:positionV>
            <wp:extent cx="1945640" cy="7029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945640" cy="702945"/>
                    </a:xfrm>
                    <a:prstGeom prst="rect">
                      <a:avLst/>
                    </a:prstGeom>
                    <a:noFill/>
                  </pic:spPr>
                </pic:pic>
              </a:graphicData>
            </a:graphic>
          </wp:anchor>
        </w:drawing>
        <w:t>EXHIBIT 10.1</w:t>
      </w:r>
    </w:p>
    <w:p>
      <w:pPr>
        <w:spacing w:after="0" w:line="200" w:lineRule="exact"/>
        <w:rPr>
          <w:sz w:val="20"/>
          <w:szCs w:val="20"/>
          <w:color w:val="auto"/>
        </w:rPr>
      </w:pPr>
    </w:p>
    <w:p>
      <w:pPr>
        <w:spacing w:after="0" w:line="356"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There is an expectation that you will interact in person with clients and Conduent employees on a routine and regular basis in New Jersey and/or other company locations, as needed.</w:t>
      </w:r>
    </w:p>
    <w:p>
      <w:pPr>
        <w:spacing w:after="0" w:line="18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While it is our sincere hope and belief that our relationship will be a beneficial one, Conduent does not offer employment on a fixed term basis. Unless otherwise prohibited by law, you understand and agree this letter should not be considered in any manner as a proposed contract for employment for any fixed term, as your employment will be "at will." That is, either you or Conduent can terminate this relationship at any time, with or without cause or notice. In addition, Conduent may change any term or condition of your employment at will; with or without cause or notice.</w:t>
      </w:r>
    </w:p>
    <w:p>
      <w:pPr>
        <w:spacing w:after="0" w:line="20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employment offer is contingent upon the successful completion of all pre-screening requirements including a background investigation and, if applicable, a pre-employment drug screen as required by the client, contractual obligation, or the business group. Depending on your role and/or the organization within the Company, additional checks might include (but are not limited to) credit, educational and prior employment checks. In addition, a critical piece of the onboarding processing, and staying compliant with federal law, is the completion of the U.S. Citizenship and Immigration Services Employment Eligibility Verification (Form I-9) on or before your start date. Recruiting will contact you to make an appointment with an I-9 verifier prior to your scheduled start date. If you are unable to complete your I-9 prior to your scheduled start date, you may bring the necessary documents with you on your scheduled start date. You will not be permitted to start work until your I-9 is completed. In addition, prior to your start date, you will also be required to complete and sign the Non-Competition and Non-Solicitation Agreement attached as an addendum to this offer letter.</w:t>
      </w:r>
    </w:p>
    <w:p>
      <w:pPr>
        <w:spacing w:after="0" w:line="20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This employment offer is also contingent on your agreeing to arbitrate employment-related claims pursuant to Conduent’s Dispute Resolution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Actions required to complete the Hiring Process: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 Sign below to confirm your acceptance of this offer within three (3) business days.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Please note that this offer will become invalid if your signed acceptance is not returned within the stated time frame.</w:t>
      </w:r>
    </w:p>
    <w:p>
      <w:pPr>
        <w:spacing w:after="0" w:line="234" w:lineRule="exact"/>
        <w:rPr>
          <w:sz w:val="20"/>
          <w:szCs w:val="20"/>
          <w:color w:val="auto"/>
        </w:rPr>
      </w:pPr>
    </w:p>
    <w:p>
      <w:pPr>
        <w:ind w:right="620" w:firstLine="8"/>
        <w:spacing w:after="0" w:line="287" w:lineRule="auto"/>
        <w:tabs>
          <w:tab w:leader="none" w:pos="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Complete all required onboarding forms/new hire paperwork prior to your start date to complete the hiring process. You will receive additional information on how to complete these steps upon acceptance of this offer.</w:t>
      </w:r>
    </w:p>
    <w:p>
      <w:pPr>
        <w:spacing w:after="0" w:line="180"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I want to personally welcome you to the Conduent team and look forward to working with you in the future. Conduent has an exciting and successful future; and we are confident that you will be able to contribute to our continued success.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Please let me know if you have any questions.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Cliff Skelton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Conduent Inc.</w:t>
      </w:r>
    </w:p>
    <w:p>
      <w:pPr>
        <w:spacing w:after="0" w:line="253" w:lineRule="exact"/>
        <w:rPr>
          <w:sz w:val="20"/>
          <w:szCs w:val="20"/>
          <w:color w:val="auto"/>
        </w:rPr>
      </w:pPr>
    </w:p>
    <w:p>
      <w:pPr>
        <w:spacing w:after="0"/>
        <w:rPr>
          <w:sz w:val="20"/>
          <w:szCs w:val="20"/>
          <w:color w:val="auto"/>
        </w:rPr>
      </w:pPr>
      <w:r>
        <w:rPr>
          <w:sz w:val="1"/>
          <w:szCs w:val="1"/>
          <w:color w:val="auto"/>
        </w:rPr>
        <w:drawing>
          <wp:inline distT="0" distB="0" distL="0" distR="0">
            <wp:extent cx="102870" cy="10287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8"/>
          <w:szCs w:val="18"/>
          <w:color w:val="auto"/>
        </w:rPr>
        <w:t xml:space="preserve"> Accept this offer  </w:t>
      </w:r>
      <w:r>
        <w:rPr>
          <w:sz w:val="1"/>
          <w:szCs w:val="1"/>
          <w:color w:val="auto"/>
        </w:rPr>
        <w:drawing>
          <wp:inline distT="0" distB="0" distL="0" distR="0">
            <wp:extent cx="102870" cy="10287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8"/>
          <w:szCs w:val="18"/>
          <w:color w:val="auto"/>
        </w:rPr>
        <w:t xml:space="preserve"> Decline this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53492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Signature Date</w:t>
      </w:r>
    </w:p>
    <w:p>
      <w:pPr>
        <w:sectPr>
          <w:pgSz w:w="11900" w:h="16838" w:orient="portrait"/>
          <w:cols w:equalWidth="0" w:num="1">
            <w:col w:w="11200"/>
          </w:cols>
          <w:pgMar w:left="320" w:top="1103" w:right="37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50"/>
        <w:spacing w:after="0"/>
        <w:rPr>
          <w:sz w:val="20"/>
          <w:szCs w:val="20"/>
          <w:color w:val="auto"/>
        </w:rPr>
      </w:pPr>
      <w:r>
        <w:rPr>
          <w:rFonts w:ascii="Arial" w:cs="Arial" w:eastAsia="Arial" w:hAnsi="Arial"/>
          <w:sz w:val="16"/>
          <w:szCs w:val="16"/>
          <w:b w:val="1"/>
          <w:bCs w:val="1"/>
          <w:color w:val="auto"/>
        </w:rPr>
        <w:t>RESTRICTED STOCK UNIT AWARD AGREEMENT PURSUANT TO</w:t>
      </w:r>
    </w:p>
    <w:p>
      <w:pPr>
        <w:jc w:val="center"/>
        <w:ind w:right="150"/>
        <w:spacing w:after="0"/>
        <w:rPr>
          <w:sz w:val="20"/>
          <w:szCs w:val="20"/>
          <w:color w:val="auto"/>
        </w:rPr>
      </w:pPr>
      <w:r>
        <w:rPr>
          <w:rFonts w:ascii="Arial" w:cs="Arial" w:eastAsia="Arial" w:hAnsi="Arial"/>
          <w:sz w:val="16"/>
          <w:szCs w:val="16"/>
          <w:b w:val="1"/>
          <w:bCs w:val="1"/>
          <w:color w:val="auto"/>
        </w:rPr>
        <w:t>CONDUENT INCORPORATED 2021 PERFORMANCE INCENTIVE PLAN</w:t>
      </w:r>
    </w:p>
    <w:p>
      <w:pPr>
        <w:spacing w:after="0" w:line="214" w:lineRule="exact"/>
        <w:rPr>
          <w:sz w:val="20"/>
          <w:szCs w:val="20"/>
          <w:color w:val="auto"/>
        </w:rPr>
      </w:pPr>
    </w:p>
    <w:p>
      <w:pPr>
        <w:jc w:val="both"/>
        <w:ind w:left="10"/>
        <w:spacing w:after="0" w:line="265" w:lineRule="auto"/>
        <w:rPr>
          <w:sz w:val="20"/>
          <w:szCs w:val="20"/>
          <w:color w:val="auto"/>
        </w:rPr>
      </w:pPr>
      <w:r>
        <w:rPr>
          <w:rFonts w:ascii="Arial" w:cs="Arial" w:eastAsia="Arial" w:hAnsi="Arial"/>
          <w:sz w:val="18"/>
          <w:szCs w:val="18"/>
          <w:color w:val="auto"/>
        </w:rPr>
        <w:t>This Restricted Stock Unit Award Agreement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by Conduent Incorporated, a New York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as of the date that appears in the Award Summary (as defined below) and the individual whose name appears on the Award Summary (the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who is an employee of the Company, one of the Company’s subsidiaries or one of its affiliates (the Company, or such subsidiary or affiliate,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w:t>
      </w:r>
    </w:p>
    <w:p>
      <w:pPr>
        <w:spacing w:after="0" w:line="112" w:lineRule="exact"/>
        <w:rPr>
          <w:sz w:val="20"/>
          <w:szCs w:val="20"/>
          <w:color w:val="auto"/>
        </w:rPr>
      </w:pPr>
    </w:p>
    <w:p>
      <w:pPr>
        <w:jc w:val="both"/>
        <w:ind w:left="10"/>
        <w:spacing w:after="0" w:line="268" w:lineRule="auto"/>
        <w:rPr>
          <w:sz w:val="20"/>
          <w:szCs w:val="20"/>
          <w:color w:val="auto"/>
        </w:rPr>
      </w:pPr>
      <w:r>
        <w:rPr>
          <w:rFonts w:ascii="Arial" w:cs="Arial" w:eastAsia="Arial" w:hAnsi="Arial"/>
          <w:sz w:val="18"/>
          <w:szCs w:val="18"/>
          <w:color w:val="auto"/>
        </w:rPr>
        <w:t>In accordance with the provisions of the Conduent Incorporated 2021 Performance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the Compensation Committee of the Board of Directors of the Company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or the Chief Executive Officer of the Company (the “</w:t>
      </w:r>
      <w:r>
        <w:rPr>
          <w:rFonts w:ascii="Arial" w:cs="Arial" w:eastAsia="Arial" w:hAnsi="Arial"/>
          <w:sz w:val="18"/>
          <w:szCs w:val="18"/>
          <w:b w:val="1"/>
          <w:bCs w:val="1"/>
          <w:i w:val="1"/>
          <w:iCs w:val="1"/>
          <w:color w:val="auto"/>
        </w:rPr>
        <w:t>CEO</w:t>
      </w:r>
      <w:r>
        <w:rPr>
          <w:rFonts w:ascii="Arial" w:cs="Arial" w:eastAsia="Arial" w:hAnsi="Arial"/>
          <w:sz w:val="18"/>
          <w:szCs w:val="18"/>
          <w:color w:val="auto"/>
        </w:rPr>
        <w:t>”) has authorized the execution and delivery of this Agreement.</w:t>
      </w:r>
    </w:p>
    <w:p>
      <w:pPr>
        <w:spacing w:after="0" w:line="117" w:lineRule="exact"/>
        <w:rPr>
          <w:sz w:val="20"/>
          <w:szCs w:val="20"/>
          <w:color w:val="auto"/>
        </w:rPr>
      </w:pPr>
    </w:p>
    <w:p>
      <w:pPr>
        <w:jc w:val="both"/>
        <w:ind w:left="10"/>
        <w:spacing w:after="0" w:line="287" w:lineRule="auto"/>
        <w:rPr>
          <w:sz w:val="20"/>
          <w:szCs w:val="20"/>
          <w:color w:val="auto"/>
        </w:rPr>
      </w:pPr>
      <w:r>
        <w:rPr>
          <w:rFonts w:ascii="Arial" w:cs="Arial" w:eastAsia="Arial" w:hAnsi="Arial"/>
          <w:sz w:val="18"/>
          <w:szCs w:val="18"/>
          <w:color w:val="auto"/>
        </w:rPr>
        <w:t>Terms used herein that are defined in the Plan or in this Agreement shall have the meanings assigned to them in the Plan or this Agreement, respectively.</w:t>
      </w:r>
    </w:p>
    <w:p>
      <w:pPr>
        <w:spacing w:after="0" w:line="99" w:lineRule="exact"/>
        <w:rPr>
          <w:sz w:val="20"/>
          <w:szCs w:val="20"/>
          <w:color w:val="auto"/>
        </w:rPr>
      </w:pPr>
    </w:p>
    <w:p>
      <w:pPr>
        <w:jc w:val="both"/>
        <w:ind w:left="10"/>
        <w:spacing w:after="0" w:line="268"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Award Summary</w:t>
      </w:r>
      <w:r>
        <w:rPr>
          <w:rFonts w:ascii="Arial" w:cs="Arial" w:eastAsia="Arial" w:hAnsi="Arial"/>
          <w:sz w:val="18"/>
          <w:szCs w:val="18"/>
          <w:b w:val="1"/>
          <w:bCs w:val="1"/>
          <w:color w:val="auto"/>
        </w:rPr>
        <w:t>”</w:t>
      </w:r>
      <w:r>
        <w:rPr>
          <w:rFonts w:ascii="Arial" w:cs="Arial" w:eastAsia="Arial" w:hAnsi="Arial"/>
          <w:sz w:val="18"/>
          <w:szCs w:val="18"/>
          <w:color w:val="auto"/>
        </w:rPr>
        <w:t xml:space="preserve"> is a separate document, provided via email or posted to GEMS or any other applicable Human Resources information system, that provides for the effective date hereof (the “</w:t>
      </w:r>
      <w:r>
        <w:rPr>
          <w:rFonts w:ascii="Arial" w:cs="Arial" w:eastAsia="Arial" w:hAnsi="Arial"/>
          <w:sz w:val="18"/>
          <w:szCs w:val="18"/>
          <w:b w:val="1"/>
          <w:bCs w:val="1"/>
          <w:i w:val="1"/>
          <w:iCs w:val="1"/>
          <w:color w:val="auto"/>
        </w:rPr>
        <w:t>Date of Grant</w:t>
      </w:r>
      <w:r>
        <w:rPr>
          <w:rFonts w:ascii="Arial" w:cs="Arial" w:eastAsia="Arial" w:hAnsi="Arial"/>
          <w:sz w:val="18"/>
          <w:szCs w:val="18"/>
          <w:color w:val="auto"/>
        </w:rPr>
        <w:t>”) and the applicable number of Restricted Stock Units granted pursuant hereto. The Award Summary is incorporated herein in its entirety.</w:t>
      </w:r>
    </w:p>
    <w:p>
      <w:pPr>
        <w:spacing w:after="0" w:line="117" w:lineRule="exact"/>
        <w:rPr>
          <w:sz w:val="20"/>
          <w:szCs w:val="20"/>
          <w:color w:val="auto"/>
        </w:rPr>
      </w:pPr>
    </w:p>
    <w:p>
      <w:pPr>
        <w:jc w:val="center"/>
        <w:ind w:right="450"/>
        <w:spacing w:after="0"/>
        <w:rPr>
          <w:sz w:val="20"/>
          <w:szCs w:val="20"/>
          <w:color w:val="auto"/>
        </w:rPr>
      </w:pPr>
      <w:r>
        <w:rPr>
          <w:rFonts w:ascii="Arial" w:cs="Arial" w:eastAsia="Arial" w:hAnsi="Arial"/>
          <w:sz w:val="17"/>
          <w:szCs w:val="17"/>
          <w:color w:val="auto"/>
        </w:rPr>
        <w:t>NOW, THEREFORE, in consideration of the premises and for other good and valuable consideration the Company agrees as follows:</w:t>
      </w:r>
    </w:p>
    <w:p>
      <w:pPr>
        <w:spacing w:after="0" w:line="183"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color w:val="auto"/>
        </w:rPr>
        <w:t>AWARDS</w:t>
      </w:r>
    </w:p>
    <w:p>
      <w:pPr>
        <w:spacing w:after="0" w:line="171" w:lineRule="exact"/>
        <w:rPr>
          <w:sz w:val="20"/>
          <w:szCs w:val="20"/>
          <w:color w:val="auto"/>
        </w:rPr>
      </w:pPr>
    </w:p>
    <w:p>
      <w:pPr>
        <w:jc w:val="both"/>
        <w:ind w:left="10" w:hanging="10"/>
        <w:spacing w:after="0" w:line="268" w:lineRule="auto"/>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Award of Restricted Stock Units</w:t>
      </w:r>
      <w:r>
        <w:rPr>
          <w:rFonts w:ascii="Arial" w:cs="Arial" w:eastAsia="Arial" w:hAnsi="Arial"/>
          <w:sz w:val="18"/>
          <w:szCs w:val="18"/>
          <w:color w:val="auto"/>
        </w:rPr>
        <w:t>. Subject to all terms and conditions of the Plan and this Agreement, the Company has awarded to the Employee on the date indicated on the Award Summary the number of Restricted Stock Units (individually, a “</w:t>
      </w:r>
      <w:r>
        <w:rPr>
          <w:rFonts w:ascii="Arial" w:cs="Arial" w:eastAsia="Arial" w:hAnsi="Arial"/>
          <w:sz w:val="18"/>
          <w:szCs w:val="18"/>
          <w:b w:val="1"/>
          <w:bCs w:val="1"/>
          <w:i w:val="1"/>
          <w:iCs w:val="1"/>
          <w:color w:val="auto"/>
        </w:rPr>
        <w:t>RSU</w:t>
      </w:r>
      <w:r>
        <w:rPr>
          <w:rFonts w:ascii="Arial" w:cs="Arial" w:eastAsia="Arial" w:hAnsi="Arial"/>
          <w:sz w:val="18"/>
          <w:szCs w:val="18"/>
          <w:color w:val="auto"/>
        </w:rPr>
        <w:t>”) as shown on the Award Summary.</w:t>
      </w:r>
    </w:p>
    <w:p>
      <w:pPr>
        <w:spacing w:after="0" w:line="117"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color w:val="auto"/>
        </w:rPr>
        <w:t>TERMS OF THE RESTRICTED STOCK UNITS</w:t>
      </w:r>
    </w:p>
    <w:p>
      <w:pPr>
        <w:spacing w:after="0" w:line="171" w:lineRule="exact"/>
        <w:rPr>
          <w:sz w:val="20"/>
          <w:szCs w:val="20"/>
          <w:color w:val="auto"/>
        </w:rPr>
      </w:pPr>
    </w:p>
    <w:p>
      <w:pPr>
        <w:jc w:val="both"/>
        <w:ind w:left="10" w:hanging="10"/>
        <w:spacing w:after="0" w:line="257" w:lineRule="auto"/>
        <w:tabs>
          <w:tab w:leader="none" w:pos="468"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Entitlement to Shares</w:t>
      </w:r>
      <w:r>
        <w:rPr>
          <w:rFonts w:ascii="Arial" w:cs="Arial" w:eastAsia="Arial" w:hAnsi="Arial"/>
          <w:sz w:val="18"/>
          <w:szCs w:val="18"/>
          <w:color w:val="auto"/>
        </w:rPr>
        <w:t>. As soon as practicable on or after each applicable Vesting Date (as defined below) (or such earlier date provided in Section 8), the Company shall deliver to the Employee, in such manner as the Company shall determine, a number of shares of common stock of the Company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equal to the number of vested RSUs (subject to reduction for withholding of the Employee’s taxes in relation to the award as described in Section 10) within 60 days following each applicable Vesting Date (or, if earlier, a distribution event set forth in Section 8 that satisfies the requirements of Section 409A(a)(2) of the Code); provided that any fractional shares shall be delivered in the form of cash equal to the value of such fractional shares on the applicable Vesting Date.</w:t>
      </w:r>
    </w:p>
    <w:p>
      <w:pPr>
        <w:spacing w:after="0" w:line="128" w:lineRule="exact"/>
        <w:rPr>
          <w:rFonts w:ascii="Arial" w:cs="Arial" w:eastAsia="Arial" w:hAnsi="Arial"/>
          <w:sz w:val="18"/>
          <w:szCs w:val="18"/>
          <w:color w:val="auto"/>
        </w:rPr>
      </w:pPr>
    </w:p>
    <w:p>
      <w:pPr>
        <w:jc w:val="both"/>
        <w:ind w:left="10" w:hanging="10"/>
        <w:spacing w:after="0" w:line="258" w:lineRule="auto"/>
        <w:tabs>
          <w:tab w:leader="none" w:pos="237"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Except as otherwise determined by the Committee in its sole discretion (subject to Section 6 of the Plan) or as otherwise provided in this Section 3 or Section 8, the vesting of RSUs covered hereby shall be subject to the Employee’s continued employment with or other provision of services to the Company or a subsidiary or affiliate through the applicable Vesting Date. For the avoidance of doubt, the change of the Employee’s status from employee to non-employee member of the Board of Directors of the Company, consultant or contractor who continues to provide services to the Company or a subsidiary or affiliate will not be considered a termination for purposes of this Agreement. The Employee shall be eligible to vest in one-third of the shares of Common Stock covered by this Agreement as set forth in the Award Summary on each of December 31, 2025, December 31, 2026 and December 31, 2027 (each, a “</w:t>
      </w:r>
      <w:r>
        <w:rPr>
          <w:rFonts w:ascii="Arial" w:cs="Arial" w:eastAsia="Arial" w:hAnsi="Arial"/>
          <w:sz w:val="18"/>
          <w:szCs w:val="18"/>
          <w:b w:val="1"/>
          <w:bCs w:val="1"/>
          <w:i w:val="1"/>
          <w:iCs w:val="1"/>
          <w:color w:val="auto"/>
        </w:rPr>
        <w:t>Vesting Date</w:t>
      </w:r>
      <w:r>
        <w:rPr>
          <w:rFonts w:ascii="Arial" w:cs="Arial" w:eastAsia="Arial" w:hAnsi="Arial"/>
          <w:sz w:val="18"/>
          <w:szCs w:val="18"/>
          <w:color w:val="auto"/>
        </w:rPr>
        <w:t>”).</w:t>
      </w:r>
    </w:p>
    <w:p>
      <w:pPr>
        <w:spacing w:after="0" w:line="116" w:lineRule="exact"/>
        <w:rPr>
          <w:sz w:val="20"/>
          <w:szCs w:val="20"/>
          <w:color w:val="auto"/>
        </w:rPr>
      </w:pPr>
    </w:p>
    <w:p>
      <w:pPr>
        <w:jc w:val="both"/>
        <w:ind w:left="10"/>
        <w:spacing w:after="0" w:line="268" w:lineRule="auto"/>
        <w:rPr>
          <w:sz w:val="20"/>
          <w:szCs w:val="20"/>
          <w:color w:val="auto"/>
        </w:rPr>
      </w:pPr>
      <w:r>
        <w:rPr>
          <w:rFonts w:ascii="Arial" w:cs="Arial" w:eastAsia="Arial" w:hAnsi="Arial"/>
          <w:sz w:val="18"/>
          <w:szCs w:val="18"/>
          <w:color w:val="auto"/>
        </w:rPr>
        <w:t>Upon the occurrence of an event constituting a Change in Control, notwithstanding anything to the contrary in Section 8 of the Plan, the RSUs outstanding on the date of such Change in Control, and any dividend equivalents with respect thereto, shall be assumed by the successor company (or its parent company) and remain outstanding and thereafter the vesting of such RSUs, and any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070"/>
          </w:cols>
          <w:pgMar w:left="490" w:top="377"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309" w:lineRule="exact"/>
        <w:rPr>
          <w:sz w:val="20"/>
          <w:szCs w:val="20"/>
          <w:color w:val="auto"/>
        </w:rPr>
      </w:pPr>
    </w:p>
    <w:p>
      <w:pPr>
        <w:jc w:val="both"/>
        <w:ind w:left="10"/>
        <w:spacing w:after="0" w:line="256" w:lineRule="auto"/>
        <w:rPr>
          <w:sz w:val="20"/>
          <w:szCs w:val="20"/>
          <w:color w:val="auto"/>
        </w:rPr>
      </w:pPr>
      <w:r>
        <w:rPr>
          <w:rFonts w:ascii="Arial" w:cs="Arial" w:eastAsia="Arial" w:hAnsi="Arial"/>
          <w:sz w:val="18"/>
          <w:szCs w:val="18"/>
          <w:color w:val="auto"/>
        </w:rPr>
        <w:t xml:space="preserve">dividend equivalents with respect thereto, shall be subject to the Employee’s continued employment with or provision of services to the Company or a subsidiary or an affiliate through each applicable Vesting Date as provided in this Section 3, at which time such RSUs shall vest and shall be paid in accordance with the terms of the Plan at the earliest time set forth in the Plan that will not trigger a tax or penalty under Section 409A of the Code, as determined by the Committee;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RSUs, and any dividend equivalents with respect thereto, shall vest and shall be paid to the extent provided in Section 8 in the event of the Employee’s termination of employment or services following such Change in Control and prior to a Vesting Date. Upon payment pursuant to the terms of the Plan, such awards shall be cancelled.</w:t>
      </w:r>
    </w:p>
    <w:p>
      <w:pPr>
        <w:spacing w:after="0" w:line="129" w:lineRule="exact"/>
        <w:rPr>
          <w:sz w:val="20"/>
          <w:szCs w:val="20"/>
          <w:color w:val="auto"/>
        </w:rPr>
      </w:pPr>
    </w:p>
    <w:p>
      <w:pPr>
        <w:jc w:val="both"/>
        <w:ind w:left="10" w:hanging="10"/>
        <w:spacing w:after="0" w:line="259" w:lineRule="auto"/>
        <w:tabs>
          <w:tab w:leader="none" w:pos="414"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xml:space="preserve"> The Employee shall become entitled to receive from the Company on each applicable Vesting Date (or such earlier date provided in Section 8) a cash payment equaling the same amount(s) that the holder of record of a number of shares of Common Stock equal to the number of vested RSUs (if any) would have been entitled to receive as dividends on such Common Stock during the period commencing on the effective date hereof and ending on each applicable Vesting Date (or such earlier date provided in Section 8) as provided under Section 3. Payments under this Section shall be net of any required withholding taxes.</w:t>
      </w:r>
    </w:p>
    <w:p>
      <w:pPr>
        <w:spacing w:after="0" w:line="125"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u w:val="single" w:color="auto"/>
          <w:color w:val="auto"/>
        </w:rPr>
        <w:t>OTHER TERMS</w:t>
      </w:r>
    </w:p>
    <w:p>
      <w:pPr>
        <w:spacing w:after="0" w:line="171" w:lineRule="exact"/>
        <w:rPr>
          <w:sz w:val="20"/>
          <w:szCs w:val="20"/>
          <w:color w:val="auto"/>
        </w:rPr>
      </w:pPr>
    </w:p>
    <w:p>
      <w:pPr>
        <w:jc w:val="both"/>
        <w:ind w:left="10" w:hanging="10"/>
        <w:spacing w:after="0" w:line="268" w:lineRule="auto"/>
        <w:tabs>
          <w:tab w:leader="none" w:pos="21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Ownership Guidelines</w:t>
      </w:r>
      <w:r>
        <w:rPr>
          <w:rFonts w:ascii="Arial" w:cs="Arial" w:eastAsia="Arial" w:hAnsi="Arial"/>
          <w:sz w:val="18"/>
          <w:szCs w:val="18"/>
          <w:color w:val="auto"/>
        </w:rPr>
        <w:t>. Guidelines pertaining to the Employee’s required ownership of Common Stock and related holding requirements (the “</w:t>
      </w:r>
      <w:r>
        <w:rPr>
          <w:rFonts w:ascii="Arial" w:cs="Arial" w:eastAsia="Arial" w:hAnsi="Arial"/>
          <w:sz w:val="18"/>
          <w:szCs w:val="18"/>
          <w:b w:val="1"/>
          <w:bCs w:val="1"/>
          <w:i w:val="1"/>
          <w:iCs w:val="1"/>
          <w:color w:val="auto"/>
        </w:rPr>
        <w:t>Stock Ownership Guidelines</w:t>
      </w:r>
      <w:r>
        <w:rPr>
          <w:rFonts w:ascii="Arial" w:cs="Arial" w:eastAsia="Arial" w:hAnsi="Arial"/>
          <w:sz w:val="18"/>
          <w:szCs w:val="18"/>
          <w:color w:val="auto"/>
        </w:rPr>
        <w:t>”) shall be determined by the Committee or its authorized delegate, as applicable, in its sole discretion from time to time as communicated to the Employee in writing.</w:t>
      </w:r>
    </w:p>
    <w:p>
      <w:pPr>
        <w:spacing w:after="0" w:line="116" w:lineRule="exact"/>
        <w:rPr>
          <w:rFonts w:ascii="Arial" w:cs="Arial" w:eastAsia="Arial" w:hAnsi="Arial"/>
          <w:sz w:val="18"/>
          <w:szCs w:val="18"/>
          <w:color w:val="auto"/>
        </w:rPr>
      </w:pPr>
    </w:p>
    <w:p>
      <w:pPr>
        <w:jc w:val="both"/>
        <w:ind w:left="10" w:hanging="4"/>
        <w:spacing w:after="0" w:line="268" w:lineRule="auto"/>
        <w:tabs>
          <w:tab w:leader="none" w:pos="373"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Voting Rights/Dividends</w:t>
      </w:r>
      <w:r>
        <w:rPr>
          <w:rFonts w:ascii="Arial" w:cs="Arial" w:eastAsia="Arial" w:hAnsi="Arial"/>
          <w:sz w:val="18"/>
          <w:szCs w:val="18"/>
          <w:color w:val="auto"/>
        </w:rPr>
        <w:t>. Except as otherwise provided herein, the Employee shall have no rights as a shareholder with respect to the RSUs until the date of issuance of a stock certificate to him for such RSUs and no adjustment shall be made for dividends or other rights for which the record date is prior to the date the RSUs become vested.</w:t>
      </w:r>
    </w:p>
    <w:p>
      <w:pPr>
        <w:spacing w:after="0" w:line="116" w:lineRule="exact"/>
        <w:rPr>
          <w:rFonts w:ascii="Arial" w:cs="Arial" w:eastAsia="Arial" w:hAnsi="Arial"/>
          <w:sz w:val="18"/>
          <w:szCs w:val="18"/>
          <w:color w:val="auto"/>
        </w:rPr>
      </w:pPr>
    </w:p>
    <w:p>
      <w:pPr>
        <w:jc w:val="both"/>
        <w:ind w:left="10" w:hanging="10"/>
        <w:spacing w:after="0" w:line="262" w:lineRule="auto"/>
        <w:tabs>
          <w:tab w:leader="none" w:pos="522"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Non-Assignability</w:t>
      </w:r>
      <w:r>
        <w:rPr>
          <w:rFonts w:ascii="Arial" w:cs="Arial" w:eastAsia="Arial" w:hAnsi="Arial"/>
          <w:sz w:val="18"/>
          <w:szCs w:val="18"/>
          <w:color w:val="auto"/>
        </w:rPr>
        <w:t>. Unless otherwise provided by the Committee in its discretion, RSUs may not be sold, assigned, alienated, transferred, pledged, attached or otherwise encumbered except as provided in Section 7(d)(ii) of the Plan. Any purported sale, assignment, alienation, transfer, pledge, attachment or other encumbrance of a RSU in violation of the provisions of this Section 7 and Section 7(d)(ii) of the Plan shall be void.</w:t>
      </w:r>
    </w:p>
    <w:p>
      <w:pPr>
        <w:spacing w:after="0" w:line="122" w:lineRule="exact"/>
        <w:rPr>
          <w:rFonts w:ascii="Arial" w:cs="Arial" w:eastAsia="Arial" w:hAnsi="Arial"/>
          <w:sz w:val="18"/>
          <w:szCs w:val="18"/>
          <w:color w:val="auto"/>
        </w:rPr>
      </w:pPr>
    </w:p>
    <w:p>
      <w:pPr>
        <w:ind w:left="350" w:hanging="350"/>
        <w:spacing w:after="0"/>
        <w:tabs>
          <w:tab w:leader="none" w:pos="35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Employment or Services or Death</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730" w:hanging="503"/>
        <w:spacing w:after="0" w:line="287" w:lineRule="auto"/>
        <w:tabs>
          <w:tab w:leader="none" w:pos="675"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Effect on RSUs</w:t>
      </w:r>
      <w:r>
        <w:rPr>
          <w:rFonts w:ascii="Arial" w:cs="Arial" w:eastAsia="Arial" w:hAnsi="Arial"/>
          <w:sz w:val="18"/>
          <w:szCs w:val="18"/>
          <w:color w:val="auto"/>
        </w:rPr>
        <w:t>. In the event of the Employee’s termination of employment or services prior to December 31, 2027, the RSUs will be treated as set forth below.</w:t>
      </w:r>
    </w:p>
    <w:p>
      <w:pPr>
        <w:spacing w:after="0" w:line="98" w:lineRule="exact"/>
        <w:rPr>
          <w:rFonts w:ascii="Arial" w:cs="Arial" w:eastAsia="Arial" w:hAnsi="Arial"/>
          <w:sz w:val="18"/>
          <w:szCs w:val="18"/>
          <w:color w:val="auto"/>
        </w:rPr>
      </w:pPr>
    </w:p>
    <w:p>
      <w:pPr>
        <w:jc w:val="both"/>
        <w:ind w:left="730" w:hanging="1"/>
        <w:spacing w:after="0" w:line="262" w:lineRule="auto"/>
        <w:tabs>
          <w:tab w:leader="none" w:pos="940" w:val="left"/>
        </w:tabs>
        <w:numPr>
          <w:ilvl w:val="2"/>
          <w:numId w:val="30"/>
        </w:numPr>
        <w:rPr>
          <w:rFonts w:ascii="Arial" w:cs="Arial" w:eastAsia="Arial" w:hAnsi="Arial"/>
          <w:sz w:val="18"/>
          <w:szCs w:val="18"/>
          <w:color w:val="auto"/>
        </w:rPr>
      </w:pPr>
      <w:r>
        <w:rPr>
          <w:rFonts w:ascii="Arial" w:cs="Arial" w:eastAsia="Arial" w:hAnsi="Arial"/>
          <w:sz w:val="18"/>
          <w:szCs w:val="18"/>
          <w:i w:val="1"/>
          <w:iCs w:val="1"/>
          <w:color w:val="auto"/>
        </w:rPr>
        <w:t>Voluntary Resignation</w:t>
      </w:r>
      <w:r>
        <w:rPr>
          <w:rFonts w:ascii="Arial" w:cs="Arial" w:eastAsia="Arial" w:hAnsi="Arial"/>
          <w:sz w:val="18"/>
          <w:szCs w:val="18"/>
          <w:color w:val="auto"/>
        </w:rPr>
        <w:t>. In the event the Employee voluntarily ceases to be an employee of or otherwise provide services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Employer for any reason other than a Termination For Good Reason following a Change in Control or a Qualifying Retirement, the RSUs that have not vested in accordance with Section 3 shall be canceled and forfeited on the date of such voluntary termination of employment or services.</w:t>
      </w:r>
    </w:p>
    <w:p>
      <w:pPr>
        <w:spacing w:after="0" w:line="122" w:lineRule="exact"/>
        <w:rPr>
          <w:rFonts w:ascii="Arial" w:cs="Arial" w:eastAsia="Arial" w:hAnsi="Arial"/>
          <w:sz w:val="18"/>
          <w:szCs w:val="18"/>
          <w:color w:val="auto"/>
        </w:rPr>
      </w:pPr>
    </w:p>
    <w:p>
      <w:pPr>
        <w:jc w:val="both"/>
        <w:ind w:left="730" w:hanging="1"/>
        <w:spacing w:after="0" w:line="255" w:lineRule="auto"/>
        <w:tabs>
          <w:tab w:leader="none" w:pos="980" w:val="left"/>
        </w:tabs>
        <w:numPr>
          <w:ilvl w:val="2"/>
          <w:numId w:val="30"/>
        </w:numPr>
        <w:rPr>
          <w:rFonts w:ascii="Arial" w:cs="Arial" w:eastAsia="Arial" w:hAnsi="Arial"/>
          <w:sz w:val="18"/>
          <w:szCs w:val="18"/>
          <w:color w:val="auto"/>
        </w:rPr>
      </w:pPr>
      <w:r>
        <w:rPr>
          <w:rFonts w:ascii="Arial" w:cs="Arial" w:eastAsia="Arial" w:hAnsi="Arial"/>
          <w:sz w:val="18"/>
          <w:szCs w:val="18"/>
          <w:i w:val="1"/>
          <w:iCs w:val="1"/>
          <w:color w:val="auto"/>
        </w:rPr>
        <w:t>Termination without Cause</w:t>
      </w:r>
      <w:r>
        <w:rPr>
          <w:rFonts w:ascii="Arial" w:cs="Arial" w:eastAsia="Arial" w:hAnsi="Arial"/>
          <w:sz w:val="18"/>
          <w:szCs w:val="18"/>
          <w:color w:val="auto"/>
        </w:rPr>
        <w:t>. Except as otherwise set forth in a Company plan or policy, in the event the Employee involuntarily</w:t>
      </w:r>
      <w:r>
        <w:rPr>
          <w:rFonts w:ascii="Arial" w:cs="Arial" w:eastAsia="Arial" w:hAnsi="Arial"/>
          <w:sz w:val="18"/>
          <w:szCs w:val="18"/>
          <w:i w:val="1"/>
          <w:iCs w:val="1"/>
          <w:color w:val="auto"/>
        </w:rPr>
        <w:t xml:space="preserve"> </w:t>
      </w:r>
      <w:r>
        <w:rPr>
          <w:rFonts w:ascii="Arial" w:cs="Arial" w:eastAsia="Arial" w:hAnsi="Arial"/>
          <w:sz w:val="18"/>
          <w:szCs w:val="18"/>
          <w:color w:val="auto"/>
        </w:rPr>
        <w:t>ceases to be an employee of or otherwise provide services to the Employer prior to a Change in Control for any reason other than due to death, Disability, or a termination for Cause, the RSUs shall continue to remain outstanding and vest for the number of months of cash severance (regardless of when such cash severance is delivered to the Employee) the Employee would be entitled to under the Company’s applicable severance plan or policy (with any RSUs and dividend equivalents with respect thereto that would otherwise vest and be settled out during such period being settled in accordance with Section 2) (the last day of such severance period, the “</w:t>
      </w:r>
      <w:r>
        <w:rPr>
          <w:rFonts w:ascii="Arial" w:cs="Arial" w:eastAsia="Arial" w:hAnsi="Arial"/>
          <w:sz w:val="18"/>
          <w:szCs w:val="18"/>
          <w:b w:val="1"/>
          <w:bCs w:val="1"/>
          <w:i w:val="1"/>
          <w:iCs w:val="1"/>
          <w:color w:val="auto"/>
        </w:rPr>
        <w:t>Severance Ending Date</w:t>
      </w:r>
      <w:r>
        <w:rPr>
          <w:rFonts w:ascii="Arial" w:cs="Arial" w:eastAsia="Arial" w:hAnsi="Arial"/>
          <w:sz w:val="18"/>
          <w:szCs w:val="18"/>
          <w:color w:val="auto"/>
        </w:rPr>
        <w:t>”), and the number of RSUs scheduled to vest on the Vesting Date immediately following the Severance Ending Date, and any dividend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070"/>
          </w:cols>
          <w:pgMar w:left="490" w:top="377"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309" w:lineRule="exact"/>
        <w:rPr>
          <w:sz w:val="20"/>
          <w:szCs w:val="20"/>
          <w:color w:val="auto"/>
        </w:rPr>
      </w:pPr>
    </w:p>
    <w:p>
      <w:pPr>
        <w:jc w:val="both"/>
        <w:ind w:left="1"/>
        <w:spacing w:after="0" w:line="254" w:lineRule="auto"/>
        <w:rPr>
          <w:sz w:val="20"/>
          <w:szCs w:val="20"/>
          <w:color w:val="auto"/>
        </w:rPr>
      </w:pPr>
      <w:r>
        <w:rPr>
          <w:rFonts w:ascii="Arial" w:cs="Arial" w:eastAsia="Arial" w:hAnsi="Arial"/>
          <w:sz w:val="18"/>
          <w:szCs w:val="18"/>
          <w:color w:val="auto"/>
        </w:rPr>
        <w:t>equivalents with respect thereto, shall be prorated based on a fraction, the numerator of which is the number of full months elapsed since the Vesting Date immediately preceding the Severance Ending Date (or, in the event such termination is prior to the first Vesting Date, the number of full months elapsed since January 1, 2025) and the denominator of which is 12, and any remaining RSUs shall be forfeited. Such prorated number of RSUs, and any dividend equivalents with respect thereto, shall continue to vest and shall be settled in accordance with Section 2 within 60 days following the Vesting Date immediately following the Severance Ending Date. Notwithstanding the foregoing, the vesting provided here shall be contingent, at the discretion of the Company, upon the Employee executing a general release (which may include an agreement with respect to engagement in detrimental activity in a form acceptable to the Company) and such release becoming effective and irrevocable within the 60-day period following such termination. For the avoidance of doubt, the Employee shall not be eligible to vest in an aggregate number of RSUs that is greater than the number of unvested RSUs shown in the Award Summary.</w:t>
      </w:r>
    </w:p>
    <w:p>
      <w:pPr>
        <w:spacing w:after="0" w:line="131" w:lineRule="exact"/>
        <w:rPr>
          <w:sz w:val="20"/>
          <w:szCs w:val="20"/>
          <w:color w:val="auto"/>
        </w:rPr>
      </w:pPr>
    </w:p>
    <w:p>
      <w:pPr>
        <w:jc w:val="both"/>
        <w:ind w:left="1" w:hanging="1"/>
        <w:spacing w:after="0" w:line="254" w:lineRule="auto"/>
        <w:tabs>
          <w:tab w:leader="none" w:pos="291"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Qualifying Termination Following Change in Control</w:t>
      </w:r>
      <w:r>
        <w:rPr>
          <w:rFonts w:ascii="Arial" w:cs="Arial" w:eastAsia="Arial" w:hAnsi="Arial"/>
          <w:sz w:val="18"/>
          <w:szCs w:val="18"/>
          <w:color w:val="auto"/>
        </w:rPr>
        <w:t>. In the event the Employee involuntarily ceases to be an employee of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 services to the Employer following a Change in Control for any reason other than a termination for Cause, or voluntarily ceases to be an employee due to a Termination for Good Reason following a Change in Control, then the RSUs covered by this Agreement, and any dividend equivalents with respect thereto, shall immediately vest (without proration based on the portion of the vesting period elapsed prior to such termination) and shall be paid in cash in accordance with the terms of the Plan within 60 days following the earliest time set forth in the Plan that will not trigger a tax or penalty under Section 409A of the Code, as determined by the Committee. Such vesting shall be contingent, at the discretion of the Company, upon the Employee executing a general release (which may include an agreement with respect to engagement in detrimental activity, in a form acceptable to the Company) and such release becoming effective and irrevocable within the 60-day period following such termination.</w:t>
      </w:r>
    </w:p>
    <w:p>
      <w:pPr>
        <w:spacing w:after="0" w:line="131" w:lineRule="exact"/>
        <w:rPr>
          <w:rFonts w:ascii="Arial" w:cs="Arial" w:eastAsia="Arial" w:hAnsi="Arial"/>
          <w:sz w:val="18"/>
          <w:szCs w:val="18"/>
          <w:color w:val="auto"/>
        </w:rPr>
      </w:pPr>
    </w:p>
    <w:p>
      <w:pPr>
        <w:jc w:val="both"/>
        <w:ind w:left="1" w:hanging="1"/>
        <w:spacing w:after="0" w:line="259" w:lineRule="auto"/>
        <w:tabs>
          <w:tab w:leader="none" w:pos="301"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Death or Disability</w:t>
      </w:r>
      <w:r>
        <w:rPr>
          <w:rFonts w:ascii="Arial" w:cs="Arial" w:eastAsia="Arial" w:hAnsi="Arial"/>
          <w:sz w:val="18"/>
          <w:szCs w:val="18"/>
          <w:color w:val="auto"/>
        </w:rPr>
        <w:t>. In the event the Employee involuntarily ceases to be an employee of or otherwise provide services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Employer by reason of death or Disability, the RSUs covered by this Agreement, and any dividend equivalents with respect thereto, shall immediately vest if such termination of employment or services occurs prior to a Change in Control and shall be settled within 60 days following the Vesting Date immediately following such termination in accordance with Section 2, without proration.</w:t>
      </w:r>
    </w:p>
    <w:p>
      <w:pPr>
        <w:spacing w:after="0" w:line="125" w:lineRule="exact"/>
        <w:rPr>
          <w:rFonts w:ascii="Arial" w:cs="Arial" w:eastAsia="Arial" w:hAnsi="Arial"/>
          <w:sz w:val="18"/>
          <w:szCs w:val="18"/>
          <w:color w:val="auto"/>
        </w:rPr>
      </w:pPr>
    </w:p>
    <w:p>
      <w:pPr>
        <w:jc w:val="both"/>
        <w:ind w:left="1" w:hanging="1"/>
        <w:spacing w:after="0" w:line="257" w:lineRule="auto"/>
        <w:tabs>
          <w:tab w:leader="none" w:pos="274"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Qualifying Retirement</w:t>
      </w:r>
      <w:r>
        <w:rPr>
          <w:rFonts w:ascii="Arial" w:cs="Arial" w:eastAsia="Arial" w:hAnsi="Arial"/>
          <w:sz w:val="18"/>
          <w:szCs w:val="18"/>
          <w:color w:val="auto"/>
        </w:rPr>
        <w:t>. In the event of the Employee’s Qualifying Retirement, the RSUs shall continue to vest and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settled on the schedule set forth in Section 2 of this Agreement; provided that the Employee (A) completes a successful transition of responsibilities (as determined by the Board of Directors of the Company) and cooperates during the remaining vesting period,</w:t>
      </w:r>
    </w:p>
    <w:p>
      <w:pPr>
        <w:spacing w:after="0" w:line="1" w:lineRule="exact"/>
        <w:rPr>
          <w:rFonts w:ascii="Arial" w:cs="Arial" w:eastAsia="Arial" w:hAnsi="Arial"/>
          <w:sz w:val="18"/>
          <w:szCs w:val="18"/>
          <w:color w:val="auto"/>
        </w:rPr>
      </w:pPr>
    </w:p>
    <w:p>
      <w:pPr>
        <w:jc w:val="both"/>
        <w:ind w:left="1"/>
        <w:spacing w:after="0" w:line="253" w:lineRule="auto"/>
        <w:rPr>
          <w:rFonts w:ascii="Arial" w:cs="Arial" w:eastAsia="Arial" w:hAnsi="Arial"/>
          <w:sz w:val="18"/>
          <w:szCs w:val="18"/>
          <w:color w:val="auto"/>
        </w:rPr>
      </w:pPr>
      <w:r>
        <w:rPr>
          <w:rFonts w:ascii="Arial" w:cs="Arial" w:eastAsia="Arial" w:hAnsi="Arial"/>
          <w:sz w:val="18"/>
          <w:szCs w:val="18"/>
          <w:color w:val="auto"/>
        </w:rPr>
        <w:t>(B) complies with any applicable restrictive covenants and non-disparagement provisions during the remaining vesting period, (C) reasonably cooperates with the Company and its affiliates with respect to any investigation, litigation, arbitration, or regulatory proceeding regarding events that occurred during the Employee’s tenure with the Company, and (D) does not accept full time employment at a public or private company (with the exception of (1) board service, teaching, public service, or consulting, (2) employment with a family business, non-profit, startup, or other materially similar enterprise, or (3) any other employment specifically approved by the CEO (or, if the Employee was the CEO prior to such retirement, the Board)).</w:t>
      </w:r>
    </w:p>
    <w:p>
      <w:pPr>
        <w:spacing w:after="0" w:line="130" w:lineRule="exact"/>
        <w:rPr>
          <w:rFonts w:ascii="Arial" w:cs="Arial" w:eastAsia="Arial" w:hAnsi="Arial"/>
          <w:sz w:val="18"/>
          <w:szCs w:val="18"/>
          <w:color w:val="auto"/>
        </w:rPr>
      </w:pPr>
    </w:p>
    <w:p>
      <w:pPr>
        <w:jc w:val="both"/>
        <w:ind w:left="1" w:hanging="1"/>
        <w:spacing w:after="0" w:line="268" w:lineRule="auto"/>
        <w:tabs>
          <w:tab w:leader="none" w:pos="301"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Termination for Cause</w:t>
      </w:r>
      <w:r>
        <w:rPr>
          <w:rFonts w:ascii="Arial" w:cs="Arial" w:eastAsia="Arial" w:hAnsi="Arial"/>
          <w:sz w:val="18"/>
          <w:szCs w:val="18"/>
          <w:color w:val="auto"/>
        </w:rPr>
        <w:t>. In the event the Employee involuntarily ceases to be an employee of or otherwise provide services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Employer due to termination for Cause, the RSUs shall be cancelled and forfeited on the date of such termination of employment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681"/>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341"/>
          </w:cols>
          <w:pgMar w:left="1219" w:top="377"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309" w:lineRule="exact"/>
        <w:rPr>
          <w:sz w:val="20"/>
          <w:szCs w:val="20"/>
          <w:color w:val="auto"/>
        </w:rPr>
      </w:pPr>
    </w:p>
    <w:p>
      <w:pPr>
        <w:jc w:val="both"/>
        <w:ind w:left="530" w:right="20"/>
        <w:spacing w:after="0" w:line="287" w:lineRule="auto"/>
        <w:rPr>
          <w:sz w:val="20"/>
          <w:szCs w:val="20"/>
          <w:color w:val="auto"/>
        </w:rPr>
      </w:pPr>
      <w:r>
        <w:rPr>
          <w:rFonts w:ascii="Arial" w:cs="Arial" w:eastAsia="Arial" w:hAnsi="Arial"/>
          <w:sz w:val="18"/>
          <w:szCs w:val="18"/>
          <w:color w:val="auto"/>
        </w:rPr>
        <w:t>or services, in addition to any other rights reserved under the Conduent Incorporated Compensation Recoupment Policy, as may be amended from time to time, or any successor policy.</w:t>
      </w:r>
    </w:p>
    <w:p>
      <w:pPr>
        <w:spacing w:after="0" w:line="99" w:lineRule="exact"/>
        <w:rPr>
          <w:sz w:val="20"/>
          <w:szCs w:val="20"/>
          <w:color w:val="auto"/>
        </w:rPr>
      </w:pPr>
    </w:p>
    <w:p>
      <w:pPr>
        <w:jc w:val="both"/>
        <w:ind w:left="530" w:hanging="1"/>
        <w:spacing w:after="0" w:line="254" w:lineRule="auto"/>
        <w:tabs>
          <w:tab w:leader="none" w:pos="870"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Termination Date</w:t>
      </w:r>
      <w:r>
        <w:rPr>
          <w:rFonts w:ascii="Arial" w:cs="Arial" w:eastAsia="Arial" w:hAnsi="Arial"/>
          <w:sz w:val="18"/>
          <w:szCs w:val="18"/>
          <w:color w:val="auto"/>
        </w:rPr>
        <w:t>. For purposes of this Agreement and the RSUs, the Employee’s employment and / or service relationship</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considered terminated as of the date the Employee is no longer is actively providing services to the Company, the Employer or any affiliate (regardless of the reason for such termination and whether or not later found to be invalid or in breach of labor laws in the jurisdiction where the Employee provides services or the terms of the Employee's employment or other service agreement, if any), and unless otherwise determined by the Company, the Employee’s right to vest in the RSUs, if any, will terminate as of such date and, in either case, will not be extended by any notice period (</w:t>
      </w:r>
      <w:r>
        <w:rPr>
          <w:rFonts w:ascii="Arial" w:cs="Arial" w:eastAsia="Arial" w:hAnsi="Arial"/>
          <w:sz w:val="18"/>
          <w:szCs w:val="18"/>
          <w:i w:val="1"/>
          <w:iCs w:val="1"/>
          <w:color w:val="auto"/>
        </w:rPr>
        <w:t>e.g.</w:t>
      </w:r>
      <w:r>
        <w:rPr>
          <w:rFonts w:ascii="Arial" w:cs="Arial" w:eastAsia="Arial" w:hAnsi="Arial"/>
          <w:sz w:val="18"/>
          <w:szCs w:val="18"/>
          <w:color w:val="auto"/>
        </w:rPr>
        <w:t>, the Employee’s period of service would not include any contractual notice period or any period of “garden leave” or similar period mandated under labor laws in the jurisdiction where the Employee provides services or the terms of the Employee's employment or other service agreement, if any). The Committee shall have the exclusive discretion to determine when the Employee no longer is actively providing services for purposes of this Agreement and the RSUs (including whether the Employee still may be considered to be providing services while on a leave of absence).</w:t>
      </w:r>
    </w:p>
    <w:p>
      <w:pPr>
        <w:spacing w:after="0" w:line="128" w:lineRule="exact"/>
        <w:rPr>
          <w:rFonts w:ascii="Arial" w:cs="Arial" w:eastAsia="Arial" w:hAnsi="Arial"/>
          <w:sz w:val="18"/>
          <w:szCs w:val="18"/>
          <w:color w:val="auto"/>
        </w:rPr>
      </w:pPr>
    </w:p>
    <w:p>
      <w:pPr>
        <w:ind w:left="410" w:hanging="410"/>
        <w:spacing w:after="0"/>
        <w:tabs>
          <w:tab w:leader="none" w:pos="41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71" w:lineRule="exact"/>
        <w:rPr>
          <w:sz w:val="20"/>
          <w:szCs w:val="20"/>
          <w:color w:val="auto"/>
        </w:rPr>
      </w:pPr>
    </w:p>
    <w:p>
      <w:pPr>
        <w:jc w:val="both"/>
        <w:ind w:left="530" w:right="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has the meaning set forth in the Conduent Incorporated Compensation Recoupment Policy, as may be amended from time to time, or any successor policy.</w:t>
      </w:r>
    </w:p>
    <w:p>
      <w:pPr>
        <w:spacing w:after="0" w:line="99" w:lineRule="exact"/>
        <w:rPr>
          <w:sz w:val="20"/>
          <w:szCs w:val="20"/>
          <w:color w:val="auto"/>
        </w:rPr>
      </w:pPr>
    </w:p>
    <w:p>
      <w:pPr>
        <w:jc w:val="both"/>
        <w:ind w:left="53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has the meaning set forth in the Plan, except that for Section 8(a) only, an increase in ownership by Permitted Holders shall not be deemed a Change in Control.</w:t>
      </w:r>
    </w:p>
    <w:p>
      <w:pPr>
        <w:spacing w:after="0" w:line="99" w:lineRule="exact"/>
        <w:rPr>
          <w:sz w:val="20"/>
          <w:szCs w:val="20"/>
          <w:color w:val="auto"/>
        </w:rPr>
      </w:pPr>
    </w:p>
    <w:p>
      <w:pPr>
        <w:jc w:val="both"/>
        <w:ind w:left="53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Data Protection Laws</w:t>
      </w:r>
      <w:r>
        <w:rPr>
          <w:rFonts w:ascii="Arial" w:cs="Arial" w:eastAsia="Arial" w:hAnsi="Arial"/>
          <w:sz w:val="18"/>
          <w:szCs w:val="18"/>
          <w:color w:val="auto"/>
        </w:rPr>
        <w:t>” means all applicable laws and regulations relating to the processing of Personal Data and privacy that may exist in the relevant jurisdictions.</w:t>
      </w:r>
    </w:p>
    <w:p>
      <w:pPr>
        <w:spacing w:after="0" w:line="99" w:lineRule="exact"/>
        <w:rPr>
          <w:sz w:val="20"/>
          <w:szCs w:val="20"/>
          <w:color w:val="auto"/>
        </w:rPr>
      </w:pPr>
    </w:p>
    <w:p>
      <w:pPr>
        <w:jc w:val="both"/>
        <w:ind w:left="53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xml:space="preserve">” shall include cessation of active employment or services due to commencement of long-term disability under the Employer’s long-term disability plan or under a disability policy of any subsidiary or affiliate,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Disability shall not be deemed to have occurred for such purposes unless the circumstances would also result in a “disability” within the meaning of Section 409A of the Code.</w:t>
      </w:r>
    </w:p>
    <w:p>
      <w:pPr>
        <w:spacing w:after="0" w:line="122" w:lineRule="exact"/>
        <w:rPr>
          <w:sz w:val="20"/>
          <w:szCs w:val="20"/>
          <w:color w:val="auto"/>
        </w:rPr>
      </w:pPr>
    </w:p>
    <w:p>
      <w:pPr>
        <w:jc w:val="both"/>
        <w:ind w:left="530" w:right="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Holders</w:t>
      </w:r>
      <w:r>
        <w:rPr>
          <w:rFonts w:ascii="Arial" w:cs="Arial" w:eastAsia="Arial" w:hAnsi="Arial"/>
          <w:sz w:val="18"/>
          <w:szCs w:val="18"/>
          <w:color w:val="auto"/>
        </w:rPr>
        <w:t>” has the meaning set forth in the Conduent Incorporated Compensation Recoupment Policy, as may be amended from time to time, or any successor policy.</w:t>
      </w:r>
    </w:p>
    <w:p>
      <w:pPr>
        <w:spacing w:after="0" w:line="99" w:lineRule="exact"/>
        <w:rPr>
          <w:sz w:val="20"/>
          <w:szCs w:val="20"/>
          <w:color w:val="auto"/>
        </w:rPr>
      </w:pPr>
    </w:p>
    <w:p>
      <w:pPr>
        <w:ind w:left="53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Qualifying Retirement</w:t>
      </w:r>
      <w:r>
        <w:rPr>
          <w:rFonts w:ascii="Arial" w:cs="Arial" w:eastAsia="Arial" w:hAnsi="Arial"/>
          <w:sz w:val="18"/>
          <w:szCs w:val="18"/>
          <w:color w:val="auto"/>
        </w:rPr>
        <w:t>” shall mean voluntary termination of the Employee’s employment with or services to the Employer where</w:t>
      </w:r>
    </w:p>
    <w:p>
      <w:pPr>
        <w:spacing w:after="0" w:line="27" w:lineRule="exact"/>
        <w:rPr>
          <w:sz w:val="20"/>
          <w:szCs w:val="20"/>
          <w:color w:val="auto"/>
        </w:rPr>
      </w:pPr>
    </w:p>
    <w:p>
      <w:pPr>
        <w:jc w:val="both"/>
        <w:ind w:left="530" w:hanging="1"/>
        <w:spacing w:after="0" w:line="255" w:lineRule="auto"/>
        <w:tabs>
          <w:tab w:leader="none" w:pos="743"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Employee is at least age sixty (60) and has at least five (5) years of service with the Employer or its parents or subsidiaries and (ii) such Employee’s retirement has been agreed to and approved by the Chief Executive Officer of the Company (and, if the Employee is a Section 16 officer of the Company, by the Board of Directors of the Company), who shall have the sole discretion to determine the date of retirement of such Employee.</w:t>
      </w:r>
    </w:p>
    <w:p>
      <w:pPr>
        <w:spacing w:after="0" w:line="128" w:lineRule="exact"/>
        <w:rPr>
          <w:sz w:val="20"/>
          <w:szCs w:val="20"/>
          <w:color w:val="auto"/>
        </w:rPr>
      </w:pPr>
    </w:p>
    <w:p>
      <w:pPr>
        <w:jc w:val="both"/>
        <w:ind w:left="53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For Good Reason</w:t>
      </w:r>
      <w:r>
        <w:rPr>
          <w:rFonts w:ascii="Arial" w:cs="Arial" w:eastAsia="Arial" w:hAnsi="Arial"/>
          <w:sz w:val="18"/>
          <w:szCs w:val="18"/>
          <w:color w:val="auto"/>
        </w:rPr>
        <w:t>” shall mean the termination of the Employee within two years of the occurrence of any of the following circumstances, provided that (1) such circumstance occurs without the Employee’s express written consent after a Change in Control, and (2) the Employee gives the Company notice of the occurrence of the offending circumstance(s) within 90 days of the first occurrence of the circumstance(s), and the Company fails to cure the circumstance(s) within 30 days of receipt of this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5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870"/>
          </w:cols>
          <w:pgMar w:left="690" w:top="377"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309" w:lineRule="exact"/>
        <w:rPr>
          <w:sz w:val="20"/>
          <w:szCs w:val="20"/>
          <w:color w:val="auto"/>
        </w:rPr>
      </w:pPr>
    </w:p>
    <w:p>
      <w:pPr>
        <w:jc w:val="both"/>
        <w:ind w:left="400"/>
        <w:spacing w:after="0" w:line="287" w:lineRule="auto"/>
        <w:rPr>
          <w:sz w:val="20"/>
          <w:szCs w:val="20"/>
          <w:color w:val="auto"/>
        </w:rPr>
      </w:pPr>
      <w:r>
        <w:rPr>
          <w:rFonts w:ascii="Arial" w:cs="Arial" w:eastAsia="Arial" w:hAnsi="Arial"/>
          <w:sz w:val="18"/>
          <w:szCs w:val="18"/>
          <w:color w:val="auto"/>
        </w:rPr>
        <w:t>(or the Company notifies the Employee in writing prior to the expiration of such 30-day period that the circumstance(s) will not be cured):</w:t>
      </w:r>
    </w:p>
    <w:p>
      <w:pPr>
        <w:spacing w:after="0" w:line="99" w:lineRule="exact"/>
        <w:rPr>
          <w:sz w:val="20"/>
          <w:szCs w:val="20"/>
          <w:color w:val="auto"/>
        </w:rPr>
      </w:pPr>
    </w:p>
    <w:p>
      <w:pPr>
        <w:ind w:left="800" w:firstLine="4"/>
        <w:spacing w:after="0" w:line="28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material diminution of the Employee’s authority, duties, or responsibilities from those in effect immediately prior to a Change in Control;</w:t>
      </w:r>
    </w:p>
    <w:p>
      <w:pPr>
        <w:spacing w:after="0" w:line="98" w:lineRule="exact"/>
        <w:rPr>
          <w:rFonts w:ascii="Arial" w:cs="Arial" w:eastAsia="Arial" w:hAnsi="Arial"/>
          <w:sz w:val="18"/>
          <w:szCs w:val="18"/>
          <w:color w:val="auto"/>
        </w:rPr>
      </w:pPr>
    </w:p>
    <w:p>
      <w:pPr>
        <w:jc w:val="both"/>
        <w:ind w:left="800" w:firstLine="4"/>
        <w:spacing w:after="0" w:line="255" w:lineRule="auto"/>
        <w:tabs>
          <w:tab w:leader="none" w:pos="1092"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of the following: (1) a material reduction in the Employee’s annual base salary and/or annual target bonus, (2) a failure by the Company to increase the Employee’s annual base salary following a Change in Control at such periodic intervals not materially inconsistent with the Company’s practice prior thereto by at least a percentage equal to the average of the percentage increases in the Employee’s base salary for the three merit pay periods immediately preceding such Change in Control, or (3) the failure to increase the Employee’s salary as the same may be increased from time to time for similarly situated individuals, except that this clause (b) shall not apply to across-the-board salary reductions similarly affecting all similarly situated employees of the Company and all similarly situated employees of any person in control of the Company;</w:t>
      </w:r>
    </w:p>
    <w:p>
      <w:pPr>
        <w:spacing w:after="0" w:line="130" w:lineRule="exact"/>
        <w:rPr>
          <w:rFonts w:ascii="Arial" w:cs="Arial" w:eastAsia="Arial" w:hAnsi="Arial"/>
          <w:sz w:val="18"/>
          <w:szCs w:val="18"/>
          <w:color w:val="auto"/>
        </w:rPr>
      </w:pPr>
    </w:p>
    <w:p>
      <w:pPr>
        <w:jc w:val="both"/>
        <w:ind w:left="800" w:firstLine="4"/>
        <w:spacing w:after="0" w:line="262" w:lineRule="auto"/>
        <w:tabs>
          <w:tab w:leader="none" w:pos="106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Company’s requiring the Employee to be based anywhere other than in the metropolitan area in which the Employee was based immediately before the Change in Control (except for required travel on the Company’s business to an extent substantially consistent with the Employee’s present business travel obligations), provided that such required relocation constitutes a material change in the geographic location at which the Employee is required to perform the services;</w:t>
      </w:r>
    </w:p>
    <w:p>
      <w:pPr>
        <w:spacing w:after="0" w:line="122" w:lineRule="exact"/>
        <w:rPr>
          <w:rFonts w:ascii="Arial" w:cs="Arial" w:eastAsia="Arial" w:hAnsi="Arial"/>
          <w:sz w:val="18"/>
          <w:szCs w:val="18"/>
          <w:color w:val="auto"/>
        </w:rPr>
      </w:pPr>
    </w:p>
    <w:p>
      <w:pPr>
        <w:jc w:val="both"/>
        <w:ind w:left="800" w:firstLine="4"/>
        <w:spacing w:after="0" w:line="256" w:lineRule="auto"/>
        <w:tabs>
          <w:tab w:leader="none" w:pos="110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failure by the Company to continue in effect any material compensation or benefit plan, vacation policy or any material perquisites in which the Employee participates immediately before the Change in Control (except to the extent such plan terminates in accordance with its terms), unless an equitable arrangement (embodied in an ongoing substitute or alternative plan) has been made with respect to such plan in connection with the Change in Control, or the failure by the Company to continue the Employee’s participation therein (or in such substitute or alternative plan) on a basis not materially less favorable, both in terms of the amount of benefits provided and the level of the Employee’s participation relative to other employees, than existed at the time of the Change in Control; or</w:t>
      </w:r>
    </w:p>
    <w:p>
      <w:pPr>
        <w:spacing w:after="0" w:line="128" w:lineRule="exact"/>
        <w:rPr>
          <w:rFonts w:ascii="Arial" w:cs="Arial" w:eastAsia="Arial" w:hAnsi="Arial"/>
          <w:sz w:val="18"/>
          <w:szCs w:val="18"/>
          <w:color w:val="auto"/>
        </w:rPr>
      </w:pPr>
    </w:p>
    <w:p>
      <w:pPr>
        <w:ind w:left="800" w:firstLine="4"/>
        <w:spacing w:after="0" w:line="287" w:lineRule="auto"/>
        <w:tabs>
          <w:tab w:leader="none" w:pos="108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failure of the Company to obtain a satisfactory agreement from any successor to assume responsibility to perform under this Plan.</w:t>
      </w:r>
    </w:p>
    <w:p>
      <w:pPr>
        <w:spacing w:after="0" w:line="99" w:lineRule="exact"/>
        <w:rPr>
          <w:sz w:val="20"/>
          <w:szCs w:val="20"/>
          <w:color w:val="auto"/>
        </w:rPr>
      </w:pPr>
    </w:p>
    <w:p>
      <w:pPr>
        <w:jc w:val="both"/>
        <w:ind w:left="800"/>
        <w:spacing w:after="0" w:line="259" w:lineRule="auto"/>
        <w:rPr>
          <w:sz w:val="20"/>
          <w:szCs w:val="20"/>
          <w:color w:val="auto"/>
        </w:rPr>
      </w:pPr>
      <w:r>
        <w:rPr>
          <w:rFonts w:ascii="Arial" w:cs="Arial" w:eastAsia="Arial" w:hAnsi="Arial"/>
          <w:sz w:val="18"/>
          <w:szCs w:val="18"/>
          <w:color w:val="auto"/>
        </w:rPr>
        <w:t>A termination by the Employee of the Employee’s employment or services shall not fail to be a Termination for Good Reason merely because of the Employee’s incapacity due to physical or mental illness, or because the Employee’s employment or services continued after the occurrence of any of the events listed in this subsection. For the avoidance of doubt, a Termination for Good Reason by the Employee shall not mean the Company’s reasonable accommodation or modification of the Employee’s authority, duties, or responsibilities because of the Employee’s Disability.</w:t>
      </w:r>
    </w:p>
    <w:p>
      <w:pPr>
        <w:spacing w:after="0" w:line="125" w:lineRule="exact"/>
        <w:rPr>
          <w:sz w:val="20"/>
          <w:szCs w:val="20"/>
          <w:color w:val="auto"/>
        </w:rPr>
      </w:pPr>
    </w:p>
    <w:p>
      <w:pPr>
        <w:jc w:val="both"/>
        <w:ind w:left="380" w:hanging="380"/>
        <w:spacing w:after="0" w:line="256" w:lineRule="auto"/>
        <w:tabs>
          <w:tab w:leader="none" w:pos="586"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Divestiture</w:t>
      </w:r>
      <w:r>
        <w:rPr>
          <w:rFonts w:ascii="Arial" w:cs="Arial" w:eastAsia="Arial" w:hAnsi="Arial"/>
          <w:sz w:val="18"/>
          <w:szCs w:val="18"/>
          <w:color w:val="auto"/>
        </w:rPr>
        <w:t>. Notwithstanding the above, the termination of the Employee’s employment with or services to the Employer in connection with the Employer’s sale (whether by sale of assets or a subsidiary, or both) of a line of business within which the Employee was employed or providing services immediately prior to such sale as determined by the Committee in its sole discretion, that does not constitute a Change in Control, shall be treated as an involuntary termination of employment or services for purposes of this Agreement and the RSUs shall vest and be paid as provided in Section 8(a)(ii) above, provided, however, that, in the event the Employee is offered a comparable position with the acquirer of such line of business and does not accept such offer, the RSUs shall be cancelled and forfeited on the date of termination of employment 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740"/>
          </w:cols>
          <w:pgMar w:left="820" w:top="377"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309" w:lineRule="exact"/>
        <w:rPr>
          <w:sz w:val="20"/>
          <w:szCs w:val="20"/>
          <w:color w:val="auto"/>
        </w:rPr>
      </w:pPr>
    </w:p>
    <w:p>
      <w:pPr>
        <w:jc w:val="both"/>
        <w:ind w:left="10" w:hanging="10"/>
        <w:spacing w:after="0" w:line="256" w:lineRule="auto"/>
        <w:tabs>
          <w:tab w:leader="none" w:pos="387"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General Restrictions</w:t>
      </w:r>
      <w:r>
        <w:rPr>
          <w:rFonts w:ascii="Arial" w:cs="Arial" w:eastAsia="Arial" w:hAnsi="Arial"/>
          <w:sz w:val="18"/>
          <w:szCs w:val="18"/>
          <w:color w:val="auto"/>
        </w:rPr>
        <w:t>. If at any time the Committee or its authorized delegate, as applicable, shall determine, in its discretion, that the listing, registration or qualification of any shares of Common Stock subject to this Agreement upon any securities exchange or under any state or Federal law, or the consent or approval of any government regulatory body, is necessary or desirable as a condition of, or in connection with, the awarding of the RSUs or the issue or purchase of shares of Common Stock hereunder, the certificates for shares of Common Stock may not be issued in respect of RSUs in whole or in part unless such listing, registration, qualification, consent or approval shall have been effected or obtained free of any conditions not acceptable to the Committee or its authorized delegate, as applicable, and any delay caused thereby shall in no way affect the date of termination of the RSUs.</w:t>
      </w:r>
    </w:p>
    <w:p>
      <w:pPr>
        <w:spacing w:after="0" w:line="128" w:lineRule="exact"/>
        <w:rPr>
          <w:rFonts w:ascii="Arial" w:cs="Arial" w:eastAsia="Arial" w:hAnsi="Arial"/>
          <w:sz w:val="18"/>
          <w:szCs w:val="18"/>
          <w:color w:val="auto"/>
        </w:rPr>
      </w:pPr>
    </w:p>
    <w:p>
      <w:pPr>
        <w:ind w:left="450" w:hanging="450"/>
        <w:spacing w:after="0"/>
        <w:tabs>
          <w:tab w:leader="none" w:pos="45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710" w:hanging="380"/>
        <w:spacing w:after="0" w:line="253" w:lineRule="auto"/>
        <w:tabs>
          <w:tab w:leader="none" w:pos="776"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Employee acknowledges and agrees that, regardless of any action taken by the Company or, if different, the Employer, the ultimate liability for all income tax, social insurance, payroll tax, fringe benefits tax, payment on account or other tax-related items related to the Employee’s participation in the Plan and legally applicable or deemed applicable to the Employee (“</w:t>
      </w:r>
      <w:r>
        <w:rPr>
          <w:rFonts w:ascii="Arial" w:cs="Arial" w:eastAsia="Arial" w:hAnsi="Arial"/>
          <w:sz w:val="18"/>
          <w:szCs w:val="18"/>
          <w:b w:val="1"/>
          <w:bCs w:val="1"/>
          <w:i w:val="1"/>
          <w:iCs w:val="1"/>
          <w:color w:val="auto"/>
        </w:rPr>
        <w:t>Tax-Related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Items</w:t>
      </w:r>
      <w:r>
        <w:rPr>
          <w:rFonts w:ascii="Arial" w:cs="Arial" w:eastAsia="Arial" w:hAnsi="Arial"/>
          <w:sz w:val="18"/>
          <w:szCs w:val="18"/>
          <w:color w:val="auto"/>
        </w:rPr>
        <w:t>”) is and remains the Employee’s responsibility and may exceed the amount, if any, actually withheld by the Company 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Employer. The Employee further acknowledges that the Company and/or the Employer (i) make no representations or undertakings regarding the treatment of any Tax-Related Items in connection with any aspect of the RSUs or the underlying shares of Common Stock, including, but not limited to, the grant, vesting or settlement of the RSUs, the subsequent sale of shares of Common Stock acquired upon the settlement of the RSUs and the receipt of any dividends; and (ii) do not commit to and are under no obligation to structure the terms of the grant or any aspect of the RSUs to reduce or eliminate the Employee’s liability for Tax-Related Items or to achieve any particular tax result. Further, if the Employee is subject to Tax-Related Items in more than one jurisdiction, the Employee acknowledges that the Company and/or the Employer (or former employer, as applicable) may be required to withhold or account for Tax-Related Items in more than one jurisdiction.</w:t>
      </w:r>
    </w:p>
    <w:p>
      <w:pPr>
        <w:spacing w:after="0" w:line="135" w:lineRule="exact"/>
        <w:rPr>
          <w:rFonts w:ascii="Arial" w:cs="Arial" w:eastAsia="Arial" w:hAnsi="Arial"/>
          <w:sz w:val="18"/>
          <w:szCs w:val="18"/>
          <w:color w:val="auto"/>
        </w:rPr>
      </w:pPr>
    </w:p>
    <w:p>
      <w:pPr>
        <w:jc w:val="both"/>
        <w:ind w:left="710" w:hanging="380"/>
        <w:spacing w:after="0" w:line="253" w:lineRule="auto"/>
        <w:tabs>
          <w:tab w:leader="none" w:pos="849" w:val="left"/>
        </w:tabs>
        <w:numPr>
          <w:ilvl w:val="1"/>
          <w:numId w:val="37"/>
        </w:numPr>
        <w:rPr>
          <w:rFonts w:ascii="Arial" w:cs="Arial" w:eastAsia="Arial" w:hAnsi="Arial"/>
          <w:sz w:val="18"/>
          <w:szCs w:val="18"/>
          <w:color w:val="auto"/>
        </w:rPr>
      </w:pPr>
      <w:r>
        <w:rPr>
          <w:rFonts w:ascii="Arial" w:cs="Arial" w:eastAsia="Arial" w:hAnsi="Arial"/>
          <w:sz w:val="18"/>
          <w:szCs w:val="18"/>
          <w:color w:val="auto"/>
        </w:rPr>
        <w:t>Prior to the relevant taxable or tax withholding event, as applicable, the Employee agrees to make adequate arrangements satisfactory to the Company and/or the Employer to satisfy all Tax-Related Items. In this regard, the Employee authorizes the Company and/or the Employer, or their respective agents, at their discretion, to satisfy any applicable withholding obligations with regard to all Tax-Related Items by one or a combination of the following: (i) requiring the Employee to make a payment in a form acceptable to the Company, (ii) withholding from the Employee’s wages or other compensation payable to the Employee, (iii) withholding from proceeds of the sale of the shares of Common Stock acquired upon the settlement of the RSUs either through a voluntary sale or through a mandatory sale arranged by the Company (on the Employee’s behalf pursuant to this authorization without further consent), (iv) withholding from the shares of Common Stock otherwise issuable at vesting of the RSUs, provided, however, that if the Employee is subject to the reporting and other provisions of Section 16 of the Exchange Act, the Company shall affirmatively approve, by Board action, any such withholding of shares of Common Stock as contemplated in the immediately preceding proviso, or (v) any other method of withholding determined by the Company and, to the extent required by applicable law or the Plan, approved by the Committee.</w:t>
      </w:r>
    </w:p>
    <w:p>
      <w:pPr>
        <w:spacing w:after="0" w:line="135" w:lineRule="exact"/>
        <w:rPr>
          <w:rFonts w:ascii="Arial" w:cs="Arial" w:eastAsia="Arial" w:hAnsi="Arial"/>
          <w:sz w:val="18"/>
          <w:szCs w:val="18"/>
          <w:color w:val="auto"/>
        </w:rPr>
      </w:pPr>
    </w:p>
    <w:p>
      <w:pPr>
        <w:jc w:val="both"/>
        <w:ind w:left="710" w:hanging="380"/>
        <w:spacing w:after="0" w:line="262" w:lineRule="auto"/>
        <w:tabs>
          <w:tab w:leader="none" w:pos="769"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Company and/or the Employer may withhold or account for Tax-Related Items by considering statutory withholding rates or other withholding rates, including maximum rates applicable in the Employee’s jurisdiction(s). In the event of over-withholding, the Employee may receive a refund of any over-withheld amount in cash (with no entitlement to the equivalent in shares of Common Stock) or, if not refunded, the Employee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070"/>
          </w:cols>
          <w:pgMar w:left="490" w:top="377"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309" w:lineRule="exact"/>
        <w:rPr>
          <w:sz w:val="20"/>
          <w:szCs w:val="20"/>
          <w:color w:val="auto"/>
        </w:rPr>
      </w:pPr>
    </w:p>
    <w:p>
      <w:pPr>
        <w:jc w:val="both"/>
        <w:ind w:left="710"/>
        <w:spacing w:after="0" w:line="259" w:lineRule="auto"/>
        <w:rPr>
          <w:sz w:val="20"/>
          <w:szCs w:val="20"/>
          <w:color w:val="auto"/>
        </w:rPr>
      </w:pPr>
      <w:r>
        <w:rPr>
          <w:rFonts w:ascii="Arial" w:cs="Arial" w:eastAsia="Arial" w:hAnsi="Arial"/>
          <w:sz w:val="18"/>
          <w:szCs w:val="18"/>
          <w:color w:val="auto"/>
        </w:rPr>
        <w:t>seek a refund from the local tax authorities. In the event of under-withholding, the Employee may be required to pay additional Tax-Related Items directly to the applicable tax authority or to the Company and/or the Employer. If the obligation for Tax-Related Items is satisfied by withholding in shares of Common Stock, for tax purposes, the Employee is deemed to have been issued the full number of shares of Common Stock subject to the vested RSUs, notwithstanding that a number of the shares of Common Stock is held back solely for the purpose of paying the Tax-Related Items.</w:t>
      </w:r>
    </w:p>
    <w:p>
      <w:pPr>
        <w:spacing w:after="0" w:line="125" w:lineRule="exact"/>
        <w:rPr>
          <w:sz w:val="20"/>
          <w:szCs w:val="20"/>
          <w:color w:val="auto"/>
        </w:rPr>
      </w:pPr>
    </w:p>
    <w:p>
      <w:pPr>
        <w:jc w:val="both"/>
        <w:ind w:left="710" w:hanging="380"/>
        <w:spacing w:after="0" w:line="259" w:lineRule="auto"/>
        <w:tabs>
          <w:tab w:leader="none" w:pos="855"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Employee agrees to pay to the Company or the Employer any amount of Tax-Related Items that the Company or the Employer may be required to withhold or account for as a result of the Employe’s participation in the Plan that cannot be satisfied by the means previously described. The Company may refuse to issue or deliver the shares of Common Stock or the proceeds of the sale of the shares of Common Stock acquired upon the vesting of the RSUs, if the Employee fails to comply with the Employee's obligations in connection with the Tax-Related Items.</w:t>
      </w:r>
    </w:p>
    <w:p>
      <w:pPr>
        <w:spacing w:after="0" w:line="200" w:lineRule="exact"/>
        <w:rPr>
          <w:rFonts w:ascii="Arial" w:cs="Arial" w:eastAsia="Arial" w:hAnsi="Arial"/>
          <w:sz w:val="18"/>
          <w:szCs w:val="18"/>
          <w:color w:val="auto"/>
        </w:rPr>
      </w:pPr>
    </w:p>
    <w:p>
      <w:pPr>
        <w:spacing w:after="0" w:line="330" w:lineRule="exact"/>
        <w:rPr>
          <w:rFonts w:ascii="Arial" w:cs="Arial" w:eastAsia="Arial" w:hAnsi="Arial"/>
          <w:sz w:val="18"/>
          <w:szCs w:val="18"/>
          <w:color w:val="auto"/>
        </w:rPr>
      </w:pPr>
    </w:p>
    <w:p>
      <w:pPr>
        <w:ind w:left="430" w:hanging="430"/>
        <w:spacing w:after="0"/>
        <w:tabs>
          <w:tab w:leader="none" w:pos="43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Nature of Award</w:t>
      </w:r>
      <w:r>
        <w:rPr>
          <w:rFonts w:ascii="Arial" w:cs="Arial" w:eastAsia="Arial" w:hAnsi="Arial"/>
          <w:sz w:val="18"/>
          <w:szCs w:val="18"/>
          <w:color w:val="auto"/>
        </w:rPr>
        <w:t>. In accepting the award, the Employee acknowledges that:</w:t>
      </w:r>
    </w:p>
    <w:p>
      <w:pPr>
        <w:spacing w:after="0" w:line="171" w:lineRule="exact"/>
        <w:rPr>
          <w:rFonts w:ascii="Arial" w:cs="Arial" w:eastAsia="Arial" w:hAnsi="Arial"/>
          <w:sz w:val="18"/>
          <w:szCs w:val="18"/>
          <w:color w:val="auto"/>
        </w:rPr>
      </w:pPr>
    </w:p>
    <w:p>
      <w:pPr>
        <w:jc w:val="both"/>
        <w:ind w:left="630" w:hanging="391"/>
        <w:spacing w:after="0" w:line="268" w:lineRule="auto"/>
        <w:tabs>
          <w:tab w:leader="none" w:pos="713"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in a manner consistent with Section 9(e) of the Plan regarding Plan amendment and termination and, in addition, the RSUs are subject to modification and adjustment under Section 9(c) of the Plan.</w:t>
      </w:r>
    </w:p>
    <w:p>
      <w:pPr>
        <w:spacing w:after="0" w:line="116" w:lineRule="exact"/>
        <w:rPr>
          <w:rFonts w:ascii="Arial" w:cs="Arial" w:eastAsia="Arial" w:hAnsi="Arial"/>
          <w:sz w:val="18"/>
          <w:szCs w:val="18"/>
          <w:color w:val="auto"/>
        </w:rPr>
      </w:pPr>
    </w:p>
    <w:p>
      <w:pPr>
        <w:ind w:left="250" w:firstLine="74"/>
        <w:spacing w:after="0" w:line="287" w:lineRule="auto"/>
        <w:tabs>
          <w:tab w:leader="none" w:pos="1131"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award of the RSUs is voluntary and occasional and does not create any contractual or other right to receive future grants of RSUs, or benefits in lieu of RSUs, even if RSUs have been granted repeatedly in the past;</w:t>
      </w:r>
    </w:p>
    <w:p>
      <w:pPr>
        <w:spacing w:after="0" w:line="98" w:lineRule="exact"/>
        <w:rPr>
          <w:rFonts w:ascii="Arial" w:cs="Arial" w:eastAsia="Arial" w:hAnsi="Arial"/>
          <w:sz w:val="18"/>
          <w:szCs w:val="18"/>
          <w:color w:val="auto"/>
        </w:rPr>
      </w:pPr>
    </w:p>
    <w:p>
      <w:pPr>
        <w:ind w:left="250" w:right="20" w:firstLine="74"/>
        <w:spacing w:after="0" w:line="287" w:lineRule="auto"/>
        <w:tabs>
          <w:tab w:leader="none" w:pos="1131" w:val="left"/>
        </w:tabs>
        <w:numPr>
          <w:ilvl w:val="2"/>
          <w:numId w:val="39"/>
        </w:numPr>
        <w:rPr>
          <w:rFonts w:ascii="Arial" w:cs="Arial" w:eastAsia="Arial" w:hAnsi="Arial"/>
          <w:sz w:val="18"/>
          <w:szCs w:val="18"/>
          <w:color w:val="auto"/>
        </w:rPr>
      </w:pPr>
      <w:r>
        <w:rPr>
          <w:rFonts w:ascii="Arial" w:cs="Arial" w:eastAsia="Arial" w:hAnsi="Arial"/>
          <w:sz w:val="18"/>
          <w:szCs w:val="18"/>
          <w:color w:val="auto"/>
        </w:rPr>
        <w:t>all decisions with respect to future RSU awards, if any, will be at the sole discretion of the Committee or its authorized delegate, as applicable;</w:t>
      </w:r>
    </w:p>
    <w:p>
      <w:pPr>
        <w:spacing w:after="0" w:line="98" w:lineRule="exact"/>
        <w:rPr>
          <w:rFonts w:ascii="Arial" w:cs="Arial" w:eastAsia="Arial" w:hAnsi="Arial"/>
          <w:sz w:val="18"/>
          <w:szCs w:val="18"/>
          <w:color w:val="auto"/>
        </w:rPr>
      </w:pPr>
    </w:p>
    <w:p>
      <w:pPr>
        <w:jc w:val="both"/>
        <w:ind w:left="250" w:firstLine="74"/>
        <w:spacing w:after="0" w:line="268" w:lineRule="auto"/>
        <w:tabs>
          <w:tab w:leader="none" w:pos="1135"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Employee’s participation in the Plan shall not create a right to further employment with the Employer and shall not interfere with the ability of the Employer to terminate the Employee’s employment relationship at any time; further, the RSU award and the Employee’s participation in the Plan will not be interpreted to form an employment contract or relationship with the Employer;</w:t>
      </w:r>
    </w:p>
    <w:p>
      <w:pPr>
        <w:spacing w:after="0" w:line="116" w:lineRule="exact"/>
        <w:rPr>
          <w:rFonts w:ascii="Arial" w:cs="Arial" w:eastAsia="Arial" w:hAnsi="Arial"/>
          <w:sz w:val="18"/>
          <w:szCs w:val="18"/>
          <w:color w:val="auto"/>
        </w:rPr>
      </w:pPr>
    </w:p>
    <w:p>
      <w:pPr>
        <w:ind w:left="1130" w:hanging="806"/>
        <w:spacing w:after="0"/>
        <w:tabs>
          <w:tab w:leader="none" w:pos="1130"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Employee is voluntarily participating in the Plan;</w:t>
      </w:r>
    </w:p>
    <w:p>
      <w:pPr>
        <w:spacing w:after="0" w:line="171" w:lineRule="exact"/>
        <w:rPr>
          <w:rFonts w:ascii="Arial" w:cs="Arial" w:eastAsia="Arial" w:hAnsi="Arial"/>
          <w:sz w:val="18"/>
          <w:szCs w:val="18"/>
          <w:color w:val="auto"/>
        </w:rPr>
      </w:pPr>
    </w:p>
    <w:p>
      <w:pPr>
        <w:jc w:val="both"/>
        <w:ind w:left="250" w:firstLine="74"/>
        <w:spacing w:after="0" w:line="268" w:lineRule="auto"/>
        <w:tabs>
          <w:tab w:leader="none" w:pos="1131"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RSUs and the shares of Common Stock subject to the RSUs are an extraordinary item that does not constitute compensation of any kind for services of any kind rendered to the Employer, and which is outside the scope of the Employee’s employment contract, if any;</w:t>
      </w:r>
    </w:p>
    <w:p>
      <w:pPr>
        <w:spacing w:after="0" w:line="116" w:lineRule="exact"/>
        <w:rPr>
          <w:rFonts w:ascii="Arial" w:cs="Arial" w:eastAsia="Arial" w:hAnsi="Arial"/>
          <w:sz w:val="18"/>
          <w:szCs w:val="18"/>
          <w:color w:val="auto"/>
        </w:rPr>
      </w:pPr>
    </w:p>
    <w:p>
      <w:pPr>
        <w:ind w:left="250" w:firstLine="74"/>
        <w:spacing w:after="0" w:line="287" w:lineRule="auto"/>
        <w:tabs>
          <w:tab w:leader="none" w:pos="1135"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RSUs and the shares of Common Stock subject to the RSUs are not intended to replace any pension rights or compensation;</w:t>
      </w:r>
    </w:p>
    <w:p>
      <w:pPr>
        <w:spacing w:after="0" w:line="98" w:lineRule="exact"/>
        <w:rPr>
          <w:rFonts w:ascii="Arial" w:cs="Arial" w:eastAsia="Arial" w:hAnsi="Arial"/>
          <w:sz w:val="18"/>
          <w:szCs w:val="18"/>
          <w:color w:val="auto"/>
        </w:rPr>
      </w:pPr>
    </w:p>
    <w:p>
      <w:pPr>
        <w:jc w:val="both"/>
        <w:ind w:left="250" w:firstLine="74"/>
        <w:spacing w:after="0" w:line="262" w:lineRule="auto"/>
        <w:tabs>
          <w:tab w:leader="none" w:pos="1131"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RSUs and the shares of Common Stock subject to the RSUs are not part of normal or expected compensation or salary for any purposes, including, but not limited to, calculating any severance, resignation, termination, redundancy, dismissal, end of service payments, bonuses, long-service awards, pension or retirement or welfare benefits or similar payments and in no event should be considered as compensation for, or relating in any way to, past services for the Employer;</w:t>
      </w:r>
    </w:p>
    <w:p>
      <w:pPr>
        <w:spacing w:after="0" w:line="122" w:lineRule="exact"/>
        <w:rPr>
          <w:rFonts w:ascii="Arial" w:cs="Arial" w:eastAsia="Arial" w:hAnsi="Arial"/>
          <w:sz w:val="18"/>
          <w:szCs w:val="18"/>
          <w:color w:val="auto"/>
        </w:rPr>
      </w:pPr>
    </w:p>
    <w:p>
      <w:pPr>
        <w:ind w:left="1130" w:hanging="806"/>
        <w:spacing w:after="0"/>
        <w:tabs>
          <w:tab w:leader="none" w:pos="1130"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future value of the underlying shares of Common Stock is unknown and cannot be predicted with 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070"/>
          </w:cols>
          <w:pgMar w:left="490" w:top="377"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309" w:lineRule="exact"/>
        <w:rPr>
          <w:sz w:val="20"/>
          <w:szCs w:val="20"/>
          <w:color w:val="auto"/>
        </w:rPr>
      </w:pPr>
    </w:p>
    <w:p>
      <w:pPr>
        <w:jc w:val="both"/>
        <w:ind w:left="250" w:firstLine="81"/>
        <w:spacing w:after="0" w:line="255" w:lineRule="auto"/>
        <w:rPr>
          <w:sz w:val="20"/>
          <w:szCs w:val="20"/>
          <w:color w:val="auto"/>
        </w:rPr>
      </w:pPr>
      <w:r>
        <w:rPr>
          <w:rFonts w:ascii="Arial" w:cs="Arial" w:eastAsia="Arial" w:hAnsi="Arial"/>
          <w:sz w:val="18"/>
          <w:szCs w:val="18"/>
          <w:color w:val="auto"/>
        </w:rPr>
        <w:t>(i)in consideration of the award of the RSUs, no claim or entitlement to compensation or damages shall arise from forfeiture of the RSUs, including, but not limited to,(i) forfeiture resulting from termination of the Employee’s employment with or services to the Employer (for any reason whatsoever and whether or not in breach of local labor laws) or (ii) forfeiture of the RSUs or the recoupment of any shares of Common Stock or other benefits or payments acquired under the Plan resulting from the application of any recoupment or clawback policy or provision required by the Company or any recovery or clawback otherwise required by law, as further described in Section 16. The Employee irrevocably releases the Company and the Employer from any such claim that may arise; if, notwithstanding the foregoing, any such claim is found by a court of competent jurisdiction to have arisen, the Employee shall be deemed irrevocably to have waived the Employee’s entitlement to pursue such claim; and</w:t>
      </w:r>
    </w:p>
    <w:p>
      <w:pPr>
        <w:spacing w:after="0" w:line="131" w:lineRule="exact"/>
        <w:rPr>
          <w:sz w:val="20"/>
          <w:szCs w:val="20"/>
          <w:color w:val="auto"/>
        </w:rPr>
      </w:pPr>
    </w:p>
    <w:p>
      <w:pPr>
        <w:jc w:val="both"/>
        <w:ind w:left="250" w:firstLine="81"/>
        <w:spacing w:after="0" w:line="287" w:lineRule="auto"/>
        <w:rPr>
          <w:sz w:val="20"/>
          <w:szCs w:val="20"/>
          <w:color w:val="auto"/>
        </w:rPr>
      </w:pPr>
      <w:r>
        <w:rPr>
          <w:rFonts w:ascii="Arial" w:cs="Arial" w:eastAsia="Arial" w:hAnsi="Arial"/>
          <w:sz w:val="18"/>
          <w:szCs w:val="18"/>
          <w:color w:val="auto"/>
        </w:rPr>
        <w:t>(j)subject to the provisions in the Plan regarding Change in Control, RSUs and the benefits under the Plan, if any, will not automatically transfer to another company in the case of a merger, take-over or transfer of liability.</w:t>
      </w:r>
    </w:p>
    <w:p>
      <w:pPr>
        <w:spacing w:after="0" w:line="99" w:lineRule="exact"/>
        <w:rPr>
          <w:sz w:val="20"/>
          <w:szCs w:val="20"/>
          <w:color w:val="auto"/>
        </w:rPr>
      </w:pPr>
    </w:p>
    <w:p>
      <w:pPr>
        <w:jc w:val="both"/>
        <w:ind w:left="10" w:hanging="10"/>
        <w:spacing w:after="0" w:line="262" w:lineRule="auto"/>
        <w:tabs>
          <w:tab w:leader="none" w:pos="581"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No Advice Regarding Award</w:t>
      </w:r>
      <w:r>
        <w:rPr>
          <w:rFonts w:ascii="Arial" w:cs="Arial" w:eastAsia="Arial" w:hAnsi="Arial"/>
          <w:sz w:val="18"/>
          <w:szCs w:val="18"/>
          <w:color w:val="auto"/>
        </w:rPr>
        <w:t>. Neither the Company nor the Employer is providing any tax, legal or financial advice, nor is the Company or Employer making any recommendations regarding the Employee’s participation in the Plan, or the Employee’s acquisition or sale of the underlying shares of Common Stock. The Employee is hereby advised to consult with the Employee’s own personal tax, legal and financial advisors regarding the Employee’s participation in the Plan before taking any action related to the Plan.</w:t>
      </w:r>
    </w:p>
    <w:p>
      <w:pPr>
        <w:spacing w:after="0" w:line="122" w:lineRule="exact"/>
        <w:rPr>
          <w:rFonts w:ascii="Arial" w:cs="Arial" w:eastAsia="Arial" w:hAnsi="Arial"/>
          <w:sz w:val="18"/>
          <w:szCs w:val="18"/>
          <w:color w:val="auto"/>
        </w:rPr>
      </w:pPr>
    </w:p>
    <w:p>
      <w:pPr>
        <w:jc w:val="both"/>
        <w:ind w:left="10" w:hanging="10"/>
        <w:spacing w:after="0" w:line="253"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Notwithstanding any other provision of the Plan or this Agreement, unless there is an available exemption from any registration, qualification or other legal requirement applicable to the shares of Common Stock, the Company shall not be required to deliver any shares of Common Stock issuable upon settlement of the RSUs prior to the completion of any registration or qualification of the Common Stock under any U.S. or non-U.S. local, state or federal securities or other applicable law or under rulings or regulations of the U.S.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 or of any other U.S. or non-U.S. governmental regulatory body, or prior to obtaining any approval or other clearance from any U.S. or non-U.S. local, state or federal governmental agency, which registration, qualification or approval the Company shall, in its absolute discretion, deem necessary or advisable. The Employee understands that the Company is under no obligation to register or qualify the shares of Common Stock subject to the RSUs with the SEC or any U.S. state or non-U.S. securities commission or to seek approval or clearance from any governmental authority for the issuance or sale of the Common Stock. Further, the Employee agrees that the Company shall have unilateral authority to amend the Plan and this Agreement without the Employee’s consent to the extent necessary to comply with securities or other laws applicable to the issuance of the shares of Common Stock.</w:t>
      </w:r>
    </w:p>
    <w:p>
      <w:pPr>
        <w:spacing w:after="0" w:line="135" w:lineRule="exact"/>
        <w:rPr>
          <w:rFonts w:ascii="Arial" w:cs="Arial" w:eastAsia="Arial" w:hAnsi="Arial"/>
          <w:sz w:val="18"/>
          <w:szCs w:val="18"/>
          <w:color w:val="auto"/>
        </w:rPr>
      </w:pPr>
    </w:p>
    <w:p>
      <w:pPr>
        <w:ind w:left="10" w:hanging="10"/>
        <w:spacing w:after="0" w:line="287" w:lineRule="auto"/>
        <w:tabs>
          <w:tab w:leader="none" w:pos="527"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Amendment of This Agreement</w:t>
      </w:r>
      <w:r>
        <w:rPr>
          <w:rFonts w:ascii="Arial" w:cs="Arial" w:eastAsia="Arial" w:hAnsi="Arial"/>
          <w:sz w:val="18"/>
          <w:szCs w:val="18"/>
          <w:color w:val="auto"/>
        </w:rPr>
        <w:t>. With the consent of the Employee, the Committee or its authorized delegate, as applicable, may amend this Agreement in a manner not inconsistent with the Plan.</w:t>
      </w:r>
    </w:p>
    <w:p>
      <w:pPr>
        <w:spacing w:after="0" w:line="98" w:lineRule="exact"/>
        <w:rPr>
          <w:rFonts w:ascii="Arial" w:cs="Arial" w:eastAsia="Arial" w:hAnsi="Arial"/>
          <w:sz w:val="18"/>
          <w:szCs w:val="18"/>
          <w:color w:val="auto"/>
        </w:rPr>
      </w:pPr>
    </w:p>
    <w:p>
      <w:pPr>
        <w:jc w:val="both"/>
        <w:ind w:left="10" w:hanging="4"/>
        <w:spacing w:after="0" w:line="265" w:lineRule="auto"/>
        <w:tabs>
          <w:tab w:leader="none" w:pos="487"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Except where otherwise prohibited under applicable law (including but not limited to California), by executing this Agreement and accepting the RSUs and the delivery of any shares of Common Stock hereunder, the Employee expressly acknowledges and agrees to be bound by and to comply with all of the terms and conditions contained in the Non-Competition and Non-Solicitation Agreement set forth as Exhibit A to this Agreement and incorporated herein by reference (“</w:t>
      </w:r>
      <w:r>
        <w:rPr>
          <w:rFonts w:ascii="Arial" w:cs="Arial" w:eastAsia="Arial" w:hAnsi="Arial"/>
          <w:sz w:val="18"/>
          <w:szCs w:val="18"/>
          <w:b w:val="1"/>
          <w:bCs w:val="1"/>
          <w:i w:val="1"/>
          <w:iCs w:val="1"/>
          <w:color w:val="auto"/>
        </w:rPr>
        <w:t>Restrictive Covenants</w:t>
      </w:r>
      <w:r>
        <w:rPr>
          <w:rFonts w:ascii="Arial" w:cs="Arial" w:eastAsia="Arial" w:hAnsi="Arial"/>
          <w:sz w:val="18"/>
          <w:szCs w:val="18"/>
          <w:color w:val="auto"/>
        </w:rPr>
        <w:t>”).</w:t>
      </w:r>
    </w:p>
    <w:p>
      <w:pPr>
        <w:spacing w:after="0" w:line="111" w:lineRule="exact"/>
        <w:rPr>
          <w:rFonts w:ascii="Arial" w:cs="Arial" w:eastAsia="Arial" w:hAnsi="Arial"/>
          <w:sz w:val="18"/>
          <w:szCs w:val="18"/>
          <w:color w:val="auto"/>
        </w:rPr>
      </w:pPr>
    </w:p>
    <w:p>
      <w:pPr>
        <w:jc w:val="both"/>
        <w:ind w:left="10" w:hanging="10"/>
        <w:spacing w:after="0" w:line="262" w:lineRule="auto"/>
        <w:tabs>
          <w:tab w:leader="none" w:pos="487"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Recoupment</w:t>
      </w:r>
      <w:r>
        <w:rPr>
          <w:rFonts w:ascii="Arial" w:cs="Arial" w:eastAsia="Arial" w:hAnsi="Arial"/>
          <w:sz w:val="18"/>
          <w:szCs w:val="18"/>
          <w:color w:val="auto"/>
        </w:rPr>
        <w:t>. This Award shall be subject to (i) the Conduent Incorporated Compensation Recoupment Policy, as may be amended from time to time, or any successor policy, and (ii) any other compensation recovery policy adopted after the RSUs are granted to facilitate compliance with applicable law, including in response to the requirements of Section 10D of the Exchange Act, the U.S. Securities and Exchange Commission’s final rules thereunder, and any applicable listing rules or other rules and regulations implementing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070"/>
          </w:cols>
          <w:pgMar w:left="490" w:top="377"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309" w:lineRule="exact"/>
        <w:rPr>
          <w:sz w:val="20"/>
          <w:szCs w:val="20"/>
          <w:color w:val="auto"/>
        </w:rPr>
      </w:pPr>
    </w:p>
    <w:p>
      <w:pPr>
        <w:jc w:val="both"/>
        <w:ind w:left="10"/>
        <w:spacing w:after="0" w:line="259" w:lineRule="auto"/>
        <w:rPr>
          <w:sz w:val="20"/>
          <w:szCs w:val="20"/>
          <w:color w:val="auto"/>
        </w:rPr>
      </w:pPr>
      <w:r>
        <w:rPr>
          <w:rFonts w:ascii="Arial" w:cs="Arial" w:eastAsia="Arial" w:hAnsi="Arial"/>
          <w:sz w:val="18"/>
          <w:szCs w:val="18"/>
          <w:color w:val="auto"/>
        </w:rPr>
        <w:t>For purposes of this Section 16, the Employee expressly and explicitly authorizes the Company to issue instructions, on the Employee's behalf, to any brokerage firm and/or third party administrator engaged by the Company to hold any shares of Common Stock and other amounts acquired pursuant to the RSUs to re-convey, transfer or otherwise return such shares of Common Stock and/or other amounts to the Company upon the Company’s enforcement of the Company’s recoupment policy, the Company’s clawback policy, if any, and any other compensation recovery policy adopted by the Board or the Committee.</w:t>
      </w:r>
    </w:p>
    <w:p>
      <w:pPr>
        <w:spacing w:after="0" w:line="125" w:lineRule="exact"/>
        <w:rPr>
          <w:sz w:val="20"/>
          <w:szCs w:val="20"/>
          <w:color w:val="auto"/>
        </w:rPr>
      </w:pPr>
    </w:p>
    <w:p>
      <w:pPr>
        <w:ind w:left="10" w:hanging="10"/>
        <w:spacing w:after="0" w:line="287" w:lineRule="auto"/>
        <w:tabs>
          <w:tab w:leader="none" w:pos="554"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Cancellation and Rescission of Award</w:t>
      </w:r>
      <w:r>
        <w:rPr>
          <w:rFonts w:ascii="Arial" w:cs="Arial" w:eastAsia="Arial" w:hAnsi="Arial"/>
          <w:sz w:val="18"/>
          <w:szCs w:val="18"/>
          <w:color w:val="auto"/>
        </w:rPr>
        <w:t>. Without limiting the foregoing Section 16, the Company may cancel any award provided hereunder if the Employee is not in compliance with all of the following conditions:</w:t>
      </w:r>
    </w:p>
    <w:p>
      <w:pPr>
        <w:spacing w:after="0" w:line="98" w:lineRule="exact"/>
        <w:rPr>
          <w:rFonts w:ascii="Arial" w:cs="Arial" w:eastAsia="Arial" w:hAnsi="Arial"/>
          <w:sz w:val="18"/>
          <w:szCs w:val="18"/>
          <w:color w:val="auto"/>
        </w:rPr>
      </w:pPr>
    </w:p>
    <w:p>
      <w:pPr>
        <w:jc w:val="both"/>
        <w:ind w:left="630" w:hanging="173"/>
        <w:spacing w:after="0" w:line="268" w:lineRule="auto"/>
        <w:tabs>
          <w:tab w:leader="none" w:pos="894"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Employee shall not render services for any organization or engage directly or indirectly in any business which would cause the Employee to breach any of the post-employment prohibitions contained in any agreement between the Employer and the Employee.</w:t>
      </w:r>
    </w:p>
    <w:p>
      <w:pPr>
        <w:spacing w:after="0" w:line="116" w:lineRule="exact"/>
        <w:rPr>
          <w:rFonts w:ascii="Arial" w:cs="Arial" w:eastAsia="Arial" w:hAnsi="Arial"/>
          <w:sz w:val="18"/>
          <w:szCs w:val="18"/>
          <w:color w:val="auto"/>
        </w:rPr>
      </w:pPr>
    </w:p>
    <w:p>
      <w:pPr>
        <w:jc w:val="both"/>
        <w:ind w:left="630" w:hanging="166"/>
        <w:spacing w:after="0" w:line="262" w:lineRule="auto"/>
        <w:tabs>
          <w:tab w:leader="none" w:pos="908"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Employee shall not, without prior written authorization from the Employer, disclose to anyone outside the Employer, or use in other than the Employer’s business, any confidential information or material, as specified in any agreement between the Employer and the Employee which contains post-employment prohibitions, relating to the business of the Employer acquired by the Employee either during or after employment with the Employer.</w:t>
      </w:r>
    </w:p>
    <w:p>
      <w:pPr>
        <w:spacing w:after="0" w:line="122" w:lineRule="exact"/>
        <w:rPr>
          <w:sz w:val="20"/>
          <w:szCs w:val="20"/>
          <w:color w:val="auto"/>
        </w:rPr>
      </w:pPr>
    </w:p>
    <w:p>
      <w:pPr>
        <w:jc w:val="both"/>
        <w:ind w:left="630" w:firstLine="154"/>
        <w:spacing w:after="0" w:line="257" w:lineRule="auto"/>
        <w:rPr>
          <w:sz w:val="20"/>
          <w:szCs w:val="20"/>
          <w:color w:val="auto"/>
        </w:rPr>
      </w:pPr>
      <w:r>
        <w:rPr>
          <w:rFonts w:ascii="Arial" w:cs="Arial" w:eastAsia="Arial" w:hAnsi="Arial"/>
          <w:sz w:val="18"/>
          <w:szCs w:val="18"/>
          <w:color w:val="auto"/>
        </w:rPr>
        <w:t>Notwithstanding the above, this Agreement does not in any manner restrict the Employee from reporting possible violations of federal, state or local laws or regulations to any governmental agency or entity, and shall not, and not be interpreted to, impair the participant from exercising any legally protected whistleblower rights (including under Rule 21F under the Exchange Act). Similarly, the Employer does not in any manner restrict the Employee from participating in any proceeding or investigation by a federal, state or local government agency or entity responsible for enforcing such laws. The Employee is not required to notify the Employer that the Employee has made such report or disclosure, or of the Employee’s participation in an agency investigation or proceeding.</w:t>
      </w:r>
    </w:p>
    <w:p>
      <w:pPr>
        <w:spacing w:after="0" w:line="128" w:lineRule="exact"/>
        <w:rPr>
          <w:sz w:val="20"/>
          <w:szCs w:val="20"/>
          <w:color w:val="auto"/>
        </w:rPr>
      </w:pPr>
    </w:p>
    <w:p>
      <w:pPr>
        <w:jc w:val="both"/>
        <w:ind w:left="630" w:hanging="43"/>
        <w:spacing w:after="0" w:line="259" w:lineRule="auto"/>
        <w:tabs>
          <w:tab w:leader="none" w:pos="1142" w:val="left"/>
        </w:tabs>
        <w:numPr>
          <w:ilvl w:val="2"/>
          <w:numId w:val="42"/>
        </w:numPr>
        <w:rPr>
          <w:rFonts w:ascii="Arial" w:cs="Arial" w:eastAsia="Arial" w:hAnsi="Arial"/>
          <w:sz w:val="18"/>
          <w:szCs w:val="18"/>
          <w:color w:val="auto"/>
        </w:rPr>
      </w:pPr>
      <w:r>
        <w:rPr>
          <w:rFonts w:ascii="Arial" w:cs="Arial" w:eastAsia="Arial" w:hAnsi="Arial"/>
          <w:sz w:val="18"/>
          <w:szCs w:val="18"/>
          <w:color w:val="auto"/>
        </w:rPr>
        <w:t>The Employee, pursuant to any agreement between the Employer and the Employee which contains post-employment prohibitions, shall disclose promptly and assign to the Employer all right, title and interest in any invention or idea, patentable or not, made or conceived by the Employee during services with the Employer, relating in any manner to the actual or anticipated business, research or development work of the Employer, and shall do anything reasonably necessary to enable the Employer to secure a patent where appropriate in the United States and in foreign countries.</w:t>
      </w:r>
    </w:p>
    <w:p>
      <w:pPr>
        <w:spacing w:after="0" w:line="125" w:lineRule="exact"/>
        <w:rPr>
          <w:rFonts w:ascii="Arial" w:cs="Arial" w:eastAsia="Arial" w:hAnsi="Arial"/>
          <w:sz w:val="18"/>
          <w:szCs w:val="18"/>
          <w:color w:val="auto"/>
        </w:rPr>
      </w:pPr>
    </w:p>
    <w:p>
      <w:pPr>
        <w:jc w:val="both"/>
        <w:ind w:left="630" w:hanging="187"/>
        <w:spacing w:after="0" w:line="256" w:lineRule="auto"/>
        <w:tabs>
          <w:tab w:leader="none" w:pos="868" w:val="left"/>
        </w:tabs>
        <w:numPr>
          <w:ilvl w:val="1"/>
          <w:numId w:val="43"/>
        </w:numPr>
        <w:rPr>
          <w:rFonts w:ascii="Arial" w:cs="Arial" w:eastAsia="Arial" w:hAnsi="Arial"/>
          <w:sz w:val="18"/>
          <w:szCs w:val="18"/>
          <w:color w:val="auto"/>
        </w:rPr>
      </w:pPr>
      <w:r>
        <w:rPr>
          <w:rFonts w:ascii="Arial" w:cs="Arial" w:eastAsia="Arial" w:hAnsi="Arial"/>
          <w:sz w:val="18"/>
          <w:szCs w:val="18"/>
          <w:color w:val="auto"/>
        </w:rPr>
        <w:t>Failure to comply with the provision of subparagraphs (a), (b) or (c) of this Section 17 prior to, or during the six months after, any payment or delivery shall cause such payment or delivery to be rescinded. The Company shall notify the Employee in writing of any such rescission within two years after such payment or delivery. Within ten days after receiving such a notice from the Company, the Employee shall pay to the Company the amount of any payment received as a result of the rescinded payment or delivery pursuant to an award. Such payment to the Company by the Employee shall be made either in cash or by returning to the Company the number of shares of Common Stock that the Employee received in connection with the rescinded payment or delivery.</w:t>
      </w:r>
    </w:p>
    <w:p>
      <w:pPr>
        <w:spacing w:after="0" w:line="128" w:lineRule="exact"/>
        <w:rPr>
          <w:rFonts w:ascii="Arial" w:cs="Arial" w:eastAsia="Arial" w:hAnsi="Arial"/>
          <w:sz w:val="18"/>
          <w:szCs w:val="18"/>
          <w:color w:val="auto"/>
        </w:rPr>
      </w:pPr>
    </w:p>
    <w:p>
      <w:pPr>
        <w:jc w:val="both"/>
        <w:ind w:left="10" w:hanging="10"/>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in writing and if to the Company shall be mailed to the Company at 100 Campus Drive, Suite 200 Florham Park, NJ 07932, USA, addressed to the attention of Stock Plan Administrator, and if to the Employee shall be delivered personally or mailed to the Employee at his address as the same appears on the records of the Company.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070"/>
          </w:cols>
          <w:pgMar w:left="490" w:top="377"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309" w:lineRule="exact"/>
        <w:rPr>
          <w:sz w:val="20"/>
          <w:szCs w:val="20"/>
          <w:color w:val="auto"/>
        </w:rPr>
      </w:pPr>
    </w:p>
    <w:p>
      <w:pPr>
        <w:ind w:left="10" w:hanging="10"/>
        <w:spacing w:after="0" w:line="287" w:lineRule="auto"/>
        <w:tabs>
          <w:tab w:leader="none" w:pos="487"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the Employee has received this Agreement or any other document related to the Plan translated into a language other than English and if the meaning of the translated version is different than the English version, the English version will control.</w:t>
      </w:r>
    </w:p>
    <w:p>
      <w:pPr>
        <w:spacing w:after="0" w:line="98" w:lineRule="exact"/>
        <w:rPr>
          <w:rFonts w:ascii="Arial" w:cs="Arial" w:eastAsia="Arial" w:hAnsi="Arial"/>
          <w:sz w:val="18"/>
          <w:szCs w:val="18"/>
          <w:color w:val="auto"/>
        </w:rPr>
      </w:pPr>
    </w:p>
    <w:p>
      <w:pPr>
        <w:jc w:val="both"/>
        <w:ind w:left="10" w:hanging="10"/>
        <w:spacing w:after="0" w:line="259" w:lineRule="auto"/>
        <w:tabs>
          <w:tab w:leader="none" w:pos="473"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Electronic Delivery and Acceptance</w:t>
      </w:r>
      <w:r>
        <w:rPr>
          <w:rFonts w:ascii="Arial" w:cs="Arial" w:eastAsia="Arial" w:hAnsi="Arial"/>
          <w:sz w:val="18"/>
          <w:szCs w:val="18"/>
          <w:color w:val="auto"/>
        </w:rPr>
        <w:t>. The Company will deliver any documents related to current or future participation in the Plan by electronic means. The Employee hereby consents to receive such documents by electronic delivery, and agrees to participate in the Plan and be bound by the terms and conditions of this Agreement, through an on-line or electronic system established and maintained by the Company or a third party designated by the Company. Electronic acceptance by the Employee is required and the award will be cancelled for any employee who fails to comply with the Company’s acceptance requirement within 90 days of the effective date of the award.</w:t>
      </w:r>
    </w:p>
    <w:p>
      <w:pPr>
        <w:spacing w:after="0" w:line="125" w:lineRule="exact"/>
        <w:rPr>
          <w:rFonts w:ascii="Arial" w:cs="Arial" w:eastAsia="Arial" w:hAnsi="Arial"/>
          <w:sz w:val="18"/>
          <w:szCs w:val="18"/>
          <w:color w:val="auto"/>
        </w:rPr>
      </w:pPr>
    </w:p>
    <w:p>
      <w:pPr>
        <w:jc w:val="both"/>
        <w:ind w:left="10" w:hanging="10"/>
        <w:spacing w:after="0" w:line="257" w:lineRule="auto"/>
        <w:tabs>
          <w:tab w:leader="none" w:pos="514"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Interpretation of This Agreement</w:t>
      </w:r>
      <w:r>
        <w:rPr>
          <w:rFonts w:ascii="Arial" w:cs="Arial" w:eastAsia="Arial" w:hAnsi="Arial"/>
          <w:sz w:val="18"/>
          <w:szCs w:val="18"/>
          <w:color w:val="auto"/>
        </w:rPr>
        <w:t>. The Committee or its authorized delegate, as applicable, shall have the authority to interpret the Plan and this Agreement and to take whatever administrative actions, including correction of administrative errors in the awards subject to this Agreement and in this Agreement, as the Committee or its authorized delegate, as applicable, in its sole good faith judgment shall determine to be advisable. All decisions, interpretations and administrative actions made by the Committee or its authorized delegate, as applicable, hereunder or under the Plan shall be binding and conclusive on the Company and the Employee. In the event there is inconsistency between the provisions of this Agreement and of the Plan, the provisions of the Plan shall govern.</w:t>
      </w:r>
    </w:p>
    <w:p>
      <w:pPr>
        <w:spacing w:after="0" w:line="128" w:lineRule="exact"/>
        <w:rPr>
          <w:rFonts w:ascii="Arial" w:cs="Arial" w:eastAsia="Arial" w:hAnsi="Arial"/>
          <w:sz w:val="18"/>
          <w:szCs w:val="18"/>
          <w:color w:val="auto"/>
        </w:rPr>
      </w:pPr>
    </w:p>
    <w:p>
      <w:pPr>
        <w:ind w:left="10" w:hanging="10"/>
        <w:spacing w:after="0" w:line="287"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hereto and the successors and assigns of the Company and to the extent provided in Section 9(b) of the Plan to the Beneficiary(ies) or transferee of the Employee.</w:t>
      </w:r>
    </w:p>
    <w:p>
      <w:pPr>
        <w:spacing w:after="0" w:line="98" w:lineRule="exact"/>
        <w:rPr>
          <w:rFonts w:ascii="Arial" w:cs="Arial" w:eastAsia="Arial" w:hAnsi="Arial"/>
          <w:sz w:val="18"/>
          <w:szCs w:val="18"/>
          <w:color w:val="auto"/>
        </w:rPr>
      </w:pPr>
    </w:p>
    <w:p>
      <w:pPr>
        <w:jc w:val="both"/>
        <w:ind w:left="10" w:hanging="10"/>
        <w:spacing w:after="0" w:line="255" w:lineRule="auto"/>
        <w:tabs>
          <w:tab w:leader="none" w:pos="581"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The validity, construction and effect of the Agreement, any actions taken under or relating to this Agreement, and any disputes arising out of or related to this Agreement, shall be governed by and construed in accordance with the laws of the United States and the laws of the State of Delaware without giving effect to any choice or conflict of law provision or rule (whether of the State of Delaware or any other jurisdiction) that would cause the application of the laws of any jurisdiction other than the United States and the State or Delaware. This grant is made and/or administered in the United States. For purposes of litigating any dispute that arises under this grant or the Agreement the parties hereby submit to and consent to the jurisdiction of the State of Delaware, and agree that such litigation shall only be conducted in the state or federal courts located in Delaware to the exclusion of all other courts and fora. By accepting the RSUs, the Employee irrevocably consents to the jurisdiction of, and venue in, such courts and waives any objection that such courts are an inconvenient forum.</w:t>
      </w:r>
    </w:p>
    <w:p>
      <w:pPr>
        <w:spacing w:after="0" w:line="126" w:lineRule="exact"/>
        <w:rPr>
          <w:rFonts w:ascii="Arial" w:cs="Arial" w:eastAsia="Arial" w:hAnsi="Arial"/>
          <w:sz w:val="18"/>
          <w:szCs w:val="18"/>
          <w:color w:val="auto"/>
        </w:rPr>
      </w:pPr>
    </w:p>
    <w:p>
      <w:pPr>
        <w:jc w:val="both"/>
        <w:ind w:left="10" w:hanging="10"/>
        <w:spacing w:after="0" w:line="268" w:lineRule="auto"/>
        <w:tabs>
          <w:tab w:leader="none" w:pos="31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It is intended that the provisions of this Agreement comply with, or are exempt from, Section 409A, and all provisions of this Agreement shall be construed and interpreted in a manner consistent with the requirements for avoiding taxes or penalties under Section 409A.</w:t>
      </w:r>
    </w:p>
    <w:p>
      <w:pPr>
        <w:spacing w:after="0" w:line="117" w:lineRule="exact"/>
        <w:rPr>
          <w:sz w:val="20"/>
          <w:szCs w:val="20"/>
          <w:color w:val="auto"/>
        </w:rPr>
      </w:pPr>
    </w:p>
    <w:p>
      <w:pPr>
        <w:jc w:val="both"/>
        <w:ind w:left="10"/>
        <w:spacing w:after="0" w:line="259" w:lineRule="auto"/>
        <w:rPr>
          <w:sz w:val="20"/>
          <w:szCs w:val="20"/>
          <w:color w:val="auto"/>
        </w:rPr>
      </w:pPr>
      <w:r>
        <w:rPr>
          <w:rFonts w:ascii="Arial" w:cs="Arial" w:eastAsia="Arial" w:hAnsi="Arial"/>
          <w:sz w:val="18"/>
          <w:szCs w:val="18"/>
          <w:color w:val="auto"/>
        </w:rPr>
        <w:t>Except as permitted under Section 409A, any deferred compensation (within the meaning of Section 409A) payable to the Employee or for the Employee’s benefit under this Agreement may not be reduced by, or offset against, any amount owing by the Employee to the Company or any of its affiliates. In the event that any 60-day period described in Section 8 of this Agreement straddles two calendar years, then any RSUs, and any dividends with respect thereto, that are settled within such 60-day period in accordance with this Agreement shall be settled in the second calendar year.</w:t>
      </w:r>
    </w:p>
    <w:p>
      <w:pPr>
        <w:spacing w:after="0" w:line="125" w:lineRule="exact"/>
        <w:rPr>
          <w:sz w:val="20"/>
          <w:szCs w:val="20"/>
          <w:color w:val="auto"/>
        </w:rPr>
      </w:pPr>
    </w:p>
    <w:p>
      <w:pPr>
        <w:jc w:val="both"/>
        <w:ind w:left="10"/>
        <w:spacing w:after="0" w:line="260" w:lineRule="auto"/>
        <w:rPr>
          <w:sz w:val="20"/>
          <w:szCs w:val="20"/>
          <w:color w:val="auto"/>
        </w:rPr>
      </w:pPr>
      <w:r>
        <w:rPr>
          <w:rFonts w:ascii="Arial" w:cs="Arial" w:eastAsia="Arial" w:hAnsi="Arial"/>
          <w:sz w:val="18"/>
          <w:szCs w:val="18"/>
          <w:color w:val="auto"/>
        </w:rPr>
        <w:t>If, at the time of the Employee’s separation from service (within the meaning of Section 409A), (a) the Employee shall be a specified employee (within the meaning of Section 409A and using the identification methodology selected by the Company from time to time) and</w:t>
      </w:r>
    </w:p>
    <w:p>
      <w:pPr>
        <w:spacing w:after="0" w:line="2" w:lineRule="exact"/>
        <w:rPr>
          <w:sz w:val="20"/>
          <w:szCs w:val="20"/>
          <w:color w:val="auto"/>
        </w:rPr>
      </w:pPr>
    </w:p>
    <w:p>
      <w:pPr>
        <w:jc w:val="both"/>
        <w:ind w:left="10" w:hanging="10"/>
        <w:spacing w:after="0" w:line="258" w:lineRule="auto"/>
        <w:tabs>
          <w:tab w:leader="none" w:pos="29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shall make a good faith determination that an amount payable hereunder constitutes deferred compensation (within the meaning of Section 409A) the payment of which is required to be delayed pursuant to the six-month delay rule set forth in Section 409A in order to avoid taxes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070"/>
          </w:cols>
          <w:pgMar w:left="490" w:top="377"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309" w:lineRule="exact"/>
        <w:rPr>
          <w:sz w:val="20"/>
          <w:szCs w:val="20"/>
          <w:color w:val="auto"/>
        </w:rPr>
      </w:pPr>
    </w:p>
    <w:p>
      <w:pPr>
        <w:jc w:val="both"/>
        <w:ind w:left="10"/>
        <w:spacing w:after="0" w:line="287" w:lineRule="auto"/>
        <w:rPr>
          <w:sz w:val="20"/>
          <w:szCs w:val="20"/>
          <w:color w:val="auto"/>
        </w:rPr>
      </w:pPr>
      <w:r>
        <w:rPr>
          <w:rFonts w:ascii="Arial" w:cs="Arial" w:eastAsia="Arial" w:hAnsi="Arial"/>
          <w:sz w:val="18"/>
          <w:szCs w:val="18"/>
          <w:color w:val="auto"/>
        </w:rPr>
        <w:t>penalties under Section 409A, then the Company shall not pay such amount on the otherwise scheduled payment date but shall instead pay it, without interest, on the first business day after such six-month period.</w:t>
      </w:r>
    </w:p>
    <w:p>
      <w:pPr>
        <w:spacing w:after="0" w:line="99" w:lineRule="exact"/>
        <w:rPr>
          <w:sz w:val="20"/>
          <w:szCs w:val="20"/>
          <w:color w:val="auto"/>
        </w:rPr>
      </w:pPr>
    </w:p>
    <w:p>
      <w:pPr>
        <w:jc w:val="both"/>
        <w:ind w:left="10"/>
        <w:spacing w:after="0" w:line="257" w:lineRule="auto"/>
        <w:rPr>
          <w:sz w:val="20"/>
          <w:szCs w:val="20"/>
          <w:color w:val="auto"/>
        </w:rPr>
      </w:pPr>
      <w:r>
        <w:rPr>
          <w:rFonts w:ascii="Arial" w:cs="Arial" w:eastAsia="Arial" w:hAnsi="Arial"/>
          <w:sz w:val="18"/>
          <w:szCs w:val="18"/>
          <w:color w:val="auto"/>
        </w:rPr>
        <w:t>Notwithstanding any provision of this Agreement to the contrary, in light of the uncertainty with respect to the proper application of Section 409A, the Company reserves the right to make amendments to this Agreement as the Company deems necessary or desirable to avoid the imposition of taxes or penalties under Section 409A. In any case, the Employee shall be solely responsible and liable for the satisfaction of all taxes and penalties that may be imposed on the Employee or for the Employee’s account in connection with this Agreement (including any taxes and penalties under Section 409A), and neither the Company nor any of its affiliates shall have any obligation to indemnify or otherwise hold the Employee harmless from any or all of such taxes or penalties.</w:t>
      </w:r>
    </w:p>
    <w:p>
      <w:pPr>
        <w:spacing w:after="0" w:line="128" w:lineRule="exact"/>
        <w:rPr>
          <w:sz w:val="20"/>
          <w:szCs w:val="20"/>
          <w:color w:val="auto"/>
        </w:rPr>
      </w:pPr>
    </w:p>
    <w:p>
      <w:pPr>
        <w:ind w:left="450" w:hanging="450"/>
        <w:spacing w:after="0"/>
        <w:tabs>
          <w:tab w:leader="none" w:pos="45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630" w:hanging="391"/>
        <w:spacing w:after="0" w:line="259" w:lineRule="auto"/>
        <w:tabs>
          <w:tab w:leader="none" w:pos="755"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Data Collection and Usage</w:t>
      </w:r>
      <w:r>
        <w:rPr>
          <w:rFonts w:ascii="Arial" w:cs="Arial" w:eastAsia="Arial" w:hAnsi="Arial"/>
          <w:sz w:val="18"/>
          <w:szCs w:val="18"/>
          <w:color w:val="auto"/>
        </w:rPr>
        <w:t>. The Company and the Employer collect, process and use certain personal information about the Employee, including, but not limited to, the Employee’s name, home address and telephone number, email address, date of birth, social insurance, passport or other identification number, salary, nationality, job title, any shares of Common Stock or directorships held in the Company, details of all RSUs or any other entitlement to shares or equivalent benefits awarded, canceled, exercised, vested, unvested or outstanding in the Employee’s favor (“</w:t>
      </w:r>
      <w:r>
        <w:rPr>
          <w:rFonts w:ascii="Arial" w:cs="Arial" w:eastAsia="Arial" w:hAnsi="Arial"/>
          <w:sz w:val="18"/>
          <w:szCs w:val="18"/>
          <w:b w:val="1"/>
          <w:bCs w:val="1"/>
          <w:i w:val="1"/>
          <w:iCs w:val="1"/>
          <w:color w:val="auto"/>
        </w:rPr>
        <w:t>Data</w:t>
      </w:r>
      <w:r>
        <w:rPr>
          <w:rFonts w:ascii="Arial" w:cs="Arial" w:eastAsia="Arial" w:hAnsi="Arial"/>
          <w:sz w:val="18"/>
          <w:szCs w:val="18"/>
          <w:color w:val="auto"/>
        </w:rPr>
        <w:t>”), for the purposes of implementing, administering and managing</w:t>
      </w:r>
    </w:p>
    <w:p>
      <w:pPr>
        <w:spacing w:after="0" w:line="4" w:lineRule="exact"/>
        <w:rPr>
          <w:sz w:val="20"/>
          <w:szCs w:val="20"/>
          <w:color w:val="auto"/>
        </w:rPr>
      </w:pPr>
    </w:p>
    <w:p>
      <w:pPr>
        <w:jc w:val="both"/>
        <w:ind w:left="630"/>
        <w:spacing w:after="0" w:line="256" w:lineRule="auto"/>
        <w:rPr>
          <w:sz w:val="20"/>
          <w:szCs w:val="20"/>
          <w:color w:val="auto"/>
        </w:rPr>
      </w:pPr>
      <w:r>
        <w:rPr>
          <w:rFonts w:ascii="Arial" w:cs="Arial" w:eastAsia="Arial" w:hAnsi="Arial"/>
          <w:sz w:val="18"/>
          <w:szCs w:val="18"/>
          <w:color w:val="auto"/>
        </w:rPr>
        <w:t>the Plan. The Company shall comply with Data Protection Laws in connection with the processing of any Data. The Company shall ensure that personnel with access to Data are under an appropriate obligation of confidentiality and that such personnel have received appropriate data protection and security training pertaining to the responsibilities of their role. The Company agrees that in order to provide the Plan and services, Company may engage subcontractors to process the Data. The Company will enter into a written agreement with the subcontractor imposing data protection terms that places the equivalent data protection obligations as those set out in this Agreement to the extent applicable to the nature of the services provided by such subcontractor, in particular providing appropriate administrative, technical, and physical safeguards that the processing will protect the Data.</w:t>
      </w:r>
    </w:p>
    <w:p>
      <w:pPr>
        <w:spacing w:after="0" w:line="129" w:lineRule="exact"/>
        <w:rPr>
          <w:sz w:val="20"/>
          <w:szCs w:val="20"/>
          <w:color w:val="auto"/>
        </w:rPr>
      </w:pPr>
    </w:p>
    <w:p>
      <w:pPr>
        <w:jc w:val="both"/>
        <w:ind w:left="630" w:hanging="391"/>
        <w:spacing w:after="0" w:line="257" w:lineRule="auto"/>
        <w:tabs>
          <w:tab w:leader="none" w:pos="742"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International Data Transfers</w:t>
      </w:r>
      <w:r>
        <w:rPr>
          <w:rFonts w:ascii="Arial" w:cs="Arial" w:eastAsia="Arial" w:hAnsi="Arial"/>
          <w:sz w:val="18"/>
          <w:szCs w:val="18"/>
          <w:color w:val="auto"/>
        </w:rPr>
        <w:t>. It may be necessary for Data to be transferred to, and processed in, the U.S. If the Employee is outside of the U.S., the Employee should note that the Employee's country has enacted Data Protection Laws that are different from the U.S. As a result, in the absence of appropriate safeguards, the transfer of Data to the U.S. or, as the case may be, other countries might not be subject to substantive data processing principles or supervision by data protection authorities. The Employee acknowledges that Company may transfer Data outside of the Employee’s home country and agrees to consent to the Data transfer as set forth in Section 25(e).</w:t>
      </w:r>
    </w:p>
    <w:p>
      <w:pPr>
        <w:spacing w:after="0" w:line="128" w:lineRule="exact"/>
        <w:rPr>
          <w:rFonts w:ascii="Arial" w:cs="Arial" w:eastAsia="Arial" w:hAnsi="Arial"/>
          <w:sz w:val="18"/>
          <w:szCs w:val="18"/>
          <w:color w:val="auto"/>
        </w:rPr>
      </w:pPr>
    </w:p>
    <w:p>
      <w:pPr>
        <w:jc w:val="both"/>
        <w:ind w:left="630" w:hanging="391"/>
        <w:spacing w:after="0" w:line="268" w:lineRule="auto"/>
        <w:tabs>
          <w:tab w:leader="none" w:pos="732"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Data Retention</w:t>
      </w:r>
      <w:r>
        <w:rPr>
          <w:rFonts w:ascii="Arial" w:cs="Arial" w:eastAsia="Arial" w:hAnsi="Arial"/>
          <w:sz w:val="18"/>
          <w:szCs w:val="18"/>
          <w:color w:val="auto"/>
        </w:rPr>
        <w:t>. The Company will hold and use Data only as long as is necessary to implement, administer and manage the Employee’s participation in the Plan, or as required to comply with legal or regulatory obligations, including under tax, exchange control, labor and securities laws.</w:t>
      </w:r>
    </w:p>
    <w:p>
      <w:pPr>
        <w:spacing w:after="0" w:line="116" w:lineRule="exact"/>
        <w:rPr>
          <w:rFonts w:ascii="Arial" w:cs="Arial" w:eastAsia="Arial" w:hAnsi="Arial"/>
          <w:sz w:val="18"/>
          <w:szCs w:val="18"/>
          <w:color w:val="auto"/>
        </w:rPr>
      </w:pPr>
    </w:p>
    <w:p>
      <w:pPr>
        <w:jc w:val="both"/>
        <w:ind w:left="630" w:hanging="391"/>
        <w:spacing w:after="0" w:line="259" w:lineRule="auto"/>
        <w:tabs>
          <w:tab w:leader="none" w:pos="742"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Voluntariness and Consequences of Consent Denial or Withdrawal</w:t>
      </w:r>
      <w:r>
        <w:rPr>
          <w:rFonts w:ascii="Arial" w:cs="Arial" w:eastAsia="Arial" w:hAnsi="Arial"/>
          <w:sz w:val="18"/>
          <w:szCs w:val="18"/>
          <w:color w:val="auto"/>
        </w:rPr>
        <w:t>. Participation in the Plan is voluntary, and the Employee is providing the consents herein on a purely voluntary basis. If the Employee does not consent, or if the Employee later seeks to revoke the Employee's consent, the Employee’s salary from or employment and career with the Employer will not be affected; the only consequence of refusing or withdrawing consent is that the Company would not be able to grant the RSUs or other equity awards to the Employee or administer or maintain such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070"/>
          </w:cols>
          <w:pgMar w:left="490" w:top="377"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309" w:lineRule="exact"/>
        <w:rPr>
          <w:sz w:val="20"/>
          <w:szCs w:val="20"/>
          <w:color w:val="auto"/>
        </w:rPr>
      </w:pPr>
    </w:p>
    <w:p>
      <w:pPr>
        <w:jc w:val="both"/>
        <w:ind w:left="630" w:hanging="391"/>
        <w:spacing w:after="0" w:line="268" w:lineRule="auto"/>
        <w:tabs>
          <w:tab w:leader="none" w:pos="688"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Data Subject Rights</w:t>
      </w:r>
      <w:r>
        <w:rPr>
          <w:rFonts w:ascii="Arial" w:cs="Arial" w:eastAsia="Arial" w:hAnsi="Arial"/>
          <w:sz w:val="18"/>
          <w:szCs w:val="18"/>
          <w:color w:val="auto"/>
        </w:rPr>
        <w:t>. The Employee may have a number of rights under Data Protection Laws in the Employee’s jurisdiction. The Company will use reasonable efforts to fulfill any privacy rights requests under Data Protection Laws. To receive clarification regarding these rights or to exercise these rights, the Employee can contact the local human resources representative.</w:t>
      </w:r>
    </w:p>
    <w:p>
      <w:pPr>
        <w:spacing w:after="0" w:line="117" w:lineRule="exact"/>
        <w:rPr>
          <w:sz w:val="20"/>
          <w:szCs w:val="20"/>
          <w:color w:val="auto"/>
        </w:rPr>
      </w:pPr>
    </w:p>
    <w:p>
      <w:pPr>
        <w:jc w:val="both"/>
        <w:ind w:left="630" w:firstLine="115"/>
        <w:spacing w:after="0" w:line="262" w:lineRule="auto"/>
        <w:rPr>
          <w:sz w:val="20"/>
          <w:szCs w:val="20"/>
          <w:color w:val="auto"/>
        </w:rPr>
      </w:pPr>
      <w:r>
        <w:rPr>
          <w:rFonts w:ascii="Arial" w:cs="Arial" w:eastAsia="Arial" w:hAnsi="Arial"/>
          <w:sz w:val="18"/>
          <w:szCs w:val="18"/>
          <w:color w:val="auto"/>
        </w:rPr>
        <w:t>By accepting the RSUs and indicating consent via the Company’s acceptance procedure, the Employee is declaring agreement with the data processing practices described herein and consents to the collection, processing and use of Data by the Company and the transfer of Data to the recipients mentioned above, including recipients located in countries which may not have an adequate level of protection from a Data Protection Law perspective, for the purposes described above.</w:t>
      </w:r>
    </w:p>
    <w:p>
      <w:pPr>
        <w:spacing w:after="0" w:line="122" w:lineRule="exact"/>
        <w:rPr>
          <w:sz w:val="20"/>
          <w:szCs w:val="20"/>
          <w:color w:val="auto"/>
        </w:rPr>
      </w:pPr>
    </w:p>
    <w:p>
      <w:pPr>
        <w:jc w:val="both"/>
        <w:ind w:left="630" w:firstLine="134"/>
        <w:spacing w:after="0" w:line="255" w:lineRule="auto"/>
        <w:rPr>
          <w:sz w:val="20"/>
          <w:szCs w:val="20"/>
          <w:color w:val="auto"/>
        </w:rPr>
      </w:pPr>
      <w:r>
        <w:rPr>
          <w:rFonts w:ascii="Arial" w:cs="Arial" w:eastAsia="Arial" w:hAnsi="Arial"/>
          <w:sz w:val="18"/>
          <w:szCs w:val="18"/>
          <w:color w:val="auto"/>
        </w:rPr>
        <w:t>Finally, the Employee understands that the Company may rely on a different basis for the processing or transfer of Data in the future and/or request that the Employee provide another data privacy consent. If applicable, the Employee agrees that upon request of the Company or the Employer, the Employee will provide an executed acknowledgement or data privacy consent form (or any other agreements or consents) that the Company and/or the Employer may deem necessary to obtain from the Employee for the purpose of administering the Employee’s participation in the Plan in compliance with the Data Protection Laws in the Employee’s country, either now or in the future. The Employee understands and agrees that the Employee will not be able to participate in the Plan if the Employee fails to provide any such consent or agreement requested by the Company and/or the Employer.</w:t>
      </w:r>
    </w:p>
    <w:p>
      <w:pPr>
        <w:spacing w:after="0" w:line="131" w:lineRule="exact"/>
        <w:rPr>
          <w:sz w:val="20"/>
          <w:szCs w:val="20"/>
          <w:color w:val="auto"/>
        </w:rPr>
      </w:pPr>
    </w:p>
    <w:p>
      <w:pPr>
        <w:jc w:val="both"/>
        <w:ind w:left="630" w:hanging="391"/>
        <w:spacing w:after="0" w:line="259" w:lineRule="auto"/>
        <w:tabs>
          <w:tab w:leader="none" w:pos="881"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Security</w:t>
      </w:r>
      <w:r>
        <w:rPr>
          <w:rFonts w:ascii="Arial" w:cs="Arial" w:eastAsia="Arial" w:hAnsi="Arial"/>
          <w:sz w:val="18"/>
          <w:szCs w:val="18"/>
          <w:color w:val="auto"/>
        </w:rPr>
        <w:t>. Company shall use commercially reasonable efforts to implement and maintain reasonable and appropriate administrative, technical, and physical safeguards that are designed to ensure the security and confidentiality of Data in Company's possession or control; and protect Data in Company's possession or control from or unauthorized access, or disclosure. If Company experiences an actual data breach or compromise of security, confidentiality or integrity of Data, then Company shall promptly notify the Employee of such data breach in accordance with applicable Data Protection Laws.</w:t>
      </w:r>
    </w:p>
    <w:p>
      <w:pPr>
        <w:spacing w:after="0" w:line="125" w:lineRule="exact"/>
        <w:rPr>
          <w:rFonts w:ascii="Arial" w:cs="Arial" w:eastAsia="Arial" w:hAnsi="Arial"/>
          <w:sz w:val="18"/>
          <w:szCs w:val="18"/>
          <w:color w:val="auto"/>
        </w:rPr>
      </w:pPr>
    </w:p>
    <w:p>
      <w:pPr>
        <w:jc w:val="both"/>
        <w:ind w:left="10" w:hanging="10"/>
        <w:spacing w:after="0" w:line="268" w:lineRule="auto"/>
        <w:tabs>
          <w:tab w:leader="none" w:pos="577"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Separability</w:t>
      </w:r>
      <w:r>
        <w:rPr>
          <w:rFonts w:ascii="Arial" w:cs="Arial" w:eastAsia="Arial" w:hAnsi="Arial"/>
          <w:sz w:val="18"/>
          <w:szCs w:val="18"/>
          <w:color w:val="auto"/>
        </w:rPr>
        <w:t>. In case any provision in the Agreement, or in any other instrument referred to herein, shall become invalid, illegal or unenforceable, the validity, legality and enforceability of the remaining provisions in the Agreement, or in any other instrument referred to herein, shall not in any way be affected or impaired thereby.</w:t>
      </w:r>
    </w:p>
    <w:p>
      <w:pPr>
        <w:spacing w:after="0" w:line="116" w:lineRule="exact"/>
        <w:rPr>
          <w:rFonts w:ascii="Arial" w:cs="Arial" w:eastAsia="Arial" w:hAnsi="Arial"/>
          <w:sz w:val="18"/>
          <w:szCs w:val="18"/>
          <w:color w:val="auto"/>
        </w:rPr>
      </w:pPr>
    </w:p>
    <w:p>
      <w:pPr>
        <w:ind w:left="10" w:hanging="10"/>
        <w:spacing w:after="0" w:line="287" w:lineRule="auto"/>
        <w:tabs>
          <w:tab w:leader="none" w:pos="527"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Integration of Terms</w:t>
      </w:r>
      <w:r>
        <w:rPr>
          <w:rFonts w:ascii="Arial" w:cs="Arial" w:eastAsia="Arial" w:hAnsi="Arial"/>
          <w:sz w:val="18"/>
          <w:szCs w:val="18"/>
          <w:color w:val="auto"/>
        </w:rPr>
        <w:t>. Except as otherwise provided in this Agreement, this Agreement contains the entire agreement between the parties relating to the subject matter hereof and supersedes any and all oral statements and prior writings with respect thereto.</w:t>
      </w:r>
    </w:p>
    <w:p>
      <w:pPr>
        <w:spacing w:after="0" w:line="98" w:lineRule="exact"/>
        <w:rPr>
          <w:rFonts w:ascii="Arial" w:cs="Arial" w:eastAsia="Arial" w:hAnsi="Arial"/>
          <w:sz w:val="18"/>
          <w:szCs w:val="18"/>
          <w:color w:val="auto"/>
        </w:rPr>
      </w:pPr>
    </w:p>
    <w:p>
      <w:pPr>
        <w:jc w:val="both"/>
        <w:ind w:left="10" w:hanging="10"/>
        <w:spacing w:after="0" w:line="259" w:lineRule="auto"/>
        <w:tabs>
          <w:tab w:leader="none" w:pos="487"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Appendix for Non-U.S. Countries</w:t>
      </w:r>
      <w:r>
        <w:rPr>
          <w:rFonts w:ascii="Arial" w:cs="Arial" w:eastAsia="Arial" w:hAnsi="Arial"/>
          <w:sz w:val="18"/>
          <w:szCs w:val="18"/>
          <w:color w:val="auto"/>
        </w:rPr>
        <w:t>. Notwithstanding any provisions in this Agreement, the RSUs shall be subject to any special terms and conditions set forth in any appendix to this Agreement for the Employee’s country of employment (the “</w:t>
      </w:r>
      <w:r>
        <w:rPr>
          <w:rFonts w:ascii="Arial" w:cs="Arial" w:eastAsia="Arial" w:hAnsi="Arial"/>
          <w:sz w:val="18"/>
          <w:szCs w:val="18"/>
          <w:b w:val="1"/>
          <w:bCs w:val="1"/>
          <w:i w:val="1"/>
          <w:iCs w:val="1"/>
          <w:color w:val="auto"/>
        </w:rPr>
        <w:t>Appendix</w:t>
      </w:r>
      <w:r>
        <w:rPr>
          <w:rFonts w:ascii="Arial" w:cs="Arial" w:eastAsia="Arial" w:hAnsi="Arial"/>
          <w:sz w:val="18"/>
          <w:szCs w:val="18"/>
          <w:color w:val="auto"/>
        </w:rPr>
        <w:t>”). Moreover, if the Employee relocates to one of the countries included in the Appendix, the special terms and conditions for such country will apply to the Employee, to the extent the Company determines that the application of such terms and conditions is necessary or advisable in order to comply with local law or facilitate the administration of the Plan. The Appendix constitutes part of this Agreement.</w:t>
      </w:r>
    </w:p>
    <w:p>
      <w:pPr>
        <w:spacing w:after="0" w:line="125" w:lineRule="exact"/>
        <w:rPr>
          <w:rFonts w:ascii="Arial" w:cs="Arial" w:eastAsia="Arial" w:hAnsi="Arial"/>
          <w:sz w:val="18"/>
          <w:szCs w:val="18"/>
          <w:color w:val="auto"/>
        </w:rPr>
      </w:pPr>
    </w:p>
    <w:p>
      <w:pPr>
        <w:jc w:val="both"/>
        <w:ind w:left="10" w:hanging="10"/>
        <w:spacing w:after="0" w:line="259" w:lineRule="auto"/>
        <w:tabs>
          <w:tab w:leader="none" w:pos="568"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Committee or its authorized delegate, as applicable, reserves the right to impose other requirements on the Employee’s participation in the Plan, on the RSUs and on any shares of Common Stock acquired under the Plan, to the extent the Committee or its authorized delegate, as applicable, determines it is necessary or advisable in order to comply with local law or facilitate the administration of the Plan, and to require the Employee to sign any additional agreements or undertakings that may be necessary to accomplish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070"/>
          </w:cols>
          <w:pgMar w:left="490" w:top="377"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309" w:lineRule="exact"/>
        <w:rPr>
          <w:sz w:val="20"/>
          <w:szCs w:val="20"/>
          <w:color w:val="auto"/>
        </w:rPr>
      </w:pPr>
    </w:p>
    <w:p>
      <w:pPr>
        <w:jc w:val="both"/>
        <w:ind w:left="180" w:hanging="4"/>
        <w:spacing w:after="0" w:line="255" w:lineRule="auto"/>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Legal, Regulatory and Tax Compliance; Cooperation</w:t>
      </w:r>
      <w:r>
        <w:rPr>
          <w:rFonts w:ascii="Arial" w:cs="Arial" w:eastAsia="Arial" w:hAnsi="Arial"/>
          <w:sz w:val="18"/>
          <w:szCs w:val="18"/>
          <w:color w:val="auto"/>
        </w:rPr>
        <w:t>. If the Employee resides or is employed outside of the United States, the Employee agrees, as a condition of the grant of the RSUs, to take any and all actions as may be required to comply with the Employee's personal legal, regulatory and tax obligations under local laws, rules and regulations in the Employee's country of employment (and country of residence, if different), including (but not limited to) any obligations to repatriate all payments attributable to the shares of Common Stock and/or cash acquired under the Plan (e.g., dividends and any proceeds derived from the sale of shares of Common Stock acquired pursuant to the RSUs). In addition, the Employee also agrees to take any and all actions, and consents to any and all actions taken by the Company and any of its subsidiaries or affiliates as may be required to allow the Company and any of its subsidiaries or affiliates to comply with local laws, rules and regulations in the Employee's country of employment (and country of residence, if different).</w:t>
      </w:r>
    </w:p>
    <w:p>
      <w:pPr>
        <w:spacing w:after="0" w:line="37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WITNESS WHEREOF, the Company has executed this Agreement as of the day and year set forth on the Award Summary.</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CONDUENT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CHRISTOPHER KUJAWA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Christopher Kujawa, Chief Human Resources Office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Date: April 1, 2025</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1240"/>
          </w:cols>
          <w:pgMar w:left="320" w:top="377"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172085</wp:posOffset>
            </wp:positionV>
            <wp:extent cx="1508760" cy="3943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150876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333333"/>
        </w:rPr>
        <w:t>Non-Competition and Non-Solicitation Agreement</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This Non-Competition and Non-Solicitation Agreement (“Agreement”) is made effective as of April 1, 2025 (“Effective Date”) between Conduent Business Services, LLC, its parent, subsidiaries, divisions and affiliates (collectively, “Conduent”) and the individual whose name appears in the Award Summary (“Employee”).</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Employee acknowledges that Conduent is in a competitive industry in which the creation, maintenance, and use of 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or proprietary information and innovation are critical to Conduent’s success, and that the protection of that information and innovation is reasonably necessary to protect the goodwill and other legitimate business interests of Conduent; and</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further acknowledges the receipt and sufficiency of the consideration provided to Employee in exchange for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obligations under this Agreement, including, but not limited to, Employee’s employment or continued employment with Conduent in Employee’s current or a newly promoted role, Employee’s access to and receipt of trade secrets and confidential and proprietary information relating to Conduent’s business and clients, and, if applicable, Employee’s participation in Conduent incentive programs.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Conduent and Employee agree as follows:</w:t>
      </w:r>
    </w:p>
    <w:p>
      <w:pPr>
        <w:spacing w:after="0" w:line="252" w:lineRule="exact"/>
        <w:rPr>
          <w:sz w:val="20"/>
          <w:szCs w:val="20"/>
          <w:color w:val="auto"/>
        </w:rPr>
      </w:pPr>
    </w:p>
    <w:p>
      <w:pPr>
        <w:jc w:val="both"/>
        <w:ind w:left="340" w:hanging="332"/>
        <w:spacing w:after="0" w:line="276" w:lineRule="auto"/>
        <w:tabs>
          <w:tab w:leader="none" w:pos="328" w:val="left"/>
        </w:tabs>
        <w:numPr>
          <w:ilvl w:val="0"/>
          <w:numId w:val="53"/>
        </w:numPr>
        <w:rPr>
          <w:rFonts w:ascii="Arial" w:cs="Arial" w:eastAsia="Arial" w:hAnsi="Arial"/>
          <w:sz w:val="18"/>
          <w:szCs w:val="18"/>
          <w:color w:val="auto"/>
        </w:rPr>
      </w:pPr>
      <w:r>
        <w:rPr>
          <w:rFonts w:ascii="Arial" w:cs="Arial" w:eastAsia="Arial" w:hAnsi="Arial"/>
          <w:sz w:val="18"/>
          <w:szCs w:val="18"/>
          <w:b w:val="1"/>
          <w:bCs w:val="1"/>
          <w:u w:val="single" w:color="auto"/>
          <w:color w:val="auto"/>
        </w:rPr>
        <w:t>Non-Competition</w:t>
      </w:r>
      <w:r>
        <w:rPr>
          <w:rFonts w:ascii="Arial" w:cs="Arial" w:eastAsia="Arial" w:hAnsi="Arial"/>
          <w:sz w:val="18"/>
          <w:szCs w:val="18"/>
          <w:color w:val="auto"/>
        </w:rPr>
        <w:t>. (a) During the Non-Compete Period, Employee will not, directly or indirectly, own (beneficially or otherwise), manage,</w:t>
      </w:r>
      <w:r>
        <w:rPr>
          <w:rFonts w:ascii="Arial" w:cs="Arial" w:eastAsia="Arial" w:hAnsi="Arial"/>
          <w:sz w:val="18"/>
          <w:szCs w:val="18"/>
          <w:b w:val="1"/>
          <w:bCs w:val="1"/>
          <w:color w:val="auto"/>
        </w:rPr>
        <w:t xml:space="preserve"> </w:t>
      </w:r>
      <w:r>
        <w:rPr>
          <w:rFonts w:ascii="Arial" w:cs="Arial" w:eastAsia="Arial" w:hAnsi="Arial"/>
          <w:sz w:val="18"/>
          <w:szCs w:val="18"/>
          <w:color w:val="auto"/>
        </w:rPr>
        <w:t>operate, or render any services for (including, but not limited to, as an employee, proprietor, partner, agent, contractor, or consultant) any Entity that is engaged in any Competitive Activity in the Geographical Area.</w:t>
      </w:r>
    </w:p>
    <w:p>
      <w:pPr>
        <w:spacing w:after="0" w:line="203" w:lineRule="exact"/>
        <w:rPr>
          <w:rFonts w:ascii="Arial" w:cs="Arial" w:eastAsia="Arial" w:hAnsi="Arial"/>
          <w:sz w:val="18"/>
          <w:szCs w:val="18"/>
          <w:color w:val="auto"/>
        </w:rPr>
      </w:pPr>
    </w:p>
    <w:p>
      <w:pPr>
        <w:ind w:left="800" w:hanging="468"/>
        <w:spacing w:after="0"/>
        <w:tabs>
          <w:tab w:leader="none" w:pos="8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For purposes of this Agreement, the following terms will have the meaning set forth below:</w:t>
      </w:r>
    </w:p>
    <w:p>
      <w:pPr>
        <w:spacing w:after="0" w:line="252" w:lineRule="exact"/>
        <w:rPr>
          <w:rFonts w:ascii="Arial" w:cs="Arial" w:eastAsia="Arial" w:hAnsi="Arial"/>
          <w:sz w:val="18"/>
          <w:szCs w:val="18"/>
          <w:color w:val="auto"/>
        </w:rPr>
      </w:pPr>
    </w:p>
    <w:p>
      <w:pPr>
        <w:jc w:val="both"/>
        <w:ind w:left="1300" w:hanging="46"/>
        <w:spacing w:after="0" w:line="270" w:lineRule="auto"/>
        <w:tabs>
          <w:tab w:leader="none" w:pos="1751" w:val="left"/>
        </w:tabs>
        <w:numPr>
          <w:ilvl w:val="2"/>
          <w:numId w:val="53"/>
        </w:numPr>
        <w:rPr>
          <w:rFonts w:ascii="Arial" w:cs="Arial" w:eastAsia="Arial" w:hAnsi="Arial"/>
          <w:sz w:val="18"/>
          <w:szCs w:val="18"/>
          <w:color w:val="auto"/>
        </w:rPr>
      </w:pPr>
      <w:r>
        <w:rPr>
          <w:rFonts w:ascii="Arial" w:cs="Arial" w:eastAsia="Arial" w:hAnsi="Arial"/>
          <w:sz w:val="18"/>
          <w:szCs w:val="18"/>
          <w:color w:val="auto"/>
        </w:rPr>
        <w:t>“Non-Compete Period” means during Employee’s employment and for twelve (12) months following the Employment Cessation Date, provided, however, that the Non-Compete Period shall be shortened to end six (6) months following the Employment Cessation Date in either of the following two (2) situations: (A) immediately prior to the Employment Cessation Date, Employee’s employment job grade is C10 or lower and Employee has fully complied with each of the provisions of this Agreement, or (B) Employee’s termination is due specifically to a reduction in force and Employee has fully complied with each of the provisions of this Agreement.</w:t>
      </w:r>
    </w:p>
    <w:p>
      <w:pPr>
        <w:spacing w:after="0" w:line="195" w:lineRule="exact"/>
        <w:rPr>
          <w:rFonts w:ascii="Arial" w:cs="Arial" w:eastAsia="Arial" w:hAnsi="Arial"/>
          <w:sz w:val="18"/>
          <w:szCs w:val="18"/>
          <w:color w:val="auto"/>
        </w:rPr>
      </w:pPr>
    </w:p>
    <w:p>
      <w:pPr>
        <w:ind w:left="1300" w:firstLine="6"/>
        <w:spacing w:after="0" w:line="303" w:lineRule="auto"/>
        <w:tabs>
          <w:tab w:leader="none" w:pos="1909" w:val="left"/>
        </w:tabs>
        <w:numPr>
          <w:ilvl w:val="3"/>
          <w:numId w:val="53"/>
        </w:numPr>
        <w:rPr>
          <w:rFonts w:ascii="Arial" w:cs="Arial" w:eastAsia="Arial" w:hAnsi="Arial"/>
          <w:sz w:val="18"/>
          <w:szCs w:val="18"/>
          <w:color w:val="auto"/>
        </w:rPr>
      </w:pPr>
      <w:r>
        <w:rPr>
          <w:rFonts w:ascii="Arial" w:cs="Arial" w:eastAsia="Arial" w:hAnsi="Arial"/>
          <w:sz w:val="18"/>
          <w:szCs w:val="18"/>
          <w:color w:val="auto"/>
        </w:rPr>
        <w:t>“Employment Cessation Date” means the earlier of Employee’s last day of active employment with Conduent or Employee’s termination date as reflected in Conduent’s records.</w:t>
      </w:r>
    </w:p>
    <w:p>
      <w:pPr>
        <w:spacing w:after="0" w:line="179" w:lineRule="exact"/>
        <w:rPr>
          <w:sz w:val="20"/>
          <w:szCs w:val="20"/>
          <w:color w:val="auto"/>
        </w:rPr>
      </w:pPr>
    </w:p>
    <w:p>
      <w:pPr>
        <w:ind w:left="1300" w:hanging="81"/>
        <w:spacing w:after="0" w:line="287" w:lineRule="auto"/>
        <w:tabs>
          <w:tab w:leader="none" w:pos="1754" w:val="left"/>
        </w:tabs>
        <w:numPr>
          <w:ilvl w:val="1"/>
          <w:numId w:val="54"/>
        </w:numPr>
        <w:rPr>
          <w:rFonts w:ascii="Arial" w:cs="Arial" w:eastAsia="Arial" w:hAnsi="Arial"/>
          <w:sz w:val="18"/>
          <w:szCs w:val="18"/>
          <w:color w:val="auto"/>
        </w:rPr>
      </w:pPr>
      <w:r>
        <w:rPr>
          <w:rFonts w:ascii="Arial" w:cs="Arial" w:eastAsia="Arial" w:hAnsi="Arial"/>
          <w:sz w:val="18"/>
          <w:szCs w:val="18"/>
          <w:color w:val="auto"/>
        </w:rPr>
        <w:t>“Entity” means an individual, partnership, corporation, association, limited liability company, joint stock company, trust, joint venture, unincorporated organization or any other entity.</w:t>
      </w:r>
    </w:p>
    <w:p>
      <w:pPr>
        <w:spacing w:after="0" w:line="193" w:lineRule="exact"/>
        <w:rPr>
          <w:rFonts w:ascii="Arial" w:cs="Arial" w:eastAsia="Arial" w:hAnsi="Arial"/>
          <w:sz w:val="18"/>
          <w:szCs w:val="18"/>
          <w:color w:val="auto"/>
        </w:rPr>
      </w:pPr>
    </w:p>
    <w:p>
      <w:pPr>
        <w:ind w:left="1300" w:hanging="107"/>
        <w:spacing w:after="0" w:line="303" w:lineRule="auto"/>
        <w:tabs>
          <w:tab w:leader="none" w:pos="1652"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“Competitive Activity” means offering, selling or providing any product or service that competes with a product or service that Conduent offers, sells, or provides at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 - 1</w:t>
      </w:r>
    </w:p>
    <w:p>
      <w:pPr>
        <w:sectPr>
          <w:pgSz w:w="11900" w:h="16838" w:orient="portrait"/>
          <w:cols w:equalWidth="0" w:num="1">
            <w:col w:w="11240"/>
          </w:cols>
          <w:pgMar w:left="320" w:top="377"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3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any time during the twenty-four (24) months before the Employee’s Employment Cessation Date.</w:t>
      </w:r>
    </w:p>
    <w:p>
      <w:pPr>
        <w:spacing w:after="0" w:line="266" w:lineRule="exact"/>
        <w:rPr>
          <w:sz w:val="20"/>
          <w:szCs w:val="20"/>
          <w:color w:val="auto"/>
        </w:rPr>
      </w:pPr>
    </w:p>
    <w:p>
      <w:pPr>
        <w:ind w:left="1300" w:hanging="833"/>
        <w:spacing w:after="0" w:line="287" w:lineRule="auto"/>
        <w:tabs>
          <w:tab w:leader="none" w:pos="903" w:val="left"/>
        </w:tabs>
        <w:numPr>
          <w:ilvl w:val="0"/>
          <w:numId w:val="56"/>
        </w:numPr>
        <w:rPr>
          <w:rFonts w:ascii="Arial" w:cs="Arial" w:eastAsia="Arial" w:hAnsi="Arial"/>
          <w:sz w:val="18"/>
          <w:szCs w:val="18"/>
          <w:color w:val="auto"/>
        </w:rPr>
      </w:pPr>
      <w:r>
        <w:rPr>
          <w:rFonts w:ascii="Arial" w:cs="Arial" w:eastAsia="Arial" w:hAnsi="Arial"/>
          <w:sz w:val="18"/>
          <w:szCs w:val="18"/>
          <w:color w:val="auto"/>
        </w:rPr>
        <w:t>“Geographical Area” means the United States of America and any other country in which the Employee had responsibility for the business activity of Conduent in the twelve (12) months preceding the Employment Cessation Date.</w:t>
      </w:r>
    </w:p>
    <w:p>
      <w:pPr>
        <w:spacing w:after="0" w:line="193"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Nothing in this Section 1 prohibits Employee from being or becoming an owner of less than five percent (5%) of the outstanding stock of any company listed on a national securities exchange or actively traded on in the over the counter market, so long as, the Employee has no direct or indirect participation in any business of such company that offers any product or service that competes with any product or service offered by Conduent.</w:t>
      </w:r>
    </w:p>
    <w:p>
      <w:pPr>
        <w:spacing w:after="0" w:line="3" w:lineRule="exact"/>
        <w:rPr>
          <w:sz w:val="20"/>
          <w:szCs w:val="20"/>
          <w:color w:val="auto"/>
        </w:rPr>
      </w:pPr>
    </w:p>
    <w:p>
      <w:pPr>
        <w:jc w:val="both"/>
        <w:ind w:left="340" w:hanging="332"/>
        <w:spacing w:after="0" w:line="263" w:lineRule="auto"/>
        <w:tabs>
          <w:tab w:leader="none" w:pos="409"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Non-Solicitation of Customers. </w:t>
      </w:r>
      <w:r>
        <w:rPr>
          <w:rFonts w:ascii="Arial" w:cs="Arial" w:eastAsia="Arial" w:hAnsi="Arial"/>
          <w:sz w:val="18"/>
          <w:szCs w:val="18"/>
          <w:color w:val="auto"/>
        </w:rPr>
        <w:t>During the term of Employee’s employment and for a period of twelve (12) months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Cessation date (“Non-Solicit Period”), Employee will not, directly or indirectly, solicit, service, handle, or accept business from any customer or potential customer of Conduent, or solicit, induce or encourage any customer or potential customer to terminate or reduce the level of business it does with Conduent. This covenant shall only apply to (i) customers of Conduent with whom Employee had contact or for whom Employee was responsible, in whole or part, for providing (or assisting or supervising the performance of) services or products on behalf of Conduent during the last twelve (12) months of Employee’s active employment with Conduent, and (ii) those prospective customers of Conduent with whom Employee had contact or solicited business on behalf of Conduent during the last twelve (12) months of Employee’s active employment,</w:t>
      </w:r>
    </w:p>
    <w:p>
      <w:pPr>
        <w:spacing w:after="0" w:line="282" w:lineRule="exact"/>
        <w:rPr>
          <w:rFonts w:ascii="Arial" w:cs="Arial" w:eastAsia="Arial" w:hAnsi="Arial"/>
          <w:sz w:val="18"/>
          <w:szCs w:val="18"/>
          <w:color w:val="auto"/>
        </w:rPr>
      </w:pPr>
    </w:p>
    <w:p>
      <w:pPr>
        <w:ind w:left="340" w:hanging="332"/>
        <w:spacing w:after="0" w:line="287" w:lineRule="auto"/>
        <w:tabs>
          <w:tab w:leader="none" w:pos="328"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 of Employees.</w:t>
      </w:r>
      <w:r>
        <w:rPr>
          <w:rFonts w:ascii="Arial" w:cs="Arial" w:eastAsia="Arial" w:hAnsi="Arial"/>
          <w:sz w:val="18"/>
          <w:szCs w:val="18"/>
          <w:b w:val="1"/>
          <w:bCs w:val="1"/>
          <w:color w:val="auto"/>
        </w:rPr>
        <w:t xml:space="preserve"> </w:t>
      </w:r>
      <w:r>
        <w:rPr>
          <w:rFonts w:ascii="Arial" w:cs="Arial" w:eastAsia="Arial" w:hAnsi="Arial"/>
          <w:sz w:val="18"/>
          <w:szCs w:val="18"/>
          <w:color w:val="auto"/>
          <w:highlight w:val="white"/>
        </w:rPr>
        <w:t>During the Non-Solicit Period, as defined above, Employee will not, directly or indirectly, recruit, solicit,</w:t>
      </w:r>
      <w:r>
        <w:rPr>
          <w:rFonts w:ascii="Arial" w:cs="Arial" w:eastAsia="Arial" w:hAnsi="Arial"/>
          <w:sz w:val="18"/>
          <w:szCs w:val="18"/>
          <w:b w:val="1"/>
          <w:bCs w:val="1"/>
          <w:color w:val="auto"/>
        </w:rPr>
        <w:t xml:space="preserve"> </w:t>
      </w:r>
      <w:r>
        <w:rPr>
          <w:rFonts w:ascii="Arial" w:cs="Arial" w:eastAsia="Arial" w:hAnsi="Arial"/>
          <w:sz w:val="18"/>
          <w:szCs w:val="18"/>
          <w:color w:val="auto"/>
        </w:rPr>
        <w:t>induce, encourage or assist any employee of Conduent to leave Employee’s employment with Conduent.</w:t>
      </w:r>
    </w:p>
    <w:p>
      <w:pPr>
        <w:spacing w:after="0" w:line="179" w:lineRule="exact"/>
        <w:rPr>
          <w:rFonts w:ascii="Arial" w:cs="Arial" w:eastAsia="Arial" w:hAnsi="Arial"/>
          <w:sz w:val="18"/>
          <w:szCs w:val="18"/>
          <w:color w:val="auto"/>
        </w:rPr>
      </w:pPr>
    </w:p>
    <w:p>
      <w:pPr>
        <w:jc w:val="both"/>
        <w:ind w:left="340" w:hanging="332"/>
        <w:spacing w:after="0" w:line="255" w:lineRule="auto"/>
        <w:tabs>
          <w:tab w:leader="none" w:pos="328"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Non-Disparagement</w:t>
      </w:r>
      <w:r>
        <w:rPr>
          <w:rFonts w:ascii="Arial" w:cs="Arial" w:eastAsia="Arial" w:hAnsi="Arial"/>
          <w:sz w:val="18"/>
          <w:szCs w:val="18"/>
          <w:color w:val="auto"/>
        </w:rPr>
        <w:t>. During the Non-Compete Period, Employee agrees that Employee will not, directly or indirectly, in any capacity or</w:t>
      </w:r>
      <w:r>
        <w:rPr>
          <w:rFonts w:ascii="Arial" w:cs="Arial" w:eastAsia="Arial" w:hAnsi="Arial"/>
          <w:sz w:val="18"/>
          <w:szCs w:val="18"/>
          <w:b w:val="1"/>
          <w:bCs w:val="1"/>
          <w:color w:val="auto"/>
        </w:rPr>
        <w:t xml:space="preserve"> </w:t>
      </w:r>
      <w:r>
        <w:rPr>
          <w:rFonts w:ascii="Arial" w:cs="Arial" w:eastAsia="Arial" w:hAnsi="Arial"/>
          <w:sz w:val="18"/>
          <w:szCs w:val="18"/>
          <w:color w:val="auto"/>
        </w:rPr>
        <w:t>manner, publicly make, express, transmit, speak, write, verbalize or otherwise communicate in any way (or cause, further, assist, solicit, encourage, support or participate in any of the foregoing), any remark, comment, message, information, declaration, communication or other statement of any kind, whether verbal or in writing, electronically transmitted or otherwise, with respect to the Company, or any of its respective directors, officers or employees, (collectively “Company Parties”), which would malign, harm, disparage, defame or damage the reputation or good name of any of the Company Parties; provided, that this Section 4 shall not restrict Employee from disclosing any information to Employee’s attorneys or in response to a lawful subpoena or court order requiring disclosure of information or otherwise responding in any legal proceeding or legal or regulatory process or in connection with initiating any legal proceeding.</w:t>
      </w:r>
    </w:p>
    <w:p>
      <w:pPr>
        <w:spacing w:after="0" w:line="279" w:lineRule="exact"/>
        <w:rPr>
          <w:rFonts w:ascii="Arial" w:cs="Arial" w:eastAsia="Arial" w:hAnsi="Arial"/>
          <w:sz w:val="18"/>
          <w:szCs w:val="18"/>
          <w:color w:val="auto"/>
        </w:rPr>
      </w:pPr>
    </w:p>
    <w:p>
      <w:pPr>
        <w:jc w:val="both"/>
        <w:ind w:left="340" w:hanging="332"/>
        <w:spacing w:after="0" w:line="273" w:lineRule="auto"/>
        <w:tabs>
          <w:tab w:leader="none" w:pos="328"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At Will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and Conduent agree and acknowledge that Employee’s employment with Conduent is at-will and that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doesn’t obligate Employer to employ Employee for a predetermined period of time. Employee has the right to terminate Employee’s employment at any time for any reason, and Conduent has the same right. The post-employment obligations of this Agreement shall survive the termination of Employee’s employment with Conduent.</w:t>
      </w:r>
    </w:p>
    <w:p>
      <w:pPr>
        <w:spacing w:after="0" w:line="259" w:lineRule="exact"/>
        <w:rPr>
          <w:rFonts w:ascii="Arial" w:cs="Arial" w:eastAsia="Arial" w:hAnsi="Arial"/>
          <w:sz w:val="18"/>
          <w:szCs w:val="18"/>
          <w:color w:val="auto"/>
        </w:rPr>
      </w:pPr>
    </w:p>
    <w:p>
      <w:pPr>
        <w:jc w:val="both"/>
        <w:ind w:left="340" w:right="20" w:hanging="332"/>
        <w:spacing w:after="0" w:line="276" w:lineRule="auto"/>
        <w:tabs>
          <w:tab w:leader="none" w:pos="328"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Certain Other Obligations</w:t>
      </w:r>
      <w:r>
        <w:rPr>
          <w:rFonts w:ascii="Arial" w:cs="Arial" w:eastAsia="Arial" w:hAnsi="Arial"/>
          <w:sz w:val="18"/>
          <w:szCs w:val="18"/>
          <w:color w:val="auto"/>
        </w:rPr>
        <w:t>. Employee and Conduent agree that any prior agreement between Employee and Conduent</w:t>
      </w:r>
      <w:r>
        <w:rPr>
          <w:rFonts w:ascii="Arial" w:cs="Arial" w:eastAsia="Arial" w:hAnsi="Arial"/>
          <w:sz w:val="18"/>
          <w:szCs w:val="18"/>
          <w:b w:val="1"/>
          <w:bCs w:val="1"/>
          <w:color w:val="auto"/>
        </w:rPr>
        <w:t xml:space="preserve"> </w:t>
      </w:r>
      <w:r>
        <w:rPr>
          <w:rFonts w:ascii="Arial" w:cs="Arial" w:eastAsia="Arial" w:hAnsi="Arial"/>
          <w:sz w:val="18"/>
          <w:szCs w:val="18"/>
          <w:color w:val="auto"/>
        </w:rPr>
        <w:t>containing a non-compete obligation, a non-solicitation of customers obligation or a non-solicitation of employees obligation is hereby terminated and Employee shall only be subject to this Agreement with respect to such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-4152900</wp:posOffset>
            </wp:positionV>
            <wp:extent cx="17354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17354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 - 2</w:t>
      </w:r>
    </w:p>
    <w:p>
      <w:pPr>
        <w:sectPr>
          <w:pgSz w:w="11900" w:h="16838" w:orient="portrait"/>
          <w:cols w:equalWidth="0" w:num="1">
            <w:col w:w="11240"/>
          </w:cols>
          <w:pgMar w:left="320" w:top="377"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340" w:right="20"/>
        <w:spacing w:after="0" w:line="287" w:lineRule="auto"/>
        <w:rPr>
          <w:sz w:val="20"/>
          <w:szCs w:val="20"/>
          <w:color w:val="auto"/>
        </w:rPr>
      </w:pPr>
      <w:r>
        <w:rPr>
          <w:rFonts w:ascii="Arial" w:cs="Arial" w:eastAsia="Arial" w:hAnsi="Arial"/>
          <w:sz w:val="18"/>
          <w:szCs w:val="18"/>
          <w:color w:val="auto"/>
        </w:rPr>
        <w:t>Except as provided by the preceding sentence, all other terms of all agreements between Employee and Conduent shall remain in full effect.</w:t>
      </w:r>
    </w:p>
    <w:p>
      <w:pPr>
        <w:spacing w:after="0" w:line="261" w:lineRule="exact"/>
        <w:rPr>
          <w:sz w:val="20"/>
          <w:szCs w:val="20"/>
          <w:color w:val="auto"/>
        </w:rPr>
      </w:pPr>
    </w:p>
    <w:p>
      <w:pPr>
        <w:jc w:val="both"/>
        <w:ind w:left="340" w:hanging="332"/>
        <w:spacing w:after="0" w:line="267" w:lineRule="auto"/>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b w:val="1"/>
          <w:bCs w:val="1"/>
          <w:u w:val="single" w:color="auto"/>
          <w:color w:val="auto"/>
        </w:rPr>
        <w:t>Equitable Relief.</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and Conduent agree that, in the event of breach of this Agreement by Employee, Conduent would be</w:t>
      </w:r>
      <w:r>
        <w:rPr>
          <w:rFonts w:ascii="Arial" w:cs="Arial" w:eastAsia="Arial" w:hAnsi="Arial"/>
          <w:sz w:val="18"/>
          <w:szCs w:val="18"/>
          <w:b w:val="1"/>
          <w:bCs w:val="1"/>
          <w:color w:val="auto"/>
        </w:rPr>
        <w:t xml:space="preserve"> </w:t>
      </w:r>
      <w:r>
        <w:rPr>
          <w:rFonts w:ascii="Arial" w:cs="Arial" w:eastAsia="Arial" w:hAnsi="Arial"/>
          <w:sz w:val="18"/>
          <w:szCs w:val="18"/>
          <w:color w:val="auto"/>
        </w:rPr>
        <w:t>irreparably harmed but the amount of damages to Conduent would be difficult to ascertain. Conduent and Employee agree that in the event of such breach, Conduent shall have the right to an injunction or other equitable relief and to all other appropriate legal remedies, including damages. In the event any lawsuit is brought to enforce any of the provisions of this Agreement, the prevailing party shall be entitled to recover its, Employee’s reasonable attorneys’ fees and costs from the other party.</w:t>
      </w:r>
    </w:p>
    <w:p>
      <w:pPr>
        <w:spacing w:after="0" w:line="279" w:lineRule="exact"/>
        <w:rPr>
          <w:rFonts w:ascii="Arial" w:cs="Arial" w:eastAsia="Arial" w:hAnsi="Arial"/>
          <w:sz w:val="18"/>
          <w:szCs w:val="18"/>
          <w:color w:val="auto"/>
        </w:rPr>
      </w:pPr>
    </w:p>
    <w:p>
      <w:pPr>
        <w:jc w:val="both"/>
        <w:ind w:left="340" w:hanging="332"/>
        <w:spacing w:after="0" w:line="273" w:lineRule="auto"/>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highlight w:val="white"/>
        </w:rPr>
        <w:t>: This Agreement shall be governed by and construed in accordance with the laws of the State of Delaware,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conflict of law principles. Employee and Conduent agree that any claims or suits arising out of or relating to this Agreement shall be commenced and maintained in the state or federal courts located in Delaware, and Employee hereby submits to the jurisdiction and venue of any such court.</w:t>
      </w:r>
    </w:p>
    <w:p>
      <w:pPr>
        <w:spacing w:after="0" w:line="259" w:lineRule="exact"/>
        <w:rPr>
          <w:rFonts w:ascii="Arial" w:cs="Arial" w:eastAsia="Arial" w:hAnsi="Arial"/>
          <w:sz w:val="18"/>
          <w:szCs w:val="18"/>
          <w:color w:val="auto"/>
        </w:rPr>
      </w:pPr>
    </w:p>
    <w:p>
      <w:pPr>
        <w:jc w:val="both"/>
        <w:ind w:left="340" w:hanging="332"/>
        <w:spacing w:after="0" w:line="273" w:lineRule="auto"/>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b w:val="1"/>
          <w:bCs w:val="1"/>
          <w:u w:val="single" w:color="auto"/>
          <w:color w:val="auto"/>
        </w:rPr>
        <w:t>Enforceability</w:t>
      </w:r>
      <w:r>
        <w:rPr>
          <w:rFonts w:ascii="Arial" w:cs="Arial" w:eastAsia="Arial" w:hAnsi="Arial"/>
          <w:sz w:val="18"/>
          <w:szCs w:val="18"/>
          <w:b w:val="1"/>
          <w:bCs w:val="1"/>
          <w:color w:val="auto"/>
          <w:highlight w:val="white"/>
        </w:rPr>
        <w:t>.</w:t>
      </w:r>
      <w:r>
        <w:rPr>
          <w:rFonts w:ascii="Arial" w:cs="Arial" w:eastAsia="Arial" w:hAnsi="Arial"/>
          <w:sz w:val="18"/>
          <w:szCs w:val="18"/>
          <w:b w:val="1"/>
          <w:bCs w:val="1"/>
          <w:color w:val="auto"/>
        </w:rPr>
        <w:t xml:space="preserve"> </w:t>
      </w:r>
      <w:r>
        <w:rPr>
          <w:rFonts w:ascii="Arial" w:cs="Arial" w:eastAsia="Arial" w:hAnsi="Arial"/>
          <w:sz w:val="18"/>
          <w:szCs w:val="18"/>
          <w:color w:val="auto"/>
          <w:highlight w:val="white"/>
        </w:rPr>
        <w:t>In the event that any of the provisions of this Agreement is deemed unenforceable or to exceed the protections afforded</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employers under applicable law, then such provision(s) shall be deleted and/or revised to provide Conduent the maximum protections permitted by applicable law and still be valid and enforceable, and all remaining provisions of this Agreement shall remain in full force and effect.</w:t>
      </w:r>
    </w:p>
    <w:p>
      <w:pPr>
        <w:spacing w:after="0" w:line="259" w:lineRule="exact"/>
        <w:rPr>
          <w:rFonts w:ascii="Arial" w:cs="Arial" w:eastAsia="Arial" w:hAnsi="Arial"/>
          <w:sz w:val="18"/>
          <w:szCs w:val="18"/>
          <w:color w:val="auto"/>
        </w:rPr>
      </w:pPr>
    </w:p>
    <w:p>
      <w:pPr>
        <w:ind w:left="340" w:hanging="332"/>
        <w:spacing w:after="0" w:line="303" w:lineRule="auto"/>
        <w:tabs>
          <w:tab w:leader="none" w:pos="333" w:val="left"/>
        </w:tabs>
        <w:numPr>
          <w:ilvl w:val="0"/>
          <w:numId w:val="58"/>
        </w:numPr>
        <w:rPr>
          <w:rFonts w:ascii="Arial" w:cs="Arial" w:eastAsia="Arial" w:hAnsi="Arial"/>
          <w:sz w:val="18"/>
          <w:szCs w:val="18"/>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Employee acknowledges that Employee had the opportunity to review this Agreement with an attorney of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own choosing and that Employee carefully reviewed the terms of this Agreement before knowingly and voluntarily executing it.</w:t>
      </w:r>
    </w:p>
    <w:p>
      <w:pPr>
        <w:spacing w:after="0" w:line="233" w:lineRule="exact"/>
        <w:rPr>
          <w:rFonts w:ascii="Arial" w:cs="Arial" w:eastAsia="Arial" w:hAnsi="Arial"/>
          <w:sz w:val="18"/>
          <w:szCs w:val="18"/>
          <w:color w:val="auto"/>
        </w:rPr>
      </w:pPr>
    </w:p>
    <w:p>
      <w:pPr>
        <w:jc w:val="both"/>
        <w:ind w:left="340" w:hanging="332"/>
        <w:spacing w:after="0" w:line="276" w:lineRule="auto"/>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b w:val="1"/>
          <w:bCs w:val="1"/>
          <w:u w:val="single" w:color="auto"/>
          <w:color w:val="auto"/>
        </w:rPr>
        <w:t>No Waiver</w:t>
      </w:r>
      <w:r>
        <w:rPr>
          <w:rFonts w:ascii="Arial" w:cs="Arial" w:eastAsia="Arial" w:hAnsi="Arial"/>
          <w:sz w:val="18"/>
          <w:szCs w:val="18"/>
          <w:color w:val="auto"/>
          <w:highlight w:val="white"/>
        </w:rPr>
        <w:t>. Any failure by Conduent to exercise any of its rights under this Agreement in the event of any breach of the Agreement by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shall not be construed as a waiver of any such breach, nor act to prevent Conduent from requiring strict compliance with the terms of this Agreement.</w:t>
      </w:r>
    </w:p>
    <w:p>
      <w:pPr>
        <w:spacing w:after="0" w:line="271" w:lineRule="exact"/>
        <w:rPr>
          <w:rFonts w:ascii="Arial" w:cs="Arial" w:eastAsia="Arial" w:hAnsi="Arial"/>
          <w:sz w:val="18"/>
          <w:szCs w:val="18"/>
          <w:color w:val="auto"/>
        </w:rPr>
      </w:pPr>
    </w:p>
    <w:p>
      <w:pPr>
        <w:jc w:val="both"/>
        <w:ind w:left="340" w:hanging="332"/>
        <w:spacing w:after="0" w:line="267" w:lineRule="auto"/>
        <w:tabs>
          <w:tab w:leader="none" w:pos="333" w:val="left"/>
        </w:tabs>
        <w:numPr>
          <w:ilvl w:val="0"/>
          <w:numId w:val="58"/>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 This Agreement shall be assignable to and shall inure to the benefit of Conduent’s successors and assigns, including, but</w:t>
      </w:r>
      <w:r>
        <w:rPr>
          <w:rFonts w:ascii="Arial" w:cs="Arial" w:eastAsia="Arial" w:hAnsi="Arial"/>
          <w:sz w:val="18"/>
          <w:szCs w:val="18"/>
          <w:b w:val="1"/>
          <w:bCs w:val="1"/>
          <w:color w:val="auto"/>
        </w:rPr>
        <w:t xml:space="preserve"> </w:t>
      </w:r>
      <w:r>
        <w:rPr>
          <w:rFonts w:ascii="Arial" w:cs="Arial" w:eastAsia="Arial" w:hAnsi="Arial"/>
          <w:sz w:val="18"/>
          <w:szCs w:val="18"/>
          <w:color w:val="auto"/>
        </w:rPr>
        <w:t>not limited to, subsidiaries and/or successors through mergers, name change, consolidation or sale of the majority of Conduent’s stock or assets and shall be binding upon Employee. Employee shall not have the right to assign the Employee’s rights or obligations under this Agreement. The covenants contained in this Agreement shall survive termination of Employee’s employment regardless of who causes the termination of employment or the reason for the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 - 3</w:t>
      </w:r>
    </w:p>
    <w:p>
      <w:pPr>
        <w:sectPr>
          <w:pgSz w:w="11900" w:h="16838" w:orient="portrait"/>
          <w:cols w:equalWidth="0" w:num="1">
            <w:col w:w="11240"/>
          </w:cols>
          <w:pgMar w:left="320" w:top="377"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TO RESTRICTED STOCK UNIT AWARD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 CONDUENT INCORPORATED 2021 PERFORMANCE INCENTIVE PLAN</w:t>
      </w: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terms of the Plan and the Agreement, the RSUs are subject to the following additional terms and conditions (the "</w:t>
      </w:r>
      <w:r>
        <w:rPr>
          <w:rFonts w:ascii="Arial" w:cs="Arial" w:eastAsia="Arial" w:hAnsi="Arial"/>
          <w:sz w:val="18"/>
          <w:szCs w:val="18"/>
          <w:b w:val="1"/>
          <w:bCs w:val="1"/>
          <w:i w:val="1"/>
          <w:iCs w:val="1"/>
          <w:color w:val="auto"/>
        </w:rPr>
        <w:t>Appendix</w:t>
      </w:r>
      <w:r>
        <w:rPr>
          <w:rFonts w:ascii="Arial" w:cs="Arial" w:eastAsia="Arial" w:hAnsi="Arial"/>
          <w:sz w:val="18"/>
          <w:szCs w:val="18"/>
          <w:color w:val="auto"/>
        </w:rPr>
        <w:t xml:space="preserve">"). </w:t>
      </w:r>
      <w:r>
        <w:rPr>
          <w:rFonts w:ascii="Arial" w:cs="Arial" w:eastAsia="Arial" w:hAnsi="Arial"/>
          <w:sz w:val="18"/>
          <w:szCs w:val="18"/>
          <w:b w:val="1"/>
          <w:bCs w:val="1"/>
          <w:color w:val="auto"/>
        </w:rPr>
        <w:t>The information reflected in this Appendix is based on the securities, exchange control and other laws in effect in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respective countries as of February 2025. </w:t>
      </w:r>
      <w:r>
        <w:rPr>
          <w:rFonts w:ascii="Arial" w:cs="Arial" w:eastAsia="Arial" w:hAnsi="Arial"/>
          <w:sz w:val="18"/>
          <w:szCs w:val="18"/>
          <w:color w:val="auto"/>
        </w:rPr>
        <w:t>All capitalized terms as contained in this Appendix shall have the same meaning as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and the Agreement. Pursuant to Section 28 of the Agreement, if the Employee transfers residence and/or employment to or otherwise becomes subject to the local laws, rules or regulations of another country reflected in an Appendix at the time of transfer, the additional terms and conditions for such country will apply to the Employee to the extent the Company determines, in its sole discretion, that the application of such terms and conditions is necessary or advisable in order to comply with local law, rules and regulations, or to facilitate the operation and administration of the award and the Plan (or the Company may establish alternative terms and conditions as may be necessary or advisable to accommodate the Employee's transfer).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European Union ("EU") / European Economic Area ("EEA") / Switzerland and the United Kingdom*</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If the Employee resides and/or the Employee is employed in the EU / EEA, Switzerland or the United Kingdom the following provision replaces Section 25 of the Agreement:</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is located at 100 CAMPUS DRIVE, FLORHAM PARK, NJ, 07932 and grants RSUs under the Plan to employees of the Company and its affiliates and subsidiaries in its sole discretion. The Employee should review the following information about the Company's data processing practices.</w:t>
      </w:r>
    </w:p>
    <w:p>
      <w:pPr>
        <w:spacing w:after="0" w:line="171" w:lineRule="exact"/>
        <w:rPr>
          <w:sz w:val="20"/>
          <w:szCs w:val="20"/>
          <w:color w:val="auto"/>
        </w:rPr>
      </w:pPr>
    </w:p>
    <w:p>
      <w:pPr>
        <w:jc w:val="both"/>
        <w:ind w:left="660" w:hanging="652"/>
        <w:spacing w:after="0" w:line="253" w:lineRule="auto"/>
        <w:tabs>
          <w:tab w:leader="none" w:pos="65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Data Collection, Processing and Usage</w:t>
      </w:r>
      <w:r>
        <w:rPr>
          <w:rFonts w:ascii="Arial" w:cs="Arial" w:eastAsia="Arial" w:hAnsi="Arial"/>
          <w:sz w:val="18"/>
          <w:szCs w:val="18"/>
          <w:color w:val="auto"/>
        </w:rPr>
        <w:t>. Pursuant to applicable data protection laws, the Employee is hereby notified that the Company collects, processes, and uses certain personally-identifiable information about the Employee; specifically, including the Employee’s name, home address, email address and telephone number, date of birth, social insurance / passport number or other identification number (e.g. resident registration number), salary, citizenship, job title, any shares of Common Stock or directorships held in the Company, and details of all RSUs or any other equity compensation awards granted, canceled, exercised, vested, or outstanding in the Employee’s favor, which the Company receives from the Employee or the Employer ("Personal Information"). In granting the RSUs under the Plan, the Company will collect the Employee’s Personal Information for purposes of allocating shares of Common Stock and implementing, administering and managing the Plan. The Company’s legal basis for collecting, processing and using the Employee's Personal Information will be the Company's necessity to execute its contractual obligations under this Agreement and to comply with its legal obligations. The Employee’s refusal to provide personal data may affect the Employee’s ability to participate in the Plan. As such, by participating in the Plan, the Employee voluntarily acknowledges the collection, processing and use, of the Employee’s Personal Information as described herein.</w:t>
      </w:r>
    </w:p>
    <w:p>
      <w:pPr>
        <w:spacing w:after="0" w:line="189" w:lineRule="exact"/>
        <w:rPr>
          <w:rFonts w:ascii="Arial" w:cs="Arial" w:eastAsia="Arial" w:hAnsi="Arial"/>
          <w:sz w:val="18"/>
          <w:szCs w:val="18"/>
          <w:color w:val="auto"/>
        </w:rPr>
      </w:pPr>
    </w:p>
    <w:p>
      <w:pPr>
        <w:jc w:val="both"/>
        <w:ind w:left="660" w:hanging="652"/>
        <w:spacing w:after="0" w:line="256" w:lineRule="auto"/>
        <w:tabs>
          <w:tab w:leader="none" w:pos="65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Stock Plan Administration Service Provider</w:t>
      </w:r>
      <w:r>
        <w:rPr>
          <w:rFonts w:ascii="Arial" w:cs="Arial" w:eastAsia="Arial" w:hAnsi="Arial"/>
          <w:sz w:val="18"/>
          <w:szCs w:val="18"/>
          <w:color w:val="auto"/>
        </w:rPr>
        <w:t>. The Company transfers participant data to Morgan Stanley Smith Barney LLC and its affiliates, an independent service provider based in the United States, which assists the Company with the implementation, administration and management of the Plan (the “Stock Plan Administrator”). In the future, the Company may select a different Stock Plan Administrator and share the Employee’s Personal Information with another company that serves in a similar manner, including but not limited to, the Company's outside legal counsel and/or the Company's auditor. The Stock Plan Administrator will open an account for the Employee to receive and trade shares of Common Stock acquired under the Plan. The Employee will be asked to agree on separate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 - 1</w:t>
      </w:r>
    </w:p>
    <w:p>
      <w:pPr>
        <w:sectPr>
          <w:pgSz w:w="11900" w:h="16838" w:orient="portrait"/>
          <w:cols w:equalWidth="0" w:num="1">
            <w:col w:w="11240"/>
          </w:cols>
          <w:pgMar w:left="320" w:top="377"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309"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terms and data processing practices with the Stock Plan Administrator, which is a condition to the Employee’s ability to participate in the Plan.</w:t>
      </w:r>
    </w:p>
    <w:p>
      <w:pPr>
        <w:spacing w:after="0" w:line="153" w:lineRule="exact"/>
        <w:rPr>
          <w:sz w:val="20"/>
          <w:szCs w:val="20"/>
          <w:color w:val="auto"/>
        </w:rPr>
      </w:pPr>
    </w:p>
    <w:p>
      <w:pPr>
        <w:jc w:val="both"/>
        <w:ind w:left="660" w:hanging="652"/>
        <w:spacing w:after="0" w:line="262" w:lineRule="auto"/>
        <w:tabs>
          <w:tab w:leader="none" w:pos="654"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International Data Transfers</w:t>
      </w:r>
      <w:r>
        <w:rPr>
          <w:rFonts w:ascii="Arial" w:cs="Arial" w:eastAsia="Arial" w:hAnsi="Arial"/>
          <w:sz w:val="18"/>
          <w:szCs w:val="18"/>
          <w:color w:val="auto"/>
        </w:rPr>
        <w:t>. The Company and the Stock Plan Administrator are based in the United States. The Company can only meet its contractual obligations to the Employee if the Employee’s Personal Information is transferred to the United States. The Company’s legal basis for the transfer of the Employee’s Personal Information to the United States is to satisfy its contractual obligations under the terms of this Agreement and/or its use of the standard data protection clauses adopted by the EU Commission.</w:t>
      </w:r>
    </w:p>
    <w:p>
      <w:pPr>
        <w:spacing w:after="0" w:line="176" w:lineRule="exact"/>
        <w:rPr>
          <w:rFonts w:ascii="Arial" w:cs="Arial" w:eastAsia="Arial" w:hAnsi="Arial"/>
          <w:sz w:val="18"/>
          <w:szCs w:val="18"/>
          <w:color w:val="auto"/>
        </w:rPr>
      </w:pPr>
    </w:p>
    <w:p>
      <w:pPr>
        <w:jc w:val="both"/>
        <w:ind w:left="660" w:hanging="652"/>
        <w:spacing w:after="0" w:line="259" w:lineRule="auto"/>
        <w:tabs>
          <w:tab w:leader="none" w:pos="65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Data Retention</w:t>
      </w:r>
      <w:r>
        <w:rPr>
          <w:rFonts w:ascii="Arial" w:cs="Arial" w:eastAsia="Arial" w:hAnsi="Arial"/>
          <w:sz w:val="18"/>
          <w:szCs w:val="18"/>
          <w:color w:val="auto"/>
        </w:rPr>
        <w:t>. The Company will use the Employee’s Personal Information only as long as is necessary to implement, administer and manage the Employee’s participation in the Plan or as required to comply with legal or regulatory obligations, including under tax and securities laws. When the Company no longer needs the Employee’s Personal Information, the Company will remove it from its systems. If the Company keeps the Employee’s data longer, it would be to satisfy legal or regulatory obligations and the Company’s legal basis would be for compliance with relevant laws or regulations.</w:t>
      </w:r>
    </w:p>
    <w:p>
      <w:pPr>
        <w:spacing w:after="0" w:line="179" w:lineRule="exact"/>
        <w:rPr>
          <w:rFonts w:ascii="Arial" w:cs="Arial" w:eastAsia="Arial" w:hAnsi="Arial"/>
          <w:sz w:val="18"/>
          <w:szCs w:val="18"/>
          <w:color w:val="auto"/>
        </w:rPr>
      </w:pPr>
    </w:p>
    <w:p>
      <w:pPr>
        <w:jc w:val="both"/>
        <w:ind w:left="660" w:hanging="652"/>
        <w:spacing w:after="0" w:line="256" w:lineRule="auto"/>
        <w:tabs>
          <w:tab w:leader="none" w:pos="65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Data Subjects Rights</w:t>
      </w:r>
      <w:r>
        <w:rPr>
          <w:rFonts w:ascii="Arial" w:cs="Arial" w:eastAsia="Arial" w:hAnsi="Arial"/>
          <w:sz w:val="18"/>
          <w:szCs w:val="18"/>
          <w:color w:val="auto"/>
        </w:rPr>
        <w:t>. The Employee may have a number of rights under data privacy laws in the Employee’s country of residence (and country of employment, if different). For example, the Employee’s rights may include the right to (i) request access or copies of personal data the Company processes pursuant to this Agreement, (ii) request rectification of incorrect data, (iii) request deletion of data, (iv) request restrictions on processing, (v) lodge complaints with competent authorities in the Employee’s country of residence (and country of employment, if different), and/or (vi) request a list with the names and addresses of any potential recipients of the Employee’s Personal Information. To receive clarification regarding the Employee’s rights or to exercise the Employee's rights, the Employee should contact the Employee's local human resources department.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BRAZIL</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Labor Law Acknowledgment</w:t>
      </w:r>
      <w:r>
        <w:rPr>
          <w:rFonts w:ascii="Arial" w:cs="Arial" w:eastAsia="Arial" w:hAnsi="Arial"/>
          <w:sz w:val="18"/>
          <w:szCs w:val="18"/>
          <w:color w:val="auto"/>
        </w:rPr>
        <w:t>. By accepting the RSUs, the Employee acknowledges and agrees, for all legal purposes, that (a) the benefits provided under the Agreement and the Plan are the result of commercial transactions unrelated to the Employee's employment; (b) the Agreement and the Plan are not a part of the terms and conditions of the Employee's employment; and (c) the income from the RSUs, if any, is not part of the Employee's remuneration from employment.</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By accepting the RSUs, the Employee acknowledges and agrees to comply with applicable Brazilian laws and to pay any and all applicable taxes associated with the vesting of the RSUs, the issuance and/or sale of shares of Common Stock acquired under the Plan and the receipt of any dividends.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If the Employee is resident or domiciled in Brazil, the Employee will be required to submit an annual declaration of assets and rights held outside of Brazil to the Central Bank of Brazil if the aggregate value of such assets and rights is greater than US$1 million as of December 31 of each year. If the aggregate value exceeds US$100 million as of the end of each quarter, a declaration must be submitted quarterly. Assets and rights that must be reported include shares of Common Stock acquired under the Plan. The Employee should consult with the Employee's personal advisor(s) regarding any personal legal, regulatory or foreign exchange obligations the Employee may have in connection with the Employee's participation in the Plan.</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Tax on Financial Transaction (IOF)</w:t>
      </w:r>
      <w:r>
        <w:rPr>
          <w:rFonts w:ascii="Arial" w:cs="Arial" w:eastAsia="Arial" w:hAnsi="Arial"/>
          <w:sz w:val="18"/>
          <w:szCs w:val="18"/>
          <w:color w:val="auto"/>
        </w:rPr>
        <w:t>. Repatriation of funds (</w:t>
      </w:r>
      <w:r>
        <w:rPr>
          <w:rFonts w:ascii="Arial" w:cs="Arial" w:eastAsia="Arial" w:hAnsi="Arial"/>
          <w:sz w:val="18"/>
          <w:szCs w:val="18"/>
          <w:i w:val="1"/>
          <w:iCs w:val="1"/>
          <w:color w:val="auto"/>
        </w:rPr>
        <w:t>e.g.</w:t>
      </w:r>
      <w:r>
        <w:rPr>
          <w:rFonts w:ascii="Arial" w:cs="Arial" w:eastAsia="Arial" w:hAnsi="Arial"/>
          <w:sz w:val="18"/>
          <w:szCs w:val="18"/>
          <w:color w:val="auto"/>
        </w:rPr>
        <w:t>, the proceeds from the sale of shares of Common Stock) into Brazil and the conversion of USD into BRL associated with such fund transfers may be subject to the Tax on Financial Transactions. It is the Employee's responsibility to comply with any applicable Tax on Financial Transactions arising from the Employee's participation in the Plan. The Employee should consult with the Employee's personal tax advisor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 - 2</w:t>
      </w:r>
    </w:p>
    <w:p>
      <w:pPr>
        <w:sectPr>
          <w:pgSz w:w="11900" w:h="16838" w:orient="portrait"/>
          <w:cols w:equalWidth="0" w:num="1">
            <w:col w:w="11240"/>
          </w:cols>
          <w:pgMar w:left="320" w:top="377"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CANADA</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u w:val="single" w:color="auto"/>
          <w:color w:val="auto"/>
        </w:rPr>
        <w:t>Settlement in Shares</w:t>
      </w:r>
      <w:r>
        <w:rPr>
          <w:rFonts w:ascii="Arial" w:cs="Arial" w:eastAsia="Arial" w:hAnsi="Arial"/>
          <w:sz w:val="18"/>
          <w:szCs w:val="18"/>
          <w:color w:val="auto"/>
        </w:rPr>
        <w:t>. Notwithstanding anything to the contrary in the Agreement or the Plan, the RSUs shall be settled only in shares of Common Stock (and may not be settled in cash).</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The following supplements Section 8(a)(iv) of the Agreement as well as any other section required to give effect to the same:</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event of the Employee's termination of employment and/or service relationship for any reason (other than by reason of death, Disability or Good Reason), either by the Employee or by the Employer, with or without cause, the Employee's rights to vest or to continue to vest in the RSUs and receive shares of Common Stock under the Plan, if any, will terminate as of the actual Termination Date. For this purpose, the "Termination Date" shall mean the date that the Employee is no longer actively providing services to the Company, the Employer or any affiliate (regardless of the reason for such termination and whether or not later found to be invalid or in breach of labor laws in the jurisdiction where the Employee provides services or the terms of the Employee's employment or other service agreement, if any), and shall not include or be extended by any period following such day during which the Employee is in receipt of or eligible to receive any notice of termination, pay in lieu of notice of termination, severance pay or any other payments or damages, whether arising under statute, contract or at common law.</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Notwithstanding the foregoing, if applicable employment standards legislation explicitly requires continued entitlement to vesting during a statutory notice period, the Employee's right to vest in the RSUs under the Plan, if any, will terminate effective as of the last day of the Employee's minimum statutory notice period, but the Employee will not earn or be entitled to pro-rated vesting if the vesting date falls after the end of the Employee's statutory notice period, nor will the Employee be entitled to any compensation for lost vesting.</w:t>
      </w:r>
    </w:p>
    <w:p>
      <w:pPr>
        <w:spacing w:after="0" w:line="17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The Employee is permitted to sell shares of Common Stock acquired under the Plan through the designated broker appointed under the Plan, if any, provided that the sale of shares of Common Stock takes place outside Canada through the facilities of a stock exchange on which the shares are listed (</w:t>
      </w:r>
      <w:r>
        <w:rPr>
          <w:rFonts w:ascii="Arial" w:cs="Arial" w:eastAsia="Arial" w:hAnsi="Arial"/>
          <w:sz w:val="18"/>
          <w:szCs w:val="18"/>
          <w:i w:val="1"/>
          <w:iCs w:val="1"/>
          <w:color w:val="auto"/>
        </w:rPr>
        <w:t>i.e.</w:t>
      </w:r>
      <w:r>
        <w:rPr>
          <w:rFonts w:ascii="Arial" w:cs="Arial" w:eastAsia="Arial" w:hAnsi="Arial"/>
          <w:sz w:val="18"/>
          <w:szCs w:val="18"/>
          <w:color w:val="auto"/>
        </w:rPr>
        <w:t>, the Nasdaq).</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Specified foreign property, including the RSUs, shares of Common Stock acquired under the Plan, and other rights to receive shares of a non-Canadian company held by a Canadian resident generally must be reported annually on a Form T1135 (Foreign Income Verification Statement) if the total cost of the foreign property exceeds C$100,000 at any time during the year. Thus, the unvested portion of the RSUs must be reported – generally at a nil cost – if the C$100,000 cost threshold is exceeded because the Employee holds other specified foreign property. When shares of Common Stock are acquired, their cost generally is the adjusted cost base (“ACB”) of the shares of Common Stock. The ACB ordinarily will equal the fair market value of the shares of Common Stock at the time of acquisition, but if the Employee owns other shares of Common Stock, the ACB may need to be averaged with the ACB of the other shares of Common Stock. The Employee should consult with the Employee's personal advisor(s) regarding any personal foreign asset/foreign account tax obligations the Employee may have in connection with the Employee's participation in the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French Language Documents</w:t>
      </w:r>
      <w:r>
        <w:rPr>
          <w:rFonts w:ascii="Arial" w:cs="Arial" w:eastAsia="Arial" w:hAnsi="Arial"/>
          <w:sz w:val="18"/>
          <w:szCs w:val="18"/>
          <w:color w:val="auto"/>
        </w:rPr>
        <w:t>. The following provision will apply if the Employee is a resident of Quebec: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French translation of this Agreement and certain other documents related to the RSUs will be made available to the Employee as soon as reasonably practicable. The Employee understands that, from time to time, additional information related to the RSUs may be provided in English and such information may not be immediately available in French. However, upon request, the Company will provide a translation of such information into French as soon as reasonably practicable. Notwithstanding anything to the contrary in the Agreement, and unless the Employee indicates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 - 3</w:t>
      </w:r>
    </w:p>
    <w:p>
      <w:pPr>
        <w:sectPr>
          <w:pgSz w:w="11900" w:h="16838" w:orient="portrait"/>
          <w:cols w:equalWidth="0" w:num="1">
            <w:col w:w="11240"/>
          </w:cols>
          <w:pgMar w:left="320" w:top="377"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30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otherwise, the French translation of this Agreement and certain other documents related to the RSUs will govern the Employee's participation in the Plan.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FRANCE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Type of Grant.</w:t>
      </w:r>
      <w:r>
        <w:rPr>
          <w:rFonts w:ascii="Arial" w:cs="Arial" w:eastAsia="Arial" w:hAnsi="Arial"/>
          <w:sz w:val="18"/>
          <w:szCs w:val="18"/>
          <w:color w:val="auto"/>
        </w:rPr>
        <w:t xml:space="preserve"> The RSUs granted under the Agreement are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intended to be tax-qualified RSUs under local tax regulations in France.</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highlight w:val="white"/>
        </w:rPr>
        <w:t>. The value of any cash or securities imported to or exported from France without the use of a financial</w:t>
      </w:r>
      <w:r>
        <w:rPr>
          <w:rFonts w:ascii="Arial" w:cs="Arial" w:eastAsia="Arial" w:hAnsi="Arial"/>
          <w:sz w:val="18"/>
          <w:szCs w:val="18"/>
          <w:color w:val="auto"/>
        </w:rPr>
        <w:t xml:space="preserve"> institution must be reported to the customs and excise authorities when the value of such cash or securities is equal to or greater than a certain amount (currently €10,000). The Employee should consult with the Employee's personal advisor(s) regarding any personal legal, regulatory or foreign exchange obligations the Employee may have in connection with the Employee's participation in the Plan.</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French residents must report annually any shares and bank accounts held outside France, including the accounts that were opened, used and/or closed during the tax year, to the French tax authorities, on an annual basis on a special Form N° 3916, together with the Employee's personal income tax return. Failure to report triggers a significant penalty. The Employee should consult with the Employee's personal advisor(s) regarding any personal foreign asset/foreign account tax obligations the Employee may have in connection with the Employee's participation in the Plan.</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Use of English Language</w:t>
      </w:r>
      <w:r>
        <w:rPr>
          <w:rFonts w:ascii="Arial" w:cs="Arial" w:eastAsia="Arial" w:hAnsi="Arial"/>
          <w:sz w:val="18"/>
          <w:szCs w:val="18"/>
          <w:color w:val="auto"/>
        </w:rPr>
        <w:t xml:space="preserve">. By accepting the RSUs, the Employee acknowledges and agrees that it is the Employee's wish that the </w:t>
      </w:r>
      <w:r>
        <w:rPr>
          <w:rFonts w:ascii="Arial" w:cs="Arial" w:eastAsia="Arial" w:hAnsi="Arial"/>
          <w:sz w:val="18"/>
          <w:szCs w:val="18"/>
          <w:b w:val="1"/>
          <w:bCs w:val="1"/>
          <w:color w:val="auto"/>
        </w:rPr>
        <w:t>Agreement</w:t>
      </w:r>
      <w:r>
        <w:rPr>
          <w:rFonts w:ascii="Arial" w:cs="Arial" w:eastAsia="Arial" w:hAnsi="Arial"/>
          <w:sz w:val="18"/>
          <w:szCs w:val="18"/>
          <w:color w:val="auto"/>
        </w:rPr>
        <w:t>, this</w:t>
      </w:r>
      <w:r>
        <w:rPr>
          <w:rFonts w:ascii="Arial" w:cs="Arial" w:eastAsia="Arial" w:hAnsi="Arial"/>
          <w:sz w:val="18"/>
          <w:szCs w:val="18"/>
          <w:b w:val="1"/>
          <w:bCs w:val="1"/>
          <w:color w:val="auto"/>
        </w:rPr>
        <w:t xml:space="preserve"> Appendix</w:t>
      </w:r>
      <w:r>
        <w:rPr>
          <w:rFonts w:ascii="Arial" w:cs="Arial" w:eastAsia="Arial" w:hAnsi="Arial"/>
          <w:sz w:val="18"/>
          <w:szCs w:val="18"/>
          <w:color w:val="auto"/>
        </w:rPr>
        <w:t>, as well as all other documents, notices and legal proceedings entered into, given or instituted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RSUs, either directly or indirectly, be drawn up in English.</w:t>
      </w:r>
    </w:p>
    <w:p>
      <w:pPr>
        <w:spacing w:after="0" w:line="17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u w:val="single" w:color="auto"/>
          <w:color w:val="auto"/>
        </w:rPr>
        <w:t>Langue anglaise</w:t>
      </w:r>
      <w:r>
        <w:rPr>
          <w:rFonts w:ascii="Arial" w:cs="Arial" w:eastAsia="Arial" w:hAnsi="Arial"/>
          <w:sz w:val="18"/>
          <w:szCs w:val="18"/>
          <w:i w:val="1"/>
          <w:iCs w:val="1"/>
          <w:color w:val="auto"/>
        </w:rPr>
        <w:t>. En acceptant l'allocation de vos RSUs, vous reconnaissez et acceptez avoir souhaité que le Termes et Conditions, le présent avenant, ainsi que tous autres documents exécutés, avis donnés et procédures judiciaires intentées, relatifs, directement ou indirectement, à l'allocation de vos RSUs, soient rédigés en anglais.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GERMANY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xml:space="preserve"> Cross-border payments in excess of EUR 50,000 must be reported to the German Federal Bank (</w:t>
      </w:r>
      <w:r>
        <w:rPr>
          <w:rFonts w:ascii="Arial" w:cs="Arial" w:eastAsia="Arial" w:hAnsi="Arial"/>
          <w:sz w:val="18"/>
          <w:szCs w:val="18"/>
          <w:i w:val="1"/>
          <w:iCs w:val="1"/>
          <w:color w:val="auto"/>
        </w:rPr>
        <w:t>Bundesbank</w:t>
      </w:r>
      <w:r>
        <w:rPr>
          <w:rFonts w:ascii="Arial" w:cs="Arial" w:eastAsia="Arial" w:hAnsi="Arial"/>
          <w:sz w:val="18"/>
          <w:szCs w:val="18"/>
          <w:color w:val="auto"/>
        </w:rPr>
        <w:t>). If the Employee receives a cross-border payment in excess of this amount (e.g., proceeds from the sale of shares of Common Stock acquired under the Plan) and/or if the Company withholds or sells shares of Common Stock with a value in excess of EUR 50,000 for any Tax-Related Items, the Employee must report the payment and/or the value of the shares received and/or sold or withheld to the Bundesbank, either electronically using the “General Statistics Reporting Portal” (“</w:t>
      </w:r>
      <w:r>
        <w:rPr>
          <w:rFonts w:ascii="Arial" w:cs="Arial" w:eastAsia="Arial" w:hAnsi="Arial"/>
          <w:sz w:val="18"/>
          <w:szCs w:val="18"/>
          <w:i w:val="1"/>
          <w:iCs w:val="1"/>
          <w:color w:val="auto"/>
        </w:rPr>
        <w:t>Allgemeines Meldeportal Statistik</w:t>
      </w:r>
      <w:r>
        <w:rPr>
          <w:rFonts w:ascii="Arial" w:cs="Arial" w:eastAsia="Arial" w:hAnsi="Arial"/>
          <w:sz w:val="18"/>
          <w:szCs w:val="18"/>
          <w:color w:val="auto"/>
        </w:rPr>
        <w:t>”) available on the Bundesbank website (</w:t>
      </w:r>
      <w:r>
        <w:rPr>
          <w:rFonts w:ascii="Arial" w:cs="Arial" w:eastAsia="Arial" w:hAnsi="Arial"/>
          <w:sz w:val="18"/>
          <w:szCs w:val="18"/>
          <w:u w:val="single" w:color="auto"/>
          <w:color w:val="auto"/>
        </w:rPr>
        <w:t>www.bundesbank.de</w:t>
      </w:r>
      <w:r>
        <w:rPr>
          <w:rFonts w:ascii="Arial" w:cs="Arial" w:eastAsia="Arial" w:hAnsi="Arial"/>
          <w:sz w:val="18"/>
          <w:szCs w:val="18"/>
          <w:color w:val="auto"/>
        </w:rPr>
        <w:t>) or via such other method (e.g., by email or telephone) as is permitted or required by Bundesbank. The report must be submitted monthly or within other such timing as is permitted or required by Bundesbank. The Employee should consult with the Employee’s personal advisor(s) regarding any personal legal, regulatory or foreign exchange obligations the Employee may have in connection with the Employee’s participation in the Plan.</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German residents must notify their local tax office of the acquisition of shares of Common Stock when they file their personal income tax returns for the relevant year if the value of the shares of Common Stock acquired exceeds €150,000 or in the unlikely event that the resident holds shares of Common Stock exceeding 10% of the Company’s total shares of Common Stock outstanding. However, if the shares of Common Stock are listed on a recognized U.S. stock exchange and the Employee owns less than 1% of the total shares of Common Stock, this requirement will not apply even if shares of Common Stock with a value exceeding €150,000 are acquired. The Employee should consult with the Employee's personal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 - 4</w:t>
      </w:r>
    </w:p>
    <w:p>
      <w:pPr>
        <w:sectPr>
          <w:pgSz w:w="11900" w:h="16838" w:orient="portrait"/>
          <w:cols w:equalWidth="0" w:num="1">
            <w:col w:w="11240"/>
          </w:cols>
          <w:pgMar w:left="320" w:top="377"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30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advisor(s) regarding any personal foreign asset/foreign account tax obligations the Employee may have in connection with the Employee's participation in the Plan.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GUATEMALA</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Consent to Receive Information in English</w:t>
      </w:r>
      <w:r>
        <w:rPr>
          <w:rFonts w:ascii="Arial" w:cs="Arial" w:eastAsia="Arial" w:hAnsi="Arial"/>
          <w:sz w:val="18"/>
          <w:szCs w:val="18"/>
          <w:color w:val="auto"/>
        </w:rPr>
        <w:t>. By participating in the Plan, the Employee acknowledges that have reviewed Section 19 of this Agreement and are sufficiently proficient in English, or, alternatively, the Employee will seek appropriate assistance, to understand the terms and conditions in this Agreement.</w:t>
      </w:r>
    </w:p>
    <w:p>
      <w:pPr>
        <w:spacing w:after="0" w:line="173" w:lineRule="exact"/>
        <w:rPr>
          <w:sz w:val="20"/>
          <w:szCs w:val="20"/>
          <w:color w:val="auto"/>
        </w:rPr>
      </w:pPr>
    </w:p>
    <w:p>
      <w:pPr>
        <w:jc w:val="both"/>
        <w:spacing w:after="0" w:line="285" w:lineRule="auto"/>
        <w:rPr>
          <w:sz w:val="20"/>
          <w:szCs w:val="20"/>
          <w:color w:val="auto"/>
        </w:rPr>
      </w:pPr>
      <w:r>
        <w:rPr>
          <w:rFonts w:ascii="Arial" w:cs="Arial" w:eastAsia="Arial" w:hAnsi="Arial"/>
          <w:sz w:val="18"/>
          <w:szCs w:val="18"/>
          <w:i w:val="1"/>
          <w:iCs w:val="1"/>
          <w:u w:val="single" w:color="auto"/>
          <w:color w:val="auto"/>
        </w:rPr>
        <w:t>Consentimiento a Recibir Información en Ingles</w:t>
      </w:r>
      <w:r>
        <w:rPr>
          <w:rFonts w:ascii="Arial" w:cs="Arial" w:eastAsia="Arial" w:hAnsi="Arial"/>
          <w:sz w:val="18"/>
          <w:szCs w:val="18"/>
          <w:i w:val="1"/>
          <w:iCs w:val="1"/>
          <w:color w:val="auto"/>
        </w:rPr>
        <w:t>. Al participar en el Plan, usted reconoce que ha revisado la Sección 15 del Convenio y que usted domina inglés, o, en el alternativo, usted buscará la asistencia necesaria para entender los términos y las condiciones del Convenio.</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INDIA</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Repatriation Requirements</w:t>
      </w:r>
      <w:r>
        <w:rPr>
          <w:rFonts w:ascii="Arial" w:cs="Arial" w:eastAsia="Arial" w:hAnsi="Arial"/>
          <w:sz w:val="18"/>
          <w:szCs w:val="18"/>
          <w:color w:val="auto"/>
        </w:rPr>
        <w:t>. The Employee expressly agrees to repatriate all sale proceeds and dividends attributable to shares of Common Stock acquired under the Plan in accordance with local foreign exchange rules and regulations. Neither the Company, the Employer or any of the Company's subsidiaries shall be liable for any fines or penalties resulting from the Employee's failure to comply with applicable laws, rules or regulations.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The Employee is required to declare the Employee's foreign bank accounts and any foreign financial assets (including shares of Common Stock acquired under the Plan held outside India) in the Employee's annual tax return. The Employee should consult with the Employee's personal advisor(s) regarding any personal foreign asset/foreign account tax obligations the Employee may have in connection with the Employee's participation in the Plan.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ITALY</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Acknowledgement of Nature of Award Notice</w:t>
      </w:r>
      <w:r>
        <w:rPr>
          <w:rFonts w:ascii="Arial" w:cs="Arial" w:eastAsia="Arial" w:hAnsi="Arial"/>
          <w:sz w:val="18"/>
          <w:szCs w:val="18"/>
          <w:color w:val="auto"/>
        </w:rPr>
        <w:t>. In accepting the RSUs, the Employee acknowledges that (a) the Employee has received a copy of the Plan, the Agreement and this Appendix; (b) the Employee has reviewed the applicable documents in their entirety and fully understand the contents thereof; and (c) the Employee accepts all provisions of the Plan, the Agreement and this Appendix.</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Italian residents who, at any time during the fiscal year, hold foreign financial assets (including cash and shares of Common Stock)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 The Employee should consult with the Employee's personal advisor(s) regarding any personal foreign asset/foreign account tax obligations the Employee may have in connection with the Employee's participation in the Plan.</w:t>
      </w:r>
    </w:p>
    <w:p>
      <w:pPr>
        <w:spacing w:after="0" w:line="18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u w:val="single" w:color="auto"/>
          <w:color w:val="auto"/>
        </w:rPr>
        <w:t>Foreign Asset Tax</w:t>
      </w:r>
      <w:r>
        <w:rPr>
          <w:rFonts w:ascii="Arial" w:cs="Arial" w:eastAsia="Arial" w:hAnsi="Arial"/>
          <w:sz w:val="18"/>
          <w:szCs w:val="18"/>
          <w:color w:val="auto"/>
        </w:rPr>
        <w:t>. The value of any shares of Common Stock (and other financial assets) held outside Italy by individuals resident of Italy may be subject to a foreign asset tax. The taxable amount will be the fair market value of the financial assets (e.g., shares of Common Stock) assessed at the end of the calendar year. The value of financial assets held abroad must be reported in Form RM of the annual return. The Employee should consult the Employee's personal tax advisor for additional information on the foreign asset tax.</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JAMAICA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 country-specific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MEXICO</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 - 5</w:t>
      </w:r>
    </w:p>
    <w:p>
      <w:pPr>
        <w:sectPr>
          <w:pgSz w:w="11900" w:h="16838" w:orient="portrait"/>
          <w:cols w:equalWidth="0" w:num="1">
            <w:col w:w="11240"/>
          </w:cols>
          <w:pgMar w:left="320" w:top="377"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3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u w:val="single" w:color="auto"/>
          <w:color w:val="auto"/>
        </w:rPr>
        <w:t>Commercial Relationship</w:t>
      </w:r>
      <w:r>
        <w:rPr>
          <w:rFonts w:ascii="Times New Roman" w:cs="Times New Roman" w:eastAsia="Times New Roman" w:hAnsi="Times New Roman"/>
          <w:sz w:val="18"/>
          <w:szCs w:val="18"/>
          <w:color w:val="auto"/>
        </w:rPr>
        <w:t>. The Employee expressly recognizes that the Employee’s participation in the Plan and the Company’s grant of the RSUs does not constitute an employment relationship between the Employee and the Company. The Employee has been granted the RSUs as a consequence of the commercial relationship between the Company and the subsidiary in Mexico that employs the Employee (“Conduent-Mexico”) and Conduent-Mexico is the Employee’s sole employer. Based on the foregoing, the Employee expressly recognizes that (a) the Plan and the benefits the Employee may derive from the Employee's participation in the Plan do not establish any rights between the Employee and Conduent-Mexico, (b) the Plan and the benefits the Employee may derive from the Employee's participation in the Plan are not part of the employment conditions and/or benefits provided by Conduent-Mexico, and (c) any modification or amendments of the Plan by the Company, or a termination of the Plan by the Company shall not constitute a change or impairment of the terms and conditions of the Employee’s employment with Conduent-Mexico.</w:t>
      </w:r>
    </w:p>
    <w:p>
      <w:pPr>
        <w:spacing w:after="0" w:line="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Employee further understands that the Employee’s participation in the Plan is as a result of a unilateral and discretionary decision of the Company; therefore, subject to the terms of the Plan, the Company reserves the absolute right to amend and/or discontinue the Employee’s participation at any time without any liability to the Employee.</w:t>
      </w:r>
    </w:p>
    <w:p>
      <w:pPr>
        <w:spacing w:after="0" w:line="1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Finally, the Employee hereby declares that the Employee does not reserve to the Employee any action or right to bring any claim against the Company for any compensation or damages regarding any provision of the Plan or the benefits derived under the Plan, and the Employee therefore grants a full and broad release to the Company, its subsidiaries, affiliates, branches, representation offices, its shareholders, officers, agents or legal representatives with respect to any claim that may arise.</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Extraordinary Item of Compensation</w:t>
      </w:r>
      <w:r>
        <w:rPr>
          <w:rFonts w:ascii="Arial" w:cs="Arial" w:eastAsia="Arial" w:hAnsi="Arial"/>
          <w:sz w:val="18"/>
          <w:szCs w:val="18"/>
          <w:color w:val="auto"/>
        </w:rPr>
        <w:t>. The Employee expressly recognizes and acknowledges that the Employee’s participation in the Plan is a result of the discretionary and unilateral decision of the Company, as well as the Employee’s free and voluntary decision to participate in the Plan in accordance with the terms and conditions of the Plan, the Agreement and this Appendix. As such, the Employee acknowledges and agrees that the Company may, in its sole discretion, amend and/or discontinue the Employee’s participation in the Plan at any time and without liability. The value of the RSUs is an extraordinary item of compensation outside the scope of the Employee’s employment contract, if any. The RSUs are not part of the Employee’s regular or expected compensation for purposes of calculating any severance, resignation, redundancy, end of service payments, bonuses, long-service awards, pension or retirement benefits, or any similar payments, which are the exclusive obligations of Conduent-Mexico.</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The RSUs and any shares of Common Stock acquired under the Plan have not been registered with the National Register of Securities maintained by the Mexican National Banking and Securities Commission and cannot be offered or sold publicly in Mexico. In addition, the Plan, the Agreement and any other document relating to the RSUs may not be publicly distributed in Mexico. These materials are addressed to the Employee because of the Employee’s existing relationship with the Company or one of the Companies subsidiaries or affiliates,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the Company or one of its subsidiaries or affiliates made in accordance with the provisions of the Mexican Securities Market Law, and any rights under such offering shall not be assigned or transferred.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NETHERLANDS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 country-specific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PERU</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Nature of the Grant</w:t>
      </w:r>
      <w:r>
        <w:rPr>
          <w:rFonts w:ascii="Arial" w:cs="Arial" w:eastAsia="Arial" w:hAnsi="Arial"/>
          <w:sz w:val="18"/>
          <w:szCs w:val="18"/>
          <w:color w:val="auto"/>
        </w:rPr>
        <w:t>. The following provision supplements Section 11 of the Agreement:</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The RSU is being granted </w:t>
      </w:r>
      <w:r>
        <w:rPr>
          <w:rFonts w:ascii="Arial" w:cs="Arial" w:eastAsia="Arial" w:hAnsi="Arial"/>
          <w:sz w:val="18"/>
          <w:szCs w:val="18"/>
          <w:i w:val="1"/>
          <w:iCs w:val="1"/>
          <w:color w:val="auto"/>
        </w:rPr>
        <w:t>ex gratia</w:t>
      </w:r>
      <w:r>
        <w:rPr>
          <w:rFonts w:ascii="Arial" w:cs="Arial" w:eastAsia="Arial" w:hAnsi="Arial"/>
          <w:sz w:val="18"/>
          <w:szCs w:val="18"/>
          <w:color w:val="auto"/>
        </w:rPr>
        <w:t xml:space="preserve"> to the Employee by the Company as an incentive to reward the Employee for the Employee's contributions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 - 6</w:t>
      </w:r>
    </w:p>
    <w:p>
      <w:pPr>
        <w:sectPr>
          <w:pgSz w:w="11900" w:h="16838" w:orient="portrait"/>
          <w:cols w:equalWidth="0" w:num="1">
            <w:col w:w="11240"/>
          </w:cols>
          <w:pgMar w:left="320" w:top="377"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xml:space="preserve">. The grant of the RSUs under the Plan is considered a private offering in Peru and accordingly, is not subject to registration in Peru. For more information concerning the grant of the RSUs, please refer to the Plan, the Agreement, and any other grant documents made available to the Employee by the Company. For more information regarding the Company, please refer to the Company's most recent annual report on Form 10-K and quarterly report on Form 10-Q available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as well as on the Company's website at </w:t>
      </w:r>
      <w:r>
        <w:rPr>
          <w:rFonts w:ascii="Arial" w:cs="Arial" w:eastAsia="Arial" w:hAnsi="Arial"/>
          <w:sz w:val="18"/>
          <w:szCs w:val="18"/>
          <w:u w:val="single" w:color="auto"/>
          <w:color w:val="auto"/>
        </w:rPr>
        <w:t>https://www.conduent.com/</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ROMANIA</w:t>
      </w:r>
    </w:p>
    <w:p>
      <w:pPr>
        <w:spacing w:after="0" w:line="22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u w:val="single" w:color="auto"/>
          <w:color w:val="auto"/>
        </w:rPr>
        <w:t>English Language</w:t>
      </w:r>
      <w:r>
        <w:rPr>
          <w:rFonts w:ascii="Times New Roman" w:cs="Times New Roman" w:eastAsia="Times New Roman" w:hAnsi="Times New Roman"/>
          <w:sz w:val="18"/>
          <w:szCs w:val="18"/>
          <w:color w:val="auto"/>
        </w:rPr>
        <w:t>. The Employee hereby expressly agrees that the Agreement, the Plan as well as all documents, notices and proceedings entered into, relating directly or indirectly hereto, be drawn up or communicated only in the English language.</w:t>
      </w:r>
    </w:p>
    <w:p>
      <w:pPr>
        <w:spacing w:after="0" w:line="160"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Angajatul consimte în mod expres prin prezentul ca acest Contract, Plan precum şi orice alte documente, notificări, înştiinţări legate direct sau indirect de acest Contract să fie redactate sau efectuate doar în limba engleză.</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The Employee is not required to seek special authorization from the National Bank of Romania in order to open or maintain a foreign bank account. However, if the Employee remits foreign currency into Romania (</w:t>
      </w:r>
      <w:r>
        <w:rPr>
          <w:rFonts w:ascii="Arial" w:cs="Arial" w:eastAsia="Arial" w:hAnsi="Arial"/>
          <w:sz w:val="18"/>
          <w:szCs w:val="18"/>
          <w:i w:val="1"/>
          <w:iCs w:val="1"/>
          <w:color w:val="auto"/>
        </w:rPr>
        <w:t>e.g.</w:t>
      </w:r>
      <w:r>
        <w:rPr>
          <w:rFonts w:ascii="Arial" w:cs="Arial" w:eastAsia="Arial" w:hAnsi="Arial"/>
          <w:sz w:val="18"/>
          <w:szCs w:val="18"/>
          <w:color w:val="auto"/>
        </w:rPr>
        <w:t>, proceeds from the sale of shares of Common Stock), the Employee may be required to provide the Romanian bank through which the foreign currency is transferred with appropriate documentation. The Employee should consult with the Employee’s personal advisor(s) regarding any personal legal, regulatory or foreign exchange obligations the Employee may have in connection with the Employee’s participation in the Plan.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SWITZERLAND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The RSUs are not intended to be publicly offered in or from Switzerland. Neither this document nor any other materials relating to the RSUs (1) constitutes a prospectus according to articles 35 et seq. of the Swiss Federal Act on Financial Services (“FinSA”), (2) may be publicly distributed or otherwise made publicly available in Switzerland to any person other than an employee of the Company, or (3) have been or will be filed with, approved or supervised by any Swiss reviewing body according to article 51 FinSA or any Swiss regulatory authority (in particular, the Swiss Financial Market Supervisory Authority).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UNITED KINGDOM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 The following provision supplements Section 10 (Responsibility for Taxes) of the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Without limitation to Section 10 of the Agreement, the Employee agrees to be liable for any Tax-Related Items and hereby covenants to pay any such Tax-Related Items, as and when requested by the Company or the Employer or by HMRC (or any other tax authority or any other relevant authority). The Employee agrees to indemnify and keep indemnified the Company and the Employer against any Tax-Related Items that they are required to pay or withhold or have paid or will pay to HM Revenue &amp; Customs (“HMRC”) (or any other tax authority or any other relevant authority) on the Employee’s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 - 7</w:t>
      </w:r>
    </w:p>
    <w:p>
      <w:pPr>
        <w:sectPr>
          <w:pgSz w:w="11900" w:h="16838" w:orient="portrait"/>
          <w:cols w:equalWidth="0" w:num="1">
            <w:col w:w="11240"/>
          </w:cols>
          <w:pgMar w:left="320" w:top="377"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Notwithstanding the foregoing, if the Employee is an executive officer or director (as within the meaning of Section 13(k) of the Exchange Act), the Employee understands that the Employee may not be able to indemnify the Company for the amount of any Tax-Related Items not collected from or paid by the Employee, in case the indemnification could be considered to be a loan. In this case, the Tax-Related Items not collected or paid may constitute a benefit to the Employee on which additional income tax and National Insurance Contributions (“NICs”) may be payable. The Employee acknowledges that the Employee will be personally responsible for reporting and paying any income tax due on this additional benefit directly to the HMRC under the self-assessment regime and for paying the Company or the Employer, as applicable, for the value of any employee NICs due on this additional benefit, which may also be recovered from the Employee by any of the means referred to in Section 10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 - 8</w:t>
      </w:r>
    </w:p>
    <w:p>
      <w:pPr>
        <w:sectPr>
          <w:pgSz w:w="11900" w:h="16838" w:orient="portrait"/>
          <w:cols w:equalWidth="0" w:num="1">
            <w:col w:w="11240"/>
          </w:cols>
          <w:pgMar w:left="320" w:top="377" w:right="339" w:bottom="1440" w:gutter="0" w:footer="0" w:header="0"/>
        </w:sectPr>
      </w:pPr>
    </w:p>
    <w:bookmarkStart w:id="63" w:name="page64"/>
    <w:bookmarkEnd w:id="63"/>
    <w:p>
      <w:pPr>
        <w:ind w:left="9710"/>
        <w:spacing w:after="0"/>
        <w:rPr>
          <w:sz w:val="20"/>
          <w:szCs w:val="20"/>
          <w:color w:val="auto"/>
        </w:rPr>
      </w:pPr>
      <w:r>
        <w:rPr>
          <w:rFonts w:ascii="Arial" w:cs="Arial" w:eastAsia="Arial" w:hAnsi="Arial"/>
          <w:sz w:val="17"/>
          <w:szCs w:val="17"/>
          <w:color w:val="auto"/>
        </w:rPr>
        <w:t>Exhibit 10.6(a)(ii)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50"/>
        <w:spacing w:after="0"/>
        <w:rPr>
          <w:sz w:val="20"/>
          <w:szCs w:val="20"/>
          <w:color w:val="auto"/>
        </w:rPr>
      </w:pPr>
      <w:r>
        <w:rPr>
          <w:rFonts w:ascii="Arial" w:cs="Arial" w:eastAsia="Arial" w:hAnsi="Arial"/>
          <w:sz w:val="16"/>
          <w:szCs w:val="16"/>
          <w:b w:val="1"/>
          <w:bCs w:val="1"/>
          <w:color w:val="auto"/>
        </w:rPr>
        <w:t>PERFORMANCE RESTRICTED STOCK UNIT AWARD AGREEMENT PURSUANT TO</w:t>
      </w:r>
    </w:p>
    <w:p>
      <w:pPr>
        <w:jc w:val="center"/>
        <w:ind w:right="150"/>
        <w:spacing w:after="0"/>
        <w:rPr>
          <w:sz w:val="20"/>
          <w:szCs w:val="20"/>
          <w:color w:val="auto"/>
        </w:rPr>
      </w:pPr>
      <w:r>
        <w:rPr>
          <w:rFonts w:ascii="Arial" w:cs="Arial" w:eastAsia="Arial" w:hAnsi="Arial"/>
          <w:sz w:val="16"/>
          <w:szCs w:val="16"/>
          <w:b w:val="1"/>
          <w:bCs w:val="1"/>
          <w:color w:val="auto"/>
        </w:rPr>
        <w:t>CONDUENT INCORPORATED 2021 PERFORMANCE INCENTIVE PLAN</w:t>
      </w:r>
    </w:p>
    <w:p>
      <w:pPr>
        <w:spacing w:after="0" w:line="214" w:lineRule="exact"/>
        <w:rPr>
          <w:sz w:val="20"/>
          <w:szCs w:val="20"/>
          <w:color w:val="auto"/>
        </w:rPr>
      </w:pPr>
    </w:p>
    <w:p>
      <w:pPr>
        <w:jc w:val="both"/>
        <w:ind w:left="10"/>
        <w:spacing w:after="0" w:line="265" w:lineRule="auto"/>
        <w:rPr>
          <w:sz w:val="20"/>
          <w:szCs w:val="20"/>
          <w:color w:val="auto"/>
        </w:rPr>
      </w:pPr>
      <w:r>
        <w:rPr>
          <w:rFonts w:ascii="Arial" w:cs="Arial" w:eastAsia="Arial" w:hAnsi="Arial"/>
          <w:sz w:val="18"/>
          <w:szCs w:val="18"/>
          <w:color w:val="auto"/>
        </w:rPr>
        <w:t>This Performance Restricted Stock Unit Award Agreement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by Conduent Incorporated, a New York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as of the date that appears in the Award Summary (as defined below) and the individual whose name appears on the Award Summary (the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who is an employee of the Company, one of the Company’s subsidiaries or one of its affiliates (the Company, or such subsidiary or affiliate,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w:t>
      </w:r>
    </w:p>
    <w:p>
      <w:pPr>
        <w:spacing w:after="0" w:line="112" w:lineRule="exact"/>
        <w:rPr>
          <w:sz w:val="20"/>
          <w:szCs w:val="20"/>
          <w:color w:val="auto"/>
        </w:rPr>
      </w:pPr>
    </w:p>
    <w:p>
      <w:pPr>
        <w:jc w:val="both"/>
        <w:ind w:left="10"/>
        <w:spacing w:after="0" w:line="268" w:lineRule="auto"/>
        <w:rPr>
          <w:sz w:val="20"/>
          <w:szCs w:val="20"/>
          <w:color w:val="auto"/>
        </w:rPr>
      </w:pPr>
      <w:r>
        <w:rPr>
          <w:rFonts w:ascii="Arial" w:cs="Arial" w:eastAsia="Arial" w:hAnsi="Arial"/>
          <w:sz w:val="18"/>
          <w:szCs w:val="18"/>
          <w:color w:val="auto"/>
        </w:rPr>
        <w:t>In accordance with the provisions of the Conduent Incorporated 2021 Performance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the Compensation Committee of the Board of Directors of the Company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or the Chief Executive Officer (the “</w:t>
      </w:r>
      <w:r>
        <w:rPr>
          <w:rFonts w:ascii="Arial" w:cs="Arial" w:eastAsia="Arial" w:hAnsi="Arial"/>
          <w:sz w:val="18"/>
          <w:szCs w:val="18"/>
          <w:b w:val="1"/>
          <w:bCs w:val="1"/>
          <w:i w:val="1"/>
          <w:iCs w:val="1"/>
          <w:color w:val="auto"/>
        </w:rPr>
        <w:t>CEO</w:t>
      </w:r>
      <w:r>
        <w:rPr>
          <w:rFonts w:ascii="Arial" w:cs="Arial" w:eastAsia="Arial" w:hAnsi="Arial"/>
          <w:sz w:val="18"/>
          <w:szCs w:val="18"/>
          <w:color w:val="auto"/>
        </w:rPr>
        <w:t>") of the Company has authorized the execution and delivery of this Agreement.</w:t>
      </w:r>
    </w:p>
    <w:p>
      <w:pPr>
        <w:spacing w:after="0" w:line="117" w:lineRule="exact"/>
        <w:rPr>
          <w:sz w:val="20"/>
          <w:szCs w:val="20"/>
          <w:color w:val="auto"/>
        </w:rPr>
      </w:pPr>
    </w:p>
    <w:p>
      <w:pPr>
        <w:jc w:val="both"/>
        <w:ind w:left="10"/>
        <w:spacing w:after="0" w:line="287" w:lineRule="auto"/>
        <w:rPr>
          <w:sz w:val="20"/>
          <w:szCs w:val="20"/>
          <w:color w:val="auto"/>
        </w:rPr>
      </w:pPr>
      <w:r>
        <w:rPr>
          <w:rFonts w:ascii="Arial" w:cs="Arial" w:eastAsia="Arial" w:hAnsi="Arial"/>
          <w:sz w:val="18"/>
          <w:szCs w:val="18"/>
          <w:color w:val="auto"/>
        </w:rPr>
        <w:t>Terms used herein that are defined in the Plan or in this Agreement shall have the meanings assigned to them in the Plan or this Agreement, respectively.</w:t>
      </w:r>
    </w:p>
    <w:p>
      <w:pPr>
        <w:spacing w:after="0" w:line="99" w:lineRule="exact"/>
        <w:rPr>
          <w:sz w:val="20"/>
          <w:szCs w:val="20"/>
          <w:color w:val="auto"/>
        </w:rPr>
      </w:pPr>
    </w:p>
    <w:p>
      <w:pPr>
        <w:jc w:val="both"/>
        <w:ind w:left="10"/>
        <w:spacing w:after="0" w:line="268"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Award Summary</w:t>
      </w:r>
      <w:r>
        <w:rPr>
          <w:rFonts w:ascii="Arial" w:cs="Arial" w:eastAsia="Arial" w:hAnsi="Arial"/>
          <w:sz w:val="18"/>
          <w:szCs w:val="18"/>
          <w:b w:val="1"/>
          <w:bCs w:val="1"/>
          <w:color w:val="auto"/>
        </w:rPr>
        <w:t>”</w:t>
      </w:r>
      <w:r>
        <w:rPr>
          <w:rFonts w:ascii="Arial" w:cs="Arial" w:eastAsia="Arial" w:hAnsi="Arial"/>
          <w:sz w:val="18"/>
          <w:szCs w:val="18"/>
          <w:color w:val="auto"/>
        </w:rPr>
        <w:t xml:space="preserve"> is a separate document, provided via email or posted to GEMS or any other applicable Human Resources information system, that provides for the effective date hereof (the “</w:t>
      </w:r>
      <w:r>
        <w:rPr>
          <w:rFonts w:ascii="Arial" w:cs="Arial" w:eastAsia="Arial" w:hAnsi="Arial"/>
          <w:sz w:val="18"/>
          <w:szCs w:val="18"/>
          <w:b w:val="1"/>
          <w:bCs w:val="1"/>
          <w:i w:val="1"/>
          <w:iCs w:val="1"/>
          <w:color w:val="auto"/>
        </w:rPr>
        <w:t>Date of Grant</w:t>
      </w:r>
      <w:r>
        <w:rPr>
          <w:rFonts w:ascii="Arial" w:cs="Arial" w:eastAsia="Arial" w:hAnsi="Arial"/>
          <w:sz w:val="18"/>
          <w:szCs w:val="18"/>
          <w:color w:val="auto"/>
        </w:rPr>
        <w:t>”), and the target number of Performance Restricted Stock Units granted pursuant hereto. The Award Summary is incorporated herein in its entirety.</w:t>
      </w:r>
    </w:p>
    <w:p>
      <w:pPr>
        <w:spacing w:after="0" w:line="117" w:lineRule="exact"/>
        <w:rPr>
          <w:sz w:val="20"/>
          <w:szCs w:val="20"/>
          <w:color w:val="auto"/>
        </w:rPr>
      </w:pPr>
    </w:p>
    <w:p>
      <w:pPr>
        <w:jc w:val="center"/>
        <w:ind w:right="450"/>
        <w:spacing w:after="0"/>
        <w:rPr>
          <w:sz w:val="20"/>
          <w:szCs w:val="20"/>
          <w:color w:val="auto"/>
        </w:rPr>
      </w:pPr>
      <w:r>
        <w:rPr>
          <w:rFonts w:ascii="Arial" w:cs="Arial" w:eastAsia="Arial" w:hAnsi="Arial"/>
          <w:sz w:val="17"/>
          <w:szCs w:val="17"/>
          <w:color w:val="auto"/>
        </w:rPr>
        <w:t>NOW, THEREFORE, in consideration of the premises and for other good and valuable consideration the Company agrees as follows:</w:t>
      </w:r>
    </w:p>
    <w:p>
      <w:pPr>
        <w:spacing w:after="0" w:line="183"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color w:val="auto"/>
        </w:rPr>
        <w:t>AWARDS</w:t>
      </w:r>
    </w:p>
    <w:p>
      <w:pPr>
        <w:spacing w:after="0" w:line="171" w:lineRule="exact"/>
        <w:rPr>
          <w:sz w:val="20"/>
          <w:szCs w:val="20"/>
          <w:color w:val="auto"/>
        </w:rPr>
      </w:pPr>
    </w:p>
    <w:p>
      <w:pPr>
        <w:jc w:val="both"/>
        <w:ind w:left="10" w:right="20" w:hanging="10"/>
        <w:spacing w:after="0" w:line="268" w:lineRule="auto"/>
        <w:tabs>
          <w:tab w:leader="none" w:pos="387"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Award of Performance Restricted Stock Units</w:t>
      </w:r>
      <w:r>
        <w:rPr>
          <w:rFonts w:ascii="Arial" w:cs="Arial" w:eastAsia="Arial" w:hAnsi="Arial"/>
          <w:sz w:val="18"/>
          <w:szCs w:val="18"/>
          <w:color w:val="auto"/>
        </w:rPr>
        <w:t>. Subject to all terms and conditions of the Plan and this Agreement, the Company has awarded to the Employee on the Date of Grant the target number of Performance Restricted Stock Units (the “</w:t>
      </w:r>
      <w:r>
        <w:rPr>
          <w:rFonts w:ascii="Arial" w:cs="Arial" w:eastAsia="Arial" w:hAnsi="Arial"/>
          <w:sz w:val="18"/>
          <w:szCs w:val="18"/>
          <w:b w:val="1"/>
          <w:bCs w:val="1"/>
          <w:i w:val="1"/>
          <w:iCs w:val="1"/>
          <w:color w:val="auto"/>
        </w:rPr>
        <w:t>PRSUs</w:t>
      </w:r>
      <w:r>
        <w:rPr>
          <w:rFonts w:ascii="Arial" w:cs="Arial" w:eastAsia="Arial" w:hAnsi="Arial"/>
          <w:sz w:val="18"/>
          <w:szCs w:val="18"/>
          <w:color w:val="auto"/>
        </w:rPr>
        <w:t>”) as shown on the Award Summary.</w:t>
      </w:r>
    </w:p>
    <w:p>
      <w:pPr>
        <w:spacing w:after="0" w:line="117"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color w:val="auto"/>
        </w:rPr>
        <w:t>TERMS OF THE PERFORMANCE RESTRICTED STOCK UNITS</w:t>
      </w:r>
    </w:p>
    <w:p>
      <w:pPr>
        <w:spacing w:after="0" w:line="171" w:lineRule="exact"/>
        <w:rPr>
          <w:sz w:val="20"/>
          <w:szCs w:val="20"/>
          <w:color w:val="auto"/>
        </w:rPr>
      </w:pPr>
    </w:p>
    <w:p>
      <w:pPr>
        <w:jc w:val="both"/>
        <w:ind w:left="10" w:hanging="10"/>
        <w:spacing w:after="0" w:line="257" w:lineRule="auto"/>
        <w:tabs>
          <w:tab w:leader="none" w:pos="40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Entitlement to Shares</w:t>
      </w:r>
      <w:r>
        <w:rPr>
          <w:rFonts w:ascii="Arial" w:cs="Arial" w:eastAsia="Arial" w:hAnsi="Arial"/>
          <w:sz w:val="18"/>
          <w:szCs w:val="18"/>
          <w:color w:val="auto"/>
        </w:rPr>
        <w:t>. As soon as practicable and within 60 days following the Vesting Date (as defined below) (or such earlier date provided in Section 8) in connection with the PRSUs, the Company shall deliver to the Employee, in such manner as the Company shall determine, a number of shares of common stock of the Company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equal to the number of vested PRSUs as determined pursuant to Section 3 (subject to reduction for withholding of the Employee’s taxes in relation to the award as described in Section 10); provided that any fractional shares shall be delivered in the form of cash equal to the value of such fractional shares on the applicable Vesting Date.</w:t>
      </w:r>
    </w:p>
    <w:p>
      <w:pPr>
        <w:spacing w:after="0" w:line="128" w:lineRule="exact"/>
        <w:rPr>
          <w:rFonts w:ascii="Arial" w:cs="Arial" w:eastAsia="Arial" w:hAnsi="Arial"/>
          <w:sz w:val="18"/>
          <w:szCs w:val="18"/>
          <w:color w:val="auto"/>
        </w:rPr>
      </w:pPr>
    </w:p>
    <w:p>
      <w:pPr>
        <w:jc w:val="both"/>
        <w:ind w:left="10" w:hanging="10"/>
        <w:spacing w:after="0" w:line="256" w:lineRule="auto"/>
        <w:tabs>
          <w:tab w:leader="none" w:pos="223"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PRSUs will be subject to performance-based vesting conditions (the “</w:t>
      </w:r>
      <w:r>
        <w:rPr>
          <w:rFonts w:ascii="Arial" w:cs="Arial" w:eastAsia="Arial" w:hAnsi="Arial"/>
          <w:sz w:val="18"/>
          <w:szCs w:val="18"/>
          <w:b w:val="1"/>
          <w:bCs w:val="1"/>
          <w:i w:val="1"/>
          <w:iCs w:val="1"/>
          <w:color w:val="auto"/>
        </w:rPr>
        <w:t>Performance Conditions</w:t>
      </w:r>
      <w:r>
        <w:rPr>
          <w:rFonts w:ascii="Arial" w:cs="Arial" w:eastAsia="Arial" w:hAnsi="Arial"/>
          <w:sz w:val="18"/>
          <w:szCs w:val="18"/>
          <w:color w:val="auto"/>
        </w:rPr>
        <w:t>”) which are set forth on Exhibit A. The PRSUs shall vest on December 31, 2027 or such earlier date as may be provided in Section 8 (the “</w:t>
      </w:r>
      <w:r>
        <w:rPr>
          <w:rFonts w:ascii="Arial" w:cs="Arial" w:eastAsia="Arial" w:hAnsi="Arial"/>
          <w:sz w:val="18"/>
          <w:szCs w:val="18"/>
          <w:b w:val="1"/>
          <w:bCs w:val="1"/>
          <w:i w:val="1"/>
          <w:iCs w:val="1"/>
          <w:color w:val="auto"/>
        </w:rPr>
        <w:t>Vesting Date</w:t>
      </w:r>
      <w:r>
        <w:rPr>
          <w:rFonts w:ascii="Arial" w:cs="Arial" w:eastAsia="Arial" w:hAnsi="Arial"/>
          <w:sz w:val="18"/>
          <w:szCs w:val="18"/>
          <w:color w:val="auto"/>
        </w:rPr>
        <w:t>”) and the number of PRSUs eligible to vest shall be based on the satisfaction of the Performance Conditions as set forth on Exhibit A and subject to the Employee’s continued employment with or provision of services to the Company or a subsidiary or affiliate through the Vesting Date or as otherwise provided in Section 8. For the avoidance of doubt, the change of the Employee’s status from employee to non-employee member of the Board of Directors of the Company, consultant or contractor who continues to provide services to the Company or a subsidiary or affiliate will not be considered a termination for purposes of this Agreement.</w:t>
      </w:r>
    </w:p>
    <w:p>
      <w:pPr>
        <w:spacing w:after="0" w:line="129" w:lineRule="exact"/>
        <w:rPr>
          <w:sz w:val="20"/>
          <w:szCs w:val="20"/>
          <w:color w:val="auto"/>
        </w:rPr>
      </w:pPr>
    </w:p>
    <w:p>
      <w:pPr>
        <w:ind w:left="10"/>
        <w:spacing w:after="0"/>
        <w:rPr>
          <w:sz w:val="20"/>
          <w:szCs w:val="20"/>
          <w:color w:val="auto"/>
        </w:rPr>
      </w:pPr>
      <w:r>
        <w:rPr>
          <w:rFonts w:ascii="Arial" w:cs="Arial" w:eastAsia="Arial" w:hAnsi="Arial"/>
          <w:sz w:val="18"/>
          <w:szCs w:val="18"/>
          <w:color w:val="auto"/>
        </w:rPr>
        <w:t>Notwithstanding, to the extent all or a portion of the PRSUs have not vested as of the Vesting Date, the unvested PRSUs will be forfeited.</w:t>
      </w:r>
    </w:p>
    <w:p>
      <w:pPr>
        <w:spacing w:after="0" w:line="171" w:lineRule="exact"/>
        <w:rPr>
          <w:sz w:val="20"/>
          <w:szCs w:val="20"/>
          <w:color w:val="auto"/>
        </w:rPr>
      </w:pPr>
    </w:p>
    <w:p>
      <w:pPr>
        <w:jc w:val="both"/>
        <w:ind w:left="10"/>
        <w:spacing w:after="0" w:line="259" w:lineRule="auto"/>
        <w:rPr>
          <w:sz w:val="20"/>
          <w:szCs w:val="20"/>
          <w:color w:val="auto"/>
        </w:rPr>
      </w:pPr>
      <w:r>
        <w:rPr>
          <w:rFonts w:ascii="Arial" w:cs="Arial" w:eastAsia="Arial" w:hAnsi="Arial"/>
          <w:sz w:val="18"/>
          <w:szCs w:val="18"/>
          <w:color w:val="auto"/>
        </w:rPr>
        <w:t>Upon the occurrence of an event constituting a Change in Control, notwithstanding anything to the contrary in Section 8 of the Plan, the PRSUs outstanding on the date of such Change in Control, and any dividend equivalents with respect thereto, shall be assumed by the successor company (or its parent company) and remain outstanding, and thereafter the vesting of such PRSUs, and any dividend equivalents with respect thereto, shall be eligible to vest on the Vesting Date, subject to the Employee’s continued employment with or provision of services to the Company or a subsidiary or an affiliate through the Vesting Date (and the</w:t>
      </w:r>
    </w:p>
    <w:p>
      <w:pPr>
        <w:sectPr>
          <w:pgSz w:w="11900" w:h="16838" w:orient="portrait"/>
          <w:cols w:equalWidth="0" w:num="1">
            <w:col w:w="11070"/>
          </w:cols>
          <w:pgMar w:left="490" w:top="364" w:right="339" w:bottom="1440" w:gutter="0" w:footer="0" w:header="0"/>
        </w:sectPr>
      </w:pPr>
    </w:p>
    <w:bookmarkStart w:id="64" w:name="page65"/>
    <w:bookmarkEnd w:id="64"/>
    <w:p>
      <w:pPr>
        <w:jc w:val="both"/>
        <w:ind w:left="10"/>
        <w:spacing w:after="0" w:line="257" w:lineRule="auto"/>
        <w:rPr>
          <w:sz w:val="20"/>
          <w:szCs w:val="20"/>
          <w:color w:val="auto"/>
        </w:rPr>
      </w:pPr>
      <w:r>
        <w:rPr>
          <w:rFonts w:ascii="Arial" w:cs="Arial" w:eastAsia="Arial" w:hAnsi="Arial"/>
          <w:sz w:val="18"/>
          <w:szCs w:val="18"/>
          <w:color w:val="auto"/>
        </w:rPr>
        <w:t xml:space="preserve">Performance Conditions shall each be deemed to have been achieved at the “Target” level as set forth on Exhibit A as of the date of the Change in Control), and in such instance such PRSUs shall be paid in cash in accordance with the terms of the Plan at the earliest time set forth in the Plan that will not trigger a tax or penalty under Section 409A of the Code, as determined by the Committee;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PRSUs, and any dividend equivalents with respect thereto, shall vest and shall be paid to the extent provided in Section 8 in the event of the Employee’s termination of employment or services following such Change in Control and prior to the Vesting Date. Upon payment pursuant to the terms of the Plan, such awards shall be cancelled.</w:t>
      </w:r>
    </w:p>
    <w:p>
      <w:pPr>
        <w:spacing w:after="0" w:line="128" w:lineRule="exact"/>
        <w:rPr>
          <w:sz w:val="20"/>
          <w:szCs w:val="20"/>
          <w:color w:val="auto"/>
        </w:rPr>
      </w:pPr>
    </w:p>
    <w:p>
      <w:pPr>
        <w:jc w:val="both"/>
        <w:ind w:left="10" w:hanging="10"/>
        <w:spacing w:after="0" w:line="259" w:lineRule="auto"/>
        <w:tabs>
          <w:tab w:leader="none" w:pos="427"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The Employee shall become entitled to receive from the Company on the Vesting Date (or such earlier date provided in Section 8) a cash payment equaling the same amount(s) that the holder of record of a number of shares of Common Stock equal to the number of vested PRSUs (if any) would have been entitled to receive as dividends on such Common Stock during the period commencing on the effective date hereof and ending on the Vesting Date (or such earlier date provided in Section 8) as provided under Section 3. Payments under this Section shall be net of any required withholding taxes.</w:t>
      </w:r>
    </w:p>
    <w:p>
      <w:pPr>
        <w:spacing w:after="0" w:line="125"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u w:val="single" w:color="auto"/>
          <w:color w:val="auto"/>
        </w:rPr>
        <w:t>OTHER TERMS</w:t>
      </w:r>
    </w:p>
    <w:p>
      <w:pPr>
        <w:spacing w:after="0" w:line="171" w:lineRule="exact"/>
        <w:rPr>
          <w:sz w:val="20"/>
          <w:szCs w:val="20"/>
          <w:color w:val="auto"/>
        </w:rPr>
      </w:pPr>
    </w:p>
    <w:p>
      <w:pPr>
        <w:jc w:val="both"/>
        <w:ind w:left="10" w:hanging="10"/>
        <w:spacing w:after="0" w:line="268" w:lineRule="auto"/>
        <w:tabs>
          <w:tab w:leader="none" w:pos="21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Ownership Guidelines</w:t>
      </w:r>
      <w:r>
        <w:rPr>
          <w:rFonts w:ascii="Arial" w:cs="Arial" w:eastAsia="Arial" w:hAnsi="Arial"/>
          <w:sz w:val="18"/>
          <w:szCs w:val="18"/>
          <w:color w:val="auto"/>
        </w:rPr>
        <w:t>. Guidelines pertaining to the Employee’s required ownership of Common Stock and related holding requirements (the “</w:t>
      </w:r>
      <w:r>
        <w:rPr>
          <w:rFonts w:ascii="Arial" w:cs="Arial" w:eastAsia="Arial" w:hAnsi="Arial"/>
          <w:sz w:val="18"/>
          <w:szCs w:val="18"/>
          <w:b w:val="1"/>
          <w:bCs w:val="1"/>
          <w:i w:val="1"/>
          <w:iCs w:val="1"/>
          <w:color w:val="auto"/>
        </w:rPr>
        <w:t>Stock Ownership Guidelines</w:t>
      </w:r>
      <w:r>
        <w:rPr>
          <w:rFonts w:ascii="Arial" w:cs="Arial" w:eastAsia="Arial" w:hAnsi="Arial"/>
          <w:sz w:val="18"/>
          <w:szCs w:val="18"/>
          <w:color w:val="auto"/>
        </w:rPr>
        <w:t>”) shall be determined by the Committee or its authorized delegate, as applicable, in its sole discretion from time to time as communicated to the Employee in writing.</w:t>
      </w:r>
    </w:p>
    <w:p>
      <w:pPr>
        <w:spacing w:after="0" w:line="116" w:lineRule="exact"/>
        <w:rPr>
          <w:rFonts w:ascii="Arial" w:cs="Arial" w:eastAsia="Arial" w:hAnsi="Arial"/>
          <w:sz w:val="18"/>
          <w:szCs w:val="18"/>
          <w:color w:val="auto"/>
        </w:rPr>
      </w:pPr>
    </w:p>
    <w:p>
      <w:pPr>
        <w:jc w:val="both"/>
        <w:ind w:left="10" w:hanging="4"/>
        <w:spacing w:after="0" w:line="268" w:lineRule="auto"/>
        <w:tabs>
          <w:tab w:leader="none" w:pos="373"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Voting Rights/Dividends</w:t>
      </w:r>
      <w:r>
        <w:rPr>
          <w:rFonts w:ascii="Arial" w:cs="Arial" w:eastAsia="Arial" w:hAnsi="Arial"/>
          <w:sz w:val="18"/>
          <w:szCs w:val="18"/>
          <w:color w:val="auto"/>
        </w:rPr>
        <w:t>. Except as otherwise provided herein, the Employee shall have no rights as a shareholder with respect to the PRSUs until the date of issuance of a stock certificate to him for such PRSUs and no adjustment shall be made for dividends or other rights for which the record date is prior to the date the PRSUs become vested.</w:t>
      </w:r>
    </w:p>
    <w:p>
      <w:pPr>
        <w:spacing w:after="0" w:line="116" w:lineRule="exact"/>
        <w:rPr>
          <w:rFonts w:ascii="Arial" w:cs="Arial" w:eastAsia="Arial" w:hAnsi="Arial"/>
          <w:sz w:val="18"/>
          <w:szCs w:val="18"/>
          <w:color w:val="auto"/>
        </w:rPr>
      </w:pPr>
    </w:p>
    <w:p>
      <w:pPr>
        <w:jc w:val="both"/>
        <w:ind w:left="10" w:hanging="10"/>
        <w:spacing w:after="0" w:line="262" w:lineRule="auto"/>
        <w:tabs>
          <w:tab w:leader="none" w:pos="495"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Non-Assignability</w:t>
      </w:r>
      <w:r>
        <w:rPr>
          <w:rFonts w:ascii="Arial" w:cs="Arial" w:eastAsia="Arial" w:hAnsi="Arial"/>
          <w:sz w:val="18"/>
          <w:szCs w:val="18"/>
          <w:color w:val="auto"/>
        </w:rPr>
        <w:t>. Unless otherwise provided by the Committee in its discretion, PRSUs may not be sold, assigned, alienated, transferred, pledged, attached or otherwise encumbered except as provided in Section 7(d)(ii) of the Plan. Any purported sale, assignment, alienation, transfer, pledge, attachment or other encumbrance of a PRSU in violation of the provisions of this Section 7 and Section 7(d)(ii) of the Plan shall be void.</w:t>
      </w:r>
    </w:p>
    <w:p>
      <w:pPr>
        <w:spacing w:after="0" w:line="122" w:lineRule="exact"/>
        <w:rPr>
          <w:rFonts w:ascii="Arial" w:cs="Arial" w:eastAsia="Arial" w:hAnsi="Arial"/>
          <w:sz w:val="18"/>
          <w:szCs w:val="18"/>
          <w:color w:val="auto"/>
        </w:rPr>
      </w:pPr>
    </w:p>
    <w:p>
      <w:pPr>
        <w:ind w:left="350" w:hanging="344"/>
        <w:spacing w:after="0"/>
        <w:tabs>
          <w:tab w:leader="none" w:pos="35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Employment or Services or Death</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730" w:hanging="490"/>
        <w:spacing w:after="0" w:line="287" w:lineRule="auto"/>
        <w:tabs>
          <w:tab w:leader="none" w:pos="695"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Effect on PRSUs</w:t>
      </w:r>
      <w:r>
        <w:rPr>
          <w:rFonts w:ascii="Arial" w:cs="Arial" w:eastAsia="Arial" w:hAnsi="Arial"/>
          <w:sz w:val="18"/>
          <w:szCs w:val="18"/>
          <w:color w:val="auto"/>
        </w:rPr>
        <w:t>. In the event of the Employee’s termination of employment or services prior to December 31, 2027, the PRSUs will be treated as set forth below.</w:t>
      </w:r>
    </w:p>
    <w:p>
      <w:pPr>
        <w:spacing w:after="0" w:line="98" w:lineRule="exact"/>
        <w:rPr>
          <w:rFonts w:ascii="Arial" w:cs="Arial" w:eastAsia="Arial" w:hAnsi="Arial"/>
          <w:sz w:val="18"/>
          <w:szCs w:val="18"/>
          <w:color w:val="auto"/>
        </w:rPr>
      </w:pPr>
    </w:p>
    <w:p>
      <w:pPr>
        <w:jc w:val="both"/>
        <w:ind w:left="1130" w:firstLine="4"/>
        <w:spacing w:after="0" w:line="262" w:lineRule="auto"/>
        <w:tabs>
          <w:tab w:leader="none" w:pos="1865" w:val="left"/>
        </w:tabs>
        <w:numPr>
          <w:ilvl w:val="2"/>
          <w:numId w:val="64"/>
        </w:numPr>
        <w:rPr>
          <w:rFonts w:ascii="Arial" w:cs="Arial" w:eastAsia="Arial" w:hAnsi="Arial"/>
          <w:sz w:val="18"/>
          <w:szCs w:val="18"/>
          <w:color w:val="auto"/>
        </w:rPr>
      </w:pPr>
      <w:r>
        <w:rPr>
          <w:rFonts w:ascii="Arial" w:cs="Arial" w:eastAsia="Arial" w:hAnsi="Arial"/>
          <w:sz w:val="18"/>
          <w:szCs w:val="18"/>
          <w:i w:val="1"/>
          <w:iCs w:val="1"/>
          <w:color w:val="auto"/>
        </w:rPr>
        <w:t>Voluntary Resignation</w:t>
      </w:r>
      <w:r>
        <w:rPr>
          <w:rFonts w:ascii="Arial" w:cs="Arial" w:eastAsia="Arial" w:hAnsi="Arial"/>
          <w:sz w:val="18"/>
          <w:szCs w:val="18"/>
          <w:color w:val="auto"/>
        </w:rPr>
        <w:t>. In the event the Employee voluntarily ceases to be an employee of or otherwise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the Employer for any reason other than a Termination For Good Reason following a Change in Control or a Qualifying Retirement, the PRSUs shall be canceled and forfeited on the date of such voluntary termination of employment or services.</w:t>
      </w:r>
    </w:p>
    <w:p>
      <w:pPr>
        <w:spacing w:after="0" w:line="122" w:lineRule="exact"/>
        <w:rPr>
          <w:rFonts w:ascii="Arial" w:cs="Arial" w:eastAsia="Arial" w:hAnsi="Arial"/>
          <w:sz w:val="18"/>
          <w:szCs w:val="18"/>
          <w:color w:val="auto"/>
        </w:rPr>
      </w:pPr>
    </w:p>
    <w:p>
      <w:pPr>
        <w:jc w:val="both"/>
        <w:ind w:left="1130" w:firstLine="4"/>
        <w:spacing w:after="0" w:line="254" w:lineRule="auto"/>
        <w:tabs>
          <w:tab w:leader="none" w:pos="1570" w:val="left"/>
        </w:tabs>
        <w:numPr>
          <w:ilvl w:val="2"/>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Qualifying Retirement. </w:t>
      </w:r>
      <w:r>
        <w:rPr>
          <w:rFonts w:ascii="Arial" w:cs="Arial" w:eastAsia="Arial" w:hAnsi="Arial"/>
          <w:sz w:val="18"/>
          <w:szCs w:val="18"/>
          <w:color w:val="auto"/>
        </w:rPr>
        <w:t>In the event of a Qualifying Retirement, the Employee will remain eligible to vest in a Pro-Rata</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the PRSUs that otherwise vest on December 31, 2027 based on the achievement of the Performance Conditions, and any dividend equivalents with respect thereto; provided that the Employee (A) completes a successful transition of responsibilities (as determined by the Board of Directors of the Company) and cooperates during the remaining vesting period, (B) complies with any applicable restrictive covenants and non-disparagement provisions during the remaining vesting period, (C) reasonably cooperates with the Company and its affiliates with respect to any investigation, litigation, arbitration, or regulatory proceeding regarding events that occurred during the Employee’s tenure with the Company, and (D) does not accept full time employment at a public or private company (with the exception of (1) board service, teaching, public service, or consulting, (2) employment with a family business, non-profit, startup, or other materially similar enterprise, or (3) any other employment specifically approved by the CEO (or, if the Employee was the CEO prior to such retirement,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070"/>
          </w:cols>
          <w:pgMar w:left="490" w:top="1093" w:right="339" w:bottom="1440" w:gutter="0" w:footer="0" w:header="0"/>
        </w:sectPr>
      </w:pPr>
    </w:p>
    <w:bookmarkStart w:id="65" w:name="page66"/>
    <w:bookmarkEnd w:id="65"/>
    <w:p>
      <w:pPr>
        <w:jc w:val="both"/>
        <w:ind w:left="806" w:firstLine="4"/>
        <w:spacing w:after="0" w:line="256" w:lineRule="auto"/>
        <w:tabs>
          <w:tab w:leader="none" w:pos="1273" w:val="left"/>
        </w:tabs>
        <w:numPr>
          <w:ilvl w:val="1"/>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without Cause. </w:t>
      </w:r>
      <w:r>
        <w:rPr>
          <w:rFonts w:ascii="Arial" w:cs="Arial" w:eastAsia="Arial" w:hAnsi="Arial"/>
          <w:sz w:val="18"/>
          <w:szCs w:val="18"/>
          <w:color w:val="auto"/>
        </w:rPr>
        <w:t>In the event the Employee involuntarily ceases to be an employee of or otherwise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the Employer for any reason other than due to death, Disability, or a termination for Cause, the Employee will remain eligible to vest in a Pro-Rata Amount of PRSUs that otherwise vest on December 31, 2027 based on the achievement of the Performance Conditions, and any dividend equivalents with respect thereto, provided that the number of full months in the numerator of the Pro-Rata Amount will be increased by a number equal to the number of months of cash severance the Employee would be entitled to under the Company’s applicable severance plan or policy, but shall in no event be greater than 36.</w:t>
      </w:r>
    </w:p>
    <w:p>
      <w:pPr>
        <w:spacing w:after="0" w:line="128" w:lineRule="exact"/>
        <w:rPr>
          <w:rFonts w:ascii="Arial" w:cs="Arial" w:eastAsia="Arial" w:hAnsi="Arial"/>
          <w:sz w:val="18"/>
          <w:szCs w:val="18"/>
          <w:color w:val="auto"/>
        </w:rPr>
      </w:pPr>
    </w:p>
    <w:p>
      <w:pPr>
        <w:jc w:val="both"/>
        <w:ind w:left="806" w:firstLine="4"/>
        <w:spacing w:after="0" w:line="254" w:lineRule="auto"/>
        <w:tabs>
          <w:tab w:leader="none" w:pos="1256" w:val="left"/>
        </w:tabs>
        <w:numPr>
          <w:ilvl w:val="1"/>
          <w:numId w:val="65"/>
        </w:numPr>
        <w:rPr>
          <w:rFonts w:ascii="Arial" w:cs="Arial" w:eastAsia="Arial" w:hAnsi="Arial"/>
          <w:sz w:val="18"/>
          <w:szCs w:val="18"/>
          <w:color w:val="auto"/>
        </w:rPr>
      </w:pPr>
      <w:r>
        <w:rPr>
          <w:rFonts w:ascii="Arial" w:cs="Arial" w:eastAsia="Arial" w:hAnsi="Arial"/>
          <w:sz w:val="18"/>
          <w:szCs w:val="18"/>
          <w:i w:val="1"/>
          <w:iCs w:val="1"/>
          <w:color w:val="auto"/>
        </w:rPr>
        <w:t>Qualifying Termination Following Change in Control</w:t>
      </w:r>
      <w:r>
        <w:rPr>
          <w:rFonts w:ascii="Arial" w:cs="Arial" w:eastAsia="Arial" w:hAnsi="Arial"/>
          <w:sz w:val="18"/>
          <w:szCs w:val="18"/>
          <w:color w:val="auto"/>
        </w:rPr>
        <w:t>. In the event the Employee involuntarily ceases to be an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of or otherwise provide services to the Employer following a Change in Control for any reason other than a termination for Cause, or voluntarily ceases to be an employee due to a Termination for Good Reason following a Change in Control, then the PRSUs covered by this Agreement, and any dividend equivalents with respect thereto, shall immediately vest at the “Target” performance level as set forth on Exhibit A (without proration based on the portion of the vesting period elapsed prior to such termination) and shall be paid in cash in accordance with the terms of the Plan within 60 days following the earliest time set forth in the Plan that will not trigger a tax or penalty under Section 409A of the Code, as determined by the Committee. Such vesting shall be contingent, at the discretion of the Company, upon the Employee executing a general release (which may include an agreement with respect to engagement in detrimental activity, in a form acceptable to the Company) and such release becoming effective and irrevocable within the 60-day period following such Termination Date.</w:t>
      </w:r>
    </w:p>
    <w:p>
      <w:pPr>
        <w:spacing w:after="0" w:line="131" w:lineRule="exact"/>
        <w:rPr>
          <w:rFonts w:ascii="Arial" w:cs="Arial" w:eastAsia="Arial" w:hAnsi="Arial"/>
          <w:sz w:val="18"/>
          <w:szCs w:val="18"/>
          <w:color w:val="auto"/>
        </w:rPr>
      </w:pPr>
    </w:p>
    <w:p>
      <w:pPr>
        <w:jc w:val="both"/>
        <w:ind w:left="806" w:firstLine="4"/>
        <w:spacing w:after="0" w:line="259" w:lineRule="auto"/>
        <w:tabs>
          <w:tab w:leader="none" w:pos="1229" w:val="left"/>
        </w:tabs>
        <w:numPr>
          <w:ilvl w:val="1"/>
          <w:numId w:val="65"/>
        </w:numPr>
        <w:rPr>
          <w:rFonts w:ascii="Arial" w:cs="Arial" w:eastAsia="Arial" w:hAnsi="Arial"/>
          <w:sz w:val="18"/>
          <w:szCs w:val="18"/>
          <w:color w:val="auto"/>
        </w:rPr>
      </w:pPr>
      <w:r>
        <w:rPr>
          <w:rFonts w:ascii="Arial" w:cs="Arial" w:eastAsia="Arial" w:hAnsi="Arial"/>
          <w:sz w:val="18"/>
          <w:szCs w:val="18"/>
          <w:i w:val="1"/>
          <w:iCs w:val="1"/>
          <w:color w:val="auto"/>
        </w:rPr>
        <w:t>Death or Disability</w:t>
      </w:r>
      <w:r>
        <w:rPr>
          <w:rFonts w:ascii="Arial" w:cs="Arial" w:eastAsia="Arial" w:hAnsi="Arial"/>
          <w:sz w:val="18"/>
          <w:szCs w:val="18"/>
          <w:color w:val="auto"/>
        </w:rPr>
        <w:t>. In the event the Employee involuntarily ceases to be an employee of or otherwise provide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Employer by reason of death or Disability prior to a Change in Control, the PRSUs covered by this Agreement, and any dividend equivalents with respect thereto, shall remain eligible to vest pursuant to Section 3 based on the satisfaction of the Performance Conditions and as if such Employee remained employed through the Vesting Date and shall be settled within 60 days following the applicable Vesting Date in accordance with Section 2, without proration.</w:t>
      </w:r>
    </w:p>
    <w:p>
      <w:pPr>
        <w:spacing w:after="0" w:line="125" w:lineRule="exact"/>
        <w:rPr>
          <w:rFonts w:ascii="Arial" w:cs="Arial" w:eastAsia="Arial" w:hAnsi="Arial"/>
          <w:sz w:val="18"/>
          <w:szCs w:val="18"/>
          <w:color w:val="auto"/>
        </w:rPr>
      </w:pPr>
    </w:p>
    <w:p>
      <w:pPr>
        <w:jc w:val="both"/>
        <w:ind w:left="806" w:firstLine="4"/>
        <w:spacing w:after="0" w:line="262" w:lineRule="auto"/>
        <w:tabs>
          <w:tab w:leader="none" w:pos="1350" w:val="left"/>
        </w:tabs>
        <w:numPr>
          <w:ilvl w:val="1"/>
          <w:numId w:val="65"/>
        </w:numPr>
        <w:rPr>
          <w:rFonts w:ascii="Arial" w:cs="Arial" w:eastAsia="Arial" w:hAnsi="Arial"/>
          <w:sz w:val="18"/>
          <w:szCs w:val="18"/>
          <w:color w:val="auto"/>
        </w:rPr>
      </w:pPr>
      <w:r>
        <w:rPr>
          <w:rFonts w:ascii="Arial" w:cs="Arial" w:eastAsia="Arial" w:hAnsi="Arial"/>
          <w:sz w:val="18"/>
          <w:szCs w:val="18"/>
          <w:i w:val="1"/>
          <w:iCs w:val="1"/>
          <w:color w:val="auto"/>
        </w:rPr>
        <w:t>Termination for Cause</w:t>
      </w:r>
      <w:r>
        <w:rPr>
          <w:rFonts w:ascii="Arial" w:cs="Arial" w:eastAsia="Arial" w:hAnsi="Arial"/>
          <w:sz w:val="18"/>
          <w:szCs w:val="18"/>
          <w:color w:val="auto"/>
        </w:rPr>
        <w:t>. In the event the Employee involuntarily ceases to be an employee of or otherwise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the Employer due to termination for Cause, the PRSUs shall be cancelled and forfeited on the date of such termination of employment or services, in addition to any other rights reserved under the Conduent Incorporated Compensation Recoupment Policy, as may be amended from time to time, or any successor policy.</w:t>
      </w:r>
    </w:p>
    <w:p>
      <w:pPr>
        <w:spacing w:after="0" w:line="122" w:lineRule="exact"/>
        <w:rPr>
          <w:rFonts w:ascii="Arial" w:cs="Arial" w:eastAsia="Arial" w:hAnsi="Arial"/>
          <w:sz w:val="18"/>
          <w:szCs w:val="18"/>
          <w:color w:val="auto"/>
        </w:rPr>
      </w:pPr>
    </w:p>
    <w:p>
      <w:pPr>
        <w:jc w:val="both"/>
        <w:ind w:left="806" w:firstLine="4"/>
        <w:spacing w:after="0" w:line="254" w:lineRule="auto"/>
        <w:tabs>
          <w:tab w:leader="none" w:pos="1390" w:val="left"/>
        </w:tabs>
        <w:numPr>
          <w:ilvl w:val="1"/>
          <w:numId w:val="65"/>
        </w:numPr>
        <w:rPr>
          <w:rFonts w:ascii="Arial" w:cs="Arial" w:eastAsia="Arial" w:hAnsi="Arial"/>
          <w:sz w:val="18"/>
          <w:szCs w:val="18"/>
          <w:color w:val="auto"/>
        </w:rPr>
      </w:pPr>
      <w:r>
        <w:rPr>
          <w:rFonts w:ascii="Arial" w:cs="Arial" w:eastAsia="Arial" w:hAnsi="Arial"/>
          <w:sz w:val="18"/>
          <w:szCs w:val="18"/>
          <w:i w:val="1"/>
          <w:iCs w:val="1"/>
          <w:color w:val="auto"/>
        </w:rPr>
        <w:t>Termination Date</w:t>
      </w:r>
      <w:r>
        <w:rPr>
          <w:rFonts w:ascii="Arial" w:cs="Arial" w:eastAsia="Arial" w:hAnsi="Arial"/>
          <w:sz w:val="18"/>
          <w:szCs w:val="18"/>
          <w:color w:val="auto"/>
        </w:rPr>
        <w:t>. For purposes of this Agreement and the PRSUs, the Employee’s employment and / or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 will be considered terminated as of the date the Employee is no longer is actively providing services to the Company, the Employer or any affiliate (regardless of the reason for such termination and whether or not later found to be invalid or in breach of labor laws in the jurisdiction where the Employee provides services or the terms of the Employee's employment or other service agreement, if any), and unless otherwise determined by the Company, the Employee’s right to vest in the PRSUs, if any, will terminate as of such date and, in either case, will not be extended by any notice period (</w:t>
      </w:r>
      <w:r>
        <w:rPr>
          <w:rFonts w:ascii="Arial" w:cs="Arial" w:eastAsia="Arial" w:hAnsi="Arial"/>
          <w:sz w:val="18"/>
          <w:szCs w:val="18"/>
          <w:i w:val="1"/>
          <w:iCs w:val="1"/>
          <w:color w:val="auto"/>
        </w:rPr>
        <w:t>e.g.</w:t>
      </w:r>
      <w:r>
        <w:rPr>
          <w:rFonts w:ascii="Arial" w:cs="Arial" w:eastAsia="Arial" w:hAnsi="Arial"/>
          <w:sz w:val="18"/>
          <w:szCs w:val="18"/>
          <w:color w:val="auto"/>
        </w:rPr>
        <w:t>, the Employee’s period of service would not include any contractual notice period or any period of “garden leave” or similar period mandated under labor laws in the jurisdiction where the Employee provides services or the terms of the Employee's employment or other service agreement, if any). The Committee shall have the exclusive discretion to determine when the Employee no longer is actively providing services for purposes of this Agreement and the PRSUs (including whether the Employee still may be considered to be providing services while on a leave of absence).</w:t>
      </w:r>
    </w:p>
    <w:p>
      <w:pPr>
        <w:spacing w:after="0" w:line="128" w:lineRule="exact"/>
        <w:rPr>
          <w:rFonts w:ascii="Arial" w:cs="Arial" w:eastAsia="Arial" w:hAnsi="Arial"/>
          <w:sz w:val="18"/>
          <w:szCs w:val="18"/>
          <w:color w:val="auto"/>
        </w:rPr>
      </w:pPr>
    </w:p>
    <w:p>
      <w:pPr>
        <w:ind w:left="426" w:hanging="426"/>
        <w:spacing w:after="0"/>
        <w:tabs>
          <w:tab w:leader="none" w:pos="426"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426" w:right="20"/>
        <w:spacing w:after="0" w:line="28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has the meaning set forth in the Conduent Incorporated Compensation Recoupment Policy, as may be amended from time to time, or any successor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74"/>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746"/>
          </w:cols>
          <w:pgMar w:left="814" w:top="1093" w:right="339" w:bottom="1440" w:gutter="0" w:footer="0" w:header="0"/>
        </w:sectPr>
      </w:pPr>
    </w:p>
    <w:bookmarkStart w:id="66" w:name="page67"/>
    <w:bookmarkEnd w:id="66"/>
    <w:p>
      <w:pPr>
        <w:jc w:val="both"/>
        <w:ind w:left="5"/>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has the meaning set forth in the Plan, except that for Section 8(a) only, an increase in ownership by Permitted Holders shall not be deemed a Change in Control.</w:t>
      </w:r>
    </w:p>
    <w:p>
      <w:pPr>
        <w:spacing w:after="0" w:line="99" w:lineRule="exact"/>
        <w:rPr>
          <w:sz w:val="20"/>
          <w:szCs w:val="20"/>
          <w:color w:val="auto"/>
        </w:rPr>
      </w:pPr>
    </w:p>
    <w:p>
      <w:pPr>
        <w:jc w:val="both"/>
        <w:ind w:left="5"/>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Data Protection Laws</w:t>
      </w:r>
      <w:r>
        <w:rPr>
          <w:rFonts w:ascii="Arial" w:cs="Arial" w:eastAsia="Arial" w:hAnsi="Arial"/>
          <w:sz w:val="18"/>
          <w:szCs w:val="18"/>
          <w:color w:val="auto"/>
        </w:rPr>
        <w:t>” means all applicable laws and regulations relating to the processing of Personal Data and privacy that may exist in the relevant jurisdictions.</w:t>
      </w:r>
    </w:p>
    <w:p>
      <w:pPr>
        <w:spacing w:after="0" w:line="99" w:lineRule="exact"/>
        <w:rPr>
          <w:sz w:val="20"/>
          <w:szCs w:val="20"/>
          <w:color w:val="auto"/>
        </w:rPr>
      </w:pPr>
    </w:p>
    <w:p>
      <w:pPr>
        <w:jc w:val="both"/>
        <w:ind w:left="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xml:space="preserve">” shall include cessation of active employment or services due to commencement of long-term disability under the Employer’s long-term disability plan or under a disability policy of any subsidiary or affiliate,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Disability shall not be deemed to have occurred for such purposes unless the circumstances would also result in a “disability” within the meaning of Section 409A of the Code.</w:t>
      </w:r>
    </w:p>
    <w:p>
      <w:pPr>
        <w:spacing w:after="0" w:line="122" w:lineRule="exact"/>
        <w:rPr>
          <w:sz w:val="20"/>
          <w:szCs w:val="20"/>
          <w:color w:val="auto"/>
        </w:rPr>
      </w:pPr>
    </w:p>
    <w:p>
      <w:pPr>
        <w:jc w:val="both"/>
        <w:ind w:left="5"/>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Holders</w:t>
      </w:r>
      <w:r>
        <w:rPr>
          <w:rFonts w:ascii="Arial" w:cs="Arial" w:eastAsia="Arial" w:hAnsi="Arial"/>
          <w:sz w:val="18"/>
          <w:szCs w:val="18"/>
          <w:color w:val="auto"/>
        </w:rPr>
        <w:t>” has the meaning set forth in the Conduent Incorporated Compensation Recoupment Policy, as may be amended from time to time, or any successor policy.</w:t>
      </w:r>
    </w:p>
    <w:p>
      <w:pPr>
        <w:spacing w:after="0" w:line="99" w:lineRule="exact"/>
        <w:rPr>
          <w:sz w:val="20"/>
          <w:szCs w:val="20"/>
          <w:color w:val="auto"/>
        </w:rPr>
      </w:pPr>
    </w:p>
    <w:p>
      <w:pPr>
        <w:jc w:val="both"/>
        <w:ind w:left="5"/>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Pro-Rata Amount</w:t>
      </w:r>
      <w:r>
        <w:rPr>
          <w:rFonts w:ascii="Arial" w:cs="Arial" w:eastAsia="Arial" w:hAnsi="Arial"/>
          <w:sz w:val="18"/>
          <w:szCs w:val="18"/>
          <w:color w:val="auto"/>
        </w:rPr>
        <w:t xml:space="preserve">” will be equal to the number of PRSUs that would otherwise vest on December 31, 2027 based on the achievement of the Performance Conditions, multiplied by a fraction, the numerator of which is the number of full months elapsed between January 1, 2025 and the Termination Date and the denominator of which is 36;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vesting shall be contingent, at the discretion of the Company, upon the Employee executing a general release (which may include an agreement with respect to engagement in detrimental activity in a form acceptable to the Company) and such release becoming effective and irrevocable within the 60-day period following such Termination Date. Any PRSUs that do not vest as set forth above shall be forfeited.</w:t>
      </w:r>
    </w:p>
    <w:p>
      <w:pPr>
        <w:spacing w:after="0" w:line="129" w:lineRule="exact"/>
        <w:rPr>
          <w:sz w:val="20"/>
          <w:szCs w:val="20"/>
          <w:color w:val="auto"/>
        </w:rPr>
      </w:pPr>
    </w:p>
    <w:p>
      <w:pPr>
        <w:jc w:val="both"/>
        <w:ind w:left="5"/>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Qualifying Retirement</w:t>
      </w:r>
      <w:r>
        <w:rPr>
          <w:rFonts w:ascii="Arial" w:cs="Arial" w:eastAsia="Arial" w:hAnsi="Arial"/>
          <w:sz w:val="18"/>
          <w:szCs w:val="18"/>
          <w:color w:val="auto"/>
        </w:rPr>
        <w:t>” shall mean voluntary termination of Employee’s employment with or services to Employer where (i) the Employee is at least age sixty (60) and has at least five (5) years of service with the Employer or its parents or subsidiaries and</w:t>
      </w:r>
    </w:p>
    <w:p>
      <w:pPr>
        <w:spacing w:after="0" w:line="2" w:lineRule="exact"/>
        <w:rPr>
          <w:sz w:val="20"/>
          <w:szCs w:val="20"/>
          <w:color w:val="auto"/>
        </w:rPr>
      </w:pPr>
    </w:p>
    <w:p>
      <w:pPr>
        <w:jc w:val="both"/>
        <w:ind w:left="5" w:hanging="5"/>
        <w:spacing w:after="0" w:line="258" w:lineRule="auto"/>
        <w:tabs>
          <w:tab w:leader="none" w:pos="295"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such Employee’s retirement has been agreed to and approved by the Chief Executive Officer of the Company (and, if Employee is a Section 16 officer of the Company, by the Board of Directors of the Company), who shall have the sole discretion to determine the date of retirement of such Employee.</w:t>
      </w:r>
    </w:p>
    <w:p>
      <w:pPr>
        <w:spacing w:after="0" w:line="124"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means the date of the Employee’s termination of employment with or services to the Employer.</w:t>
      </w:r>
    </w:p>
    <w:p>
      <w:pPr>
        <w:spacing w:after="0" w:line="171" w:lineRule="exact"/>
        <w:rPr>
          <w:sz w:val="20"/>
          <w:szCs w:val="20"/>
          <w:color w:val="auto"/>
        </w:rPr>
      </w:pPr>
    </w:p>
    <w:p>
      <w:pPr>
        <w:jc w:val="both"/>
        <w:ind w:left="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For Good Reason</w:t>
      </w:r>
      <w:r>
        <w:rPr>
          <w:rFonts w:ascii="Arial" w:cs="Arial" w:eastAsia="Arial" w:hAnsi="Arial"/>
          <w:sz w:val="18"/>
          <w:szCs w:val="18"/>
          <w:color w:val="auto"/>
        </w:rPr>
        <w:t>” shall mean the termination of the Employee within two years of the occurrence of any of the following circumstances, provided that (1) such circumstance occurs without the Employee’s express written consent after a Change in Control, and (2) the Employee gives the Company notice of the occurrence of the offending circumstance(s) within 90 days of the first occurrence of the circumstance(s), and the Company fails to cure the circumstance(s) within 30 days of receipt of this notice (or the Company notifies the Employee in writing prior to the expiration of such 30-day period that the circumstance(s) will not be cured):</w:t>
      </w:r>
    </w:p>
    <w:p>
      <w:pPr>
        <w:spacing w:after="0" w:line="128" w:lineRule="exact"/>
        <w:rPr>
          <w:sz w:val="20"/>
          <w:szCs w:val="20"/>
          <w:color w:val="auto"/>
        </w:rPr>
      </w:pPr>
    </w:p>
    <w:p>
      <w:pPr>
        <w:ind w:left="385" w:firstLine="4"/>
        <w:spacing w:after="0" w:line="287" w:lineRule="auto"/>
        <w:tabs>
          <w:tab w:leader="none" w:pos="807"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material diminution of the Employee’s authority, duties, or responsibilities from those in effect immediately prior to a Change in Control;</w:t>
      </w:r>
    </w:p>
    <w:p>
      <w:pPr>
        <w:spacing w:after="0" w:line="98" w:lineRule="exact"/>
        <w:rPr>
          <w:rFonts w:ascii="Arial" w:cs="Arial" w:eastAsia="Arial" w:hAnsi="Arial"/>
          <w:sz w:val="18"/>
          <w:szCs w:val="18"/>
          <w:color w:val="auto"/>
        </w:rPr>
      </w:pPr>
    </w:p>
    <w:p>
      <w:pPr>
        <w:jc w:val="both"/>
        <w:ind w:left="385" w:firstLine="4"/>
        <w:spacing w:after="0" w:line="255" w:lineRule="auto"/>
        <w:tabs>
          <w:tab w:leader="none" w:pos="849"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of the following: (1) a material reduction in the Employee’s annual base salary and/or annual target bonus, (2) a failure by the Company to increase the Employee’s annual base salary following a Change in Control at such periodic intervals not materially inconsistent with the Company’s practice prior thereto by at least a percentage equal to the average of the percentage increases in the Employee’s base salary for the three merit pay periods immediately preceding such Change in Control, or (3) the failure to increase the Employee’s salary as the same may be increased from time to time for similarly situated individuals, except that this clause (b) shall not apply to across-the-board salary reductions similarly affecting all similarly situated employees of the Company and all similarly situated employees of any person in control of the Company;</w:t>
      </w:r>
    </w:p>
    <w:p>
      <w:pPr>
        <w:spacing w:after="0" w:line="130" w:lineRule="exact"/>
        <w:rPr>
          <w:rFonts w:ascii="Arial" w:cs="Arial" w:eastAsia="Arial" w:hAnsi="Arial"/>
          <w:sz w:val="18"/>
          <w:szCs w:val="18"/>
          <w:color w:val="auto"/>
        </w:rPr>
      </w:pPr>
    </w:p>
    <w:p>
      <w:pPr>
        <w:jc w:val="both"/>
        <w:ind w:left="385" w:firstLine="4"/>
        <w:spacing w:after="0" w:line="262" w:lineRule="auto"/>
        <w:tabs>
          <w:tab w:leader="none" w:pos="933"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Company’s requiring the Employee to be based anywhere other than in the metropolitan area in which the Employee was based immediately before the Change in Control (except for required travel on the Company’s business to an extent substantially consistent with the Employee’s present business travel obligations), provided that such required relocation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665"/>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325"/>
          </w:cols>
          <w:pgMar w:left="1235" w:top="1093" w:right="339" w:bottom="1440" w:gutter="0" w:footer="0" w:header="0"/>
        </w:sectPr>
      </w:pPr>
    </w:p>
    <w:bookmarkStart w:id="67" w:name="page68"/>
    <w:bookmarkEnd w:id="67"/>
    <w:p>
      <w:pPr>
        <w:ind w:left="1130"/>
        <w:spacing w:after="0"/>
        <w:rPr>
          <w:sz w:val="20"/>
          <w:szCs w:val="20"/>
          <w:color w:val="auto"/>
        </w:rPr>
      </w:pPr>
      <w:r>
        <w:rPr>
          <w:rFonts w:ascii="Arial" w:cs="Arial" w:eastAsia="Arial" w:hAnsi="Arial"/>
          <w:sz w:val="18"/>
          <w:szCs w:val="18"/>
          <w:color w:val="auto"/>
        </w:rPr>
        <w:t>constitutes a material change in the geographic location at which the Employee is required to perform the services;</w:t>
      </w:r>
    </w:p>
    <w:p>
      <w:pPr>
        <w:spacing w:after="0" w:line="171" w:lineRule="exact"/>
        <w:rPr>
          <w:sz w:val="20"/>
          <w:szCs w:val="20"/>
          <w:color w:val="auto"/>
        </w:rPr>
      </w:pPr>
    </w:p>
    <w:p>
      <w:pPr>
        <w:jc w:val="both"/>
        <w:ind w:left="1130" w:firstLine="4"/>
        <w:spacing w:after="0" w:line="256" w:lineRule="auto"/>
        <w:tabs>
          <w:tab w:leader="none" w:pos="1633"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failure by the Company to continue in effect any material compensation or benefit plan, vacation policy or any material perquisites in which the Employee participates immediately before the Change in Control (except to the extent such plan terminates in accordance with its terms), unless an equitable arrangement (embodied in an ongoing substitute or alternative plan) has been made with respect to such plan in connection with the Change in Control, or the failure by the Company to continue the Employee’s participation therein (or in such substitute or alternative plan) on a basis not materially less favorable, both in terms of the amount of benefits provided and the level of the Employee’s participation relative to other employees, than existed at the time of the Change in Control; or</w:t>
      </w:r>
    </w:p>
    <w:p>
      <w:pPr>
        <w:spacing w:after="0" w:line="128" w:lineRule="exact"/>
        <w:rPr>
          <w:rFonts w:ascii="Arial" w:cs="Arial" w:eastAsia="Arial" w:hAnsi="Arial"/>
          <w:sz w:val="18"/>
          <w:szCs w:val="18"/>
          <w:color w:val="auto"/>
        </w:rPr>
      </w:pPr>
    </w:p>
    <w:p>
      <w:pPr>
        <w:ind w:left="1130" w:firstLine="4"/>
        <w:spacing w:after="0" w:line="287" w:lineRule="auto"/>
        <w:tabs>
          <w:tab w:leader="none" w:pos="1572"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failure of the Company to obtain a satisfactory agreement from any successor to assume responsibility to perform under this Plan.</w:t>
      </w:r>
    </w:p>
    <w:p>
      <w:pPr>
        <w:spacing w:after="0" w:line="99" w:lineRule="exact"/>
        <w:rPr>
          <w:sz w:val="20"/>
          <w:szCs w:val="20"/>
          <w:color w:val="auto"/>
        </w:rPr>
      </w:pPr>
    </w:p>
    <w:p>
      <w:pPr>
        <w:jc w:val="both"/>
        <w:ind w:left="750"/>
        <w:spacing w:after="0" w:line="259" w:lineRule="auto"/>
        <w:rPr>
          <w:sz w:val="20"/>
          <w:szCs w:val="20"/>
          <w:color w:val="auto"/>
        </w:rPr>
      </w:pPr>
      <w:r>
        <w:rPr>
          <w:rFonts w:ascii="Arial" w:cs="Arial" w:eastAsia="Arial" w:hAnsi="Arial"/>
          <w:sz w:val="18"/>
          <w:szCs w:val="18"/>
          <w:color w:val="auto"/>
        </w:rPr>
        <w:t>A termination by the Employee of his or her employment or services shall not fail to be a Termination for Good Reason merely because of the Employee’s incapacity due to physical or mental illness, or because the Employee’s employment or services continued after the occurrence of any of the events listed in this subsection. For the avoidance of doubt, a Termination for Good Reason by the Employee shall not mean the Company’s reasonable accommodation or modification of the Employee’s authority, duties, or responsibilities because of the Employee’s Disability.</w:t>
      </w:r>
    </w:p>
    <w:p>
      <w:pPr>
        <w:spacing w:after="0" w:line="125" w:lineRule="exact"/>
        <w:rPr>
          <w:sz w:val="20"/>
          <w:szCs w:val="20"/>
          <w:color w:val="auto"/>
        </w:rPr>
      </w:pPr>
    </w:p>
    <w:p>
      <w:pPr>
        <w:jc w:val="both"/>
        <w:ind w:left="650" w:hanging="423"/>
        <w:spacing w:after="0" w:line="256" w:lineRule="auto"/>
        <w:tabs>
          <w:tab w:leader="none" w:pos="851"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Divestiture</w:t>
      </w:r>
      <w:r>
        <w:rPr>
          <w:rFonts w:ascii="Arial" w:cs="Arial" w:eastAsia="Arial" w:hAnsi="Arial"/>
          <w:sz w:val="18"/>
          <w:szCs w:val="18"/>
          <w:color w:val="auto"/>
        </w:rPr>
        <w:t>. Notwithstanding the above, the termination of the Employee’s employment with or services to the Employer in connection with the Employer’s sale (whether by sale of assets or a subsidiary, or both) of a line of business within which the Employee was employed or providing services immediately prior to such sale as determined by the Committee in its sole discretion, that does not constitute a Change in Control, shall be treated as an involuntary termination of employment or services for purposes of this Agreement and the PRSUs shall vest and be paid as provided in Section 8(a)(iii) above; provided, that, in the event the Employee is offered a comparable position with the acquirer of such line of business and does not accept such offer, the PRSUs shall be cancelled and forfeited on the date of termination of employment or services.</w:t>
      </w:r>
    </w:p>
    <w:p>
      <w:pPr>
        <w:spacing w:after="0" w:line="128" w:lineRule="exact"/>
        <w:rPr>
          <w:rFonts w:ascii="Arial" w:cs="Arial" w:eastAsia="Arial" w:hAnsi="Arial"/>
          <w:sz w:val="18"/>
          <w:szCs w:val="18"/>
          <w:color w:val="auto"/>
        </w:rPr>
      </w:pPr>
    </w:p>
    <w:p>
      <w:pPr>
        <w:jc w:val="both"/>
        <w:ind w:left="10" w:hanging="10"/>
        <w:spacing w:after="0" w:line="256" w:lineRule="auto"/>
        <w:tabs>
          <w:tab w:leader="none" w:pos="387"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General Restrictions</w:t>
      </w:r>
      <w:r>
        <w:rPr>
          <w:rFonts w:ascii="Arial" w:cs="Arial" w:eastAsia="Arial" w:hAnsi="Arial"/>
          <w:sz w:val="18"/>
          <w:szCs w:val="18"/>
          <w:color w:val="auto"/>
        </w:rPr>
        <w:t>. If at any time the Committee or its authorized delegate, as applicable, shall determine, in its discretion, that the listing, registration or qualification of any shares of Common Stock subject to this Agreement upon any securities exchange or under any state or Federal law, or the consent or approval of any government regulatory body, is necessary or desirable as a condition of, or in connection with, the awarding of the PRSUs or the issue or purchase of shares of Common Stock hereunder, the certificates for shares of Common Stock may not be issued in respect of PRSUs in whole or in part unless such listing, registration, qualification, consent or approval shall have been effected or obtained free of any conditions not acceptable to the Committee or its authorized delegate, as applicable, and any delay caused thereby shall in no way affect the date of termination of the PRSUs.</w:t>
      </w:r>
    </w:p>
    <w:p>
      <w:pPr>
        <w:spacing w:after="0" w:line="128" w:lineRule="exact"/>
        <w:rPr>
          <w:rFonts w:ascii="Arial" w:cs="Arial" w:eastAsia="Arial" w:hAnsi="Arial"/>
          <w:sz w:val="18"/>
          <w:szCs w:val="18"/>
          <w:color w:val="auto"/>
        </w:rPr>
      </w:pPr>
    </w:p>
    <w:p>
      <w:pPr>
        <w:ind w:left="450" w:hanging="450"/>
        <w:spacing w:after="0"/>
        <w:tabs>
          <w:tab w:leader="none" w:pos="45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650" w:hanging="407"/>
        <w:spacing w:after="0" w:line="254" w:lineRule="auto"/>
        <w:tabs>
          <w:tab w:leader="none" w:pos="716" w:val="left"/>
        </w:tabs>
        <w:numPr>
          <w:ilvl w:val="2"/>
          <w:numId w:val="71"/>
        </w:numPr>
        <w:rPr>
          <w:rFonts w:ascii="Arial" w:cs="Arial" w:eastAsia="Arial" w:hAnsi="Arial"/>
          <w:sz w:val="18"/>
          <w:szCs w:val="18"/>
          <w:color w:val="auto"/>
        </w:rPr>
      </w:pPr>
      <w:r>
        <w:rPr>
          <w:rFonts w:ascii="Arial" w:cs="Arial" w:eastAsia="Arial" w:hAnsi="Arial"/>
          <w:sz w:val="18"/>
          <w:szCs w:val="18"/>
          <w:color w:val="auto"/>
        </w:rPr>
        <w:t>The Employee acknowledges and agrees that, regardless of any action taken by the Company or, if different, the Employer, the ultimate liability for all income tax, social insurance, payroll tax, fringe benefits tax, payment on account or other tax-related items related to the Employee’s participation in the Plan and legally applicable or deemed applicable to the Employee (“</w:t>
      </w:r>
      <w:r>
        <w:rPr>
          <w:rFonts w:ascii="Arial" w:cs="Arial" w:eastAsia="Arial" w:hAnsi="Arial"/>
          <w:sz w:val="18"/>
          <w:szCs w:val="18"/>
          <w:b w:val="1"/>
          <w:bCs w:val="1"/>
          <w:i w:val="1"/>
          <w:iCs w:val="1"/>
          <w:color w:val="auto"/>
        </w:rPr>
        <w:t>Tax-Related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Items</w:t>
      </w:r>
      <w:r>
        <w:rPr>
          <w:rFonts w:ascii="Arial" w:cs="Arial" w:eastAsia="Arial" w:hAnsi="Arial"/>
          <w:sz w:val="18"/>
          <w:szCs w:val="18"/>
          <w:color w:val="auto"/>
        </w:rPr>
        <w:t>”) is and remains the Employee’s responsibility and may exceed the amount, if any, actually withheld by the Company 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Employer. The Employee further acknowledges that the Company and/or the Employer (i) make no representations or undertakings regarding the treatment of any Tax-Related Items in connection with any aspect of the PRSUs or the underlying shares of Common Stock, including, but not limited to, the grant, vesting or settlement of the PRSUs, the subsequent sale of shares of Common Stock acquired upon the settlement of the PRSUs and the receipt of any dividends; and (ii) do not commit to and are under no obligation to structure the terms of the grant or any aspect of the PRSUs to reduce or eliminate the Employee’s liability for Tax-Related Items or to achieve any particular tax result. Further, if the Employee is subject to Tax-Related Items in more than one jurisdiction,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070"/>
          </w:cols>
          <w:pgMar w:left="490" w:top="1093" w:right="339" w:bottom="1440" w:gutter="0" w:footer="0" w:header="0"/>
        </w:sectPr>
      </w:pPr>
    </w:p>
    <w:bookmarkStart w:id="68" w:name="page69"/>
    <w:bookmarkEnd w:id="68"/>
    <w:p>
      <w:pPr>
        <w:ind w:left="650" w:right="20"/>
        <w:spacing w:after="0" w:line="287" w:lineRule="auto"/>
        <w:rPr>
          <w:sz w:val="20"/>
          <w:szCs w:val="20"/>
          <w:color w:val="auto"/>
        </w:rPr>
      </w:pPr>
      <w:r>
        <w:rPr>
          <w:rFonts w:ascii="Arial" w:cs="Arial" w:eastAsia="Arial" w:hAnsi="Arial"/>
          <w:sz w:val="18"/>
          <w:szCs w:val="18"/>
          <w:color w:val="auto"/>
        </w:rPr>
        <w:t>acknowledges that the Company and/or the Employer (or former employer, as applicable) may be required to withhold or account for Tax-Related Items in more than one jurisdiction.</w:t>
      </w:r>
    </w:p>
    <w:p>
      <w:pPr>
        <w:spacing w:after="0" w:line="153" w:lineRule="exact"/>
        <w:rPr>
          <w:sz w:val="20"/>
          <w:szCs w:val="20"/>
          <w:color w:val="auto"/>
        </w:rPr>
      </w:pPr>
    </w:p>
    <w:p>
      <w:pPr>
        <w:jc w:val="both"/>
        <w:ind w:left="650" w:hanging="407"/>
        <w:spacing w:after="0" w:line="253" w:lineRule="auto"/>
        <w:tabs>
          <w:tab w:leader="none" w:pos="791" w:val="left"/>
        </w:tabs>
        <w:numPr>
          <w:ilvl w:val="1"/>
          <w:numId w:val="72"/>
        </w:numPr>
        <w:rPr>
          <w:rFonts w:ascii="Arial" w:cs="Arial" w:eastAsia="Arial" w:hAnsi="Arial"/>
          <w:sz w:val="18"/>
          <w:szCs w:val="18"/>
          <w:color w:val="auto"/>
        </w:rPr>
      </w:pPr>
      <w:r>
        <w:rPr>
          <w:rFonts w:ascii="Arial" w:cs="Arial" w:eastAsia="Arial" w:hAnsi="Arial"/>
          <w:sz w:val="18"/>
          <w:szCs w:val="18"/>
          <w:color w:val="auto"/>
        </w:rPr>
        <w:t>Prior to the relevant taxable or tax withholding event, as applicable, the Employee agrees to make adequate arrangements satisfactory to the Company and/or the Employer to satisfy all Tax-Related Items. In this regard, the Employee authorizes the Company and/or the Employer, or their respective agents, at their discretion, to satisfy any applicable withholding obligations with regard to all Tax-Related Items by one or a combination of the following: (i) requiring the Employee to make a payment in a form acceptable to the Company, (ii) withholding from the Employee’s wages or other compensation payable to the Employee, (iii) withholding from proceeds of the sale of the shares of Common Stock acquired upon the settlement of the PRSUs either through a voluntary sale or through a mandatory sale arranged by the Company (on the Employee’s behalf pursuant to this authorization without further consent), (iv) withholding from the shares of Common Stock otherwise issuable at vesting of the PRSUs, provided, however, that if the Employee is subject to the reporting and other provisions of Section 16 of the Exchange Act, the Company shall affirmatively approve, by Board action, any such withholding of shares of Common Stock as contemplated in the immediately preceding proviso, or (v) any other method of withholding determined by the Company and, to the extent required by applicable law or the Plan, approved by the Committee.</w:t>
      </w:r>
    </w:p>
    <w:p>
      <w:pPr>
        <w:spacing w:after="0" w:line="189" w:lineRule="exact"/>
        <w:rPr>
          <w:rFonts w:ascii="Arial" w:cs="Arial" w:eastAsia="Arial" w:hAnsi="Arial"/>
          <w:sz w:val="18"/>
          <w:szCs w:val="18"/>
          <w:color w:val="auto"/>
        </w:rPr>
      </w:pPr>
    </w:p>
    <w:p>
      <w:pPr>
        <w:jc w:val="both"/>
        <w:ind w:left="650" w:hanging="407"/>
        <w:spacing w:after="0" w:line="255" w:lineRule="auto"/>
        <w:tabs>
          <w:tab w:leader="none" w:pos="708"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Company and/or the Employer may withhold or account for Tax-Related Items by considering statutory withholding rates or other withholding rates, including maximum rates applicable in the Employee’s jurisdiction(s). In the event of over-withholding, the Employee may receive a refund of any over-withheld amount in cash (with no entitlement to the equivalent in shares of Common Stock) or, if not refunded, the Employee may seek a refund from the local tax authorities. In the event of under-withholding, the Employee may be required to pay additional Tax-Related Items directly to the applicable tax authority or to the Company and/or the Employer. If the obligation for Tax-Related Items is satisfied by withholding in shares of Common Stock, for tax purposes, the Employee is deemed to have been issued the full number of shares of Common Stock subject to the vested PRSUs, notwithstanding that a number of the shares of Common Stock is held back solely for the purpose of paying the Tax-Related Items.</w:t>
      </w:r>
    </w:p>
    <w:p>
      <w:pPr>
        <w:spacing w:after="0" w:line="184" w:lineRule="exact"/>
        <w:rPr>
          <w:rFonts w:ascii="Arial" w:cs="Arial" w:eastAsia="Arial" w:hAnsi="Arial"/>
          <w:sz w:val="18"/>
          <w:szCs w:val="18"/>
          <w:color w:val="auto"/>
        </w:rPr>
      </w:pPr>
    </w:p>
    <w:p>
      <w:pPr>
        <w:jc w:val="both"/>
        <w:ind w:left="650" w:hanging="407"/>
        <w:spacing w:after="0" w:line="259" w:lineRule="auto"/>
        <w:tabs>
          <w:tab w:leader="none" w:pos="794"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Employee agrees to pay to the Company or the Employer any amount of Tax-Related Items that the Company or the Employer may be required to withhold or account for as a result of the Employe’s participation in the Plan that cannot be satisfied by the means previously described. The Company may refuse to issue or deliver the shares of Common Stock or the proceeds of the sale of the shares of Common Stock acquired upon the vesting of the PRSUs, if the Employee fails to comply with the Employee's obligations in connection with the Tax-Related Items.</w:t>
      </w:r>
    </w:p>
    <w:p>
      <w:pPr>
        <w:spacing w:after="0" w:line="125" w:lineRule="exact"/>
        <w:rPr>
          <w:rFonts w:ascii="Arial" w:cs="Arial" w:eastAsia="Arial" w:hAnsi="Arial"/>
          <w:sz w:val="18"/>
          <w:szCs w:val="18"/>
          <w:color w:val="auto"/>
        </w:rPr>
      </w:pPr>
    </w:p>
    <w:p>
      <w:pPr>
        <w:ind w:left="430" w:hanging="430"/>
        <w:spacing w:after="0"/>
        <w:tabs>
          <w:tab w:leader="none" w:pos="43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Nature of Award</w:t>
      </w:r>
      <w:r>
        <w:rPr>
          <w:rFonts w:ascii="Arial" w:cs="Arial" w:eastAsia="Arial" w:hAnsi="Arial"/>
          <w:sz w:val="18"/>
          <w:szCs w:val="18"/>
          <w:color w:val="auto"/>
        </w:rPr>
        <w:t>. In accepting the award, the Employee acknowledges that:</w:t>
      </w:r>
    </w:p>
    <w:p>
      <w:pPr>
        <w:spacing w:after="0" w:line="171" w:lineRule="exact"/>
        <w:rPr>
          <w:rFonts w:ascii="Arial" w:cs="Arial" w:eastAsia="Arial" w:hAnsi="Arial"/>
          <w:sz w:val="18"/>
          <w:szCs w:val="18"/>
          <w:color w:val="auto"/>
        </w:rPr>
      </w:pPr>
    </w:p>
    <w:p>
      <w:pPr>
        <w:jc w:val="both"/>
        <w:ind w:left="570" w:hanging="331"/>
        <w:spacing w:after="0" w:line="268" w:lineRule="auto"/>
        <w:tabs>
          <w:tab w:leader="none" w:pos="5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in a manner consistent with Section 9(e) of the Plan regarding Plan amendment and termination and, in addition, the PRSUs are subject to modification and adjustment under Section 9(c) of the Plan;</w:t>
      </w:r>
    </w:p>
    <w:p>
      <w:pPr>
        <w:spacing w:after="0" w:line="116" w:lineRule="exact"/>
        <w:rPr>
          <w:rFonts w:ascii="Arial" w:cs="Arial" w:eastAsia="Arial" w:hAnsi="Arial"/>
          <w:sz w:val="18"/>
          <w:szCs w:val="18"/>
          <w:color w:val="auto"/>
        </w:rPr>
      </w:pPr>
    </w:p>
    <w:p>
      <w:pPr>
        <w:ind w:left="650" w:hanging="326"/>
        <w:spacing w:after="0" w:line="287" w:lineRule="auto"/>
        <w:tabs>
          <w:tab w:leader="none" w:pos="640" w:val="left"/>
        </w:tabs>
        <w:numPr>
          <w:ilvl w:val="2"/>
          <w:numId w:val="73"/>
        </w:numPr>
        <w:rPr>
          <w:rFonts w:ascii="Arial" w:cs="Arial" w:eastAsia="Arial" w:hAnsi="Arial"/>
          <w:sz w:val="18"/>
          <w:szCs w:val="18"/>
          <w:color w:val="auto"/>
        </w:rPr>
      </w:pPr>
      <w:r>
        <w:rPr>
          <w:rFonts w:ascii="Arial" w:cs="Arial" w:eastAsia="Arial" w:hAnsi="Arial"/>
          <w:sz w:val="18"/>
          <w:szCs w:val="18"/>
          <w:color w:val="auto"/>
        </w:rPr>
        <w:t>the award of the PRSUs is voluntary and occasional and does not create any contractual or other right to receive future grants of PRSUs, or benefits in lieu of PRSUs, even if PRSUs have been granted repeatedly in the past;</w:t>
      </w:r>
    </w:p>
    <w:p>
      <w:pPr>
        <w:spacing w:after="0" w:line="98" w:lineRule="exact"/>
        <w:rPr>
          <w:rFonts w:ascii="Arial" w:cs="Arial" w:eastAsia="Arial" w:hAnsi="Arial"/>
          <w:sz w:val="18"/>
          <w:szCs w:val="18"/>
          <w:color w:val="auto"/>
        </w:rPr>
      </w:pPr>
    </w:p>
    <w:p>
      <w:pPr>
        <w:ind w:left="650" w:hanging="326"/>
        <w:spacing w:after="0" w:line="287" w:lineRule="auto"/>
        <w:tabs>
          <w:tab w:leader="none" w:pos="644" w:val="left"/>
        </w:tabs>
        <w:numPr>
          <w:ilvl w:val="2"/>
          <w:numId w:val="73"/>
        </w:numPr>
        <w:rPr>
          <w:rFonts w:ascii="Arial" w:cs="Arial" w:eastAsia="Arial" w:hAnsi="Arial"/>
          <w:sz w:val="18"/>
          <w:szCs w:val="18"/>
          <w:color w:val="auto"/>
        </w:rPr>
      </w:pPr>
      <w:r>
        <w:rPr>
          <w:rFonts w:ascii="Arial" w:cs="Arial" w:eastAsia="Arial" w:hAnsi="Arial"/>
          <w:sz w:val="18"/>
          <w:szCs w:val="18"/>
          <w:color w:val="auto"/>
        </w:rPr>
        <w:t>all decisions with respect to future PRSU awards, if any, will be at the sole discretion of the Committee or its authorized delegate, as applicable;</w:t>
      </w:r>
    </w:p>
    <w:p>
      <w:pPr>
        <w:spacing w:after="0" w:line="98" w:lineRule="exact"/>
        <w:rPr>
          <w:rFonts w:ascii="Arial" w:cs="Arial" w:eastAsia="Arial" w:hAnsi="Arial"/>
          <w:sz w:val="18"/>
          <w:szCs w:val="18"/>
          <w:color w:val="auto"/>
        </w:rPr>
      </w:pPr>
    </w:p>
    <w:p>
      <w:pPr>
        <w:jc w:val="both"/>
        <w:ind w:left="650" w:hanging="326"/>
        <w:spacing w:after="0" w:line="268" w:lineRule="auto"/>
        <w:tabs>
          <w:tab w:leader="none" w:pos="640" w:val="left"/>
        </w:tabs>
        <w:numPr>
          <w:ilvl w:val="2"/>
          <w:numId w:val="73"/>
        </w:numPr>
        <w:rPr>
          <w:rFonts w:ascii="Arial" w:cs="Arial" w:eastAsia="Arial" w:hAnsi="Arial"/>
          <w:sz w:val="18"/>
          <w:szCs w:val="18"/>
          <w:color w:val="auto"/>
        </w:rPr>
      </w:pPr>
      <w:r>
        <w:rPr>
          <w:rFonts w:ascii="Arial" w:cs="Arial" w:eastAsia="Arial" w:hAnsi="Arial"/>
          <w:sz w:val="18"/>
          <w:szCs w:val="18"/>
          <w:color w:val="auto"/>
        </w:rPr>
        <w:t>the Employee’s participation in the Plan shall not create a right to further employment with the Employer and shall not interfere with the ability of the Employer to terminate the Employee’s employment relationship at any time; further, the PRSU award and the Employee’s participation in the Plan will not be interpreted to form an employment contract or relationship with the Employer;</w:t>
      </w:r>
    </w:p>
    <w:p>
      <w:pPr>
        <w:spacing w:after="0" w:line="116" w:lineRule="exact"/>
        <w:rPr>
          <w:rFonts w:ascii="Arial" w:cs="Arial" w:eastAsia="Arial" w:hAnsi="Arial"/>
          <w:sz w:val="18"/>
          <w:szCs w:val="18"/>
          <w:color w:val="auto"/>
        </w:rPr>
      </w:pPr>
    </w:p>
    <w:p>
      <w:pPr>
        <w:ind w:left="630" w:hanging="306"/>
        <w:spacing w:after="0"/>
        <w:tabs>
          <w:tab w:leader="none" w:pos="630" w:val="left"/>
        </w:tabs>
        <w:numPr>
          <w:ilvl w:val="2"/>
          <w:numId w:val="73"/>
        </w:numPr>
        <w:rPr>
          <w:rFonts w:ascii="Arial" w:cs="Arial" w:eastAsia="Arial" w:hAnsi="Arial"/>
          <w:sz w:val="18"/>
          <w:szCs w:val="18"/>
          <w:color w:val="auto"/>
        </w:rPr>
      </w:pPr>
      <w:r>
        <w:rPr>
          <w:rFonts w:ascii="Arial" w:cs="Arial" w:eastAsia="Arial" w:hAnsi="Arial"/>
          <w:sz w:val="18"/>
          <w:szCs w:val="18"/>
          <w:color w:val="auto"/>
        </w:rPr>
        <w:t>the Employee is voluntarily participating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070"/>
          </w:cols>
          <w:pgMar w:left="490" w:top="1093" w:right="339" w:bottom="1440" w:gutter="0" w:footer="0" w:header="0"/>
        </w:sectPr>
      </w:pPr>
    </w:p>
    <w:bookmarkStart w:id="69" w:name="page70"/>
    <w:bookmarkEnd w:id="69"/>
    <w:p>
      <w:pPr>
        <w:jc w:val="both"/>
        <w:ind w:left="650" w:hanging="326"/>
        <w:spacing w:after="0" w:line="268" w:lineRule="auto"/>
        <w:tabs>
          <w:tab w:leader="none" w:pos="644"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PRSUs and the shares of Common Stock subject to the PRSUs are an extraordinary item that does not constitute compensation of any kind for services of any kind rendered to the Employer, and which is outside the scope of the Employee’s employment contract, if any;</w:t>
      </w:r>
    </w:p>
    <w:p>
      <w:pPr>
        <w:spacing w:after="0" w:line="116" w:lineRule="exact"/>
        <w:rPr>
          <w:rFonts w:ascii="Arial" w:cs="Arial" w:eastAsia="Arial" w:hAnsi="Arial"/>
          <w:sz w:val="18"/>
          <w:szCs w:val="18"/>
          <w:color w:val="auto"/>
        </w:rPr>
      </w:pPr>
    </w:p>
    <w:p>
      <w:pPr>
        <w:ind w:left="650" w:hanging="326"/>
        <w:spacing w:after="0" w:line="287" w:lineRule="auto"/>
        <w:tabs>
          <w:tab w:leader="none" w:pos="6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PRSUs and the shares of Common Stock subject to the PRSUs are not intended to replace any pension rights or compensation;</w:t>
      </w:r>
    </w:p>
    <w:p>
      <w:pPr>
        <w:spacing w:after="0" w:line="98" w:lineRule="exact"/>
        <w:rPr>
          <w:rFonts w:ascii="Arial" w:cs="Arial" w:eastAsia="Arial" w:hAnsi="Arial"/>
          <w:sz w:val="18"/>
          <w:szCs w:val="18"/>
          <w:color w:val="auto"/>
        </w:rPr>
      </w:pPr>
    </w:p>
    <w:p>
      <w:pPr>
        <w:jc w:val="both"/>
        <w:ind w:left="650" w:hanging="326"/>
        <w:spacing w:after="0" w:line="262" w:lineRule="auto"/>
        <w:tabs>
          <w:tab w:leader="none" w:pos="6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PRSUs and the shares of Common Stock subject to the PRSUs are not part of normal or expected compensation or salary for any purposes, including, but not limited to, calculating any severance, resignation, termination, redundancy, dismissal, end of service payments, bonuses, long-service awards, pension or retirement or welfare benefits or similar payments and in no event should be considered as compensation for, or relating in any way to, past services for the Employer;</w:t>
      </w:r>
    </w:p>
    <w:p>
      <w:pPr>
        <w:spacing w:after="0" w:line="122" w:lineRule="exact"/>
        <w:rPr>
          <w:rFonts w:ascii="Arial" w:cs="Arial" w:eastAsia="Arial" w:hAnsi="Arial"/>
          <w:sz w:val="18"/>
          <w:szCs w:val="18"/>
          <w:color w:val="auto"/>
        </w:rPr>
      </w:pPr>
    </w:p>
    <w:p>
      <w:pPr>
        <w:ind w:left="650" w:hanging="326"/>
        <w:spacing w:after="0"/>
        <w:tabs>
          <w:tab w:leader="none" w:pos="65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future value of the underlying shares of Common Stock is unknown and cannot be predicted with certainty;</w:t>
      </w:r>
    </w:p>
    <w:p>
      <w:pPr>
        <w:spacing w:after="0" w:line="171" w:lineRule="exact"/>
        <w:rPr>
          <w:rFonts w:ascii="Arial" w:cs="Arial" w:eastAsia="Arial" w:hAnsi="Arial"/>
          <w:sz w:val="18"/>
          <w:szCs w:val="18"/>
          <w:color w:val="auto"/>
        </w:rPr>
      </w:pPr>
    </w:p>
    <w:p>
      <w:pPr>
        <w:jc w:val="both"/>
        <w:ind w:left="650" w:hanging="326"/>
        <w:spacing w:after="0" w:line="255" w:lineRule="auto"/>
        <w:tabs>
          <w:tab w:leader="none" w:pos="648" w:val="left"/>
        </w:tabs>
        <w:numPr>
          <w:ilvl w:val="1"/>
          <w:numId w:val="74"/>
        </w:numPr>
        <w:rPr>
          <w:rFonts w:ascii="Arial" w:cs="Arial" w:eastAsia="Arial" w:hAnsi="Arial"/>
          <w:sz w:val="18"/>
          <w:szCs w:val="18"/>
          <w:color w:val="auto"/>
        </w:rPr>
      </w:pPr>
      <w:r>
        <w:rPr>
          <w:rFonts w:ascii="Arial" w:cs="Arial" w:eastAsia="Arial" w:hAnsi="Arial"/>
          <w:sz w:val="18"/>
          <w:szCs w:val="18"/>
          <w:color w:val="auto"/>
        </w:rPr>
        <w:t>in consideration of the award of the PRSUs, no claim or entitlement to compensation or damages shall arise from forfeiture of the PRSUs, including, but not limited to, (i) forfeiture resulting from termination of the Employee’s employment with or services to the Employer (for any reason whatsoever and whether or not in breach of local labor laws) or (ii) forfeiture of the PRSUs or the recoupment of any shares of Common Stock or other benefits or payments acquired under the Plan resulting from the application of any recoupment or clawback policy or provision required by the Company or any recovery or clawback otherwise required by law, as further described in Section 16. The Employee irrevocably releases the Company and the Employer from any such claim that may arise; if, notwithstanding the foregoing, any such claim is found by a court of competent jurisdiction to have arisen, the Employee shall be deemed irrevocably to have waived the Employee’s entitlement to pursue such claim; and</w:t>
      </w:r>
    </w:p>
    <w:p>
      <w:pPr>
        <w:spacing w:after="0" w:line="130" w:lineRule="exact"/>
        <w:rPr>
          <w:rFonts w:ascii="Arial" w:cs="Arial" w:eastAsia="Arial" w:hAnsi="Arial"/>
          <w:sz w:val="18"/>
          <w:szCs w:val="18"/>
          <w:color w:val="auto"/>
        </w:rPr>
      </w:pPr>
    </w:p>
    <w:p>
      <w:pPr>
        <w:ind w:left="650" w:hanging="326"/>
        <w:spacing w:after="0" w:line="287" w:lineRule="auto"/>
        <w:tabs>
          <w:tab w:leader="none" w:pos="644" w:val="left"/>
        </w:tabs>
        <w:numPr>
          <w:ilvl w:val="1"/>
          <w:numId w:val="74"/>
        </w:numPr>
        <w:rPr>
          <w:rFonts w:ascii="Arial" w:cs="Arial" w:eastAsia="Arial" w:hAnsi="Arial"/>
          <w:sz w:val="18"/>
          <w:szCs w:val="18"/>
          <w:color w:val="auto"/>
        </w:rPr>
      </w:pPr>
      <w:r>
        <w:rPr>
          <w:rFonts w:ascii="Arial" w:cs="Arial" w:eastAsia="Arial" w:hAnsi="Arial"/>
          <w:sz w:val="18"/>
          <w:szCs w:val="18"/>
          <w:color w:val="auto"/>
        </w:rPr>
        <w:t>subject to the provisions in the Plan regarding Change in Control, PRSUs and the benefits under the Plan, if any, will not automatically transfer to another company in the case of a merger, take-over or transfer of liability.</w:t>
      </w:r>
    </w:p>
    <w:p>
      <w:pPr>
        <w:spacing w:after="0" w:line="98" w:lineRule="exact"/>
        <w:rPr>
          <w:rFonts w:ascii="Arial" w:cs="Arial" w:eastAsia="Arial" w:hAnsi="Arial"/>
          <w:sz w:val="18"/>
          <w:szCs w:val="18"/>
          <w:color w:val="auto"/>
        </w:rPr>
      </w:pPr>
    </w:p>
    <w:p>
      <w:pPr>
        <w:jc w:val="both"/>
        <w:ind w:left="10" w:hanging="10"/>
        <w:spacing w:after="0" w:line="262" w:lineRule="auto"/>
        <w:tabs>
          <w:tab w:leader="none" w:pos="581"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No Advice Regarding Award</w:t>
      </w:r>
      <w:r>
        <w:rPr>
          <w:rFonts w:ascii="Arial" w:cs="Arial" w:eastAsia="Arial" w:hAnsi="Arial"/>
          <w:sz w:val="18"/>
          <w:szCs w:val="18"/>
          <w:color w:val="auto"/>
        </w:rPr>
        <w:t>. Neither the Company nor the Employer is providing any tax, legal or financial advice, nor is the Company or Employer making any recommendations regarding the Employee’s participation in the Plan, or his or her acquisition or sale of the underlying shares of Common Stock. The Employee is hereby advised to consult with the Employee’s own personal tax, legal and financial advisors regarding the Employee’s participation in the Plan before taking any action related to the Plan.</w:t>
      </w:r>
    </w:p>
    <w:p>
      <w:pPr>
        <w:spacing w:after="0" w:line="122" w:lineRule="exact"/>
        <w:rPr>
          <w:rFonts w:ascii="Arial" w:cs="Arial" w:eastAsia="Arial" w:hAnsi="Arial"/>
          <w:sz w:val="18"/>
          <w:szCs w:val="18"/>
          <w:color w:val="auto"/>
        </w:rPr>
      </w:pPr>
    </w:p>
    <w:p>
      <w:pPr>
        <w:jc w:val="both"/>
        <w:ind w:left="10" w:hanging="10"/>
        <w:spacing w:after="0" w:line="253"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Notwithstanding any other provision of the Plan or this Agreement, unless there is an available exemption from any registration, qualification or other legal requirement applicable to the shares of Common Stock, the Company shall not be required to deliver any shares of Common Stock issuable upon settlement of the PRSUs prior to the completion of any registration or qualification of the Common Stock under any U.S. or non-U.S. local, state or federal securities or other applicable law or under rulings or regulations of the U.S.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 or of any other U.S. or non-U.S. governmental regulatory body, or prior to obtaining any approval or other clearance from any U.S. or non-U.S. local, state or federal governmental agency, which registration, qualification or approval the Company shall, in its absolute discretion, deem necessary or advisable. The Employee understands that the Company is under no obligation to register or qualify the shares of Common Stock subject to the PRSUs with the SEC or any U.S. state or non-U.S. securities commission or to seek approval or clearance from any governmental authority for the issuance or sale of the Common Stock. Further, the Employee agrees that the Company shall have unilateral authority to amend the Plan and this Agreement without the Employee’s consent to the extent necessary to comply with securities or other laws applicable to the issuance of the shares of Common Stock.</w:t>
      </w:r>
    </w:p>
    <w:p>
      <w:pPr>
        <w:spacing w:after="0" w:line="135" w:lineRule="exact"/>
        <w:rPr>
          <w:rFonts w:ascii="Arial" w:cs="Arial" w:eastAsia="Arial" w:hAnsi="Arial"/>
          <w:sz w:val="18"/>
          <w:szCs w:val="18"/>
          <w:color w:val="auto"/>
        </w:rPr>
      </w:pPr>
    </w:p>
    <w:p>
      <w:pPr>
        <w:ind w:left="10" w:hanging="10"/>
        <w:spacing w:after="0" w:line="287" w:lineRule="auto"/>
        <w:tabs>
          <w:tab w:leader="none" w:pos="527"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Amendment of This Agreement</w:t>
      </w:r>
      <w:r>
        <w:rPr>
          <w:rFonts w:ascii="Arial" w:cs="Arial" w:eastAsia="Arial" w:hAnsi="Arial"/>
          <w:sz w:val="18"/>
          <w:szCs w:val="18"/>
          <w:color w:val="auto"/>
        </w:rPr>
        <w:t>. With the consent of the Employee, the Committee or its authorized delegate, as applicable, may amend this Agreement in a manner not inconsistent with the Plan.</w:t>
      </w:r>
    </w:p>
    <w:p>
      <w:pPr>
        <w:spacing w:after="0" w:line="98" w:lineRule="exact"/>
        <w:rPr>
          <w:rFonts w:ascii="Arial" w:cs="Arial" w:eastAsia="Arial" w:hAnsi="Arial"/>
          <w:sz w:val="18"/>
          <w:szCs w:val="18"/>
          <w:color w:val="auto"/>
        </w:rPr>
      </w:pPr>
    </w:p>
    <w:p>
      <w:pPr>
        <w:jc w:val="both"/>
        <w:ind w:left="10" w:hanging="10"/>
        <w:spacing w:after="0" w:line="268" w:lineRule="auto"/>
        <w:tabs>
          <w:tab w:leader="none" w:pos="487"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Except where otherwise prohibited under applicable law (including but not limited to California), by executing this Agreement and accepting the PRSUs and the delivery of any shares of Common Stock hereunder, the Employee expressly acknowledges and agrees to be bound by and to comply with all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070"/>
          </w:cols>
          <w:pgMar w:left="490" w:top="1093" w:right="339" w:bottom="1440" w:gutter="0" w:footer="0" w:header="0"/>
        </w:sectPr>
      </w:pPr>
    </w:p>
    <w:bookmarkStart w:id="70" w:name="page71"/>
    <w:bookmarkEnd w:id="70"/>
    <w:p>
      <w:pPr>
        <w:ind w:left="10"/>
        <w:spacing w:after="0" w:line="296" w:lineRule="auto"/>
        <w:rPr>
          <w:sz w:val="20"/>
          <w:szCs w:val="20"/>
          <w:color w:val="auto"/>
        </w:rPr>
      </w:pPr>
      <w:r>
        <w:rPr>
          <w:rFonts w:ascii="Arial" w:cs="Arial" w:eastAsia="Arial" w:hAnsi="Arial"/>
          <w:sz w:val="18"/>
          <w:szCs w:val="18"/>
          <w:color w:val="auto"/>
        </w:rPr>
        <w:t>the terms and conditions contained in the Non-Competition and Non-Solicitation Agreement set forth as Exhibit B to this Agreement and incorporated herein by reference (“</w:t>
      </w:r>
      <w:r>
        <w:rPr>
          <w:rFonts w:ascii="Arial" w:cs="Arial" w:eastAsia="Arial" w:hAnsi="Arial"/>
          <w:sz w:val="18"/>
          <w:szCs w:val="18"/>
          <w:b w:val="1"/>
          <w:bCs w:val="1"/>
          <w:i w:val="1"/>
          <w:iCs w:val="1"/>
          <w:color w:val="auto"/>
        </w:rPr>
        <w:t>Restrictive Covenants</w:t>
      </w:r>
      <w:r>
        <w:rPr>
          <w:rFonts w:ascii="Arial" w:cs="Arial" w:eastAsia="Arial" w:hAnsi="Arial"/>
          <w:sz w:val="18"/>
          <w:szCs w:val="18"/>
          <w:color w:val="auto"/>
        </w:rPr>
        <w:t>”).</w:t>
      </w:r>
    </w:p>
    <w:p>
      <w:pPr>
        <w:spacing w:after="0" w:line="83" w:lineRule="exact"/>
        <w:rPr>
          <w:sz w:val="20"/>
          <w:szCs w:val="20"/>
          <w:color w:val="auto"/>
        </w:rPr>
      </w:pPr>
    </w:p>
    <w:p>
      <w:pPr>
        <w:jc w:val="both"/>
        <w:ind w:left="10" w:hanging="10"/>
        <w:spacing w:after="0" w:line="282" w:lineRule="auto"/>
        <w:tabs>
          <w:tab w:leader="none" w:pos="487"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Recoupment</w:t>
      </w:r>
      <w:r>
        <w:rPr>
          <w:rFonts w:ascii="Arial" w:cs="Arial" w:eastAsia="Arial" w:hAnsi="Arial"/>
          <w:sz w:val="17"/>
          <w:szCs w:val="17"/>
          <w:color w:val="auto"/>
        </w:rPr>
        <w:t>. This Award shall be subject to (i) the Conduent Incorporated Compensation Recoupment Policy, as may be amended from time to time, or any successor policy and (ii) any other compensation recovery policy adopted after the PRSUs are granted to facilitate compliance with applicable law, including in response to the requirements of Section 10D of the Exchange Act, the U.S. Securities and Exchange Commission’s final rules thereunder, and any applicable listing rules or other rules and regulations implementing the foregoing.</w:t>
      </w:r>
    </w:p>
    <w:p>
      <w:pPr>
        <w:spacing w:after="0" w:line="107" w:lineRule="exact"/>
        <w:rPr>
          <w:sz w:val="20"/>
          <w:szCs w:val="20"/>
          <w:color w:val="auto"/>
        </w:rPr>
      </w:pPr>
    </w:p>
    <w:p>
      <w:pPr>
        <w:jc w:val="both"/>
        <w:ind w:left="10"/>
        <w:spacing w:after="0" w:line="259" w:lineRule="auto"/>
        <w:rPr>
          <w:sz w:val="20"/>
          <w:szCs w:val="20"/>
          <w:color w:val="auto"/>
        </w:rPr>
      </w:pPr>
      <w:r>
        <w:rPr>
          <w:rFonts w:ascii="Arial" w:cs="Arial" w:eastAsia="Arial" w:hAnsi="Arial"/>
          <w:sz w:val="18"/>
          <w:szCs w:val="18"/>
          <w:color w:val="auto"/>
        </w:rPr>
        <w:t>For purposes of this Section 16, the Employee expressly and explicitly authorizes the Company to issue instructions, on the Employee's behalf, to any brokerage firm and/or third party administrator engaged by the Company to hold any shares of Common Stock and other amounts acquired pursuant to the PRSUs to re-convey, transfer or otherwise return such shares of Common Stock and/or other amounts to the Company upon the Company’s enforcement of the Company’s recoupment policy, the Company’s clawback policy, if any, and any other compensation recovery policy adopted by the Board or the Committee.</w:t>
      </w:r>
    </w:p>
    <w:p>
      <w:pPr>
        <w:spacing w:after="0" w:line="125" w:lineRule="exact"/>
        <w:rPr>
          <w:sz w:val="20"/>
          <w:szCs w:val="20"/>
          <w:color w:val="auto"/>
        </w:rPr>
      </w:pPr>
    </w:p>
    <w:p>
      <w:pPr>
        <w:ind w:left="10" w:hanging="10"/>
        <w:spacing w:after="0" w:line="287" w:lineRule="auto"/>
        <w:tabs>
          <w:tab w:leader="none" w:pos="554"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Cancellation and Rescission of Award</w:t>
      </w:r>
      <w:r>
        <w:rPr>
          <w:rFonts w:ascii="Arial" w:cs="Arial" w:eastAsia="Arial" w:hAnsi="Arial"/>
          <w:sz w:val="18"/>
          <w:szCs w:val="18"/>
          <w:color w:val="auto"/>
        </w:rPr>
        <w:t>. Without limiting the foregoing Section 16, the Company may cancel any award provided hereunder if the Employee is not in compliance with all of the following conditions:</w:t>
      </w:r>
    </w:p>
    <w:p>
      <w:pPr>
        <w:spacing w:after="0" w:line="98" w:lineRule="exact"/>
        <w:rPr>
          <w:rFonts w:ascii="Arial" w:cs="Arial" w:eastAsia="Arial" w:hAnsi="Arial"/>
          <w:sz w:val="18"/>
          <w:szCs w:val="18"/>
          <w:color w:val="auto"/>
        </w:rPr>
      </w:pPr>
    </w:p>
    <w:p>
      <w:pPr>
        <w:jc w:val="both"/>
        <w:ind w:left="650" w:hanging="407"/>
        <w:spacing w:after="0" w:line="268" w:lineRule="auto"/>
        <w:tabs>
          <w:tab w:leader="none" w:pos="6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Employee shall not render services for any organization or engage directly or indirectly in any business which would cause the Employee to breach any of the post-employment prohibitions contained in any agreement between the Employer and the Employee.</w:t>
      </w:r>
    </w:p>
    <w:p>
      <w:pPr>
        <w:spacing w:after="0" w:line="116" w:lineRule="exact"/>
        <w:rPr>
          <w:rFonts w:ascii="Arial" w:cs="Arial" w:eastAsia="Arial" w:hAnsi="Arial"/>
          <w:sz w:val="18"/>
          <w:szCs w:val="18"/>
          <w:color w:val="auto"/>
        </w:rPr>
      </w:pPr>
    </w:p>
    <w:p>
      <w:pPr>
        <w:jc w:val="both"/>
        <w:ind w:left="650" w:hanging="407"/>
        <w:spacing w:after="0" w:line="262" w:lineRule="auto"/>
        <w:tabs>
          <w:tab w:leader="none" w:pos="6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Employee shall not, without prior written authorization from the Employer, disclose to anyone outside the Employer, or use in other than the Employer’s business, any confidential information or material, as specified in any agreement between the Employer and the Employee which contains post-employment prohibitions, relating to the business of the Employer acquired by the Employee either during or after employment with the Employer.</w:t>
      </w:r>
    </w:p>
    <w:p>
      <w:pPr>
        <w:spacing w:after="0" w:line="122" w:lineRule="exact"/>
        <w:rPr>
          <w:rFonts w:ascii="Arial" w:cs="Arial" w:eastAsia="Arial" w:hAnsi="Arial"/>
          <w:sz w:val="18"/>
          <w:szCs w:val="18"/>
          <w:color w:val="auto"/>
        </w:rPr>
      </w:pPr>
    </w:p>
    <w:p>
      <w:pPr>
        <w:jc w:val="both"/>
        <w:ind w:left="650"/>
        <w:spacing w:after="0" w:line="257" w:lineRule="auto"/>
        <w:rPr>
          <w:rFonts w:ascii="Arial" w:cs="Arial" w:eastAsia="Arial" w:hAnsi="Arial"/>
          <w:sz w:val="18"/>
          <w:szCs w:val="18"/>
          <w:color w:val="auto"/>
        </w:rPr>
      </w:pPr>
      <w:r>
        <w:rPr>
          <w:rFonts w:ascii="Arial" w:cs="Arial" w:eastAsia="Arial" w:hAnsi="Arial"/>
          <w:sz w:val="18"/>
          <w:szCs w:val="18"/>
          <w:color w:val="auto"/>
        </w:rPr>
        <w:t>Notwithstanding the above, this Agreement does not in any manner restrict the Employee from reporting possible violations of federal, state or local laws or regulations to any governmental agency or entity, and shall not, and not be interpreted to, impair the participant from exercising any legally protected whistleblower rights (including under Rule 21F under the Exchange Act). Similarly, the Employer does not in any manner restrict the Employee from participating in any proceeding or investigation by a federal, state or local government agency or entity responsible for enforcing such laws. The Employee is not required to notify the Employer that the Employee has made such report or disclosure, or of the Employee’s participation in an agency investigation or proceeding.</w:t>
      </w:r>
    </w:p>
    <w:p>
      <w:pPr>
        <w:spacing w:after="0" w:line="128" w:lineRule="exact"/>
        <w:rPr>
          <w:rFonts w:ascii="Arial" w:cs="Arial" w:eastAsia="Arial" w:hAnsi="Arial"/>
          <w:sz w:val="18"/>
          <w:szCs w:val="18"/>
          <w:color w:val="auto"/>
        </w:rPr>
      </w:pPr>
    </w:p>
    <w:p>
      <w:pPr>
        <w:jc w:val="both"/>
        <w:ind w:left="650" w:hanging="407"/>
        <w:spacing w:after="0" w:line="259" w:lineRule="auto"/>
        <w:tabs>
          <w:tab w:leader="none" w:pos="644"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Employee, pursuant to any agreement between the Employer and the Employee which contains post-employment prohibitions, shall disclose promptly and assign to the Employer all right, title and interest in any invention or idea, patentable or not, made or conceived by the Employee during services with the Employer, relating in any manner to the actual or anticipated business, research or development work of the Employer, and shall do anything reasonably necessary to enable the Employer to secure a patent where appropriate in the United States and in foreign countries.</w:t>
      </w:r>
    </w:p>
    <w:p>
      <w:pPr>
        <w:spacing w:after="0" w:line="125" w:lineRule="exact"/>
        <w:rPr>
          <w:rFonts w:ascii="Arial" w:cs="Arial" w:eastAsia="Arial" w:hAnsi="Arial"/>
          <w:sz w:val="18"/>
          <w:szCs w:val="18"/>
          <w:color w:val="auto"/>
        </w:rPr>
      </w:pPr>
    </w:p>
    <w:p>
      <w:pPr>
        <w:jc w:val="both"/>
        <w:ind w:left="650" w:hanging="407"/>
        <w:spacing w:after="0" w:line="256" w:lineRule="auto"/>
        <w:tabs>
          <w:tab w:leader="none" w:pos="6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Failure to comply with the provision of subparagraphs (a), (b) or (c) of this Section 17 prior to, or during the six months after, any payment or delivery shall cause such payment or delivery to be rescinded. The Company shall notify the Employee in writing of any such rescission within two years after such payment or delivery. Within ten days after receiving such a notice from the Company, the Employee shall pay to the Company the amount of any payment received as a result of the rescinded payment or delivery pursuant to an award. Such payment to the Company by the Employee shall be made either in cash or by returning to the Company the number of shares of Common Stock that the Employee received in connection with the rescinded payment or delivery.</w:t>
      </w:r>
    </w:p>
    <w:p>
      <w:pPr>
        <w:spacing w:after="0" w:line="128" w:lineRule="exact"/>
        <w:rPr>
          <w:rFonts w:ascii="Arial" w:cs="Arial" w:eastAsia="Arial" w:hAnsi="Arial"/>
          <w:sz w:val="18"/>
          <w:szCs w:val="18"/>
          <w:color w:val="auto"/>
        </w:rPr>
      </w:pPr>
    </w:p>
    <w:p>
      <w:pPr>
        <w:jc w:val="both"/>
        <w:ind w:left="10" w:hanging="10"/>
        <w:spacing w:after="0" w:line="268" w:lineRule="auto"/>
        <w:tabs>
          <w:tab w:leader="none" w:pos="514"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in writing and if to the Company shall be mailed to the Company at 100 Campus Drive, Suite 200, Florham Park, NJ 07932 USA, addressed to the attention of Stock Plan Administrator, and if to the Employee shall be delivered personally or mailed to the Employee at his address as the same appears on the records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070"/>
          </w:cols>
          <w:pgMar w:left="490" w:top="1093" w:right="339" w:bottom="1440" w:gutter="0" w:footer="0" w:header="0"/>
        </w:sectPr>
      </w:pPr>
    </w:p>
    <w:bookmarkStart w:id="71" w:name="page72"/>
    <w:bookmarkEnd w:id="71"/>
    <w:p>
      <w:pPr>
        <w:ind w:left="10" w:hanging="10"/>
        <w:spacing w:after="0" w:line="287" w:lineRule="auto"/>
        <w:tabs>
          <w:tab w:leader="none" w:pos="487"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the Employee has received this Agreement or any other document related to the Plan translated into a language other than English and if the meaning of the translated version is different than the English version, the English version will control.</w:t>
      </w:r>
    </w:p>
    <w:p>
      <w:pPr>
        <w:spacing w:after="0" w:line="98" w:lineRule="exact"/>
        <w:rPr>
          <w:rFonts w:ascii="Arial" w:cs="Arial" w:eastAsia="Arial" w:hAnsi="Arial"/>
          <w:sz w:val="18"/>
          <w:szCs w:val="18"/>
          <w:color w:val="auto"/>
        </w:rPr>
      </w:pPr>
    </w:p>
    <w:p>
      <w:pPr>
        <w:jc w:val="both"/>
        <w:ind w:left="10" w:hanging="10"/>
        <w:spacing w:after="0" w:line="259" w:lineRule="auto"/>
        <w:tabs>
          <w:tab w:leader="none" w:pos="473"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Electronic Delivery and Acceptance</w:t>
      </w:r>
      <w:r>
        <w:rPr>
          <w:rFonts w:ascii="Arial" w:cs="Arial" w:eastAsia="Arial" w:hAnsi="Arial"/>
          <w:sz w:val="18"/>
          <w:szCs w:val="18"/>
          <w:color w:val="auto"/>
        </w:rPr>
        <w:t>. The Company will deliver any documents related to current or future participation in the Plan by electronic means. The Employee hereby consents to receive such documents by electronic delivery, and agrees to participate in the Plan and be bound by the terms and conditions of this Agreement, through an on-line or electronic system established and maintained by the Company or a third party designated by the Company. Electronic acceptance by the Employee is required and the award will be cancelled for any employee who fails to comply with the Company’s acceptance requirement within 90 days of the effective date of the award.</w:t>
      </w:r>
    </w:p>
    <w:p>
      <w:pPr>
        <w:spacing w:after="0" w:line="125" w:lineRule="exact"/>
        <w:rPr>
          <w:rFonts w:ascii="Arial" w:cs="Arial" w:eastAsia="Arial" w:hAnsi="Arial"/>
          <w:sz w:val="18"/>
          <w:szCs w:val="18"/>
          <w:color w:val="auto"/>
        </w:rPr>
      </w:pPr>
    </w:p>
    <w:p>
      <w:pPr>
        <w:jc w:val="both"/>
        <w:ind w:left="10" w:hanging="10"/>
        <w:spacing w:after="0" w:line="257" w:lineRule="auto"/>
        <w:tabs>
          <w:tab w:leader="none" w:pos="514"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Interpretation of This Agreement</w:t>
      </w:r>
      <w:r>
        <w:rPr>
          <w:rFonts w:ascii="Arial" w:cs="Arial" w:eastAsia="Arial" w:hAnsi="Arial"/>
          <w:sz w:val="18"/>
          <w:szCs w:val="18"/>
          <w:color w:val="auto"/>
        </w:rPr>
        <w:t>. The Committee or its authorized delegate, as applicable, shall have the authority to interpret the Plan and this Agreement and to take whatever administrative actions, including correction of administrative errors in the awards subject to this Agreement and in this Agreement, as the Committee or its authorized delegate, as applicable, in its sole good faith judgment shall determine to be advisable. All decisions, interpretations and administrative actions made by the Committee or its authorized delegate, as applicable, hereunder or under the Plan shall be binding and conclusive on the Company and the Employee. In the event there is inconsistency between the provisions of this Agreement and of the Plan, the provisions of the Plan shall govern.</w:t>
      </w:r>
    </w:p>
    <w:p>
      <w:pPr>
        <w:spacing w:after="0" w:line="128" w:lineRule="exact"/>
        <w:rPr>
          <w:rFonts w:ascii="Arial" w:cs="Arial" w:eastAsia="Arial" w:hAnsi="Arial"/>
          <w:sz w:val="18"/>
          <w:szCs w:val="18"/>
          <w:color w:val="auto"/>
        </w:rPr>
      </w:pPr>
    </w:p>
    <w:p>
      <w:pPr>
        <w:ind w:left="10" w:hanging="10"/>
        <w:spacing w:after="0" w:line="287"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hereto and the successors and assigns of the Company and to the extent provided in Section 9(b) of the Plan to the Beneficiary(ies) or transferee of the Employee.</w:t>
      </w:r>
    </w:p>
    <w:p>
      <w:pPr>
        <w:spacing w:after="0" w:line="98" w:lineRule="exact"/>
        <w:rPr>
          <w:rFonts w:ascii="Arial" w:cs="Arial" w:eastAsia="Arial" w:hAnsi="Arial"/>
          <w:sz w:val="18"/>
          <w:szCs w:val="18"/>
          <w:color w:val="auto"/>
        </w:rPr>
      </w:pPr>
    </w:p>
    <w:p>
      <w:pPr>
        <w:jc w:val="both"/>
        <w:ind w:left="10" w:hanging="10"/>
        <w:spacing w:after="0" w:line="255" w:lineRule="auto"/>
        <w:tabs>
          <w:tab w:leader="none" w:pos="581"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The validity, construction and effect of the Agreement, any actions taken under or relating to this Agreement, and any disputes arising out of or related to this Agreement, shall be governed by and construed in accordance with the laws of the United States and the laws of the State of Delaware without giving effect to any choice or conflict of law provision or rule (whether of the State of Delaware or any other jurisdiction) that would cause the application of the laws of any jurisdiction other than the United States and the State or Delaware. This grant is made and/or administered in the United States. For purposes of litigating any dispute that arises under this grant or the Agreement the parties hereby submit to and consent to the jurisdiction of the State of Delaware, and agree that such litigation shall only be conducted in the state or federal courts located in Delaware to the exclusion of all other courts and fora. By accepting the PRSUs, the Employee irrevocably consents to the jurisdiction of, and venue in, such courts and waives any objection that such courts are an inconvenient forum.</w:t>
      </w:r>
    </w:p>
    <w:p>
      <w:pPr>
        <w:spacing w:after="0" w:line="126" w:lineRule="exact"/>
        <w:rPr>
          <w:rFonts w:ascii="Arial" w:cs="Arial" w:eastAsia="Arial" w:hAnsi="Arial"/>
          <w:sz w:val="18"/>
          <w:szCs w:val="18"/>
          <w:color w:val="auto"/>
        </w:rPr>
      </w:pPr>
    </w:p>
    <w:p>
      <w:pPr>
        <w:jc w:val="both"/>
        <w:ind w:left="10" w:hanging="10"/>
        <w:spacing w:after="0" w:line="268" w:lineRule="auto"/>
        <w:tabs>
          <w:tab w:leader="none" w:pos="31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It is intended that the provisions of this Agreement comply with, or are exempt from, Section 409A, and all provisions of this Agreement shall be construed and interpreted in a manner consistent with the requirements for avoiding taxes or penalties under Section 409A.</w:t>
      </w:r>
    </w:p>
    <w:p>
      <w:pPr>
        <w:spacing w:after="0" w:line="117" w:lineRule="exact"/>
        <w:rPr>
          <w:sz w:val="20"/>
          <w:szCs w:val="20"/>
          <w:color w:val="auto"/>
        </w:rPr>
      </w:pPr>
    </w:p>
    <w:p>
      <w:pPr>
        <w:jc w:val="both"/>
        <w:ind w:left="10"/>
        <w:spacing w:after="0" w:line="259" w:lineRule="auto"/>
        <w:rPr>
          <w:sz w:val="20"/>
          <w:szCs w:val="20"/>
          <w:color w:val="auto"/>
        </w:rPr>
      </w:pPr>
      <w:r>
        <w:rPr>
          <w:rFonts w:ascii="Arial" w:cs="Arial" w:eastAsia="Arial" w:hAnsi="Arial"/>
          <w:sz w:val="18"/>
          <w:szCs w:val="18"/>
          <w:color w:val="auto"/>
        </w:rPr>
        <w:t>Except as permitted under Section 409A, any deferred compensation (within the meaning of Section 409A) payable to the Employee or for the Employee’s benefit under this Agreement may not be reduced by, or offset against, any amount owing by the Employee to the Company or any of its affiliates. In the event that any 60-day period described in Section 8 of this Agreement straddles two calendar years, then any PRSUs, and any dividends with respect thereto, that are settled within such 60-day period in accordance with this Agreement shall be settled in the second calendar year.</w:t>
      </w:r>
    </w:p>
    <w:p>
      <w:pPr>
        <w:spacing w:after="0" w:line="125" w:lineRule="exact"/>
        <w:rPr>
          <w:sz w:val="20"/>
          <w:szCs w:val="20"/>
          <w:color w:val="auto"/>
        </w:rPr>
      </w:pPr>
    </w:p>
    <w:p>
      <w:pPr>
        <w:jc w:val="both"/>
        <w:ind w:left="10"/>
        <w:spacing w:after="0" w:line="260" w:lineRule="auto"/>
        <w:rPr>
          <w:sz w:val="20"/>
          <w:szCs w:val="20"/>
          <w:color w:val="auto"/>
        </w:rPr>
      </w:pPr>
      <w:r>
        <w:rPr>
          <w:rFonts w:ascii="Arial" w:cs="Arial" w:eastAsia="Arial" w:hAnsi="Arial"/>
          <w:sz w:val="18"/>
          <w:szCs w:val="18"/>
          <w:color w:val="auto"/>
        </w:rPr>
        <w:t>If, at the time of the Employee’s separation from service (within the meaning of Section 409A), (a) the Employee shall be a specified employee (within the meaning of Section 409A and using the identification methodology selected by the Company from time to time) and</w:t>
      </w:r>
    </w:p>
    <w:p>
      <w:pPr>
        <w:spacing w:after="0" w:line="2" w:lineRule="exact"/>
        <w:rPr>
          <w:sz w:val="20"/>
          <w:szCs w:val="20"/>
          <w:color w:val="auto"/>
        </w:rPr>
      </w:pPr>
    </w:p>
    <w:p>
      <w:pPr>
        <w:jc w:val="both"/>
        <w:ind w:left="10" w:hanging="10"/>
        <w:spacing w:after="0" w:line="255" w:lineRule="auto"/>
        <w:tabs>
          <w:tab w:leader="none" w:pos="29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Company shall make a good faith determination that an amount payable hereunder constitutes deferred compensation (within the meaning of Section 409A) the payment of which is required to be delayed pursuant to the six-month delay rule set forth in Section 409A in order to avoid taxes or penalties under Section 409A, then the Company shall not pay such amount on the otherwise scheduled payment date but shall instead pay it, without interest, on the first business day after such six-month period.</w:t>
      </w:r>
    </w:p>
    <w:p>
      <w:pPr>
        <w:spacing w:after="0" w:line="128" w:lineRule="exact"/>
        <w:rPr>
          <w:sz w:val="20"/>
          <w:szCs w:val="20"/>
          <w:color w:val="auto"/>
        </w:rPr>
      </w:pPr>
    </w:p>
    <w:p>
      <w:pPr>
        <w:ind w:left="10"/>
        <w:spacing w:after="0" w:line="287" w:lineRule="auto"/>
        <w:rPr>
          <w:sz w:val="20"/>
          <w:szCs w:val="20"/>
          <w:color w:val="auto"/>
        </w:rPr>
      </w:pPr>
      <w:r>
        <w:rPr>
          <w:rFonts w:ascii="Arial" w:cs="Arial" w:eastAsia="Arial" w:hAnsi="Arial"/>
          <w:sz w:val="18"/>
          <w:szCs w:val="18"/>
          <w:color w:val="auto"/>
        </w:rPr>
        <w:t>Notwithstanding any provision of this Agreement to the contrary, in light of the uncertainty with respect to the proper application of Section 409A, the Company reserves the right to make amendments to this Agreement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070"/>
          </w:cols>
          <w:pgMar w:left="490" w:top="1093" w:right="339" w:bottom="1440" w:gutter="0" w:footer="0" w:header="0"/>
        </w:sectPr>
      </w:pPr>
    </w:p>
    <w:bookmarkStart w:id="72" w:name="page73"/>
    <w:bookmarkEnd w:id="72"/>
    <w:p>
      <w:pPr>
        <w:jc w:val="both"/>
        <w:ind w:left="10"/>
        <w:spacing w:after="0" w:line="259" w:lineRule="auto"/>
        <w:rPr>
          <w:sz w:val="20"/>
          <w:szCs w:val="20"/>
          <w:color w:val="auto"/>
        </w:rPr>
      </w:pPr>
      <w:r>
        <w:rPr>
          <w:rFonts w:ascii="Arial" w:cs="Arial" w:eastAsia="Arial" w:hAnsi="Arial"/>
          <w:sz w:val="18"/>
          <w:szCs w:val="18"/>
          <w:color w:val="auto"/>
        </w:rPr>
        <w:t>the Company deems necessary or desirable to avoid the imposition of taxes or penalties under Section 409A. In any case, the Employee shall be solely responsible and liable for the satisfaction of all taxes and penalties that may be imposed on the Employee or for the Employee’s account in connection with this Agreement (including any taxes and penalties under Section 409A), and neither the Company nor any of its Affiliates shall have any obligation to indemnify or otherwise hold the Employee harmless from any or all of such taxes or penalties.</w:t>
      </w:r>
    </w:p>
    <w:p>
      <w:pPr>
        <w:spacing w:after="0" w:line="125" w:lineRule="exact"/>
        <w:rPr>
          <w:sz w:val="20"/>
          <w:szCs w:val="20"/>
          <w:color w:val="auto"/>
        </w:rPr>
      </w:pPr>
    </w:p>
    <w:p>
      <w:pPr>
        <w:ind w:left="450" w:hanging="450"/>
        <w:spacing w:after="0"/>
        <w:tabs>
          <w:tab w:leader="none" w:pos="45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30" w:hanging="391"/>
        <w:spacing w:after="0" w:line="253" w:lineRule="auto"/>
        <w:tabs>
          <w:tab w:leader="none" w:pos="538" w:val="left"/>
        </w:tabs>
        <w:numPr>
          <w:ilvl w:val="1"/>
          <w:numId w:val="80"/>
        </w:numPr>
        <w:rPr>
          <w:rFonts w:ascii="Arial" w:cs="Arial" w:eastAsia="Arial" w:hAnsi="Arial"/>
          <w:sz w:val="18"/>
          <w:szCs w:val="18"/>
          <w:color w:val="auto"/>
        </w:rPr>
      </w:pPr>
      <w:r>
        <w:rPr>
          <w:rFonts w:ascii="Arial" w:cs="Arial" w:eastAsia="Arial" w:hAnsi="Arial"/>
          <w:sz w:val="18"/>
          <w:szCs w:val="18"/>
          <w:color w:val="auto"/>
        </w:rPr>
        <w:t>Data Collection and Usage. The Company and the Employer collect, process and use certain personal information about the Employee, including, but not limited to, the Employee’s name, home address and telephone number, email address, date of birth, social insurance, passport or other identification number, salary, nationality, job title, any shares of Common Stock or directorships held in the Company, details of all PRSUs or any other entitlement to shares or equivalent benefits awarded, canceled, exercised, vested, unvested or outstanding in the Employee’s favor (“Data”), for the purposes of implementing, administering and managing the Plan. The Company shall comply with Data Protection Laws in connection with the processing of any Data. The Company shall ensure that personnel with access to Data are under an appropriate obligation of confidentiality and that such personnel have received appropriate data protection and security training pertaining to the responsibilities of their role. The Company agrees that in order to provide the Plan and services, Company may engage subcontractors to process the Data. The Company will enter into a written agreement with the subcontractor imposing data protection terms that places the equivalent data protection obligations as those set out in this Agreement to the extent applicable to the nature of the services provided by such subcontractor, in particular providing appropriate administrative, technical, and physical safeguards that the processing will protect the Data.</w:t>
      </w:r>
    </w:p>
    <w:p>
      <w:pPr>
        <w:spacing w:after="0" w:line="135" w:lineRule="exact"/>
        <w:rPr>
          <w:rFonts w:ascii="Arial" w:cs="Arial" w:eastAsia="Arial" w:hAnsi="Arial"/>
          <w:sz w:val="18"/>
          <w:szCs w:val="18"/>
          <w:color w:val="auto"/>
        </w:rPr>
      </w:pPr>
    </w:p>
    <w:p>
      <w:pPr>
        <w:jc w:val="both"/>
        <w:ind w:left="630" w:hanging="391"/>
        <w:spacing w:after="0" w:line="257" w:lineRule="auto"/>
        <w:tabs>
          <w:tab w:leader="none" w:pos="742"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International Data Transfers</w:t>
      </w:r>
      <w:r>
        <w:rPr>
          <w:rFonts w:ascii="Arial" w:cs="Arial" w:eastAsia="Arial" w:hAnsi="Arial"/>
          <w:sz w:val="18"/>
          <w:szCs w:val="18"/>
          <w:color w:val="auto"/>
        </w:rPr>
        <w:t>. It may be necessary for Data to be transferred to, and processed in, the U.S. If the Employee is outside of the U.S., the Employee should note that the Employee's country has enacted Data Protection Laws that are different from the U.S. As a result, in the absence of appropriate safeguards, the transfer of Data to the U.S. or, as the case may be, other countries might not be subject to substantive data processing principles or supervision by data protection authorities. The Employee acknowledges that Company may transfer Data outside of the Employee’s home country and agrees to consent to the Data transfer as set forth in Section 25(e).</w:t>
      </w:r>
    </w:p>
    <w:p>
      <w:pPr>
        <w:spacing w:after="0" w:line="128" w:lineRule="exact"/>
        <w:rPr>
          <w:rFonts w:ascii="Arial" w:cs="Arial" w:eastAsia="Arial" w:hAnsi="Arial"/>
          <w:sz w:val="18"/>
          <w:szCs w:val="18"/>
          <w:color w:val="auto"/>
        </w:rPr>
      </w:pPr>
    </w:p>
    <w:p>
      <w:pPr>
        <w:jc w:val="both"/>
        <w:ind w:left="630" w:hanging="391"/>
        <w:spacing w:after="0" w:line="268" w:lineRule="auto"/>
        <w:tabs>
          <w:tab w:leader="none" w:pos="732"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Data Retention</w:t>
      </w:r>
      <w:r>
        <w:rPr>
          <w:rFonts w:ascii="Arial" w:cs="Arial" w:eastAsia="Arial" w:hAnsi="Arial"/>
          <w:sz w:val="18"/>
          <w:szCs w:val="18"/>
          <w:color w:val="auto"/>
        </w:rPr>
        <w:t>. The Company will hold and use Data only as long as is necessary to implement, administer and manage the Employee’s participation in the Plan, or as required to comply with legal or regulatory obligations, including under tax, exchange control, labor and securities laws.</w:t>
      </w:r>
    </w:p>
    <w:p>
      <w:pPr>
        <w:spacing w:after="0" w:line="116" w:lineRule="exact"/>
        <w:rPr>
          <w:rFonts w:ascii="Arial" w:cs="Arial" w:eastAsia="Arial" w:hAnsi="Arial"/>
          <w:sz w:val="18"/>
          <w:szCs w:val="18"/>
          <w:color w:val="auto"/>
        </w:rPr>
      </w:pPr>
    </w:p>
    <w:p>
      <w:pPr>
        <w:jc w:val="both"/>
        <w:ind w:left="630" w:hanging="391"/>
        <w:spacing w:after="0" w:line="259" w:lineRule="auto"/>
        <w:tabs>
          <w:tab w:leader="none" w:pos="742"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Voluntariness and Consequences of Consent Denial or Withdrawal</w:t>
      </w:r>
      <w:r>
        <w:rPr>
          <w:rFonts w:ascii="Arial" w:cs="Arial" w:eastAsia="Arial" w:hAnsi="Arial"/>
          <w:sz w:val="18"/>
          <w:szCs w:val="18"/>
          <w:color w:val="auto"/>
        </w:rPr>
        <w:t>. Participation in the Plan is voluntary, and the Employee is providing the consents herein on a purely voluntary basis. If the Employee does not consent, or if the Employee later seeks to revoke the Employee's consent, the Employee’s salary from or employment and career with the Employer will not be affected; the only consequence of refusing or withdrawing consent is that the Company would not be able to grant the PRSUs or other equity awards to the Employee or administer or maintain such awards.</w:t>
      </w:r>
    </w:p>
    <w:p>
      <w:pPr>
        <w:spacing w:after="0" w:line="125" w:lineRule="exact"/>
        <w:rPr>
          <w:rFonts w:ascii="Arial" w:cs="Arial" w:eastAsia="Arial" w:hAnsi="Arial"/>
          <w:sz w:val="18"/>
          <w:szCs w:val="18"/>
          <w:color w:val="auto"/>
        </w:rPr>
      </w:pPr>
    </w:p>
    <w:p>
      <w:pPr>
        <w:jc w:val="both"/>
        <w:ind w:left="630" w:hanging="391"/>
        <w:spacing w:after="0" w:line="268" w:lineRule="auto"/>
        <w:tabs>
          <w:tab w:leader="none" w:pos="688"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Data Subject Rights</w:t>
      </w:r>
      <w:r>
        <w:rPr>
          <w:rFonts w:ascii="Arial" w:cs="Arial" w:eastAsia="Arial" w:hAnsi="Arial"/>
          <w:sz w:val="18"/>
          <w:szCs w:val="18"/>
          <w:color w:val="auto"/>
        </w:rPr>
        <w:t>. The Employee may have a number of rights under Data Protection Laws in the Employee’s jurisdiction. The Company will use reasonable efforts to fulfill any privacy rights requests under Data Protection Laws. To receive clarification regarding these rights or to exercise these rights, the Employee can contact the local human resources representative.</w:t>
      </w:r>
    </w:p>
    <w:p>
      <w:pPr>
        <w:spacing w:after="0" w:line="117" w:lineRule="exact"/>
        <w:rPr>
          <w:sz w:val="20"/>
          <w:szCs w:val="20"/>
          <w:color w:val="auto"/>
        </w:rPr>
      </w:pPr>
    </w:p>
    <w:p>
      <w:pPr>
        <w:jc w:val="both"/>
        <w:ind w:left="630" w:firstLine="74"/>
        <w:spacing w:after="0" w:line="262" w:lineRule="auto"/>
        <w:rPr>
          <w:sz w:val="20"/>
          <w:szCs w:val="20"/>
          <w:color w:val="auto"/>
        </w:rPr>
      </w:pPr>
      <w:r>
        <w:rPr>
          <w:rFonts w:ascii="Arial" w:cs="Arial" w:eastAsia="Arial" w:hAnsi="Arial"/>
          <w:sz w:val="18"/>
          <w:szCs w:val="18"/>
          <w:color w:val="auto"/>
        </w:rPr>
        <w:t>By accepting the PRSUs and indicating consent via the Company’s acceptance procedure, the Employee is declaring agreement with the data processing practices described herein and consents to the collection, processing and use of Data by the Company and the transfer of Data to the recipients mentioned above, including recipients located in countries which may not have an adequate level of protection from a Data Protection Law perspective, for the purposes described above.</w:t>
      </w:r>
    </w:p>
    <w:p>
      <w:pPr>
        <w:spacing w:after="0" w:line="122" w:lineRule="exact"/>
        <w:rPr>
          <w:sz w:val="20"/>
          <w:szCs w:val="20"/>
          <w:color w:val="auto"/>
        </w:rPr>
      </w:pPr>
    </w:p>
    <w:p>
      <w:pPr>
        <w:jc w:val="both"/>
        <w:ind w:left="630" w:firstLine="134"/>
        <w:spacing w:after="0" w:line="268" w:lineRule="auto"/>
        <w:rPr>
          <w:sz w:val="20"/>
          <w:szCs w:val="20"/>
          <w:color w:val="auto"/>
        </w:rPr>
      </w:pPr>
      <w:r>
        <w:rPr>
          <w:rFonts w:ascii="Arial" w:cs="Arial" w:eastAsia="Arial" w:hAnsi="Arial"/>
          <w:sz w:val="18"/>
          <w:szCs w:val="18"/>
          <w:color w:val="auto"/>
        </w:rPr>
        <w:t>Finally, the Employee understands that the Company may rely on a different basis for the processing or transfer of Data in the future and/or request that the Employee provide another data privacy consent. If applicable, the Employee agrees that upon request of the Company or the Employer, the Employee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070"/>
          </w:cols>
          <w:pgMar w:left="490" w:top="1093" w:right="339" w:bottom="1440" w:gutter="0" w:footer="0" w:header="0"/>
        </w:sectPr>
      </w:pPr>
    </w:p>
    <w:bookmarkStart w:id="73" w:name="page74"/>
    <w:bookmarkEnd w:id="73"/>
    <w:p>
      <w:pPr>
        <w:jc w:val="both"/>
        <w:ind w:left="630"/>
        <w:spacing w:after="0" w:line="259" w:lineRule="auto"/>
        <w:rPr>
          <w:sz w:val="20"/>
          <w:szCs w:val="20"/>
          <w:color w:val="auto"/>
        </w:rPr>
      </w:pPr>
      <w:r>
        <w:rPr>
          <w:rFonts w:ascii="Arial" w:cs="Arial" w:eastAsia="Arial" w:hAnsi="Arial"/>
          <w:sz w:val="18"/>
          <w:szCs w:val="18"/>
          <w:color w:val="auto"/>
        </w:rPr>
        <w:t>provide an executed acknowledgement or data privacy consent form (or any other agreements or consents) that the Company and/or the Employer may deem necessary to obtain from the Employee for the purpose of administering the Employee’s participation in the Plan in compliance with the Data Protection Laws in the Employee’s country, either now or in the future. The Employee understands and agrees that the Employee will not be able to participate in the Plan if the Employee fails to provide any such consent or agreement requested by the Company and/or the Employer.</w:t>
      </w:r>
    </w:p>
    <w:p>
      <w:pPr>
        <w:spacing w:after="0" w:line="125" w:lineRule="exact"/>
        <w:rPr>
          <w:sz w:val="20"/>
          <w:szCs w:val="20"/>
          <w:color w:val="auto"/>
        </w:rPr>
      </w:pPr>
    </w:p>
    <w:p>
      <w:pPr>
        <w:jc w:val="both"/>
        <w:ind w:left="630" w:hanging="391"/>
        <w:spacing w:after="0" w:line="259" w:lineRule="auto"/>
        <w:tabs>
          <w:tab w:leader="none" w:pos="881"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Security</w:t>
      </w:r>
      <w:r>
        <w:rPr>
          <w:rFonts w:ascii="Arial" w:cs="Arial" w:eastAsia="Arial" w:hAnsi="Arial"/>
          <w:sz w:val="18"/>
          <w:szCs w:val="18"/>
          <w:color w:val="auto"/>
        </w:rPr>
        <w:t>. Company shall use commercially reasonable efforts to implement and maintain reasonable and appropriate administrative, technical, and physical safeguards that are designed to ensure the security and confidentiality of Data in Company's possession or control; and protect Data in Company's possession or control from or unauthorized access, or disclosure. If Company experiences an actual data breach or compromise of security, confidentiality or integrity of Data, then Company shall promptly notify the Employee of such data breach in accordance with applicable Data Protection Laws.</w:t>
      </w:r>
    </w:p>
    <w:p>
      <w:pPr>
        <w:spacing w:after="0" w:line="125" w:lineRule="exact"/>
        <w:rPr>
          <w:rFonts w:ascii="Arial" w:cs="Arial" w:eastAsia="Arial" w:hAnsi="Arial"/>
          <w:sz w:val="18"/>
          <w:szCs w:val="18"/>
          <w:color w:val="auto"/>
        </w:rPr>
      </w:pPr>
    </w:p>
    <w:p>
      <w:pPr>
        <w:jc w:val="both"/>
        <w:ind w:left="10" w:hanging="10"/>
        <w:spacing w:after="0" w:line="268" w:lineRule="auto"/>
        <w:tabs>
          <w:tab w:leader="none" w:pos="577"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Separability</w:t>
      </w:r>
      <w:r>
        <w:rPr>
          <w:rFonts w:ascii="Arial" w:cs="Arial" w:eastAsia="Arial" w:hAnsi="Arial"/>
          <w:sz w:val="18"/>
          <w:szCs w:val="18"/>
          <w:color w:val="auto"/>
        </w:rPr>
        <w:t>. In case any provision in the Agreement, or in any other instrument referred to herein, shall become invalid, illegal or unenforceable, the validity, legality and enforceability of the remaining provisions in the Agreement, or in any other instrument referred to herein, shall not in any way be affected or impaired thereby.</w:t>
      </w:r>
    </w:p>
    <w:p>
      <w:pPr>
        <w:spacing w:after="0" w:line="116" w:lineRule="exact"/>
        <w:rPr>
          <w:rFonts w:ascii="Arial" w:cs="Arial" w:eastAsia="Arial" w:hAnsi="Arial"/>
          <w:sz w:val="18"/>
          <w:szCs w:val="18"/>
          <w:color w:val="auto"/>
        </w:rPr>
      </w:pPr>
    </w:p>
    <w:p>
      <w:pPr>
        <w:ind w:left="10" w:hanging="10"/>
        <w:spacing w:after="0" w:line="287" w:lineRule="auto"/>
        <w:tabs>
          <w:tab w:leader="none" w:pos="527"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Integration of Terms</w:t>
      </w:r>
      <w:r>
        <w:rPr>
          <w:rFonts w:ascii="Arial" w:cs="Arial" w:eastAsia="Arial" w:hAnsi="Arial"/>
          <w:sz w:val="18"/>
          <w:szCs w:val="18"/>
          <w:color w:val="auto"/>
        </w:rPr>
        <w:t>. Except as otherwise provided in this Agreement, this Agreement contains the entire agreement between the parties relating to the subject matter hereof and supersedes any and all oral statements and prior writings with respect thereto.</w:t>
      </w:r>
    </w:p>
    <w:p>
      <w:pPr>
        <w:spacing w:after="0" w:line="98" w:lineRule="exact"/>
        <w:rPr>
          <w:rFonts w:ascii="Arial" w:cs="Arial" w:eastAsia="Arial" w:hAnsi="Arial"/>
          <w:sz w:val="18"/>
          <w:szCs w:val="18"/>
          <w:color w:val="auto"/>
        </w:rPr>
      </w:pPr>
    </w:p>
    <w:p>
      <w:pPr>
        <w:jc w:val="both"/>
        <w:ind w:left="10" w:hanging="10"/>
        <w:spacing w:after="0" w:line="257"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Appendix for Non-U.S. Countries</w:t>
      </w:r>
      <w:r>
        <w:rPr>
          <w:rFonts w:ascii="Arial" w:cs="Arial" w:eastAsia="Arial" w:hAnsi="Arial"/>
          <w:sz w:val="18"/>
          <w:szCs w:val="18"/>
          <w:color w:val="auto"/>
        </w:rPr>
        <w:t>. Notwithstanding any provisions in this Agreement, the PRSUs shall be subject to any special terms and conditions set forth in any appendix to this Agreement for the Employee’s country of employment (the “</w:t>
      </w:r>
      <w:r>
        <w:rPr>
          <w:rFonts w:ascii="Arial" w:cs="Arial" w:eastAsia="Arial" w:hAnsi="Arial"/>
          <w:sz w:val="18"/>
          <w:szCs w:val="18"/>
          <w:b w:val="1"/>
          <w:bCs w:val="1"/>
          <w:i w:val="1"/>
          <w:iCs w:val="1"/>
          <w:color w:val="auto"/>
        </w:rPr>
        <w:t>Appendix</w:t>
      </w:r>
      <w:r>
        <w:rPr>
          <w:rFonts w:ascii="Arial" w:cs="Arial" w:eastAsia="Arial" w:hAnsi="Arial"/>
          <w:sz w:val="18"/>
          <w:szCs w:val="18"/>
          <w:color w:val="auto"/>
        </w:rPr>
        <w:t>”). Moreover, if the Employee relocates to or becomes subject to the local laws, rules or regulations of one of the countries included in the Appendix, the special terms and conditions for such country will apply to the Employee, to the extent the Company determines that the application of such terms and conditions is necessary or advisable in order to comply with local law or facilitate the administration of the Plan. The Appendix constitutes part of this Agreement.</w:t>
      </w:r>
    </w:p>
    <w:p>
      <w:pPr>
        <w:spacing w:after="0" w:line="128" w:lineRule="exact"/>
        <w:rPr>
          <w:rFonts w:ascii="Arial" w:cs="Arial" w:eastAsia="Arial" w:hAnsi="Arial"/>
          <w:sz w:val="18"/>
          <w:szCs w:val="18"/>
          <w:color w:val="auto"/>
        </w:rPr>
      </w:pPr>
    </w:p>
    <w:p>
      <w:pPr>
        <w:jc w:val="both"/>
        <w:ind w:left="10" w:hanging="10"/>
        <w:spacing w:after="0" w:line="259" w:lineRule="auto"/>
        <w:tabs>
          <w:tab w:leader="none" w:pos="568"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Committee or its authorized delegate, as applicable, reserves the right to impose other requirements on the Employee’s participation in the Plan, on the PRSUs and on any shares of Common Stock acquired under the Plan, to the extent the Committee or its authorized delegate, as applicable, determines it is necessary or advisable in order to comply with local law or facilitate the administration of the Plan, and to require the Employee to sign any additional agreements or undertakings that may be necessary to accomplish the foregoing.</w:t>
      </w:r>
    </w:p>
    <w:p>
      <w:pPr>
        <w:spacing w:after="0" w:line="125" w:lineRule="exact"/>
        <w:rPr>
          <w:rFonts w:ascii="Arial" w:cs="Arial" w:eastAsia="Arial" w:hAnsi="Arial"/>
          <w:sz w:val="18"/>
          <w:szCs w:val="18"/>
          <w:color w:val="auto"/>
        </w:rPr>
      </w:pPr>
    </w:p>
    <w:p>
      <w:pPr>
        <w:jc w:val="both"/>
        <w:ind w:left="10" w:hanging="4"/>
        <w:spacing w:after="0" w:line="255" w:lineRule="auto"/>
        <w:tabs>
          <w:tab w:leader="none" w:pos="35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Legal, Regulatory and Tax Compliance; Cooperation</w:t>
      </w:r>
      <w:r>
        <w:rPr>
          <w:rFonts w:ascii="Arial" w:cs="Arial" w:eastAsia="Arial" w:hAnsi="Arial"/>
          <w:sz w:val="18"/>
          <w:szCs w:val="18"/>
          <w:color w:val="auto"/>
        </w:rPr>
        <w:t>. If the Employee resides or is employed outside of the United States, the Employee agrees, as a condition of the grant of the PRSUs, to take any and all actions as may be required to comply with the Employee's personal legal, regulatory and tax obligations under local laws, rules and regulations in the Employee's country of employment (and country of residence, if different), including (but not limited to) any obligations to repatriate all payments attributable to the shares of Common Stock and/or cash acquired under the Plan (e.g., dividends and any proceeds derived from the sale of shares of Common Stock acquired pursuant to the PRSUs). In addition, the Employee also agrees to take any and all actions, and consents to any and all actions taken by the Company and any of its subsidiaries or affiliates as may be required to allow the Company and any of its subsidiaries or affiliates to comply with local laws, rules and regulations in the Employee's country of employment (and country of residence, if different).</w:t>
      </w:r>
    </w:p>
    <w:p>
      <w:pPr>
        <w:spacing w:after="0" w:line="374" w:lineRule="exact"/>
        <w:rPr>
          <w:sz w:val="20"/>
          <w:szCs w:val="20"/>
          <w:color w:val="auto"/>
        </w:rPr>
      </w:pPr>
    </w:p>
    <w:p>
      <w:pPr>
        <w:ind w:left="10"/>
        <w:spacing w:after="0"/>
        <w:rPr>
          <w:sz w:val="20"/>
          <w:szCs w:val="20"/>
          <w:color w:val="auto"/>
        </w:rPr>
      </w:pPr>
      <w:r>
        <w:rPr>
          <w:rFonts w:ascii="Arial" w:cs="Arial" w:eastAsia="Arial" w:hAnsi="Arial"/>
          <w:sz w:val="18"/>
          <w:szCs w:val="18"/>
          <w:color w:val="auto"/>
        </w:rPr>
        <w:t>IN WITNESS WHEREOF, the Company has executed this Agreement as of the day and year set forth on the Award Summary.</w:t>
      </w:r>
    </w:p>
    <w:p>
      <w:pPr>
        <w:spacing w:after="0" w:line="171" w:lineRule="exact"/>
        <w:rPr>
          <w:sz w:val="20"/>
          <w:szCs w:val="20"/>
          <w:color w:val="auto"/>
        </w:rPr>
      </w:pPr>
    </w:p>
    <w:p>
      <w:pPr>
        <w:ind w:left="4370"/>
        <w:spacing w:after="0"/>
        <w:rPr>
          <w:sz w:val="20"/>
          <w:szCs w:val="20"/>
          <w:color w:val="auto"/>
        </w:rPr>
      </w:pPr>
      <w:r>
        <w:rPr>
          <w:rFonts w:ascii="Arial" w:cs="Arial" w:eastAsia="Arial" w:hAnsi="Arial"/>
          <w:sz w:val="18"/>
          <w:szCs w:val="18"/>
          <w:color w:val="auto"/>
        </w:rPr>
        <w:t>CONDUENT INCORPORATED</w:t>
      </w:r>
    </w:p>
    <w:p>
      <w:pPr>
        <w:spacing w:after="0" w:line="200" w:lineRule="exact"/>
        <w:rPr>
          <w:sz w:val="20"/>
          <w:szCs w:val="20"/>
          <w:color w:val="auto"/>
        </w:rPr>
      </w:pPr>
    </w:p>
    <w:p>
      <w:pPr>
        <w:spacing w:after="0" w:line="282" w:lineRule="exact"/>
        <w:rPr>
          <w:sz w:val="20"/>
          <w:szCs w:val="20"/>
          <w:color w:val="auto"/>
        </w:rPr>
      </w:pPr>
    </w:p>
    <w:p>
      <w:pPr>
        <w:ind w:left="437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CHRISTOPHER KUJAWA</w:t>
      </w:r>
    </w:p>
    <w:p>
      <w:pPr>
        <w:spacing w:after="0" w:line="36" w:lineRule="exact"/>
        <w:rPr>
          <w:sz w:val="20"/>
          <w:szCs w:val="20"/>
          <w:color w:val="auto"/>
        </w:rPr>
      </w:pPr>
    </w:p>
    <w:p>
      <w:pPr>
        <w:ind w:left="4370"/>
        <w:spacing w:after="0"/>
        <w:rPr>
          <w:sz w:val="20"/>
          <w:szCs w:val="20"/>
          <w:color w:val="auto"/>
        </w:rPr>
      </w:pPr>
      <w:r>
        <w:rPr>
          <w:rFonts w:ascii="Arial" w:cs="Arial" w:eastAsia="Arial" w:hAnsi="Arial"/>
          <w:sz w:val="18"/>
          <w:szCs w:val="18"/>
          <w:color w:val="auto"/>
        </w:rPr>
        <w:t>Christopher Kujawa, Chief Human Resources Officer</w:t>
      </w:r>
    </w:p>
    <w:p>
      <w:pPr>
        <w:spacing w:after="0" w:line="50" w:lineRule="exact"/>
        <w:rPr>
          <w:sz w:val="20"/>
          <w:szCs w:val="20"/>
          <w:color w:val="auto"/>
        </w:rPr>
      </w:pPr>
    </w:p>
    <w:p>
      <w:pPr>
        <w:ind w:left="4370"/>
        <w:spacing w:after="0"/>
        <w:rPr>
          <w:sz w:val="20"/>
          <w:szCs w:val="20"/>
          <w:color w:val="auto"/>
        </w:rPr>
      </w:pPr>
      <w:r>
        <w:rPr>
          <w:rFonts w:ascii="Arial" w:cs="Arial" w:eastAsia="Arial" w:hAnsi="Arial"/>
          <w:sz w:val="18"/>
          <w:szCs w:val="18"/>
          <w:color w:val="auto"/>
        </w:rPr>
        <w:t>Date: April 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070"/>
          </w:cols>
          <w:pgMar w:left="490" w:top="1093" w:right="339" w:bottom="1440" w:gutter="0" w:footer="0" w:header="0"/>
        </w:sectPr>
      </w:pPr>
    </w:p>
    <w:bookmarkStart w:id="74" w:name="page75"/>
    <w:bookmarkEnd w:id="74"/>
    <w:p>
      <w:pPr>
        <w:jc w:val="center"/>
        <w:ind w:right="-59"/>
        <w:spacing w:after="0"/>
        <w:rPr>
          <w:sz w:val="20"/>
          <w:szCs w:val="20"/>
          <w:color w:val="auto"/>
        </w:rPr>
      </w:pPr>
      <w:r>
        <w:rPr>
          <w:rFonts w:ascii="Arial" w:cs="Arial" w:eastAsia="Arial" w:hAnsi="Arial"/>
          <w:sz w:val="18"/>
          <w:szCs w:val="18"/>
          <w:b w:val="1"/>
          <w:bCs w:val="1"/>
          <w:color w:val="auto"/>
        </w:rPr>
        <w:t>EXHIBIT A</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Performance Conditions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number of PRSUs that vest shall be based on the satisfaction of the adjusted revenue growth goals set forth below.</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Performance is measured each year and annual results are determined. The average of the three annual results is used to determine payout at the end of the three-year period,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126365</wp:posOffset>
            </wp:positionV>
            <wp:extent cx="2417445" cy="10204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2417445"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Linear interpolation will be used for results between points.</w:t>
      </w:r>
    </w:p>
    <w:p>
      <w:pPr>
        <w:spacing w:after="0" w:line="293"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goal will be adjusted for any dispositions of businesses and asset sales, and may be adjusted for other unanticipated or unbudgeted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4826000" cy="9518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4826000" cy="95186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FFFFFF"/>
        </w:rPr>
        <w:t>Adjusted Revenue Growth Targets (from Previous Fiscal Year)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0" w:type="dxa"/>
            <w:vAlign w:val="bottom"/>
            <w:shd w:val="clear" w:color="auto" w:fill="468CFF"/>
          </w:tcPr>
          <w:p>
            <w:pPr>
              <w:jc w:val="center"/>
              <w:ind w:right="130"/>
              <w:spacing w:after="0"/>
              <w:rPr>
                <w:sz w:val="20"/>
                <w:szCs w:val="20"/>
                <w:color w:val="auto"/>
              </w:rPr>
            </w:pPr>
            <w:r>
              <w:rPr>
                <w:rFonts w:ascii="Arial" w:cs="Arial" w:eastAsia="Arial" w:hAnsi="Arial"/>
                <w:sz w:val="18"/>
                <w:szCs w:val="18"/>
                <w:b w:val="1"/>
                <w:bCs w:val="1"/>
                <w:color w:val="FFFFFF"/>
              </w:rPr>
              <w:t>Adjusted Revenue</w:t>
            </w:r>
          </w:p>
        </w:tc>
        <w:tc>
          <w:tcPr>
            <w:tcW w:w="1540" w:type="dxa"/>
            <w:vAlign w:val="bottom"/>
            <w:vMerge w:val="restart"/>
            <w:shd w:val="clear" w:color="auto" w:fill="468CFF"/>
          </w:tcPr>
          <w:p>
            <w:pPr>
              <w:jc w:val="center"/>
              <w:ind w:right="250"/>
              <w:spacing w:after="0"/>
              <w:rPr>
                <w:sz w:val="20"/>
                <w:szCs w:val="20"/>
                <w:color w:val="auto"/>
              </w:rPr>
            </w:pPr>
            <w:r>
              <w:rPr>
                <w:rFonts w:ascii="Arial" w:cs="Arial" w:eastAsia="Arial" w:hAnsi="Arial"/>
                <w:sz w:val="18"/>
                <w:szCs w:val="18"/>
                <w:b w:val="1"/>
                <w:bCs w:val="1"/>
                <w:color w:val="FFFFFF"/>
                <w:w w:val="99"/>
              </w:rPr>
              <w:t>2024</w:t>
            </w:r>
          </w:p>
        </w:tc>
        <w:tc>
          <w:tcPr>
            <w:tcW w:w="1980" w:type="dxa"/>
            <w:vAlign w:val="bottom"/>
            <w:vMerge w:val="restart"/>
            <w:shd w:val="clear" w:color="auto" w:fill="468CFF"/>
          </w:tcPr>
          <w:p>
            <w:pPr>
              <w:jc w:val="center"/>
              <w:spacing w:after="0"/>
              <w:rPr>
                <w:sz w:val="20"/>
                <w:szCs w:val="20"/>
                <w:color w:val="auto"/>
              </w:rPr>
            </w:pPr>
            <w:r>
              <w:rPr>
                <w:rFonts w:ascii="Arial" w:cs="Arial" w:eastAsia="Arial" w:hAnsi="Arial"/>
                <w:sz w:val="18"/>
                <w:szCs w:val="18"/>
                <w:b w:val="1"/>
                <w:bCs w:val="1"/>
                <w:color w:val="FFFFFF"/>
              </w:rPr>
              <w:t>2025</w:t>
            </w:r>
          </w:p>
        </w:tc>
        <w:tc>
          <w:tcPr>
            <w:tcW w:w="2080" w:type="dxa"/>
            <w:vAlign w:val="bottom"/>
            <w:vMerge w:val="restart"/>
            <w:shd w:val="clear" w:color="auto" w:fill="468CFF"/>
          </w:tcPr>
          <w:p>
            <w:pPr>
              <w:jc w:val="center"/>
              <w:spacing w:after="0"/>
              <w:rPr>
                <w:sz w:val="20"/>
                <w:szCs w:val="20"/>
                <w:color w:val="auto"/>
              </w:rPr>
            </w:pPr>
            <w:r>
              <w:rPr>
                <w:rFonts w:ascii="Arial" w:cs="Arial" w:eastAsia="Arial" w:hAnsi="Arial"/>
                <w:sz w:val="18"/>
                <w:szCs w:val="18"/>
                <w:b w:val="1"/>
                <w:bCs w:val="1"/>
                <w:color w:val="FFFFFF"/>
                <w:w w:val="99"/>
              </w:rPr>
              <w:t>2026</w:t>
            </w:r>
          </w:p>
        </w:tc>
        <w:tc>
          <w:tcPr>
            <w:tcW w:w="0" w:type="dxa"/>
            <w:vAlign w:val="bottom"/>
          </w:tcPr>
          <w:p>
            <w:pPr>
              <w:spacing w:after="0"/>
              <w:rPr>
                <w:sz w:val="1"/>
                <w:szCs w:val="1"/>
                <w:color w:val="auto"/>
              </w:rPr>
            </w:pPr>
          </w:p>
        </w:tc>
      </w:tr>
      <w:tr>
        <w:trPr>
          <w:trHeight w:val="160"/>
        </w:trPr>
        <w:tc>
          <w:tcPr>
            <w:tcW w:w="2000" w:type="dxa"/>
            <w:vAlign w:val="bottom"/>
            <w:vMerge w:val="restart"/>
            <w:shd w:val="clear" w:color="auto" w:fill="468CFF"/>
          </w:tcPr>
          <w:p>
            <w:pPr>
              <w:jc w:val="center"/>
              <w:ind w:right="170"/>
              <w:spacing w:after="0"/>
              <w:rPr>
                <w:sz w:val="20"/>
                <w:szCs w:val="20"/>
                <w:color w:val="auto"/>
              </w:rPr>
            </w:pPr>
            <w:r>
              <w:rPr>
                <w:rFonts w:ascii="Arial" w:cs="Arial" w:eastAsia="Arial" w:hAnsi="Arial"/>
                <w:sz w:val="18"/>
                <w:szCs w:val="18"/>
                <w:b w:val="1"/>
                <w:bCs w:val="1"/>
                <w:color w:val="FFFFFF"/>
                <w:w w:val="98"/>
              </w:rPr>
              <w:t>Growth</w:t>
            </w:r>
          </w:p>
        </w:tc>
        <w:tc>
          <w:tcPr>
            <w:tcW w:w="1540" w:type="dxa"/>
            <w:vAlign w:val="bottom"/>
            <w:vMerge w:val="continue"/>
            <w:shd w:val="clear" w:color="auto" w:fill="468CFF"/>
          </w:tcPr>
          <w:p>
            <w:pPr>
              <w:spacing w:after="0"/>
              <w:rPr>
                <w:sz w:val="13"/>
                <w:szCs w:val="13"/>
                <w:color w:val="auto"/>
              </w:rPr>
            </w:pPr>
          </w:p>
        </w:tc>
        <w:tc>
          <w:tcPr>
            <w:tcW w:w="1980" w:type="dxa"/>
            <w:vAlign w:val="bottom"/>
            <w:vMerge w:val="continue"/>
            <w:shd w:val="clear" w:color="auto" w:fill="468CFF"/>
          </w:tcPr>
          <w:p>
            <w:pPr>
              <w:spacing w:after="0"/>
              <w:rPr>
                <w:sz w:val="13"/>
                <w:szCs w:val="13"/>
                <w:color w:val="auto"/>
              </w:rPr>
            </w:pPr>
          </w:p>
        </w:tc>
        <w:tc>
          <w:tcPr>
            <w:tcW w:w="2080" w:type="dxa"/>
            <w:vAlign w:val="bottom"/>
            <w:vMerge w:val="continue"/>
            <w:shd w:val="clear" w:color="auto" w:fill="468CFF"/>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000" w:type="dxa"/>
            <w:vAlign w:val="bottom"/>
            <w:tcBorders>
              <w:bottom w:val="single" w:sz="8" w:color="468CFF"/>
            </w:tcBorders>
            <w:vMerge w:val="continue"/>
            <w:shd w:val="clear" w:color="auto" w:fill="468CFF"/>
          </w:tcPr>
          <w:p>
            <w:pPr>
              <w:spacing w:after="0"/>
              <w:rPr>
                <w:sz w:val="7"/>
                <w:szCs w:val="7"/>
                <w:color w:val="auto"/>
              </w:rPr>
            </w:pPr>
          </w:p>
        </w:tc>
        <w:tc>
          <w:tcPr>
            <w:tcW w:w="1540" w:type="dxa"/>
            <w:vAlign w:val="bottom"/>
            <w:tcBorders>
              <w:bottom w:val="single" w:sz="8" w:color="468CFF"/>
            </w:tcBorders>
            <w:shd w:val="clear" w:color="auto" w:fill="468CFF"/>
          </w:tcPr>
          <w:p>
            <w:pPr>
              <w:spacing w:after="0"/>
              <w:rPr>
                <w:sz w:val="7"/>
                <w:szCs w:val="7"/>
                <w:color w:val="auto"/>
              </w:rPr>
            </w:pPr>
          </w:p>
        </w:tc>
        <w:tc>
          <w:tcPr>
            <w:tcW w:w="1980" w:type="dxa"/>
            <w:vAlign w:val="bottom"/>
            <w:tcBorders>
              <w:bottom w:val="single" w:sz="8" w:color="468CFF"/>
            </w:tcBorders>
            <w:shd w:val="clear" w:color="auto" w:fill="468CFF"/>
          </w:tcPr>
          <w:p>
            <w:pPr>
              <w:spacing w:after="0"/>
              <w:rPr>
                <w:sz w:val="7"/>
                <w:szCs w:val="7"/>
                <w:color w:val="auto"/>
              </w:rPr>
            </w:pPr>
          </w:p>
        </w:tc>
        <w:tc>
          <w:tcPr>
            <w:tcW w:w="2080" w:type="dxa"/>
            <w:vAlign w:val="bottom"/>
            <w:tcBorders>
              <w:bottom w:val="single" w:sz="8" w:color="468CFF"/>
            </w:tcBorders>
            <w:shd w:val="clear" w:color="auto" w:fill="468CFF"/>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2000" w:type="dxa"/>
            <w:vAlign w:val="bottom"/>
            <w:shd w:val="clear" w:color="auto" w:fill="CFDBFF"/>
          </w:tcPr>
          <w:p>
            <w:pPr>
              <w:jc w:val="center"/>
              <w:ind w:right="190"/>
              <w:spacing w:after="0"/>
              <w:rPr>
                <w:sz w:val="20"/>
                <w:szCs w:val="20"/>
                <w:color w:val="auto"/>
              </w:rPr>
            </w:pPr>
            <w:r>
              <w:rPr>
                <w:rFonts w:ascii="Arial" w:cs="Arial" w:eastAsia="Arial" w:hAnsi="Arial"/>
                <w:sz w:val="18"/>
                <w:szCs w:val="18"/>
                <w:color w:val="auto"/>
                <w:w w:val="99"/>
              </w:rPr>
              <w:t>Threshold</w:t>
            </w:r>
          </w:p>
        </w:tc>
        <w:tc>
          <w:tcPr>
            <w:tcW w:w="1540" w:type="dxa"/>
            <w:vAlign w:val="bottom"/>
            <w:shd w:val="clear" w:color="auto" w:fill="CFDBFF"/>
          </w:tcPr>
          <w:p>
            <w:pPr>
              <w:jc w:val="center"/>
              <w:ind w:right="250"/>
              <w:spacing w:after="0"/>
              <w:rPr>
                <w:sz w:val="20"/>
                <w:szCs w:val="20"/>
                <w:color w:val="auto"/>
              </w:rPr>
            </w:pPr>
            <w:r>
              <w:rPr>
                <w:rFonts w:ascii="Arial" w:cs="Arial" w:eastAsia="Arial" w:hAnsi="Arial"/>
                <w:sz w:val="18"/>
                <w:szCs w:val="18"/>
                <w:color w:val="auto"/>
                <w:w w:val="99"/>
              </w:rPr>
              <w:t>- 2.7%</w:t>
            </w:r>
          </w:p>
        </w:tc>
        <w:tc>
          <w:tcPr>
            <w:tcW w:w="1980" w:type="dxa"/>
            <w:vAlign w:val="bottom"/>
            <w:shd w:val="clear" w:color="auto" w:fill="CFDBFF"/>
          </w:tcPr>
          <w:p>
            <w:pPr>
              <w:jc w:val="center"/>
              <w:spacing w:after="0"/>
              <w:rPr>
                <w:sz w:val="20"/>
                <w:szCs w:val="20"/>
                <w:color w:val="auto"/>
              </w:rPr>
            </w:pPr>
            <w:r>
              <w:rPr>
                <w:rFonts w:ascii="Arial" w:cs="Arial" w:eastAsia="Arial" w:hAnsi="Arial"/>
                <w:sz w:val="18"/>
                <w:szCs w:val="18"/>
                <w:color w:val="auto"/>
                <w:w w:val="97"/>
              </w:rPr>
              <w:t>-1.0%</w:t>
            </w:r>
          </w:p>
        </w:tc>
        <w:tc>
          <w:tcPr>
            <w:tcW w:w="2080" w:type="dxa"/>
            <w:vAlign w:val="bottom"/>
            <w:shd w:val="clear" w:color="auto" w:fill="CFDBFF"/>
          </w:tcPr>
          <w:p>
            <w:pPr>
              <w:jc w:val="center"/>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2000" w:type="dxa"/>
            <w:vAlign w:val="bottom"/>
            <w:shd w:val="clear" w:color="auto" w:fill="E9EEFF"/>
          </w:tcPr>
          <w:p>
            <w:pPr>
              <w:jc w:val="center"/>
              <w:ind w:right="170"/>
              <w:spacing w:after="0"/>
              <w:rPr>
                <w:sz w:val="20"/>
                <w:szCs w:val="20"/>
                <w:color w:val="auto"/>
              </w:rPr>
            </w:pPr>
            <w:r>
              <w:rPr>
                <w:rFonts w:ascii="Arial" w:cs="Arial" w:eastAsia="Arial" w:hAnsi="Arial"/>
                <w:sz w:val="18"/>
                <w:szCs w:val="18"/>
                <w:b w:val="1"/>
                <w:bCs w:val="1"/>
                <w:color w:val="auto"/>
                <w:w w:val="98"/>
              </w:rPr>
              <w:t>Target</w:t>
            </w:r>
          </w:p>
        </w:tc>
        <w:tc>
          <w:tcPr>
            <w:tcW w:w="1540" w:type="dxa"/>
            <w:vAlign w:val="bottom"/>
            <w:shd w:val="clear" w:color="auto" w:fill="E9EEFF"/>
          </w:tcPr>
          <w:p>
            <w:pPr>
              <w:jc w:val="center"/>
              <w:ind w:right="270"/>
              <w:spacing w:after="0"/>
              <w:rPr>
                <w:sz w:val="20"/>
                <w:szCs w:val="20"/>
                <w:color w:val="auto"/>
              </w:rPr>
            </w:pPr>
            <w:r>
              <w:rPr>
                <w:rFonts w:ascii="Arial" w:cs="Arial" w:eastAsia="Arial" w:hAnsi="Arial"/>
                <w:sz w:val="18"/>
                <w:szCs w:val="18"/>
                <w:b w:val="1"/>
                <w:bCs w:val="1"/>
                <w:color w:val="auto"/>
                <w:w w:val="97"/>
              </w:rPr>
              <w:t>-0.7%</w:t>
            </w:r>
          </w:p>
        </w:tc>
        <w:tc>
          <w:tcPr>
            <w:tcW w:w="1980" w:type="dxa"/>
            <w:vAlign w:val="bottom"/>
            <w:shd w:val="clear" w:color="auto" w:fill="E9EEFF"/>
          </w:tcPr>
          <w:p>
            <w:pPr>
              <w:jc w:val="center"/>
              <w:spacing w:after="0"/>
              <w:rPr>
                <w:sz w:val="20"/>
                <w:szCs w:val="20"/>
                <w:color w:val="auto"/>
              </w:rPr>
            </w:pPr>
            <w:r>
              <w:rPr>
                <w:rFonts w:ascii="Arial" w:cs="Arial" w:eastAsia="Arial" w:hAnsi="Arial"/>
                <w:sz w:val="18"/>
                <w:szCs w:val="18"/>
                <w:b w:val="1"/>
                <w:bCs w:val="1"/>
                <w:color w:val="auto"/>
                <w:w w:val="96"/>
              </w:rPr>
              <w:t>+1.5%</w:t>
            </w:r>
          </w:p>
        </w:tc>
        <w:tc>
          <w:tcPr>
            <w:tcW w:w="2080" w:type="dxa"/>
            <w:vAlign w:val="bottom"/>
            <w:shd w:val="clear" w:color="auto" w:fill="E9EEFF"/>
          </w:tcPr>
          <w:p>
            <w:pPr>
              <w:jc w:val="center"/>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43"/>
        </w:trPr>
        <w:tc>
          <w:tcPr>
            <w:tcW w:w="2000" w:type="dxa"/>
            <w:vAlign w:val="bottom"/>
            <w:shd w:val="clear" w:color="auto" w:fill="CFDBFF"/>
          </w:tcPr>
          <w:p>
            <w:pPr>
              <w:jc w:val="center"/>
              <w:ind w:right="170"/>
              <w:spacing w:after="0"/>
              <w:rPr>
                <w:sz w:val="20"/>
                <w:szCs w:val="20"/>
                <w:color w:val="auto"/>
              </w:rPr>
            </w:pPr>
            <w:r>
              <w:rPr>
                <w:rFonts w:ascii="Arial" w:cs="Arial" w:eastAsia="Arial" w:hAnsi="Arial"/>
                <w:sz w:val="18"/>
                <w:szCs w:val="18"/>
                <w:color w:val="auto"/>
                <w:w w:val="99"/>
              </w:rPr>
              <w:t>Max</w:t>
            </w:r>
          </w:p>
        </w:tc>
        <w:tc>
          <w:tcPr>
            <w:tcW w:w="1540" w:type="dxa"/>
            <w:vAlign w:val="bottom"/>
            <w:shd w:val="clear" w:color="auto" w:fill="CFDBFF"/>
          </w:tcPr>
          <w:p>
            <w:pPr>
              <w:jc w:val="center"/>
              <w:ind w:right="250"/>
              <w:spacing w:after="0"/>
              <w:rPr>
                <w:sz w:val="20"/>
                <w:szCs w:val="20"/>
                <w:color w:val="auto"/>
              </w:rPr>
            </w:pPr>
            <w:r>
              <w:rPr>
                <w:rFonts w:ascii="Arial" w:cs="Arial" w:eastAsia="Arial" w:hAnsi="Arial"/>
                <w:sz w:val="18"/>
                <w:szCs w:val="18"/>
                <w:color w:val="auto"/>
              </w:rPr>
              <w:t>+1.3%</w:t>
            </w:r>
          </w:p>
        </w:tc>
        <w:tc>
          <w:tcPr>
            <w:tcW w:w="1980" w:type="dxa"/>
            <w:vAlign w:val="bottom"/>
            <w:shd w:val="clear" w:color="auto" w:fill="CFDBFF"/>
          </w:tcPr>
          <w:p>
            <w:pPr>
              <w:jc w:val="center"/>
              <w:spacing w:after="0"/>
              <w:rPr>
                <w:sz w:val="20"/>
                <w:szCs w:val="20"/>
                <w:color w:val="auto"/>
              </w:rPr>
            </w:pPr>
            <w:r>
              <w:rPr>
                <w:rFonts w:ascii="Arial" w:cs="Arial" w:eastAsia="Arial" w:hAnsi="Arial"/>
                <w:sz w:val="18"/>
                <w:szCs w:val="18"/>
                <w:color w:val="auto"/>
                <w:w w:val="96"/>
              </w:rPr>
              <w:t>+4.0%</w:t>
            </w:r>
          </w:p>
        </w:tc>
        <w:tc>
          <w:tcPr>
            <w:tcW w:w="2080" w:type="dxa"/>
            <w:vAlign w:val="bottom"/>
            <w:shd w:val="clear" w:color="auto" w:fill="CFDBFF"/>
          </w:tcPr>
          <w:p>
            <w:pPr>
              <w:jc w:val="center"/>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A-1</w:t>
      </w:r>
    </w:p>
    <w:p>
      <w:pPr>
        <w:sectPr>
          <w:pgSz w:w="11900" w:h="16838" w:orient="portrait"/>
          <w:cols w:equalWidth="0" w:num="1">
            <w:col w:w="11200"/>
          </w:cols>
          <w:pgMar w:left="320" w:top="1093" w:right="37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EXHIBIT B</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333333"/>
        </w:rPr>
        <w:t>Non-Competition and Non-Solicitation Agreement</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This Non-Competition and Non-Solicitation Agreement (“Agreement”) is made effective as of April 1, 2025 (“Effective Date”) between Conduent Business Services, LLC, its parent, subsidiaries, divisions and affiliates (collectively, “Conduent”) and the individual whose name appears in the Award Summary (“Employee”).</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acknowledges that Conduent is in a competitive industry in which the creation, maintenance, and use of 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or proprietary information and innovation are critical to Conduent’s success, and that the protection of that information and innovation is reasonably necessary to protect the goodwill and other legitimate business interests of Conduent; and</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further acknowledges the receipt and sufficiency of the consideration provided to Employee in exchange for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obligations under this Agreement, including, but not limited to, Employee’s employment or continued employment with Conduent in Employee’s current or a newly promoted role, Employee’s access to and receipt of trade secrets and confidential and proprietary information relating to Conduent’s business and clients, and, if applicable, Employee’s participation in Conduent incentive programs.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Conduent and Employee agree as follows:</w:t>
      </w:r>
    </w:p>
    <w:p>
      <w:pPr>
        <w:spacing w:after="0" w:line="252" w:lineRule="exact"/>
        <w:rPr>
          <w:sz w:val="20"/>
          <w:szCs w:val="20"/>
          <w:color w:val="auto"/>
        </w:rPr>
      </w:pPr>
    </w:p>
    <w:p>
      <w:pPr>
        <w:jc w:val="both"/>
        <w:ind w:left="340" w:right="60" w:hanging="332"/>
        <w:spacing w:after="0" w:line="276" w:lineRule="auto"/>
        <w:tabs>
          <w:tab w:leader="none" w:pos="328" w:val="left"/>
        </w:tabs>
        <w:numPr>
          <w:ilvl w:val="0"/>
          <w:numId w:val="83"/>
        </w:numPr>
        <w:rPr>
          <w:rFonts w:ascii="Arial" w:cs="Arial" w:eastAsia="Arial" w:hAnsi="Arial"/>
          <w:sz w:val="18"/>
          <w:szCs w:val="18"/>
          <w:color w:val="auto"/>
        </w:rPr>
      </w:pPr>
      <w:r>
        <w:rPr>
          <w:rFonts w:ascii="Arial" w:cs="Arial" w:eastAsia="Arial" w:hAnsi="Arial"/>
          <w:sz w:val="18"/>
          <w:szCs w:val="18"/>
          <w:b w:val="1"/>
          <w:bCs w:val="1"/>
          <w:u w:val="single" w:color="auto"/>
          <w:color w:val="auto"/>
        </w:rPr>
        <w:t>Non-Competition</w:t>
      </w:r>
      <w:r>
        <w:rPr>
          <w:rFonts w:ascii="Arial" w:cs="Arial" w:eastAsia="Arial" w:hAnsi="Arial"/>
          <w:sz w:val="18"/>
          <w:szCs w:val="18"/>
          <w:color w:val="auto"/>
        </w:rPr>
        <w:t>. (a) During the Non-Compete Period, Employee will not, directly or indirectly, own (beneficially or otherwise), manage,</w:t>
      </w:r>
      <w:r>
        <w:rPr>
          <w:rFonts w:ascii="Arial" w:cs="Arial" w:eastAsia="Arial" w:hAnsi="Arial"/>
          <w:sz w:val="18"/>
          <w:szCs w:val="18"/>
          <w:b w:val="1"/>
          <w:bCs w:val="1"/>
          <w:color w:val="auto"/>
        </w:rPr>
        <w:t xml:space="preserve"> </w:t>
      </w:r>
      <w:r>
        <w:rPr>
          <w:rFonts w:ascii="Arial" w:cs="Arial" w:eastAsia="Arial" w:hAnsi="Arial"/>
          <w:sz w:val="18"/>
          <w:szCs w:val="18"/>
          <w:color w:val="auto"/>
        </w:rPr>
        <w:t>operate, or render any services for (including, but not limited to, as an employee, proprietor, partner, agent, contractor, or consultant) any Entity that is engaged in any Competitive Activity in the Geographical Area.</w:t>
      </w:r>
    </w:p>
    <w:p>
      <w:pPr>
        <w:spacing w:after="0" w:line="203" w:lineRule="exact"/>
        <w:rPr>
          <w:rFonts w:ascii="Arial" w:cs="Arial" w:eastAsia="Arial" w:hAnsi="Arial"/>
          <w:sz w:val="18"/>
          <w:szCs w:val="18"/>
          <w:color w:val="auto"/>
        </w:rPr>
      </w:pPr>
    </w:p>
    <w:p>
      <w:pPr>
        <w:ind w:left="800" w:hanging="468"/>
        <w:spacing w:after="0"/>
        <w:tabs>
          <w:tab w:leader="none" w:pos="8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For purposes of this Agreement, the following terms will have the meaning set forth below:</w:t>
      </w:r>
    </w:p>
    <w:p>
      <w:pPr>
        <w:spacing w:after="0" w:line="265" w:lineRule="exact"/>
        <w:rPr>
          <w:rFonts w:ascii="Arial" w:cs="Arial" w:eastAsia="Arial" w:hAnsi="Arial"/>
          <w:sz w:val="18"/>
          <w:szCs w:val="18"/>
          <w:color w:val="auto"/>
        </w:rPr>
      </w:pPr>
    </w:p>
    <w:p>
      <w:pPr>
        <w:jc w:val="both"/>
        <w:ind w:left="1300" w:hanging="46"/>
        <w:spacing w:after="0" w:line="267" w:lineRule="auto"/>
        <w:tabs>
          <w:tab w:leader="none" w:pos="1751" w:val="left"/>
        </w:tabs>
        <w:numPr>
          <w:ilvl w:val="2"/>
          <w:numId w:val="83"/>
        </w:numPr>
        <w:rPr>
          <w:rFonts w:ascii="Arial" w:cs="Arial" w:eastAsia="Arial" w:hAnsi="Arial"/>
          <w:sz w:val="18"/>
          <w:szCs w:val="18"/>
          <w:color w:val="auto"/>
        </w:rPr>
      </w:pPr>
      <w:r>
        <w:rPr>
          <w:rFonts w:ascii="Arial" w:cs="Arial" w:eastAsia="Arial" w:hAnsi="Arial"/>
          <w:sz w:val="18"/>
          <w:szCs w:val="18"/>
          <w:color w:val="auto"/>
        </w:rPr>
        <w:t>“Non-Compete Period” means during Employee’s employment and for twelve (12) months following the Employment Cessation Date, provided, however, that the Non-Compete Period shall be shortened to end six (6) months following the Employment Cessation Date in either of the following two (2) situations: (A) immediately prior to the Employment Cessation Date, Employee’s employment job grade is C10 or lower and Employee has fully complied with each of the provisions of this Agreement, or (B) Employee’s termination is due specifically to a reduction in force and Employee has fully complied with each of the provisions of this Agreement.</w:t>
      </w:r>
    </w:p>
    <w:p>
      <w:pPr>
        <w:spacing w:after="0" w:line="211" w:lineRule="exact"/>
        <w:rPr>
          <w:sz w:val="20"/>
          <w:szCs w:val="20"/>
          <w:color w:val="auto"/>
        </w:rPr>
      </w:pPr>
    </w:p>
    <w:p>
      <w:pPr>
        <w:ind w:left="1300" w:firstLine="6"/>
        <w:spacing w:after="0" w:line="287" w:lineRule="auto"/>
        <w:tabs>
          <w:tab w:leader="none" w:pos="1909" w:val="left"/>
        </w:tabs>
        <w:numPr>
          <w:ilvl w:val="2"/>
          <w:numId w:val="84"/>
        </w:numPr>
        <w:rPr>
          <w:rFonts w:ascii="Arial" w:cs="Arial" w:eastAsia="Arial" w:hAnsi="Arial"/>
          <w:sz w:val="18"/>
          <w:szCs w:val="18"/>
          <w:color w:val="auto"/>
        </w:rPr>
      </w:pPr>
      <w:r>
        <w:rPr>
          <w:rFonts w:ascii="Arial" w:cs="Arial" w:eastAsia="Arial" w:hAnsi="Arial"/>
          <w:sz w:val="18"/>
          <w:szCs w:val="18"/>
          <w:color w:val="auto"/>
        </w:rPr>
        <w:t>“Employment Cessation Date” means the earlier of Employee’s last day of active employment with Conduent or Employee’s termination date as reflected in Conduent’s records.</w:t>
      </w:r>
    </w:p>
    <w:p>
      <w:pPr>
        <w:spacing w:after="0" w:line="193" w:lineRule="exact"/>
        <w:rPr>
          <w:rFonts w:ascii="Arial" w:cs="Arial" w:eastAsia="Arial" w:hAnsi="Arial"/>
          <w:sz w:val="18"/>
          <w:szCs w:val="18"/>
          <w:color w:val="auto"/>
        </w:rPr>
      </w:pPr>
    </w:p>
    <w:p>
      <w:pPr>
        <w:ind w:left="1300" w:hanging="81"/>
        <w:spacing w:after="0" w:line="303" w:lineRule="auto"/>
        <w:tabs>
          <w:tab w:leader="none" w:pos="1754" w:val="left"/>
        </w:tabs>
        <w:numPr>
          <w:ilvl w:val="1"/>
          <w:numId w:val="85"/>
        </w:numPr>
        <w:rPr>
          <w:rFonts w:ascii="Arial" w:cs="Arial" w:eastAsia="Arial" w:hAnsi="Arial"/>
          <w:sz w:val="18"/>
          <w:szCs w:val="18"/>
          <w:color w:val="auto"/>
        </w:rPr>
      </w:pPr>
      <w:r>
        <w:rPr>
          <w:rFonts w:ascii="Arial" w:cs="Arial" w:eastAsia="Arial" w:hAnsi="Arial"/>
          <w:sz w:val="18"/>
          <w:szCs w:val="18"/>
          <w:color w:val="auto"/>
        </w:rPr>
        <w:t>“Entity” means an individual, partnership, corporation, association, limited liability company, joint stock company, trust, joint venture, unincorporated organization or any other entity.</w:t>
      </w:r>
    </w:p>
    <w:p>
      <w:pPr>
        <w:spacing w:after="0" w:line="165" w:lineRule="exact"/>
        <w:rPr>
          <w:rFonts w:ascii="Arial" w:cs="Arial" w:eastAsia="Arial" w:hAnsi="Arial"/>
          <w:sz w:val="18"/>
          <w:szCs w:val="18"/>
          <w:color w:val="auto"/>
        </w:rPr>
      </w:pPr>
    </w:p>
    <w:p>
      <w:pPr>
        <w:jc w:val="both"/>
        <w:ind w:left="1300" w:hanging="107"/>
        <w:spacing w:after="0" w:line="284" w:lineRule="auto"/>
        <w:tabs>
          <w:tab w:leader="none" w:pos="1652"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“Competitive Activity” means offering, selling or providing any product or service that competes with a product or service that Conduent offers, sells, or provides at any time during the twenty-four (24) months before the Employee’s Employment Cessation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B-1</w:t>
      </w:r>
    </w:p>
    <w:p>
      <w:pPr>
        <w:sectPr>
          <w:pgSz w:w="11900" w:h="16838" w:orient="portrait"/>
          <w:cols w:equalWidth="0" w:num="1">
            <w:col w:w="11240"/>
          </w:cols>
          <w:pgMar w:left="320" w:top="1336" w:right="339" w:bottom="1440" w:gutter="0" w:footer="0" w:header="0"/>
        </w:sectPr>
      </w:pPr>
    </w:p>
    <w:bookmarkStart w:id="76" w:name="page77"/>
    <w:bookmarkEnd w:id="76"/>
    <w:p>
      <w:pPr>
        <w:ind w:left="1300" w:hanging="833"/>
        <w:spacing w:after="0" w:line="303" w:lineRule="auto"/>
        <w:tabs>
          <w:tab w:leader="none" w:pos="903" w:val="left"/>
        </w:tabs>
        <w:numPr>
          <w:ilvl w:val="0"/>
          <w:numId w:val="87"/>
        </w:numPr>
        <w:rPr>
          <w:rFonts w:ascii="Arial" w:cs="Arial" w:eastAsia="Arial" w:hAnsi="Arial"/>
          <w:sz w:val="18"/>
          <w:szCs w:val="18"/>
          <w:color w:val="auto"/>
        </w:rPr>
      </w:pPr>
      <w:r>
        <w:rPr>
          <w:rFonts w:ascii="Arial" w:cs="Arial" w:eastAsia="Arial" w:hAnsi="Arial"/>
          <w:sz w:val="18"/>
          <w:szCs w:val="18"/>
          <w:color w:val="auto"/>
        </w:rPr>
        <w:t>“Geographical Area” means the United States of America and any other country in which the Employee had responsibility for the business activity of Conduent in the twelve (12) months preceding the Employment Cessation Date.</w:t>
      </w:r>
    </w:p>
    <w:p>
      <w:pPr>
        <w:spacing w:after="0" w:line="16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Nothing in this Section 1 prohibits Employee from being or becoming an owner of less than five percent (5%) of the outstanding stock of any company listed on a national securities exchange or actively traded on in the over the counter market, so long as the Employee has no direct or indirect participation in any business of such company that offers any product or service that competes with any product or service offered by Conduent.</w:t>
      </w:r>
    </w:p>
    <w:p>
      <w:pPr>
        <w:spacing w:after="0" w:line="3" w:lineRule="exact"/>
        <w:rPr>
          <w:sz w:val="20"/>
          <w:szCs w:val="20"/>
          <w:color w:val="auto"/>
        </w:rPr>
      </w:pPr>
    </w:p>
    <w:p>
      <w:pPr>
        <w:jc w:val="both"/>
        <w:ind w:left="340" w:hanging="332"/>
        <w:spacing w:after="0" w:line="265" w:lineRule="auto"/>
        <w:tabs>
          <w:tab w:leader="none" w:pos="328"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 of Customers</w:t>
      </w:r>
      <w:r>
        <w:rPr>
          <w:rFonts w:ascii="Arial" w:cs="Arial" w:eastAsia="Arial" w:hAnsi="Arial"/>
          <w:sz w:val="18"/>
          <w:szCs w:val="18"/>
          <w:color w:val="auto"/>
        </w:rPr>
        <w:t>. During the term of Employee’s employment and for a period of twelve (12) months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Cessation date (“Non-Solicit Period”), Employee will not, directly or indirectly, solicit, service, handle, or accept business from any customer or potential customer of Conduent, or solicit, induce or encourage any customer or potential customer to terminate or reduce the level of business it does with Conduent. This covenant shall only apply to (i) customers of Conduent with whom Employee had contact or for whom Employee was responsible, in whole or part, for providing (or assisting or supervising the performance of) services or products on behalf of Conduent during the last twelve (12) months of Employee’s active employment with Conduent, and (ii) those prospective customers of Conduent with whom Employee had contact or solicited business on behalf of Conduent during the last twelve (12) months of Employee’s active employment,</w:t>
      </w:r>
    </w:p>
    <w:p>
      <w:pPr>
        <w:spacing w:after="0" w:line="268" w:lineRule="exact"/>
        <w:rPr>
          <w:rFonts w:ascii="Arial" w:cs="Arial" w:eastAsia="Arial" w:hAnsi="Arial"/>
          <w:sz w:val="18"/>
          <w:szCs w:val="18"/>
          <w:color w:val="auto"/>
        </w:rPr>
      </w:pPr>
    </w:p>
    <w:p>
      <w:pPr>
        <w:ind w:left="340" w:hanging="332"/>
        <w:spacing w:after="0" w:line="303" w:lineRule="auto"/>
        <w:tabs>
          <w:tab w:leader="none" w:pos="328"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 of Employees</w:t>
      </w:r>
      <w:r>
        <w:rPr>
          <w:rFonts w:ascii="Arial" w:cs="Arial" w:eastAsia="Arial" w:hAnsi="Arial"/>
          <w:sz w:val="18"/>
          <w:szCs w:val="18"/>
          <w:color w:val="auto"/>
        </w:rPr>
        <w:t>. During the Non-Solicit Period, as defined above, Employee will not, directly or indirectly, recruit, solicit,</w:t>
      </w:r>
      <w:r>
        <w:rPr>
          <w:rFonts w:ascii="Arial" w:cs="Arial" w:eastAsia="Arial" w:hAnsi="Arial"/>
          <w:sz w:val="18"/>
          <w:szCs w:val="18"/>
          <w:b w:val="1"/>
          <w:bCs w:val="1"/>
          <w:color w:val="auto"/>
        </w:rPr>
        <w:t xml:space="preserve"> </w:t>
      </w:r>
      <w:r>
        <w:rPr>
          <w:rFonts w:ascii="Arial" w:cs="Arial" w:eastAsia="Arial" w:hAnsi="Arial"/>
          <w:sz w:val="18"/>
          <w:szCs w:val="18"/>
          <w:color w:val="auto"/>
        </w:rPr>
        <w:t>induce, encourage or assist any employee of Conduent to leave such employee’s employment with Conduent.</w:t>
      </w:r>
    </w:p>
    <w:p>
      <w:pPr>
        <w:spacing w:after="0" w:line="152" w:lineRule="exact"/>
        <w:rPr>
          <w:rFonts w:ascii="Arial" w:cs="Arial" w:eastAsia="Arial" w:hAnsi="Arial"/>
          <w:sz w:val="18"/>
          <w:szCs w:val="18"/>
          <w:color w:val="auto"/>
        </w:rPr>
      </w:pPr>
    </w:p>
    <w:p>
      <w:pPr>
        <w:jc w:val="both"/>
        <w:ind w:left="340" w:hanging="332"/>
        <w:spacing w:after="0" w:line="255" w:lineRule="auto"/>
        <w:tabs>
          <w:tab w:leader="none" w:pos="328"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Non-Disparagement</w:t>
      </w:r>
      <w:r>
        <w:rPr>
          <w:rFonts w:ascii="Arial" w:cs="Arial" w:eastAsia="Arial" w:hAnsi="Arial"/>
          <w:sz w:val="18"/>
          <w:szCs w:val="18"/>
          <w:color w:val="auto"/>
        </w:rPr>
        <w:t>. During the Non-Compete Period, Employee agrees that Employee will not, directly or indirectly, in any capacity or</w:t>
      </w:r>
      <w:r>
        <w:rPr>
          <w:rFonts w:ascii="Arial" w:cs="Arial" w:eastAsia="Arial" w:hAnsi="Arial"/>
          <w:sz w:val="18"/>
          <w:szCs w:val="18"/>
          <w:b w:val="1"/>
          <w:bCs w:val="1"/>
          <w:color w:val="auto"/>
        </w:rPr>
        <w:t xml:space="preserve"> </w:t>
      </w:r>
      <w:r>
        <w:rPr>
          <w:rFonts w:ascii="Arial" w:cs="Arial" w:eastAsia="Arial" w:hAnsi="Arial"/>
          <w:sz w:val="18"/>
          <w:szCs w:val="18"/>
          <w:color w:val="auto"/>
        </w:rPr>
        <w:t>manner, publicly make, express, transmit, speak, write, verbalize or otherwise communicate in any way (or cause, further, assist, solicit, encourage, support or participate in any of the foregoing), any remark, comment, message, information, declaration, communication or other statement of any kind, whether verbal or in writing, electronically transmitted or otherwise, with respect to the Company, or any of its respective directors, officers or employees, (collectively “Company Parties”), which would malign, harm, disparage, defame or damage the reputation or good name of any of the Company Parties; provided, that this Section 4 shall not restrict Employee from disclosing any information to Employee’s attorneys or in response to a lawful subpoena or court order requiring disclosure of information or otherwise responding in any legal proceeding or legal or regulatory process or in connection with initiating any legal proceeding.</w:t>
      </w:r>
    </w:p>
    <w:p>
      <w:pPr>
        <w:spacing w:after="0" w:line="279" w:lineRule="exact"/>
        <w:rPr>
          <w:rFonts w:ascii="Arial" w:cs="Arial" w:eastAsia="Arial" w:hAnsi="Arial"/>
          <w:sz w:val="18"/>
          <w:szCs w:val="18"/>
          <w:color w:val="auto"/>
        </w:rPr>
      </w:pPr>
    </w:p>
    <w:p>
      <w:pPr>
        <w:jc w:val="both"/>
        <w:ind w:left="340" w:hanging="332"/>
        <w:spacing w:after="0" w:line="273" w:lineRule="auto"/>
        <w:tabs>
          <w:tab w:leader="none" w:pos="328"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At-Will Employment</w:t>
      </w:r>
      <w:r>
        <w:rPr>
          <w:rFonts w:ascii="Arial" w:cs="Arial" w:eastAsia="Arial" w:hAnsi="Arial"/>
          <w:sz w:val="18"/>
          <w:szCs w:val="18"/>
          <w:color w:val="auto"/>
        </w:rPr>
        <w:t>. Employee and Conduent agree and acknowledge that Employee’s employment with Conduent is at-will and that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does not obligate Conduent to employ Employee for a predetermined period of time. Employee has the right to terminate Employee’s employment at any time for any reason, and Conduent has the same right. The post-employment obligations of this Agreement shall survive the termination of Employee’s employment with Conduent.</w:t>
      </w:r>
    </w:p>
    <w:p>
      <w:pPr>
        <w:spacing w:after="0" w:line="259" w:lineRule="exact"/>
        <w:rPr>
          <w:rFonts w:ascii="Arial" w:cs="Arial" w:eastAsia="Arial" w:hAnsi="Arial"/>
          <w:sz w:val="18"/>
          <w:szCs w:val="18"/>
          <w:color w:val="auto"/>
        </w:rPr>
      </w:pPr>
    </w:p>
    <w:p>
      <w:pPr>
        <w:jc w:val="both"/>
        <w:ind w:left="340" w:hanging="332"/>
        <w:spacing w:after="0" w:line="273" w:lineRule="auto"/>
        <w:tabs>
          <w:tab w:leader="none" w:pos="328"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Certain Other Obligations</w:t>
      </w:r>
      <w:r>
        <w:rPr>
          <w:rFonts w:ascii="Arial" w:cs="Arial" w:eastAsia="Arial" w:hAnsi="Arial"/>
          <w:sz w:val="18"/>
          <w:szCs w:val="18"/>
          <w:color w:val="auto"/>
        </w:rPr>
        <w:t>. Employee and Conduent agree that any prior agreement between Employee and Conduent</w:t>
      </w:r>
      <w:r>
        <w:rPr>
          <w:rFonts w:ascii="Arial" w:cs="Arial" w:eastAsia="Arial" w:hAnsi="Arial"/>
          <w:sz w:val="18"/>
          <w:szCs w:val="18"/>
          <w:b w:val="1"/>
          <w:bCs w:val="1"/>
          <w:color w:val="auto"/>
        </w:rPr>
        <w:t xml:space="preserve"> </w:t>
      </w:r>
      <w:r>
        <w:rPr>
          <w:rFonts w:ascii="Arial" w:cs="Arial" w:eastAsia="Arial" w:hAnsi="Arial"/>
          <w:sz w:val="18"/>
          <w:szCs w:val="18"/>
          <w:color w:val="auto"/>
        </w:rPr>
        <w:t>containing a non-compete obligation, a non-solicitation of customers obligation or a non-solicitation of employees obligation is hereby terminated and Employee shall only be subject to this Agreement with respect to such matters. Except as provided by the preceding sentence, all other terms of all agreements between Employee and Conduent shall remain in full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B-2</w:t>
      </w:r>
    </w:p>
    <w:p>
      <w:pPr>
        <w:sectPr>
          <w:pgSz w:w="11900" w:h="16838" w:orient="portrait"/>
          <w:cols w:equalWidth="0" w:num="1">
            <w:col w:w="11240"/>
          </w:cols>
          <w:pgMar w:left="320" w:top="1093" w:right="339" w:bottom="1440" w:gutter="0" w:footer="0" w:header="0"/>
        </w:sectPr>
      </w:pPr>
    </w:p>
    <w:bookmarkStart w:id="77" w:name="page78"/>
    <w:bookmarkEnd w:id="77"/>
    <w:p>
      <w:pPr>
        <w:jc w:val="both"/>
        <w:ind w:left="340" w:hanging="332"/>
        <w:spacing w:after="0" w:line="267" w:lineRule="auto"/>
        <w:tabs>
          <w:tab w:leader="none" w:pos="328"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Equitable Relief</w:t>
      </w:r>
      <w:r>
        <w:rPr>
          <w:rFonts w:ascii="Arial" w:cs="Arial" w:eastAsia="Arial" w:hAnsi="Arial"/>
          <w:sz w:val="18"/>
          <w:szCs w:val="18"/>
          <w:color w:val="auto"/>
          <w:highlight w:val="white"/>
        </w:rPr>
        <w:t>. Employee and Conduent agree that, in the event of breach of this Agreement by Employee, Conduent would be</w:t>
      </w:r>
      <w:r>
        <w:rPr>
          <w:rFonts w:ascii="Arial" w:cs="Arial" w:eastAsia="Arial" w:hAnsi="Arial"/>
          <w:sz w:val="18"/>
          <w:szCs w:val="18"/>
          <w:b w:val="1"/>
          <w:bCs w:val="1"/>
          <w:color w:val="auto"/>
        </w:rPr>
        <w:t xml:space="preserve"> </w:t>
      </w:r>
      <w:r>
        <w:rPr>
          <w:rFonts w:ascii="Arial" w:cs="Arial" w:eastAsia="Arial" w:hAnsi="Arial"/>
          <w:sz w:val="18"/>
          <w:szCs w:val="18"/>
          <w:color w:val="auto"/>
        </w:rPr>
        <w:t>irreparably harmed but the amount of damages to Conduent would be difficult to ascertain. Conduent and Employee agree that in the event of such breach, Conduent shall have the right to an injunction or other equitable relief and to all other appropriate legal remedies, including damages. In the event any lawsuit is brought to enforce any of the provisions of this Agreement, the prevailing party shall be entitled to recover its reasonable attorneys’ fees and costs from the other party.</w:t>
      </w:r>
    </w:p>
    <w:p>
      <w:pPr>
        <w:spacing w:after="0" w:line="279" w:lineRule="exact"/>
        <w:rPr>
          <w:rFonts w:ascii="Arial" w:cs="Arial" w:eastAsia="Arial" w:hAnsi="Arial"/>
          <w:sz w:val="18"/>
          <w:szCs w:val="18"/>
          <w:color w:val="auto"/>
        </w:rPr>
      </w:pPr>
    </w:p>
    <w:p>
      <w:pPr>
        <w:jc w:val="both"/>
        <w:ind w:left="340" w:hanging="332"/>
        <w:spacing w:after="0" w:line="273" w:lineRule="auto"/>
        <w:tabs>
          <w:tab w:leader="none" w:pos="328"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highlight w:val="white"/>
        </w:rPr>
        <w:t>. This Agreement shall be governed by and construed in accordance with the laws of the State of Delaware,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conflict of law principles. Employee and Conduent agree that any claims or suits arising out of or relating to this Agreement shall be commenced and maintained in the state or federal courts located in Delaware, and Employee hereby submits to the jurisdiction and venue of any such court.</w:t>
      </w:r>
    </w:p>
    <w:p>
      <w:pPr>
        <w:spacing w:after="0" w:line="259" w:lineRule="exact"/>
        <w:rPr>
          <w:rFonts w:ascii="Arial" w:cs="Arial" w:eastAsia="Arial" w:hAnsi="Arial"/>
          <w:sz w:val="18"/>
          <w:szCs w:val="18"/>
          <w:color w:val="auto"/>
        </w:rPr>
      </w:pPr>
    </w:p>
    <w:p>
      <w:pPr>
        <w:jc w:val="both"/>
        <w:ind w:left="340" w:hanging="332"/>
        <w:spacing w:after="0" w:line="273" w:lineRule="auto"/>
        <w:tabs>
          <w:tab w:leader="none" w:pos="328"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Enforceability</w:t>
      </w:r>
      <w:r>
        <w:rPr>
          <w:rFonts w:ascii="Arial" w:cs="Arial" w:eastAsia="Arial" w:hAnsi="Arial"/>
          <w:sz w:val="18"/>
          <w:szCs w:val="18"/>
          <w:color w:val="auto"/>
          <w:highlight w:val="white"/>
        </w:rPr>
        <w:t>. In the event that any of the provisions of this Agreement is deemed unenforceable or to exceed the protections afforded</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employers under applicable law, then such provision(s) shall be deleted and/or revised to provide Conduent the maximum protections permitted by applicable law and still be valid and enforceable, and all remaining provisions of this Agreement shall remain in full force and effect.</w:t>
      </w:r>
    </w:p>
    <w:p>
      <w:pPr>
        <w:spacing w:after="0" w:line="259" w:lineRule="exact"/>
        <w:rPr>
          <w:rFonts w:ascii="Arial" w:cs="Arial" w:eastAsia="Arial" w:hAnsi="Arial"/>
          <w:sz w:val="18"/>
          <w:szCs w:val="18"/>
          <w:color w:val="auto"/>
        </w:rPr>
      </w:pPr>
    </w:p>
    <w:p>
      <w:pPr>
        <w:ind w:left="340" w:hanging="332"/>
        <w:spacing w:after="0" w:line="303" w:lineRule="auto"/>
        <w:tabs>
          <w:tab w:leader="none" w:pos="333"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Employee acknowledges that Employee had the opportunity to review this Agreement with an attorney of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own choosing and that Employee carefully reviewed the terms of this Agreement before knowingly and voluntarily executing it.</w:t>
      </w:r>
    </w:p>
    <w:p>
      <w:pPr>
        <w:spacing w:after="0" w:line="233" w:lineRule="exact"/>
        <w:rPr>
          <w:rFonts w:ascii="Arial" w:cs="Arial" w:eastAsia="Arial" w:hAnsi="Arial"/>
          <w:sz w:val="18"/>
          <w:szCs w:val="18"/>
          <w:color w:val="auto"/>
        </w:rPr>
      </w:pPr>
    </w:p>
    <w:p>
      <w:pPr>
        <w:jc w:val="both"/>
        <w:ind w:left="340" w:hanging="332"/>
        <w:spacing w:after="0" w:line="276" w:lineRule="auto"/>
        <w:tabs>
          <w:tab w:leader="none" w:pos="320"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No Waiver</w:t>
      </w:r>
      <w:r>
        <w:rPr>
          <w:rFonts w:ascii="Arial" w:cs="Arial" w:eastAsia="Arial" w:hAnsi="Arial"/>
          <w:sz w:val="18"/>
          <w:szCs w:val="18"/>
          <w:color w:val="auto"/>
          <w:highlight w:val="white"/>
        </w:rPr>
        <w:t>. Any failure by Conduent to exercise any of its rights under this Agreement in the event of any breach of the Agreement by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shall not be construed as a waiver of any such breach, nor act to prevent Conduent from requiring strict compliance with the terms of this Agreement.</w:t>
      </w:r>
    </w:p>
    <w:p>
      <w:pPr>
        <w:spacing w:after="0" w:line="271" w:lineRule="exact"/>
        <w:rPr>
          <w:rFonts w:ascii="Arial" w:cs="Arial" w:eastAsia="Arial" w:hAnsi="Arial"/>
          <w:sz w:val="18"/>
          <w:szCs w:val="18"/>
          <w:color w:val="auto"/>
        </w:rPr>
      </w:pPr>
    </w:p>
    <w:p>
      <w:pPr>
        <w:jc w:val="both"/>
        <w:ind w:left="340" w:hanging="332"/>
        <w:spacing w:after="0" w:line="267" w:lineRule="auto"/>
        <w:tabs>
          <w:tab w:leader="none" w:pos="333"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 This Agreement shall be assignable to and shall inure to the benefit of Conduent’s successors and assigns, including, but</w:t>
      </w:r>
      <w:r>
        <w:rPr>
          <w:rFonts w:ascii="Arial" w:cs="Arial" w:eastAsia="Arial" w:hAnsi="Arial"/>
          <w:sz w:val="18"/>
          <w:szCs w:val="18"/>
          <w:b w:val="1"/>
          <w:bCs w:val="1"/>
          <w:color w:val="auto"/>
        </w:rPr>
        <w:t xml:space="preserve"> </w:t>
      </w:r>
      <w:r>
        <w:rPr>
          <w:rFonts w:ascii="Arial" w:cs="Arial" w:eastAsia="Arial" w:hAnsi="Arial"/>
          <w:sz w:val="18"/>
          <w:szCs w:val="18"/>
          <w:color w:val="auto"/>
        </w:rPr>
        <w:t>not limited to, subsidiaries and/or successors through mergers, name change, consolidation or sale of the majority of Conduent’s stock or assets and shall be binding upon Employee. Employee shall not have the right to assign the Employee’s rights or obligations under this Agreement. The covenants contained in this Agreement shall survive termination of Employee’s employment regardless of who causes the termination of employment or the reason for the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B-3</w:t>
      </w:r>
    </w:p>
    <w:p>
      <w:pPr>
        <w:sectPr>
          <w:pgSz w:w="11900" w:h="16838" w:orient="portrait"/>
          <w:cols w:equalWidth="0" w:num="1">
            <w:col w:w="11240"/>
          </w:cols>
          <w:pgMar w:left="320" w:top="1403"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Exhibit C</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TO PERFORMANCE RESTRICTED STOCK UNIT AWARD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 CONDUENT INCORPORATED 2021 PERFORMANCE INCENTIVE PLAN</w:t>
      </w: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terms of the Plan and the Agreement, the PRSUs are subject to the following additional terms and conditions (the "</w:t>
      </w:r>
      <w:r>
        <w:rPr>
          <w:rFonts w:ascii="Arial" w:cs="Arial" w:eastAsia="Arial" w:hAnsi="Arial"/>
          <w:sz w:val="18"/>
          <w:szCs w:val="18"/>
          <w:b w:val="1"/>
          <w:bCs w:val="1"/>
          <w:i w:val="1"/>
          <w:iCs w:val="1"/>
          <w:color w:val="auto"/>
        </w:rPr>
        <w:t>Appendix</w:t>
      </w:r>
      <w:r>
        <w:rPr>
          <w:rFonts w:ascii="Arial" w:cs="Arial" w:eastAsia="Arial" w:hAnsi="Arial"/>
          <w:sz w:val="18"/>
          <w:szCs w:val="18"/>
          <w:color w:val="auto"/>
        </w:rPr>
        <w:t xml:space="preserve">"). </w:t>
      </w:r>
      <w:r>
        <w:rPr>
          <w:rFonts w:ascii="Arial" w:cs="Arial" w:eastAsia="Arial" w:hAnsi="Arial"/>
          <w:sz w:val="18"/>
          <w:szCs w:val="18"/>
          <w:b w:val="1"/>
          <w:bCs w:val="1"/>
          <w:color w:val="auto"/>
        </w:rPr>
        <w:t>The information reflected in this Appendix is based on the securities, exchange control and other laws in effect in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respective countries as of February 2025. </w:t>
      </w:r>
      <w:r>
        <w:rPr>
          <w:rFonts w:ascii="Arial" w:cs="Arial" w:eastAsia="Arial" w:hAnsi="Arial"/>
          <w:sz w:val="18"/>
          <w:szCs w:val="18"/>
          <w:color w:val="auto"/>
        </w:rPr>
        <w:t>All capitalized terms as contained in this Appendix shall have the same meaning as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and the Agreement. Pursuant to Section 28 of the Agreement, if the Employee transfers residence and/or employment to or otherwise becomes subject to the local laws, rules or regulations of another country reflected in an Appendix at the time of transfer, the additional terms and conditions for such country will apply to the Employee to the extent the Company determines, in its sole discretion, that the application of such terms and conditions is necessary or advisable in order to comply with local law, rules and regulations, or to facilitate the operation and administration of the award and the Plan (or the Company may establish alternative terms and conditions as may be necessary or advisable to accommodate the Employee's transfer).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European Union ("EU") / European Economic Area ("EEA") / Switzerland and the United Kingdom*</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If the Employee resides and/or the Employee is employed in the EU / EEA, Switzerland or the United Kingdom the following provision replaces Section 25 of the Agreement:</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is located at 100 CAMPUS DRIVE, FLORHAM PARK, NJ, 07932 and grants PRSUs under the Plan to employees of the Company and its affiliates and subsidiaries in its sole discretion. The Employee should review the following information about the Company's data processing practices.</w:t>
      </w:r>
    </w:p>
    <w:p>
      <w:pPr>
        <w:spacing w:after="0" w:line="171" w:lineRule="exact"/>
        <w:rPr>
          <w:sz w:val="20"/>
          <w:szCs w:val="20"/>
          <w:color w:val="auto"/>
        </w:rPr>
      </w:pPr>
    </w:p>
    <w:p>
      <w:pPr>
        <w:jc w:val="both"/>
        <w:ind w:left="660" w:hanging="652"/>
        <w:spacing w:after="0" w:line="253" w:lineRule="auto"/>
        <w:tabs>
          <w:tab w:leader="none" w:pos="65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Data Collection, Processing and Usage</w:t>
      </w:r>
      <w:r>
        <w:rPr>
          <w:rFonts w:ascii="Arial" w:cs="Arial" w:eastAsia="Arial" w:hAnsi="Arial"/>
          <w:sz w:val="18"/>
          <w:szCs w:val="18"/>
          <w:color w:val="auto"/>
        </w:rPr>
        <w:t>. Pursuant to applicable data protection laws, the Employee is hereby notified that the Company collects, processes, and uses certain personally-identifiable information about the Employee; specifically, including the Employee’s name, home address, email address and telephone number, date of birth, social insurance / passport number or other identification number (e.g. resident registration number), salary, citizenship, job title, any shares of Common Stock or directorships held in the Company, and details of all PRSUs or any other equity compensation awards granted, canceled, exercised, vested, or outstanding in the Employee’s favor, which the Company receives from the Employee or the Employer ("Personal Information"). In granting the PRSUs under the Plan, the Company will collect the Employee’s Personal Information for purposes of allocating shares of Common Stock and implementing, administering and managing the Plan. The Company’s legal basis for collecting, processing and using the Employee's Personal Information will be the Company's necessity to execute its contractual obligations under this Agreement and to comply with its legal obligations. The Employee’s refusal to provide personal data may affect the Employee’s ability to participate in the Plan. As such, by participating in the Plan, the Employee voluntarily acknowledges the collection, processing and use, of the Employee’s Personal Information as described herein.</w:t>
      </w:r>
    </w:p>
    <w:p>
      <w:pPr>
        <w:spacing w:after="0" w:line="189" w:lineRule="exact"/>
        <w:rPr>
          <w:rFonts w:ascii="Arial" w:cs="Arial" w:eastAsia="Arial" w:hAnsi="Arial"/>
          <w:sz w:val="18"/>
          <w:szCs w:val="18"/>
          <w:color w:val="auto"/>
        </w:rPr>
      </w:pPr>
    </w:p>
    <w:p>
      <w:pPr>
        <w:jc w:val="both"/>
        <w:ind w:left="660" w:hanging="652"/>
        <w:spacing w:after="0" w:line="256" w:lineRule="auto"/>
        <w:tabs>
          <w:tab w:leader="none" w:pos="65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Stock Plan Administration Service Provider</w:t>
      </w:r>
      <w:r>
        <w:rPr>
          <w:rFonts w:ascii="Arial" w:cs="Arial" w:eastAsia="Arial" w:hAnsi="Arial"/>
          <w:sz w:val="18"/>
          <w:szCs w:val="18"/>
          <w:color w:val="auto"/>
        </w:rPr>
        <w:t>. The Company transfers participant data to Morgan Stanley Smith Barney LLC and its affiliates, an independent service provider based in the United States, which assists the Company with the implementation, administration and management of the Plan (the “Stock Plan Administrator”). In the future, the Company may select a different Stock Plan Administrator and share the Employee’s Personal Information with another company that serves in a similar manner, including but not limited to, the Company's outside legal counsel and/or the Company's auditor. The Stock Plan Administrator will open an account for the Employee to receive and trade shares of Common Stock acquired under the Plan. The Employee will be asked to agree on separate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 - 1</w:t>
      </w:r>
    </w:p>
    <w:p>
      <w:pPr>
        <w:sectPr>
          <w:pgSz w:w="11900" w:h="16838" w:orient="portrait"/>
          <w:cols w:equalWidth="0" w:num="1">
            <w:col w:w="11240"/>
          </w:cols>
          <w:pgMar w:left="320" w:top="1403" w:right="339" w:bottom="1440" w:gutter="0" w:footer="0" w:header="0"/>
        </w:sectPr>
      </w:pPr>
    </w:p>
    <w:bookmarkStart w:id="79" w:name="page80"/>
    <w:bookmarkEnd w:id="79"/>
    <w:p>
      <w:pPr>
        <w:ind w:left="660"/>
        <w:spacing w:after="0" w:line="287" w:lineRule="auto"/>
        <w:rPr>
          <w:sz w:val="20"/>
          <w:szCs w:val="20"/>
          <w:color w:val="auto"/>
        </w:rPr>
      </w:pPr>
      <w:r>
        <w:rPr>
          <w:rFonts w:ascii="Arial" w:cs="Arial" w:eastAsia="Arial" w:hAnsi="Arial"/>
          <w:sz w:val="18"/>
          <w:szCs w:val="18"/>
          <w:color w:val="auto"/>
        </w:rPr>
        <w:t>terms and data processing practices with the Stock Plan Administrator, which is a condition to the Employee’s ability to participate in the Plan.</w:t>
      </w:r>
    </w:p>
    <w:p>
      <w:pPr>
        <w:spacing w:after="0" w:line="153" w:lineRule="exact"/>
        <w:rPr>
          <w:sz w:val="20"/>
          <w:szCs w:val="20"/>
          <w:color w:val="auto"/>
        </w:rPr>
      </w:pPr>
    </w:p>
    <w:p>
      <w:pPr>
        <w:jc w:val="both"/>
        <w:ind w:left="660" w:hanging="652"/>
        <w:spacing w:after="0" w:line="262" w:lineRule="auto"/>
        <w:tabs>
          <w:tab w:leader="none" w:pos="654"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International Data Transfers</w:t>
      </w:r>
      <w:r>
        <w:rPr>
          <w:rFonts w:ascii="Arial" w:cs="Arial" w:eastAsia="Arial" w:hAnsi="Arial"/>
          <w:sz w:val="18"/>
          <w:szCs w:val="18"/>
          <w:color w:val="auto"/>
        </w:rPr>
        <w:t>. The Company and the Stock Plan Administrator are based in the United States. The Company can only meet its contractual obligations to the Employee if the Employee’s Personal Information is transferred to the United States. The Company’s legal basis for the transfer of the Employee’s Personal Information to the United States is to satisfy its contractual obligations under the terms of this Agreement and/or its use of the standard data protection clauses adopted by the EU Commission.</w:t>
      </w:r>
    </w:p>
    <w:p>
      <w:pPr>
        <w:spacing w:after="0" w:line="176" w:lineRule="exact"/>
        <w:rPr>
          <w:rFonts w:ascii="Arial" w:cs="Arial" w:eastAsia="Arial" w:hAnsi="Arial"/>
          <w:sz w:val="18"/>
          <w:szCs w:val="18"/>
          <w:color w:val="auto"/>
        </w:rPr>
      </w:pPr>
    </w:p>
    <w:p>
      <w:pPr>
        <w:jc w:val="both"/>
        <w:ind w:left="660" w:hanging="652"/>
        <w:spacing w:after="0" w:line="259" w:lineRule="auto"/>
        <w:tabs>
          <w:tab w:leader="none" w:pos="65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Data Retention</w:t>
      </w:r>
      <w:r>
        <w:rPr>
          <w:rFonts w:ascii="Arial" w:cs="Arial" w:eastAsia="Arial" w:hAnsi="Arial"/>
          <w:sz w:val="18"/>
          <w:szCs w:val="18"/>
          <w:color w:val="auto"/>
        </w:rPr>
        <w:t>. The Company will use the Employee’s Personal Information only as long as is necessary to implement, administer and manage the Employee’s participation in the Plan or as required to comply with legal or regulatory obligations, including under tax and securities laws. When the Company no longer needs the Employee’s Personal Information, the Company will remove it from its systems. If the Company keeps the Employee’s data longer, it would be to satisfy legal or regulatory obligations and the Company’s legal basis would be for compliance with relevant laws or regulations.</w:t>
      </w:r>
    </w:p>
    <w:p>
      <w:pPr>
        <w:spacing w:after="0" w:line="179" w:lineRule="exact"/>
        <w:rPr>
          <w:rFonts w:ascii="Arial" w:cs="Arial" w:eastAsia="Arial" w:hAnsi="Arial"/>
          <w:sz w:val="18"/>
          <w:szCs w:val="18"/>
          <w:color w:val="auto"/>
        </w:rPr>
      </w:pPr>
    </w:p>
    <w:p>
      <w:pPr>
        <w:jc w:val="both"/>
        <w:ind w:left="660" w:hanging="652"/>
        <w:spacing w:after="0" w:line="256" w:lineRule="auto"/>
        <w:tabs>
          <w:tab w:leader="none" w:pos="65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Data Subjects Rights</w:t>
      </w:r>
      <w:r>
        <w:rPr>
          <w:rFonts w:ascii="Arial" w:cs="Arial" w:eastAsia="Arial" w:hAnsi="Arial"/>
          <w:sz w:val="18"/>
          <w:szCs w:val="18"/>
          <w:color w:val="auto"/>
        </w:rPr>
        <w:t>. The Employee may have a number of rights under data privacy laws in the Employee’s country of residence (and country of employment, if different). For example, the Employee’s rights may include the right to (i) request access or copies of personal data the Company processes pursuant to this Agreement, (ii) request rectification of incorrect data, (iii) request deletion of data, (iv) request restrictions on processing, (v) lodge complaints with competent authorities in the Employee’s country of residence (and country of employment, if different), and/or (vi) request a list with the names and addresses of any potential recipients of the Employee’s Personal Information. To receive clarification regarding the Employee’s rights or to exercise the Employee's rights, the Employee should contact the Employee's local human resources department.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BRAZIL</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Labor Law Acknowledgment</w:t>
      </w:r>
      <w:r>
        <w:rPr>
          <w:rFonts w:ascii="Arial" w:cs="Arial" w:eastAsia="Arial" w:hAnsi="Arial"/>
          <w:sz w:val="18"/>
          <w:szCs w:val="18"/>
          <w:color w:val="auto"/>
        </w:rPr>
        <w:t>. By accepting the PRSUs, the Employee acknowledges and agrees, for all legal purposes, that (a) the benefits provided under the Agreement and the Plan are the result of commercial transactions unrelated to the Employee's employment; (b) the Agreement and the Plan are not a part of the terms and conditions of the Employee's employment; and (c) the income from the PRSUs, if any, is not part of the Employee's remuneration from employment.</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By accepting the PRSUs, the Employee acknowledges and agrees to comply with applicable Brazilian laws and to pay any and all applicable taxes associated with the vesting of the PRSUs, the issuance and/or sale of shares of Common Stock acquired under the Plan and the receipt of any dividends.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If the Employee is resident or domiciled in Brazil, the Employee will be required to submit an annual declaration of assets and rights held outside of Brazil to the Central Bank of Brazil if the aggregate value of such assets and rights is greater than US$1 million as of December 31 of each year. If the aggregate value exceeds US$100 million as of the end of each quarter, a declaration must be submitted quarterly. Assets and rights that must be reported include shares of Common Stock acquired under the Plan. The Employee should consult with the Employee's personal advisor(s) regarding any personal legal, regulatory or foreign exchange obligations the Employee may have in connection with the Employee's participation in the Plan.</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Tax on Financial Transaction (IOF)</w:t>
      </w:r>
      <w:r>
        <w:rPr>
          <w:rFonts w:ascii="Arial" w:cs="Arial" w:eastAsia="Arial" w:hAnsi="Arial"/>
          <w:sz w:val="18"/>
          <w:szCs w:val="18"/>
          <w:color w:val="auto"/>
        </w:rPr>
        <w:t>. Repatriation of funds (</w:t>
      </w:r>
      <w:r>
        <w:rPr>
          <w:rFonts w:ascii="Arial" w:cs="Arial" w:eastAsia="Arial" w:hAnsi="Arial"/>
          <w:sz w:val="18"/>
          <w:szCs w:val="18"/>
          <w:i w:val="1"/>
          <w:iCs w:val="1"/>
          <w:color w:val="auto"/>
        </w:rPr>
        <w:t>e.g.</w:t>
      </w:r>
      <w:r>
        <w:rPr>
          <w:rFonts w:ascii="Arial" w:cs="Arial" w:eastAsia="Arial" w:hAnsi="Arial"/>
          <w:sz w:val="18"/>
          <w:szCs w:val="18"/>
          <w:color w:val="auto"/>
        </w:rPr>
        <w:t>, the proceeds from the sale of shares of Common Stock) into Brazil and the conversion of USD into BRL associated with such fund transfers may be subject to the Tax on Financial Transactions. It is the Employee's responsibility to comply with any applicable Tax on Financial Transactions arising from the Employee's participation in the Plan. The Employee should consult with the Employee's personal tax advisor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 - 2</w:t>
      </w:r>
    </w:p>
    <w:p>
      <w:pPr>
        <w:sectPr>
          <w:pgSz w:w="11900" w:h="16838" w:orient="portrait"/>
          <w:cols w:equalWidth="0" w:num="1">
            <w:col w:w="11240"/>
          </w:cols>
          <w:pgMar w:left="320" w:top="1093"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highlight w:val="lightGray"/>
        </w:rPr>
        <w:t>CANADA</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u w:val="single" w:color="auto"/>
          <w:color w:val="auto"/>
        </w:rPr>
        <w:t>Settlement in Shares</w:t>
      </w:r>
      <w:r>
        <w:rPr>
          <w:rFonts w:ascii="Arial" w:cs="Arial" w:eastAsia="Arial" w:hAnsi="Arial"/>
          <w:sz w:val="18"/>
          <w:szCs w:val="18"/>
          <w:color w:val="auto"/>
        </w:rPr>
        <w:t>. Notwithstanding anything to the contrary in the Agreement or the Plan, the PRSUs shall be settled only in shares of Common Stock (and may not be settled in cash).</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The following supplements Section 8(a)(iv) of the Agreement as well as any other section required to give effect to the same:</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event of the Employee's termination of employment and/or service relationship for any reason (other than by reason of death, Disability or Good Reason), either by the Employee or by the Employer, with or without cause, the Employee's rights to vest or to continue to vest in the PRSUs and receive shares of Common Stock under the Plan, if any, will terminate as of the actual Termination Date. For this purpose, the "Termination Date" shall mean the date that the Employee is no longer actively providing services to the Company, the Employer or any affiliate (regardless of the reason for such termination and whether or not later found to be invalid or in breach of labor laws in the jurisdiction where the Employee provides services or the terms of the Employee's employment or other service agreement, if any), and shall not include or be extended by any period following such day during which the Employee is in receipt of or eligible to receive any notice of termination, pay in lieu of notice of termination, severance pay or any other payments or damages, whether arising under statute, contract or at common law.</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Notwithstanding the foregoing, if applicable employment standards legislation explicitly requires continued entitlement to vesting during a statutory notice period, the Employee's right to vest in the PRSUs under the Plan, if any, will terminate effective as of the last day of the Employee's minimum statutory notice period, but the Employee will not earn or be entitled to pro-rated vesting if the vesting date falls after the end of the Employee's statutory notice period, nor will the Employee be entitled to any compensation for lost vesting.</w:t>
      </w:r>
    </w:p>
    <w:p>
      <w:pPr>
        <w:spacing w:after="0" w:line="17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The Employee is permitted to sell shares of Common Stock acquired under the Plan through the designated broker appointed under the Plan, if any, provided that the sale of shares of Common Stock takes place outside Canada through the facilities of a stock exchange on which the shares are listed (</w:t>
      </w:r>
      <w:r>
        <w:rPr>
          <w:rFonts w:ascii="Arial" w:cs="Arial" w:eastAsia="Arial" w:hAnsi="Arial"/>
          <w:sz w:val="18"/>
          <w:szCs w:val="18"/>
          <w:i w:val="1"/>
          <w:iCs w:val="1"/>
          <w:color w:val="auto"/>
        </w:rPr>
        <w:t>i.e.</w:t>
      </w:r>
      <w:r>
        <w:rPr>
          <w:rFonts w:ascii="Arial" w:cs="Arial" w:eastAsia="Arial" w:hAnsi="Arial"/>
          <w:sz w:val="18"/>
          <w:szCs w:val="18"/>
          <w:color w:val="auto"/>
        </w:rPr>
        <w:t>, the Nasdaq).</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Specified foreign property, including the PRSUs, shares of Common Stock acquired under the Plan, and other rights to receive shares of a non-Canadian company held by a Canadian resident generally must be reported annually on a Form T1135 (Foreign Income Verification Statement) if the total cost of the foreign property exceeds C$ 100,000 at any time during the year. Thus, the unvested portion of the PRSUs must be reported – generally at a nil cost – if the C$100,000 cost threshold is exceeded because the Employee holds other specified foreign property. When shares of Common Stock are acquired, their cost generally is the adjusted cost base (“ACB”) of the shares of Common Stock. The ACB ordinarily will equal the fair market value of the shares of Common Stock at the time of acquisition, but if the Employee owns other shares of Common Stock, the ACB may need to be averaged with the ACB of the other shares of Common Stock. The Employee should consult with the Employee's personal advisor(s) regarding any personal foreign asset/foreign account tax obligations the Employee may have in connection with the Employee's participation in the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French Language Documents</w:t>
      </w:r>
      <w:r>
        <w:rPr>
          <w:rFonts w:ascii="Arial" w:cs="Arial" w:eastAsia="Arial" w:hAnsi="Arial"/>
          <w:sz w:val="18"/>
          <w:szCs w:val="18"/>
          <w:color w:val="auto"/>
        </w:rPr>
        <w:t>. The following provision will apply if the Employee is a resident of Quebec: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French translation of this Agreement and certain other documents related to the PRSUs will be made available to the Employee as soon as reasonably practicable. The Employee understands that, from time to time, additional information related to the PRSUs may be provided in English and such information may not be immediately available in French. However, upon request, the Company will provide a translation of such information into French as soon as reasonably practicable. Notwithstanding anything to the contrary in the Agreement, and unless the Employee indicates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 - 3</w:t>
      </w:r>
    </w:p>
    <w:p>
      <w:pPr>
        <w:sectPr>
          <w:pgSz w:w="11900" w:h="16838" w:orient="portrait"/>
          <w:cols w:equalWidth="0" w:num="1">
            <w:col w:w="11240"/>
          </w:cols>
          <w:pgMar w:left="320" w:top="1093" w:right="339" w:bottom="1440" w:gutter="0" w:footer="0" w:header="0"/>
        </w:sectPr>
      </w:pPr>
    </w:p>
    <w:bookmarkStart w:id="81" w:name="page82"/>
    <w:bookmarkEnd w:id="81"/>
    <w:p>
      <w:pPr>
        <w:jc w:val="both"/>
        <w:ind w:right="20"/>
        <w:spacing w:after="0" w:line="287" w:lineRule="auto"/>
        <w:rPr>
          <w:sz w:val="20"/>
          <w:szCs w:val="20"/>
          <w:color w:val="auto"/>
        </w:rPr>
      </w:pPr>
      <w:r>
        <w:rPr>
          <w:rFonts w:ascii="Arial" w:cs="Arial" w:eastAsia="Arial" w:hAnsi="Arial"/>
          <w:sz w:val="18"/>
          <w:szCs w:val="18"/>
          <w:color w:val="auto"/>
        </w:rPr>
        <w:t>otherwise, the French translation of this Agreement and certain other documents related to the PRSUs will govern the Employee's participation in the Plan.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FRANCE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Type of Grant.</w:t>
      </w:r>
      <w:r>
        <w:rPr>
          <w:rFonts w:ascii="Arial" w:cs="Arial" w:eastAsia="Arial" w:hAnsi="Arial"/>
          <w:sz w:val="18"/>
          <w:szCs w:val="18"/>
          <w:color w:val="auto"/>
        </w:rPr>
        <w:t xml:space="preserve"> The PRSUs granted under the Agreement are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intended to be tax-qualified PRSUs under local tax regulations in France.</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highlight w:val="white"/>
        </w:rPr>
        <w:t>. The value of any cash or securities imported to or exported from France without the use of a financial</w:t>
      </w:r>
      <w:r>
        <w:rPr>
          <w:rFonts w:ascii="Arial" w:cs="Arial" w:eastAsia="Arial" w:hAnsi="Arial"/>
          <w:sz w:val="18"/>
          <w:szCs w:val="18"/>
          <w:color w:val="auto"/>
        </w:rPr>
        <w:t xml:space="preserve"> institution must be reported to the customs and excise authorities when the value of such cash or securities is equal to or greater than a certain amount (currently €10,000). The Employee should consult with the Employee's personal advisor(s) regarding any personal legal, regulatory or foreign exchange obligations the Employee may have in connection with the Employee's participation in the Plan.</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French residents must report annually any shares and bank accounts held outside France, including the accounts that were opened, used and/or closed during the tax year, to the French tax authorities, on an annual basis on a special Form N° 3916, together with the Employee's personal income tax return. Failure to report triggers a significant penalty. The Employee should consult with the Employee's personal advisor(s) regarding any personal foreign asset/foreign account tax obligations the Employee may have in connection with the Employee's participation in the Plan.</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Use of English Language</w:t>
      </w:r>
      <w:r>
        <w:rPr>
          <w:rFonts w:ascii="Arial" w:cs="Arial" w:eastAsia="Arial" w:hAnsi="Arial"/>
          <w:sz w:val="18"/>
          <w:szCs w:val="18"/>
          <w:color w:val="auto"/>
        </w:rPr>
        <w:t xml:space="preserve">. By accepting the PRSUs, the Employee acknowledges and agrees that it is the Employee's wish that the </w:t>
      </w:r>
      <w:r>
        <w:rPr>
          <w:rFonts w:ascii="Arial" w:cs="Arial" w:eastAsia="Arial" w:hAnsi="Arial"/>
          <w:sz w:val="18"/>
          <w:szCs w:val="18"/>
          <w:b w:val="1"/>
          <w:bCs w:val="1"/>
          <w:color w:val="auto"/>
        </w:rPr>
        <w:t>Agreement</w:t>
      </w:r>
      <w:r>
        <w:rPr>
          <w:rFonts w:ascii="Arial" w:cs="Arial" w:eastAsia="Arial" w:hAnsi="Arial"/>
          <w:sz w:val="18"/>
          <w:szCs w:val="18"/>
          <w:color w:val="auto"/>
        </w:rPr>
        <w:t>, this</w:t>
      </w:r>
      <w:r>
        <w:rPr>
          <w:rFonts w:ascii="Arial" w:cs="Arial" w:eastAsia="Arial" w:hAnsi="Arial"/>
          <w:sz w:val="18"/>
          <w:szCs w:val="18"/>
          <w:b w:val="1"/>
          <w:bCs w:val="1"/>
          <w:color w:val="auto"/>
        </w:rPr>
        <w:t xml:space="preserve"> Appendix</w:t>
      </w:r>
      <w:r>
        <w:rPr>
          <w:rFonts w:ascii="Arial" w:cs="Arial" w:eastAsia="Arial" w:hAnsi="Arial"/>
          <w:sz w:val="18"/>
          <w:szCs w:val="18"/>
          <w:color w:val="auto"/>
        </w:rPr>
        <w:t>, as well as all other documents, notices and legal proceedings entered into, given or instituted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PRSUs, either directly or indirectly, be drawn up in English.</w:t>
      </w:r>
    </w:p>
    <w:p>
      <w:pPr>
        <w:spacing w:after="0" w:line="17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u w:val="single" w:color="auto"/>
          <w:color w:val="auto"/>
        </w:rPr>
        <w:t>Langue anglaise</w:t>
      </w:r>
      <w:r>
        <w:rPr>
          <w:rFonts w:ascii="Arial" w:cs="Arial" w:eastAsia="Arial" w:hAnsi="Arial"/>
          <w:sz w:val="18"/>
          <w:szCs w:val="18"/>
          <w:i w:val="1"/>
          <w:iCs w:val="1"/>
          <w:color w:val="auto"/>
        </w:rPr>
        <w:t>. En acceptant l'allocation de vos PRSUs, vous reconnaissez et acceptez avoir souhaité que le Termes et Conditions, le présent avenant, ainsi que tous autres documents exécutés, avis donnés et procédures judiciaires intentées, relatifs, directement ou indirectement, à l'allocation de vos PRSUs, soient rédigés en anglais.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GERMANY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xml:space="preserve"> Cross-border payments in excess of EUR 50,000 must be reported to the German Federal Bank (</w:t>
      </w:r>
      <w:r>
        <w:rPr>
          <w:rFonts w:ascii="Arial" w:cs="Arial" w:eastAsia="Arial" w:hAnsi="Arial"/>
          <w:sz w:val="18"/>
          <w:szCs w:val="18"/>
          <w:i w:val="1"/>
          <w:iCs w:val="1"/>
          <w:color w:val="auto"/>
        </w:rPr>
        <w:t>Bundesbank</w:t>
      </w:r>
      <w:r>
        <w:rPr>
          <w:rFonts w:ascii="Arial" w:cs="Arial" w:eastAsia="Arial" w:hAnsi="Arial"/>
          <w:sz w:val="18"/>
          <w:szCs w:val="18"/>
          <w:color w:val="auto"/>
        </w:rPr>
        <w:t>). If the Employee receives a cross-border payment in excess of this amount (e.g., proceeds from the sale of shares of Common Stock acquired under the Plan) and/or if the Company withholds or sells shares of Common Stock with a value in excess of EUR 50,000 for any Tax-Related Items, the Employee must report the payment and/or the value of the shares received and/or sold or withheld to the Bundesbank, either electronically using the “General Statistics Reporting Portal” (“</w:t>
      </w:r>
      <w:r>
        <w:rPr>
          <w:rFonts w:ascii="Arial" w:cs="Arial" w:eastAsia="Arial" w:hAnsi="Arial"/>
          <w:sz w:val="18"/>
          <w:szCs w:val="18"/>
          <w:i w:val="1"/>
          <w:iCs w:val="1"/>
          <w:color w:val="auto"/>
        </w:rPr>
        <w:t>Allgemeines Meldeportal Statistik</w:t>
      </w:r>
      <w:r>
        <w:rPr>
          <w:rFonts w:ascii="Arial" w:cs="Arial" w:eastAsia="Arial" w:hAnsi="Arial"/>
          <w:sz w:val="18"/>
          <w:szCs w:val="18"/>
          <w:color w:val="auto"/>
        </w:rPr>
        <w:t>”) available on the Bundesbank website (</w:t>
      </w:r>
      <w:r>
        <w:rPr>
          <w:rFonts w:ascii="Arial" w:cs="Arial" w:eastAsia="Arial" w:hAnsi="Arial"/>
          <w:sz w:val="18"/>
          <w:szCs w:val="18"/>
          <w:u w:val="single" w:color="auto"/>
          <w:color w:val="auto"/>
        </w:rPr>
        <w:t>www.bundesbank.de</w:t>
      </w:r>
      <w:r>
        <w:rPr>
          <w:rFonts w:ascii="Arial" w:cs="Arial" w:eastAsia="Arial" w:hAnsi="Arial"/>
          <w:sz w:val="18"/>
          <w:szCs w:val="18"/>
          <w:color w:val="auto"/>
        </w:rPr>
        <w:t>) or via such other method (e.g., by email or telephone) as is permitted or required by Bundesbank. The report must be submitted monthly or within other such timing as is permitted or required by Bundesbank. The Employee should consult with the Employee’s personal advisor(s) regarding any personal legal, regulatory or foreign exchange obligations the Employee may have in connection with the Employee’s participation in the Plan.</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German residents must notify their local tax office of the acquisition of shares of Common Stock when they file their personal income tax returns for the relevant year if the value of the shares of Common Stock acquired exceeds €150,000 or in the unlikely event that the resident holds shares of Common Stock exceeding 10% of the Company’s total shares of Common Stock outstanding. However, if the shares of Common Stock are listed on a recognized U.S. stock exchange and the Employee owns less than 1% of the total shares of Common Stock, this requirement will not apply even if shares of Common Stock with a value exceeding €150,000 are acquired. The Employee should consult with the Employee's personal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 - 4</w:t>
      </w:r>
    </w:p>
    <w:p>
      <w:pPr>
        <w:sectPr>
          <w:pgSz w:w="11900" w:h="16838" w:orient="portrait"/>
          <w:cols w:equalWidth="0" w:num="1">
            <w:col w:w="11240"/>
          </w:cols>
          <w:pgMar w:left="320" w:top="1093" w:right="339" w:bottom="1440" w:gutter="0" w:footer="0" w:header="0"/>
        </w:sectPr>
      </w:pPr>
    </w:p>
    <w:bookmarkStart w:id="82" w:name="page83"/>
    <w:bookmarkEnd w:id="82"/>
    <w:p>
      <w:pPr>
        <w:jc w:val="both"/>
        <w:ind w:right="20"/>
        <w:spacing w:after="0" w:line="287" w:lineRule="auto"/>
        <w:rPr>
          <w:sz w:val="20"/>
          <w:szCs w:val="20"/>
          <w:color w:val="auto"/>
        </w:rPr>
      </w:pPr>
      <w:r>
        <w:rPr>
          <w:rFonts w:ascii="Arial" w:cs="Arial" w:eastAsia="Arial" w:hAnsi="Arial"/>
          <w:sz w:val="18"/>
          <w:szCs w:val="18"/>
          <w:color w:val="auto"/>
        </w:rPr>
        <w:t>advisor(s) regarding any personal foreign asset/foreign account tax obligations the Employee may have in connection with the Employee's participation in the Plan.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GUATEMALA</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Consent to Receive Information in English</w:t>
      </w:r>
      <w:r>
        <w:rPr>
          <w:rFonts w:ascii="Arial" w:cs="Arial" w:eastAsia="Arial" w:hAnsi="Arial"/>
          <w:sz w:val="18"/>
          <w:szCs w:val="18"/>
          <w:color w:val="auto"/>
        </w:rPr>
        <w:t>. By participating in the Plan, the Employee acknowledges that have reviewed Section 19 of this Agreement and are sufficiently proficient in English, or, alternatively, the Employee will seek appropriate assistance, to understand the terms and conditions in this Agreement.</w:t>
      </w:r>
    </w:p>
    <w:p>
      <w:pPr>
        <w:spacing w:after="0" w:line="173" w:lineRule="exact"/>
        <w:rPr>
          <w:sz w:val="20"/>
          <w:szCs w:val="20"/>
          <w:color w:val="auto"/>
        </w:rPr>
      </w:pPr>
    </w:p>
    <w:p>
      <w:pPr>
        <w:jc w:val="both"/>
        <w:spacing w:after="0" w:line="285" w:lineRule="auto"/>
        <w:rPr>
          <w:sz w:val="20"/>
          <w:szCs w:val="20"/>
          <w:color w:val="auto"/>
        </w:rPr>
      </w:pPr>
      <w:r>
        <w:rPr>
          <w:rFonts w:ascii="Arial" w:cs="Arial" w:eastAsia="Arial" w:hAnsi="Arial"/>
          <w:sz w:val="18"/>
          <w:szCs w:val="18"/>
          <w:i w:val="1"/>
          <w:iCs w:val="1"/>
          <w:u w:val="single" w:color="auto"/>
          <w:color w:val="auto"/>
        </w:rPr>
        <w:t>Consentimiento a Recibir Información en Ingles</w:t>
      </w:r>
      <w:r>
        <w:rPr>
          <w:rFonts w:ascii="Arial" w:cs="Arial" w:eastAsia="Arial" w:hAnsi="Arial"/>
          <w:sz w:val="18"/>
          <w:szCs w:val="18"/>
          <w:i w:val="1"/>
          <w:iCs w:val="1"/>
          <w:color w:val="auto"/>
        </w:rPr>
        <w:t>. Al participar en el Plan, usted reconoce que ha revisado la Sección 15 del Convenio y que usted domina inglés, o, en el alternativo, usted buscará la asistencia necesaria para entender los términos y las condiciones del Convenio.</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INDIA</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Repatriation Requirements</w:t>
      </w:r>
      <w:r>
        <w:rPr>
          <w:rFonts w:ascii="Arial" w:cs="Arial" w:eastAsia="Arial" w:hAnsi="Arial"/>
          <w:sz w:val="18"/>
          <w:szCs w:val="18"/>
          <w:color w:val="auto"/>
        </w:rPr>
        <w:t>. The Employee expressly agrees to repatriate all sale proceeds and dividends attributable to shares of Common Stock acquired under the Plan in accordance with local foreign exchange rules and regulations. Neither the Company, the Employer or any of the Company's subsidiaries shall be liable for any fines or penalties resulting from the Employee's failure to comply with applicable laws, rules or regulations.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The Employee is required to declare the Employee's foreign bank accounts and any foreign financial assets (including shares of Common Stock acquired under the Plan held outside India) in the Employee's annual tax return. The Employee should consult with the Employee's personal advisor(s) regarding any personal foreign asset/foreign account tax obligations the Employee may have in connection with the Employee's participation in the Plan.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ITALY</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Acknowledgement of Nature of Award Notice</w:t>
      </w:r>
      <w:r>
        <w:rPr>
          <w:rFonts w:ascii="Arial" w:cs="Arial" w:eastAsia="Arial" w:hAnsi="Arial"/>
          <w:sz w:val="18"/>
          <w:szCs w:val="18"/>
          <w:color w:val="auto"/>
        </w:rPr>
        <w:t>. In accepting the PRSUs, the Employee acknowledges that (a) the Employee has received a copy of the Plan, the Agreement and this Appendix; (b) the Employee has reviewed the applicable documents in their entirety and fully understand the contents thereof; and (c) the Employee accepts all provisions of the Plan, the Agreement and this Appendix.</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Italian residents who, at any time during the fiscal year, hold foreign financial assets (including cash and shares of Common Stock)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 The Employee should consult with the Employee's personal advisor(s) regarding any personal foreign asset/foreign account tax obligations the Employee may have in connection with the Employee's participation in the Plan.</w:t>
      </w:r>
    </w:p>
    <w:p>
      <w:pPr>
        <w:spacing w:after="0" w:line="18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u w:val="single" w:color="auto"/>
          <w:color w:val="auto"/>
        </w:rPr>
        <w:t>Foreign Asset Tax</w:t>
      </w:r>
      <w:r>
        <w:rPr>
          <w:rFonts w:ascii="Arial" w:cs="Arial" w:eastAsia="Arial" w:hAnsi="Arial"/>
          <w:sz w:val="18"/>
          <w:szCs w:val="18"/>
          <w:color w:val="auto"/>
        </w:rPr>
        <w:t>. The value of any shares of Common Stock (and other financial assets) held outside Italy by individuals resident of Italy may be subject to a foreign asset tax. The taxable amount will be the fair market value of the financial assets (e.g., shares of Common Stock) assessed at the end of the calendar year. The value of financial assets held abroad must be reported in Form RM of the annual return. The Employee should consult the Employee's personal tax advisor for additional information on the foreign asset tax.</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JAMAICA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 country-specific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 - 5</w:t>
      </w:r>
    </w:p>
    <w:p>
      <w:pPr>
        <w:sectPr>
          <w:pgSz w:w="11900" w:h="16838" w:orient="portrait"/>
          <w:cols w:equalWidth="0" w:num="1">
            <w:col w:w="11240"/>
          </w:cols>
          <w:pgMar w:left="320" w:top="1093"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highlight w:val="lightGray"/>
        </w:rPr>
        <w:t>MEXICO</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u w:val="single" w:color="auto"/>
          <w:color w:val="auto"/>
        </w:rPr>
        <w:t>Commercial Relationship</w:t>
      </w:r>
      <w:r>
        <w:rPr>
          <w:rFonts w:ascii="Arial" w:cs="Arial" w:eastAsia="Arial" w:hAnsi="Arial"/>
          <w:sz w:val="18"/>
          <w:szCs w:val="18"/>
          <w:color w:val="auto"/>
        </w:rPr>
        <w:t>. The Employee expressly recognizes that the Employee’s participation in the Plan and the Company’s grant of the PRSUs does not constitute an employment relationship between the Employee and the Company. The Employee has been granted the PRSUs as a consequence of the commercial relationship between the Company and the subsidiary in Mexico that employs the Employee (“Conduent-Mexico”) and Conduent-Mexico is the Employee’s sole employer. Based on the foregoing, the Employee expressly recognizes that (a) the Plan and the benefits the Employee may derive from the Employee's participation in the Plan do not establish any rights between the Employee and Conduent-Mexico, (b) the Plan and the benefits the Employee may derive from the Employee's participation in the Plan are not part of the employment conditions and/or benefits provided by Conduent-Mexico, and (c) any modification or amendments of the Plan by the Company, or a termination of the Plan by the Company shall not constitute a change or impairment of the terms and conditions of the Employee’s employment with Conduent-Mexico.</w:t>
      </w:r>
    </w:p>
    <w:p>
      <w:pPr>
        <w:spacing w:after="0" w:line="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Employee further understands that the Employee’s participation in the Plan is as a result of a unilateral and discretionary decision of the Company; therefore, subject to the terms of the Plan, the Company reserves the absolute right to amend and/or discontinue the Employee’s participation at any time without any liability to the Employee.</w:t>
      </w:r>
    </w:p>
    <w:p>
      <w:pPr>
        <w:spacing w:after="0" w:line="1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Finally, the Employee hereby declares that the Employee does not reserve to the Employee any action or right to bring any claim against the Company for any compensation or damages regarding any provision of the Plan or the benefits derived under the Plan, and the Employee therefore grants a full and broad release to the Company, its subsidiaries, affiliates, branches, representation offices, its shareholders, officers, agents or legal representatives with respect to any claim that may arise.</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Extraordinary Item of Compensation</w:t>
      </w:r>
      <w:r>
        <w:rPr>
          <w:rFonts w:ascii="Arial" w:cs="Arial" w:eastAsia="Arial" w:hAnsi="Arial"/>
          <w:sz w:val="18"/>
          <w:szCs w:val="18"/>
          <w:color w:val="auto"/>
        </w:rPr>
        <w:t>. The Employee expressly recognizes and acknowledges that the Employee’s participation in the Plan is a result of the discretionary and unilateral decision of the Company, as well as the Employee’s free and voluntary decision to participate in the Plan in accordance with the terms and conditions of the Plan, the Agreement and this Appendix. As such, the Employee acknowledges and agrees that the Company may, in its sole discretion, amend and/or discontinue the Employee’s participation in the Plan at any time and without liability. The value of the PRSUs is an extraordinary item of compensation outside the scope of the Employee’s employment contract, if any. The PRSUs are not part of the Employee’s regular or expected compensation for purposes of calculating any severance, resignation, redundancy, end of service payments, bonuses, long-service awards, pension or retirement benefits, or any similar payments, which are the exclusive obligations of Conduent-Mexico.</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The PRSUs and any shares of Common Stock acquired under the Plan have not been registered with the National Register of Securities maintained by the Mexican National Banking and Securities Commission and cannot be offered or sold publicly in Mexico. In addition, the Plan, the Agreement and any other document relating to the PRSUs may not be publicly distributed in Mexico. These materials are addressed to the Employee because of the Employee’s existing relationship with the Company or one of the Companies subsidiaries or affiliates,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the Company or one of its subsidiaries or affiliates made in accordance with the provisions of the Mexican Securities Market Law, and any rights under such offering shall not be assigned or transferred.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NETHERLANDS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 country-specific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PERU</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Nature of the Grant</w:t>
      </w:r>
      <w:r>
        <w:rPr>
          <w:rFonts w:ascii="Arial" w:cs="Arial" w:eastAsia="Arial" w:hAnsi="Arial"/>
          <w:sz w:val="18"/>
          <w:szCs w:val="18"/>
          <w:color w:val="auto"/>
        </w:rPr>
        <w:t>. The following provision supplements Section 11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 - 6</w:t>
      </w:r>
    </w:p>
    <w:p>
      <w:pPr>
        <w:sectPr>
          <w:pgSz w:w="11900" w:h="16838" w:orient="portrait"/>
          <w:cols w:equalWidth="0" w:num="1">
            <w:col w:w="11240"/>
          </w:cols>
          <w:pgMar w:left="320" w:top="1093" w:right="339" w:bottom="1440" w:gutter="0" w:footer="0" w:header="0"/>
        </w:sectPr>
      </w:pPr>
    </w:p>
    <w:bookmarkStart w:id="84" w:name="page85"/>
    <w:bookmarkEnd w:id="84"/>
    <w:p>
      <w:pPr>
        <w:jc w:val="both"/>
        <w:spacing w:after="0" w:line="287" w:lineRule="auto"/>
        <w:rPr>
          <w:sz w:val="20"/>
          <w:szCs w:val="20"/>
          <w:color w:val="auto"/>
        </w:rPr>
      </w:pPr>
      <w:r>
        <w:rPr>
          <w:rFonts w:ascii="Arial" w:cs="Arial" w:eastAsia="Arial" w:hAnsi="Arial"/>
          <w:sz w:val="18"/>
          <w:szCs w:val="18"/>
          <w:color w:val="auto"/>
        </w:rPr>
        <w:t xml:space="preserve">The PRSU is being granted </w:t>
      </w:r>
      <w:r>
        <w:rPr>
          <w:rFonts w:ascii="Arial" w:cs="Arial" w:eastAsia="Arial" w:hAnsi="Arial"/>
          <w:sz w:val="18"/>
          <w:szCs w:val="18"/>
          <w:i w:val="1"/>
          <w:iCs w:val="1"/>
          <w:color w:val="auto"/>
        </w:rPr>
        <w:t>ex gratia</w:t>
      </w:r>
      <w:r>
        <w:rPr>
          <w:rFonts w:ascii="Arial" w:cs="Arial" w:eastAsia="Arial" w:hAnsi="Arial"/>
          <w:sz w:val="18"/>
          <w:szCs w:val="18"/>
          <w:color w:val="auto"/>
        </w:rPr>
        <w:t xml:space="preserve"> to the Employee by the Company as an incentive to reward the Employee for the Employee's contributions to the Company.</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xml:space="preserve">. The grant of the PRSUs under the Plan is considered a private offering in Peru and accordingly, is not subject to registration in Peru. For more information concerning the grant of the PRSUs, please refer to the Plan, the Agreement, and any other grant documents made available to the Employee by the Company. For more information regarding the Company, please refer to the Company's most recent annual report on Form 10-K and quarterly report on Form 10-Q available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as well as on the Company's website at </w:t>
      </w:r>
      <w:r>
        <w:rPr>
          <w:rFonts w:ascii="Arial" w:cs="Arial" w:eastAsia="Arial" w:hAnsi="Arial"/>
          <w:sz w:val="18"/>
          <w:szCs w:val="18"/>
          <w:u w:val="single" w:color="auto"/>
          <w:color w:val="auto"/>
        </w:rPr>
        <w:t>https://www.conduent.com/</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ROMANIA</w:t>
      </w:r>
    </w:p>
    <w:p>
      <w:pPr>
        <w:spacing w:after="0" w:line="5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u w:val="single" w:color="auto"/>
          <w:color w:val="auto"/>
        </w:rPr>
        <w:t>English Language</w:t>
      </w:r>
      <w:r>
        <w:rPr>
          <w:rFonts w:ascii="Times New Roman" w:cs="Times New Roman" w:eastAsia="Times New Roman" w:hAnsi="Times New Roman"/>
          <w:sz w:val="18"/>
          <w:szCs w:val="18"/>
          <w:color w:val="auto"/>
        </w:rPr>
        <w:t>. The Employee hereby expressly agrees that the Agreement, the Plan as well as all documents, notices and proceedings entered into, relating directly or indirectly hereto, be drawn up or communicated only in the English language.</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Angajatul consimte în mod expres prin prezentul ca acest Contract, Plan precum şi orice alte documente, notificări, înştiinţări legate direct sau indirect de acest Contract să fie redactate sau efectuate doar în limba engleză.</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The Employee is not required to seek special authorization from the National Bank of Romania in order to open or maintain a foreign bank account. However, if the Employee remits foreign currency into Romania (</w:t>
      </w:r>
      <w:r>
        <w:rPr>
          <w:rFonts w:ascii="Arial" w:cs="Arial" w:eastAsia="Arial" w:hAnsi="Arial"/>
          <w:sz w:val="18"/>
          <w:szCs w:val="18"/>
          <w:i w:val="1"/>
          <w:iCs w:val="1"/>
          <w:color w:val="auto"/>
        </w:rPr>
        <w:t>e.g.</w:t>
      </w:r>
      <w:r>
        <w:rPr>
          <w:rFonts w:ascii="Arial" w:cs="Arial" w:eastAsia="Arial" w:hAnsi="Arial"/>
          <w:sz w:val="18"/>
          <w:szCs w:val="18"/>
          <w:color w:val="auto"/>
        </w:rPr>
        <w:t>, proceeds from the sale of shares of Common Stock), the Employee may be required to provide the Romanian bank through which the foreign currency is transferred with appropriate documentation. The Employee should consult with the Employee’s personal advisor(s) regarding any personal legal, regulatory or foreign exchange obligations the Employee may have in connection with the Employee’s participation in the Plan.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SWITZERLAND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The PRSUs are not intended to be publicly offered in or from Switzerland. Neither this document nor any other materials relating to the PRSUs (1) constitutes a prospectus according to articles 35 et seq. of the Swiss Federal Act on Financial Services (“FinSA”), (2) may be publicly distributed or otherwise made publicly available in Switzerland to any person other than an employee of the Company, or (3) have been or will be filed with, approved or supervised by any Swiss reviewing body according to article 51 FinSA or any Swiss regulatory authority (in particular, the Swiss Financial Market Supervisory Authority).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UNITED KINGDOM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 The following provision supplements Section 10 (Responsibility for Taxes) of the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Without limitation to Section 10 of the Agreement, the Employee agrees to be liable for any Tax-Related Items and hereby covenants to pay any such Tax-Related Items, as and when requested by the Company or the Employer or by HMRC (or any other tax authority or any other relevant authority). The Employee agrees to indemnify and keep indemnified the Company and the Employer against any Tax-Related Items that they are required to pay or withhold or have paid or will pay to HM Revenue &amp; Customs (“HMRC”) (or any other tax authority or any other relevant authority) on the Employee’s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 - 7</w:t>
      </w:r>
    </w:p>
    <w:p>
      <w:pPr>
        <w:sectPr>
          <w:pgSz w:w="11900" w:h="16838" w:orient="portrait"/>
          <w:cols w:equalWidth="0" w:num="1">
            <w:col w:w="11240"/>
          </w:cols>
          <w:pgMar w:left="320" w:top="1201" w:right="339" w:bottom="1440" w:gutter="0" w:footer="0" w:header="0"/>
        </w:sectPr>
      </w:pPr>
    </w:p>
    <w:bookmarkStart w:id="85" w:name="page86"/>
    <w:bookmarkEnd w:id="85"/>
    <w:p>
      <w:pPr>
        <w:jc w:val="both"/>
        <w:spacing w:after="0" w:line="255" w:lineRule="auto"/>
        <w:rPr>
          <w:sz w:val="20"/>
          <w:szCs w:val="20"/>
          <w:color w:val="auto"/>
        </w:rPr>
      </w:pPr>
      <w:r>
        <w:rPr>
          <w:rFonts w:ascii="Arial" w:cs="Arial" w:eastAsia="Arial" w:hAnsi="Arial"/>
          <w:sz w:val="18"/>
          <w:szCs w:val="18"/>
          <w:color w:val="auto"/>
        </w:rPr>
        <w:t>Notwithstanding the foregoing, if the Employee is an executive officer or director (as within the meaning of Section 13(k) of the Exchange Act), the Employee understands that the Employee may not be able to indemnify the Company for the amount of any Tax-Related Items not collected from or paid by the Employee, in case the indemnification could be considered to be a loan. In this case, the Tax-Related Items not collected or paid may constitute a benefit to the Employee on which additional income tax and National Insurance Contributions (“NICs”) may be payable. The Employee acknowledges that the Employee will be personally responsible for reporting and paying any income tax due on this additional benefit directly to the HMRC under the self-assessment regime and for paying the Company or the Employer, as applicable, for the value of any employee NICs due on this additional benefit, which may also be recovered from the Employee by any of the means referred to in Section 10 of the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 - 8</w:t>
      </w:r>
    </w:p>
    <w:p>
      <w:pPr>
        <w:sectPr>
          <w:pgSz w:w="11900" w:h="16838" w:orient="portrait"/>
          <w:cols w:equalWidth="0" w:num="1">
            <w:col w:w="11240"/>
          </w:cols>
          <w:pgMar w:left="320" w:top="1201"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color w:val="auto"/>
        </w:rPr>
        <w:t>Exhibit 10.6(a)(iii)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50"/>
        <w:spacing w:after="0"/>
        <w:rPr>
          <w:sz w:val="20"/>
          <w:szCs w:val="20"/>
          <w:color w:val="auto"/>
        </w:rPr>
      </w:pPr>
      <w:r>
        <w:rPr>
          <w:rFonts w:ascii="Arial" w:cs="Arial" w:eastAsia="Arial" w:hAnsi="Arial"/>
          <w:sz w:val="16"/>
          <w:szCs w:val="16"/>
          <w:b w:val="1"/>
          <w:bCs w:val="1"/>
          <w:color w:val="auto"/>
        </w:rPr>
        <w:t>PERFORMANCE RESTRICTED STOCK UNIT AWARD AGREEMENT PURSUANT TO</w:t>
      </w:r>
    </w:p>
    <w:p>
      <w:pPr>
        <w:jc w:val="center"/>
        <w:ind w:right="150"/>
        <w:spacing w:after="0"/>
        <w:rPr>
          <w:sz w:val="20"/>
          <w:szCs w:val="20"/>
          <w:color w:val="auto"/>
        </w:rPr>
      </w:pPr>
      <w:r>
        <w:rPr>
          <w:rFonts w:ascii="Arial" w:cs="Arial" w:eastAsia="Arial" w:hAnsi="Arial"/>
          <w:sz w:val="16"/>
          <w:szCs w:val="16"/>
          <w:b w:val="1"/>
          <w:bCs w:val="1"/>
          <w:color w:val="auto"/>
        </w:rPr>
        <w:t>CONDUENT INCORPORATED 2021 PERFORMANCE INCENTIVE PLAN</w:t>
      </w:r>
    </w:p>
    <w:p>
      <w:pPr>
        <w:spacing w:after="0" w:line="214" w:lineRule="exact"/>
        <w:rPr>
          <w:sz w:val="20"/>
          <w:szCs w:val="20"/>
          <w:color w:val="auto"/>
        </w:rPr>
      </w:pPr>
    </w:p>
    <w:p>
      <w:pPr>
        <w:jc w:val="both"/>
        <w:ind w:left="10"/>
        <w:spacing w:after="0" w:line="265" w:lineRule="auto"/>
        <w:rPr>
          <w:sz w:val="20"/>
          <w:szCs w:val="20"/>
          <w:color w:val="auto"/>
        </w:rPr>
      </w:pPr>
      <w:r>
        <w:rPr>
          <w:rFonts w:ascii="Arial" w:cs="Arial" w:eastAsia="Arial" w:hAnsi="Arial"/>
          <w:sz w:val="18"/>
          <w:szCs w:val="18"/>
          <w:color w:val="auto"/>
        </w:rPr>
        <w:t>This Performance Restricted Stock Unit Award Agreement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by Conduent Incorporated, a New York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as of the date that appears in the Award Summary (as defined below) and the individual whose name appears on the Award Summary (the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who is an employee of the Company, one of the Company’s subsidiaries or one of its affiliates (the Company, or such subsidiary or affiliate,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w:t>
      </w:r>
    </w:p>
    <w:p>
      <w:pPr>
        <w:spacing w:after="0" w:line="112" w:lineRule="exact"/>
        <w:rPr>
          <w:sz w:val="20"/>
          <w:szCs w:val="20"/>
          <w:color w:val="auto"/>
        </w:rPr>
      </w:pPr>
    </w:p>
    <w:p>
      <w:pPr>
        <w:jc w:val="both"/>
        <w:ind w:left="10"/>
        <w:spacing w:after="0" w:line="268" w:lineRule="auto"/>
        <w:rPr>
          <w:sz w:val="20"/>
          <w:szCs w:val="20"/>
          <w:color w:val="auto"/>
        </w:rPr>
      </w:pPr>
      <w:r>
        <w:rPr>
          <w:rFonts w:ascii="Arial" w:cs="Arial" w:eastAsia="Arial" w:hAnsi="Arial"/>
          <w:sz w:val="18"/>
          <w:szCs w:val="18"/>
          <w:color w:val="auto"/>
        </w:rPr>
        <w:t>In accordance with the provisions of the Conduent Incorporated 2021 Performance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the Compensation Committee of the Board of Directors of the Company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or the Chief Executive Officer (the “</w:t>
      </w:r>
      <w:r>
        <w:rPr>
          <w:rFonts w:ascii="Arial" w:cs="Arial" w:eastAsia="Arial" w:hAnsi="Arial"/>
          <w:sz w:val="18"/>
          <w:szCs w:val="18"/>
          <w:b w:val="1"/>
          <w:bCs w:val="1"/>
          <w:i w:val="1"/>
          <w:iCs w:val="1"/>
          <w:color w:val="auto"/>
        </w:rPr>
        <w:t>CEO</w:t>
      </w:r>
      <w:r>
        <w:rPr>
          <w:rFonts w:ascii="Arial" w:cs="Arial" w:eastAsia="Arial" w:hAnsi="Arial"/>
          <w:sz w:val="18"/>
          <w:szCs w:val="18"/>
          <w:color w:val="auto"/>
        </w:rPr>
        <w:t>") of the Company has authorized the execution and delivery of this Agreement.</w:t>
      </w:r>
    </w:p>
    <w:p>
      <w:pPr>
        <w:spacing w:after="0" w:line="117" w:lineRule="exact"/>
        <w:rPr>
          <w:sz w:val="20"/>
          <w:szCs w:val="20"/>
          <w:color w:val="auto"/>
        </w:rPr>
      </w:pPr>
    </w:p>
    <w:p>
      <w:pPr>
        <w:jc w:val="both"/>
        <w:ind w:left="10"/>
        <w:spacing w:after="0" w:line="287" w:lineRule="auto"/>
        <w:rPr>
          <w:sz w:val="20"/>
          <w:szCs w:val="20"/>
          <w:color w:val="auto"/>
        </w:rPr>
      </w:pPr>
      <w:r>
        <w:rPr>
          <w:rFonts w:ascii="Arial" w:cs="Arial" w:eastAsia="Arial" w:hAnsi="Arial"/>
          <w:sz w:val="18"/>
          <w:szCs w:val="18"/>
          <w:color w:val="auto"/>
        </w:rPr>
        <w:t>Terms used herein that are defined in the Plan or in this Agreement shall have the meanings assigned to them in the Plan or this Agreement, respectively.</w:t>
      </w:r>
    </w:p>
    <w:p>
      <w:pPr>
        <w:spacing w:after="0" w:line="99" w:lineRule="exact"/>
        <w:rPr>
          <w:sz w:val="20"/>
          <w:szCs w:val="20"/>
          <w:color w:val="auto"/>
        </w:rPr>
      </w:pPr>
    </w:p>
    <w:p>
      <w:pPr>
        <w:jc w:val="both"/>
        <w:ind w:left="10"/>
        <w:spacing w:after="0" w:line="268"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Award Summary</w:t>
      </w:r>
      <w:r>
        <w:rPr>
          <w:rFonts w:ascii="Arial" w:cs="Arial" w:eastAsia="Arial" w:hAnsi="Arial"/>
          <w:sz w:val="18"/>
          <w:szCs w:val="18"/>
          <w:b w:val="1"/>
          <w:bCs w:val="1"/>
          <w:color w:val="auto"/>
        </w:rPr>
        <w:t>”</w:t>
      </w:r>
      <w:r>
        <w:rPr>
          <w:rFonts w:ascii="Arial" w:cs="Arial" w:eastAsia="Arial" w:hAnsi="Arial"/>
          <w:sz w:val="18"/>
          <w:szCs w:val="18"/>
          <w:color w:val="auto"/>
        </w:rPr>
        <w:t xml:space="preserve"> is a separate document, provided via email or posted to GEMS or any other applicable Human Resources information system, that provides for the effective date hereof (the “</w:t>
      </w:r>
      <w:r>
        <w:rPr>
          <w:rFonts w:ascii="Arial" w:cs="Arial" w:eastAsia="Arial" w:hAnsi="Arial"/>
          <w:sz w:val="18"/>
          <w:szCs w:val="18"/>
          <w:b w:val="1"/>
          <w:bCs w:val="1"/>
          <w:i w:val="1"/>
          <w:iCs w:val="1"/>
          <w:color w:val="auto"/>
        </w:rPr>
        <w:t>Date of Grant</w:t>
      </w:r>
      <w:r>
        <w:rPr>
          <w:rFonts w:ascii="Arial" w:cs="Arial" w:eastAsia="Arial" w:hAnsi="Arial"/>
          <w:sz w:val="18"/>
          <w:szCs w:val="18"/>
          <w:color w:val="auto"/>
        </w:rPr>
        <w:t>”), and the target number of Performance Restricted Stock Units granted pursuant hereto. The Award Summary is incorporated herein in its entirety.</w:t>
      </w:r>
    </w:p>
    <w:p>
      <w:pPr>
        <w:spacing w:after="0" w:line="117" w:lineRule="exact"/>
        <w:rPr>
          <w:sz w:val="20"/>
          <w:szCs w:val="20"/>
          <w:color w:val="auto"/>
        </w:rPr>
      </w:pPr>
    </w:p>
    <w:p>
      <w:pPr>
        <w:jc w:val="center"/>
        <w:ind w:right="450"/>
        <w:spacing w:after="0"/>
        <w:rPr>
          <w:sz w:val="20"/>
          <w:szCs w:val="20"/>
          <w:color w:val="auto"/>
        </w:rPr>
      </w:pPr>
      <w:r>
        <w:rPr>
          <w:rFonts w:ascii="Arial" w:cs="Arial" w:eastAsia="Arial" w:hAnsi="Arial"/>
          <w:sz w:val="17"/>
          <w:szCs w:val="17"/>
          <w:color w:val="auto"/>
        </w:rPr>
        <w:t>NOW, THEREFORE, in consideration of the premises and for other good and valuable consideration the Company agrees as follows:</w:t>
      </w:r>
    </w:p>
    <w:p>
      <w:pPr>
        <w:spacing w:after="0" w:line="183"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color w:val="auto"/>
        </w:rPr>
        <w:t>AWARDS</w:t>
      </w:r>
    </w:p>
    <w:p>
      <w:pPr>
        <w:spacing w:after="0" w:line="171" w:lineRule="exact"/>
        <w:rPr>
          <w:sz w:val="20"/>
          <w:szCs w:val="20"/>
          <w:color w:val="auto"/>
        </w:rPr>
      </w:pPr>
    </w:p>
    <w:p>
      <w:pPr>
        <w:jc w:val="both"/>
        <w:ind w:left="10" w:right="20" w:hanging="10"/>
        <w:spacing w:after="0" w:line="268" w:lineRule="auto"/>
        <w:tabs>
          <w:tab w:leader="none" w:pos="387"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Award of Performance Restricted Stock Units</w:t>
      </w:r>
      <w:r>
        <w:rPr>
          <w:rFonts w:ascii="Arial" w:cs="Arial" w:eastAsia="Arial" w:hAnsi="Arial"/>
          <w:sz w:val="18"/>
          <w:szCs w:val="18"/>
          <w:color w:val="auto"/>
        </w:rPr>
        <w:t>. Subject to all terms and conditions of the Plan and this Agreement, the Company has awarded to the Employee on the Date of Grant the target number of Performance Restricted Stock Units (the “</w:t>
      </w:r>
      <w:r>
        <w:rPr>
          <w:rFonts w:ascii="Arial" w:cs="Arial" w:eastAsia="Arial" w:hAnsi="Arial"/>
          <w:sz w:val="18"/>
          <w:szCs w:val="18"/>
          <w:b w:val="1"/>
          <w:bCs w:val="1"/>
          <w:i w:val="1"/>
          <w:iCs w:val="1"/>
          <w:color w:val="auto"/>
        </w:rPr>
        <w:t>PRSUs</w:t>
      </w:r>
      <w:r>
        <w:rPr>
          <w:rFonts w:ascii="Arial" w:cs="Arial" w:eastAsia="Arial" w:hAnsi="Arial"/>
          <w:sz w:val="18"/>
          <w:szCs w:val="18"/>
          <w:color w:val="auto"/>
        </w:rPr>
        <w:t>”) as shown on the Award Summary.</w:t>
      </w:r>
    </w:p>
    <w:p>
      <w:pPr>
        <w:spacing w:after="0" w:line="117"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color w:val="auto"/>
        </w:rPr>
        <w:t>TERMS OF THE PERFORMANCE RESTRICTED STOCK UNITS</w:t>
      </w:r>
    </w:p>
    <w:p>
      <w:pPr>
        <w:spacing w:after="0" w:line="171" w:lineRule="exact"/>
        <w:rPr>
          <w:sz w:val="20"/>
          <w:szCs w:val="20"/>
          <w:color w:val="auto"/>
        </w:rPr>
      </w:pPr>
    </w:p>
    <w:p>
      <w:pPr>
        <w:jc w:val="both"/>
        <w:ind w:left="10" w:hanging="10"/>
        <w:spacing w:after="0" w:line="257" w:lineRule="auto"/>
        <w:tabs>
          <w:tab w:leader="none" w:pos="40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Entitlement to Shares</w:t>
      </w:r>
      <w:r>
        <w:rPr>
          <w:rFonts w:ascii="Arial" w:cs="Arial" w:eastAsia="Arial" w:hAnsi="Arial"/>
          <w:sz w:val="18"/>
          <w:szCs w:val="18"/>
          <w:color w:val="auto"/>
        </w:rPr>
        <w:t>. As soon as practicable and within 60 days following the Vesting Date (as defined below) (or such earlier date provided in Section 8) in connection with the PRSUs, the Company shall deliver to the Employee, in such manner as the Company shall determine, a number of shares of common stock of the Company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equal to the number of vested PRSUs as determined pursuant to Section 3 (subject to reduction for withholding of the Employee’s taxes in relation to the award as described in Section 10); provided that any fractional shares shall be delivered in the form of cash equal to the value of such fractional shares on the applicable Vesting Date.</w:t>
      </w:r>
    </w:p>
    <w:p>
      <w:pPr>
        <w:spacing w:after="0" w:line="128" w:lineRule="exact"/>
        <w:rPr>
          <w:rFonts w:ascii="Arial" w:cs="Arial" w:eastAsia="Arial" w:hAnsi="Arial"/>
          <w:sz w:val="18"/>
          <w:szCs w:val="18"/>
          <w:color w:val="auto"/>
        </w:rPr>
      </w:pPr>
    </w:p>
    <w:p>
      <w:pPr>
        <w:jc w:val="both"/>
        <w:ind w:left="10" w:hanging="10"/>
        <w:spacing w:after="0" w:line="256" w:lineRule="auto"/>
        <w:tabs>
          <w:tab w:leader="none" w:pos="223"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PRSUs will be subject to performance-based vesting conditions (the “</w:t>
      </w:r>
      <w:r>
        <w:rPr>
          <w:rFonts w:ascii="Arial" w:cs="Arial" w:eastAsia="Arial" w:hAnsi="Arial"/>
          <w:sz w:val="18"/>
          <w:szCs w:val="18"/>
          <w:b w:val="1"/>
          <w:bCs w:val="1"/>
          <w:i w:val="1"/>
          <w:iCs w:val="1"/>
          <w:color w:val="auto"/>
        </w:rPr>
        <w:t>Performance Conditions</w:t>
      </w:r>
      <w:r>
        <w:rPr>
          <w:rFonts w:ascii="Arial" w:cs="Arial" w:eastAsia="Arial" w:hAnsi="Arial"/>
          <w:sz w:val="18"/>
          <w:szCs w:val="18"/>
          <w:color w:val="auto"/>
        </w:rPr>
        <w:t>”) which are set forth on Exhibit A. The PRSUs shall vest on December 31, 2027 or such earlier date as may be provided in Section 8 (the “</w:t>
      </w:r>
      <w:r>
        <w:rPr>
          <w:rFonts w:ascii="Arial" w:cs="Arial" w:eastAsia="Arial" w:hAnsi="Arial"/>
          <w:sz w:val="18"/>
          <w:szCs w:val="18"/>
          <w:b w:val="1"/>
          <w:bCs w:val="1"/>
          <w:i w:val="1"/>
          <w:iCs w:val="1"/>
          <w:color w:val="auto"/>
        </w:rPr>
        <w:t>Vesting Date</w:t>
      </w:r>
      <w:r>
        <w:rPr>
          <w:rFonts w:ascii="Arial" w:cs="Arial" w:eastAsia="Arial" w:hAnsi="Arial"/>
          <w:sz w:val="18"/>
          <w:szCs w:val="18"/>
          <w:color w:val="auto"/>
        </w:rPr>
        <w:t>”) and the number of PRSUs eligible to vest shall be based on the satisfaction of the Performance Conditions as set forth on Exhibit A and subject to the Employee’s continued employment with or provision of services to the Company or a subsidiary or affiliate through the Vesting Date or as otherwise provided in Section 8. For the avoidance of doubt, the change of the Employee’s status from employee to non-employee member of the Board of Directors of the Company, consultant or contractor who continues to provide services to the Company or a subsidiary or affiliate will not be considered a termination for purposes of this Agreement.</w:t>
      </w:r>
    </w:p>
    <w:p>
      <w:pPr>
        <w:spacing w:after="0" w:line="129" w:lineRule="exact"/>
        <w:rPr>
          <w:sz w:val="20"/>
          <w:szCs w:val="20"/>
          <w:color w:val="auto"/>
        </w:rPr>
      </w:pPr>
    </w:p>
    <w:p>
      <w:pPr>
        <w:ind w:left="10"/>
        <w:spacing w:after="0"/>
        <w:rPr>
          <w:sz w:val="20"/>
          <w:szCs w:val="20"/>
          <w:color w:val="auto"/>
        </w:rPr>
      </w:pPr>
      <w:r>
        <w:rPr>
          <w:rFonts w:ascii="Arial" w:cs="Arial" w:eastAsia="Arial" w:hAnsi="Arial"/>
          <w:sz w:val="18"/>
          <w:szCs w:val="18"/>
          <w:color w:val="auto"/>
        </w:rPr>
        <w:t>Notwithstanding, to the extent all or a portion of the PRSUs have not vested as of the Vesting Date, the unvested PRSUs will be forfeited.</w:t>
      </w:r>
    </w:p>
    <w:p>
      <w:pPr>
        <w:spacing w:after="0" w:line="171" w:lineRule="exact"/>
        <w:rPr>
          <w:sz w:val="20"/>
          <w:szCs w:val="20"/>
          <w:color w:val="auto"/>
        </w:rPr>
      </w:pPr>
    </w:p>
    <w:p>
      <w:pPr>
        <w:ind w:left="10"/>
        <w:spacing w:after="0" w:line="287" w:lineRule="auto"/>
        <w:rPr>
          <w:sz w:val="20"/>
          <w:szCs w:val="20"/>
          <w:color w:val="auto"/>
        </w:rPr>
      </w:pPr>
      <w:r>
        <w:rPr>
          <w:rFonts w:ascii="Arial" w:cs="Arial" w:eastAsia="Arial" w:hAnsi="Arial"/>
          <w:sz w:val="18"/>
          <w:szCs w:val="18"/>
          <w:color w:val="auto"/>
        </w:rPr>
        <w:t>Upon the occurrence of an event constituting a Change in Control, notwithstanding anything to the contrary in Section 8 of the Plan, the PRSUs outstanding on the date of such Change in Control, and</w:t>
      </w:r>
    </w:p>
    <w:p>
      <w:pPr>
        <w:sectPr>
          <w:pgSz w:w="11900" w:h="16838" w:orient="portrait"/>
          <w:cols w:equalWidth="0" w:num="1">
            <w:col w:w="11070"/>
          </w:cols>
          <w:pgMar w:left="490" w:top="364" w:right="339" w:bottom="1440" w:gutter="0" w:footer="0" w:header="0"/>
        </w:sectPr>
      </w:pPr>
    </w:p>
    <w:bookmarkStart w:id="87" w:name="page88"/>
    <w:bookmarkEnd w:id="87"/>
    <w:p>
      <w:pPr>
        <w:jc w:val="both"/>
        <w:ind w:left="10"/>
        <w:spacing w:after="0" w:line="255" w:lineRule="auto"/>
        <w:rPr>
          <w:sz w:val="20"/>
          <w:szCs w:val="20"/>
          <w:color w:val="auto"/>
        </w:rPr>
      </w:pPr>
      <w:r>
        <w:rPr>
          <w:rFonts w:ascii="Arial" w:cs="Arial" w:eastAsia="Arial" w:hAnsi="Arial"/>
          <w:sz w:val="18"/>
          <w:szCs w:val="18"/>
          <w:color w:val="auto"/>
        </w:rPr>
        <w:t xml:space="preserve">any dividend equivalents with respect thereto, shall be assumed by the successor company (or its parent company) and remain outstanding, and thereafter the vesting of such PRSUs, and any dividend equivalents with respect thereto, shall be eligible to vest on the Vesting Date, subject to the Employee’s continued employment with or provision of services to the Company or a subsidiary or an affiliate through the Vesting Date (and the Performance Conditions shall each be deemed to have been achieved at the “Target” level as set forth on Exhibit A as of the date of the Change in Control), and in such instance such PRSUs shall be paid in cash in accordance with the terms of the Plan at the earliest time set forth in the Plan that will not trigger a tax or penalty under Section 409A of the Code, as determined by the Committee;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PRSUs, and any dividend equivalents with respect thereto, shall vest and shall be paid to the extent provided in Section 8 in the event of the Employee’s termination of employment or services following such Change in Control and prior to the Vesting Date. Upon payment pursuant to the terms of the Plan, such awards shall be cancelled.</w:t>
      </w:r>
    </w:p>
    <w:p>
      <w:pPr>
        <w:spacing w:after="0" w:line="127" w:lineRule="exact"/>
        <w:rPr>
          <w:sz w:val="20"/>
          <w:szCs w:val="20"/>
          <w:color w:val="auto"/>
        </w:rPr>
      </w:pPr>
    </w:p>
    <w:p>
      <w:pPr>
        <w:jc w:val="both"/>
        <w:ind w:left="10" w:hanging="10"/>
        <w:spacing w:after="0" w:line="259" w:lineRule="auto"/>
        <w:tabs>
          <w:tab w:leader="none" w:pos="427"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The Employee shall become entitled to receive from the Company on the Vesting Date (or such earlier date provided in Section 8) a cash payment equaling the same amount(s) that the holder of record of a number of shares of Common Stock equal to the number of vested PRSUs (if any) would have been entitled to receive as dividends on such Common Stock during the period commencing on the effective date hereof and ending on the Vesting Date (or such earlier date provided in Section 8) as provided under Section 3. Payments under this Section shall be net of any required withholding taxes.</w:t>
      </w:r>
    </w:p>
    <w:p>
      <w:pPr>
        <w:spacing w:after="0" w:line="125"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u w:val="single" w:color="auto"/>
          <w:color w:val="auto"/>
        </w:rPr>
        <w:t>OTHER TERMS</w:t>
      </w:r>
    </w:p>
    <w:p>
      <w:pPr>
        <w:spacing w:after="0" w:line="171" w:lineRule="exact"/>
        <w:rPr>
          <w:sz w:val="20"/>
          <w:szCs w:val="20"/>
          <w:color w:val="auto"/>
        </w:rPr>
      </w:pPr>
    </w:p>
    <w:p>
      <w:pPr>
        <w:jc w:val="both"/>
        <w:ind w:left="10" w:hanging="10"/>
        <w:spacing w:after="0" w:line="268" w:lineRule="auto"/>
        <w:tabs>
          <w:tab w:leader="none" w:pos="21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Ownership Guidelines</w:t>
      </w:r>
      <w:r>
        <w:rPr>
          <w:rFonts w:ascii="Arial" w:cs="Arial" w:eastAsia="Arial" w:hAnsi="Arial"/>
          <w:sz w:val="18"/>
          <w:szCs w:val="18"/>
          <w:color w:val="auto"/>
        </w:rPr>
        <w:t>. Guidelines pertaining to the Employee’s required ownership of Common Stock and related holding requirements (the “</w:t>
      </w:r>
      <w:r>
        <w:rPr>
          <w:rFonts w:ascii="Arial" w:cs="Arial" w:eastAsia="Arial" w:hAnsi="Arial"/>
          <w:sz w:val="18"/>
          <w:szCs w:val="18"/>
          <w:b w:val="1"/>
          <w:bCs w:val="1"/>
          <w:i w:val="1"/>
          <w:iCs w:val="1"/>
          <w:color w:val="auto"/>
        </w:rPr>
        <w:t>Stock Ownership Guidelines</w:t>
      </w:r>
      <w:r>
        <w:rPr>
          <w:rFonts w:ascii="Arial" w:cs="Arial" w:eastAsia="Arial" w:hAnsi="Arial"/>
          <w:sz w:val="18"/>
          <w:szCs w:val="18"/>
          <w:color w:val="auto"/>
        </w:rPr>
        <w:t>”) shall be determined by the Committee or its authorized delegate, as applicable, in its sole discretion from time to time as communicated to the Employee in writing.</w:t>
      </w:r>
    </w:p>
    <w:p>
      <w:pPr>
        <w:spacing w:after="0" w:line="116" w:lineRule="exact"/>
        <w:rPr>
          <w:rFonts w:ascii="Arial" w:cs="Arial" w:eastAsia="Arial" w:hAnsi="Arial"/>
          <w:sz w:val="18"/>
          <w:szCs w:val="18"/>
          <w:color w:val="auto"/>
        </w:rPr>
      </w:pPr>
    </w:p>
    <w:p>
      <w:pPr>
        <w:jc w:val="both"/>
        <w:ind w:left="10" w:hanging="4"/>
        <w:spacing w:after="0" w:line="268" w:lineRule="auto"/>
        <w:tabs>
          <w:tab w:leader="none" w:pos="373"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Voting Rights/Dividends</w:t>
      </w:r>
      <w:r>
        <w:rPr>
          <w:rFonts w:ascii="Arial" w:cs="Arial" w:eastAsia="Arial" w:hAnsi="Arial"/>
          <w:sz w:val="18"/>
          <w:szCs w:val="18"/>
          <w:color w:val="auto"/>
        </w:rPr>
        <w:t>. Except as otherwise provided herein, the Employee shall have no rights as a shareholder with respect to the PRSUs until the date of issuance of a stock certificate to him for such PRSUs and no adjustment shall be made for dividends or other rights for which the record date is prior to the date the PRSUs become vested.</w:t>
      </w:r>
    </w:p>
    <w:p>
      <w:pPr>
        <w:spacing w:after="0" w:line="116" w:lineRule="exact"/>
        <w:rPr>
          <w:rFonts w:ascii="Arial" w:cs="Arial" w:eastAsia="Arial" w:hAnsi="Arial"/>
          <w:sz w:val="18"/>
          <w:szCs w:val="18"/>
          <w:color w:val="auto"/>
        </w:rPr>
      </w:pPr>
    </w:p>
    <w:p>
      <w:pPr>
        <w:jc w:val="both"/>
        <w:ind w:left="10" w:hanging="10"/>
        <w:spacing w:after="0" w:line="262" w:lineRule="auto"/>
        <w:tabs>
          <w:tab w:leader="none" w:pos="495"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Non-Assignability</w:t>
      </w:r>
      <w:r>
        <w:rPr>
          <w:rFonts w:ascii="Arial" w:cs="Arial" w:eastAsia="Arial" w:hAnsi="Arial"/>
          <w:sz w:val="18"/>
          <w:szCs w:val="18"/>
          <w:color w:val="auto"/>
        </w:rPr>
        <w:t>. Unless otherwise provided by the Committee in its discretion, PRSUs may not be sold, assigned, alienated, transferred, pledged, attached or otherwise encumbered except as provided in Section 7(d)(ii) of the Plan. Any purported sale, assignment, alienation, transfer, pledge, attachment or other encumbrance of a PRSU in violation of the provisions of this Section 7 and Section 7(d)(ii) of the Plan shall be void.</w:t>
      </w:r>
    </w:p>
    <w:p>
      <w:pPr>
        <w:spacing w:after="0" w:line="122" w:lineRule="exact"/>
        <w:rPr>
          <w:rFonts w:ascii="Arial" w:cs="Arial" w:eastAsia="Arial" w:hAnsi="Arial"/>
          <w:sz w:val="18"/>
          <w:szCs w:val="18"/>
          <w:color w:val="auto"/>
        </w:rPr>
      </w:pPr>
    </w:p>
    <w:p>
      <w:pPr>
        <w:ind w:left="350" w:hanging="344"/>
        <w:spacing w:after="0"/>
        <w:tabs>
          <w:tab w:leader="none" w:pos="35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Employment or Services or Death</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730" w:hanging="490"/>
        <w:spacing w:after="0" w:line="287" w:lineRule="auto"/>
        <w:tabs>
          <w:tab w:leader="none" w:pos="695"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Effect on PRSUs</w:t>
      </w:r>
      <w:r>
        <w:rPr>
          <w:rFonts w:ascii="Arial" w:cs="Arial" w:eastAsia="Arial" w:hAnsi="Arial"/>
          <w:sz w:val="18"/>
          <w:szCs w:val="18"/>
          <w:color w:val="auto"/>
        </w:rPr>
        <w:t>. In the event of the Employee’s termination of employment or services prior to December 31, 2027, the PRSUs will be treated as set forth below.</w:t>
      </w:r>
    </w:p>
    <w:p>
      <w:pPr>
        <w:spacing w:after="0" w:line="98" w:lineRule="exact"/>
        <w:rPr>
          <w:rFonts w:ascii="Arial" w:cs="Arial" w:eastAsia="Arial" w:hAnsi="Arial"/>
          <w:sz w:val="18"/>
          <w:szCs w:val="18"/>
          <w:color w:val="auto"/>
        </w:rPr>
      </w:pPr>
    </w:p>
    <w:p>
      <w:pPr>
        <w:jc w:val="both"/>
        <w:ind w:left="1130" w:firstLine="4"/>
        <w:spacing w:after="0" w:line="262" w:lineRule="auto"/>
        <w:tabs>
          <w:tab w:leader="none" w:pos="1865" w:val="left"/>
        </w:tabs>
        <w:numPr>
          <w:ilvl w:val="2"/>
          <w:numId w:val="95"/>
        </w:numPr>
        <w:rPr>
          <w:rFonts w:ascii="Arial" w:cs="Arial" w:eastAsia="Arial" w:hAnsi="Arial"/>
          <w:sz w:val="18"/>
          <w:szCs w:val="18"/>
          <w:color w:val="auto"/>
        </w:rPr>
      </w:pPr>
      <w:r>
        <w:rPr>
          <w:rFonts w:ascii="Arial" w:cs="Arial" w:eastAsia="Arial" w:hAnsi="Arial"/>
          <w:sz w:val="18"/>
          <w:szCs w:val="18"/>
          <w:i w:val="1"/>
          <w:iCs w:val="1"/>
          <w:color w:val="auto"/>
        </w:rPr>
        <w:t>Voluntary Resignation</w:t>
      </w:r>
      <w:r>
        <w:rPr>
          <w:rFonts w:ascii="Arial" w:cs="Arial" w:eastAsia="Arial" w:hAnsi="Arial"/>
          <w:sz w:val="18"/>
          <w:szCs w:val="18"/>
          <w:color w:val="auto"/>
        </w:rPr>
        <w:t>. In the event the Employee voluntarily ceases to be an employee of or otherwise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the Employer for any reason other than a Termination For Good Reason following a Change in Control or a Qualifying Retirement, the PRSUs shall be canceled and forfeited on the date of such voluntary termination of employment or services.</w:t>
      </w:r>
    </w:p>
    <w:p>
      <w:pPr>
        <w:spacing w:after="0" w:line="122" w:lineRule="exact"/>
        <w:rPr>
          <w:rFonts w:ascii="Arial" w:cs="Arial" w:eastAsia="Arial" w:hAnsi="Arial"/>
          <w:sz w:val="18"/>
          <w:szCs w:val="18"/>
          <w:color w:val="auto"/>
        </w:rPr>
      </w:pPr>
    </w:p>
    <w:p>
      <w:pPr>
        <w:jc w:val="both"/>
        <w:ind w:left="1130" w:firstLine="4"/>
        <w:spacing w:after="0" w:line="259" w:lineRule="auto"/>
        <w:tabs>
          <w:tab w:leader="none" w:pos="1557" w:val="left"/>
        </w:tabs>
        <w:numPr>
          <w:ilvl w:val="2"/>
          <w:numId w:val="95"/>
        </w:numPr>
        <w:rPr>
          <w:rFonts w:ascii="Arial" w:cs="Arial" w:eastAsia="Arial" w:hAnsi="Arial"/>
          <w:sz w:val="18"/>
          <w:szCs w:val="18"/>
          <w:color w:val="auto"/>
        </w:rPr>
      </w:pPr>
      <w:r>
        <w:rPr>
          <w:rFonts w:ascii="Arial" w:cs="Arial" w:eastAsia="Arial" w:hAnsi="Arial"/>
          <w:sz w:val="18"/>
          <w:szCs w:val="18"/>
          <w:i w:val="1"/>
          <w:iCs w:val="1"/>
          <w:color w:val="auto"/>
        </w:rPr>
        <w:t xml:space="preserve">Qualifying Retirement. </w:t>
      </w:r>
      <w:r>
        <w:rPr>
          <w:rFonts w:ascii="Arial" w:cs="Arial" w:eastAsia="Arial" w:hAnsi="Arial"/>
          <w:sz w:val="18"/>
          <w:szCs w:val="18"/>
          <w:color w:val="auto"/>
        </w:rPr>
        <w:t>In the event of a Qualifying Retirement, the Employee will remain eligible to vest in the PRSUs</w:t>
      </w:r>
      <w:r>
        <w:rPr>
          <w:rFonts w:ascii="Arial" w:cs="Arial" w:eastAsia="Arial" w:hAnsi="Arial"/>
          <w:sz w:val="18"/>
          <w:szCs w:val="18"/>
          <w:i w:val="1"/>
          <w:iCs w:val="1"/>
          <w:color w:val="auto"/>
        </w:rPr>
        <w:t xml:space="preserve"> </w:t>
      </w:r>
      <w:r>
        <w:rPr>
          <w:rFonts w:ascii="Arial" w:cs="Arial" w:eastAsia="Arial" w:hAnsi="Arial"/>
          <w:sz w:val="18"/>
          <w:szCs w:val="18"/>
          <w:color w:val="auto"/>
        </w:rPr>
        <w:t>that otherwise vest on December 31, 2027 based on the achievement of the Performance Conditions, and any dividend equivalents with respect thereto, without any pro-ration; provided that the Employee (A) completes a successful transition of responsibilities (as determined by the Board of Directors of the Company) and cooperates during the remaining vesting period, (B) complies with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070"/>
          </w:cols>
          <w:pgMar w:left="490" w:top="1417" w:right="339" w:bottom="1440" w:gutter="0" w:footer="0" w:header="0"/>
        </w:sectPr>
      </w:pPr>
    </w:p>
    <w:bookmarkStart w:id="88" w:name="page89"/>
    <w:bookmarkEnd w:id="88"/>
    <w:p>
      <w:pPr>
        <w:jc w:val="both"/>
        <w:ind w:left="180"/>
        <w:spacing w:after="0" w:line="270" w:lineRule="auto"/>
        <w:rPr>
          <w:sz w:val="20"/>
          <w:szCs w:val="20"/>
          <w:color w:val="auto"/>
        </w:rPr>
      </w:pPr>
      <w:r>
        <w:rPr>
          <w:rFonts w:ascii="Arial" w:cs="Arial" w:eastAsia="Arial" w:hAnsi="Arial"/>
          <w:sz w:val="17"/>
          <w:szCs w:val="17"/>
          <w:color w:val="auto"/>
        </w:rPr>
        <w:t>applicable restrictive covenants and non-disparagement provisions during the remaining vesting period, (C) reasonably cooperates with the Company and its affiliates with respect to any investigation, litigation, arbitration, or regulatory proceeding regarding events that occurred during the Employee’s tenure with the Company, and (D) does not accept full time employment at a public or private company (with the exception of (1) board service, teaching, public service, or consulting,</w:t>
      </w:r>
    </w:p>
    <w:p>
      <w:pPr>
        <w:spacing w:after="0" w:line="2" w:lineRule="exact"/>
        <w:rPr>
          <w:sz w:val="20"/>
          <w:szCs w:val="20"/>
          <w:color w:val="auto"/>
        </w:rPr>
      </w:pPr>
    </w:p>
    <w:p>
      <w:pPr>
        <w:jc w:val="both"/>
        <w:ind w:left="180" w:firstLine="4"/>
        <w:spacing w:after="0" w:line="258" w:lineRule="auto"/>
        <w:tabs>
          <w:tab w:leader="none" w:pos="453" w:val="left"/>
        </w:tabs>
        <w:numPr>
          <w:ilvl w:val="0"/>
          <w:numId w:val="96"/>
        </w:numPr>
        <w:rPr>
          <w:rFonts w:ascii="Arial" w:cs="Arial" w:eastAsia="Arial" w:hAnsi="Arial"/>
          <w:sz w:val="18"/>
          <w:szCs w:val="18"/>
          <w:color w:val="auto"/>
        </w:rPr>
      </w:pPr>
      <w:r>
        <w:rPr>
          <w:rFonts w:ascii="Arial" w:cs="Arial" w:eastAsia="Arial" w:hAnsi="Arial"/>
          <w:sz w:val="18"/>
          <w:szCs w:val="18"/>
          <w:color w:val="auto"/>
        </w:rPr>
        <w:t>employment with a family business, non-profit, startup, or other materially similar enterprise, or (3) any other employment specifically approved by the CEO (or, if the Employee was the CEO prior to such retirement, the Board of Directors of the Company).</w:t>
      </w:r>
    </w:p>
    <w:p>
      <w:pPr>
        <w:spacing w:after="0" w:line="124" w:lineRule="exact"/>
        <w:rPr>
          <w:sz w:val="20"/>
          <w:szCs w:val="20"/>
          <w:color w:val="auto"/>
        </w:rPr>
      </w:pPr>
    </w:p>
    <w:p>
      <w:pPr>
        <w:jc w:val="both"/>
        <w:ind w:left="180" w:firstLine="4"/>
        <w:spacing w:after="0" w:line="256" w:lineRule="auto"/>
        <w:tabs>
          <w:tab w:leader="none" w:pos="606"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without Cause. </w:t>
      </w:r>
      <w:r>
        <w:rPr>
          <w:rFonts w:ascii="Arial" w:cs="Arial" w:eastAsia="Arial" w:hAnsi="Arial"/>
          <w:sz w:val="18"/>
          <w:szCs w:val="18"/>
          <w:color w:val="auto"/>
        </w:rPr>
        <w:t>In the event the Employee involuntarily ceases to be an employee of or otherwise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the Employer for any reason other than due to death, Disability, or a termination for Cause, the Employee will remain eligible to vest in a Pro-Rata Amount of PRSUs that otherwise vest on December 31, 2027 based on the achievement of the Performance Conditions, and any dividend equivalents with respect thereto, provided that the number of full months in the numerator of the Pro-Rata Amount will be increased by a number equal to the number of months of cash severance the Employee would be entitled to under the Company’s applicable severance plan or policy, but shall in no event be greater than 36.</w:t>
      </w:r>
    </w:p>
    <w:p>
      <w:pPr>
        <w:spacing w:after="0" w:line="128" w:lineRule="exact"/>
        <w:rPr>
          <w:rFonts w:ascii="Arial" w:cs="Arial" w:eastAsia="Arial" w:hAnsi="Arial"/>
          <w:sz w:val="18"/>
          <w:szCs w:val="18"/>
          <w:color w:val="auto"/>
        </w:rPr>
      </w:pPr>
    </w:p>
    <w:p>
      <w:pPr>
        <w:jc w:val="both"/>
        <w:ind w:left="180" w:firstLine="4"/>
        <w:spacing w:after="0" w:line="254" w:lineRule="auto"/>
        <w:tabs>
          <w:tab w:leader="none" w:pos="63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Qualifying Termination Following Change in Control</w:t>
      </w:r>
      <w:r>
        <w:rPr>
          <w:rFonts w:ascii="Arial" w:cs="Arial" w:eastAsia="Arial" w:hAnsi="Arial"/>
          <w:sz w:val="18"/>
          <w:szCs w:val="18"/>
          <w:color w:val="auto"/>
        </w:rPr>
        <w:t>. In the event the Employee involuntarily ceases to be an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of or otherwise provide services to the Employer following a Change in Control for any reason other than a termination for Cause, or voluntarily ceases to be an employee due to a Termination for Good Reason following a Change in Control, then the PRSUs covered by this Agreement, and any dividend equivalents with respect thereto, shall immediately vest at the “Target” performance level as set forth on Exhibit A (without proration based on the portion of the vesting period elapsed prior to such termination) and shall be paid in cash in accordance with the terms of the Plan within 60 days following the earliest time set forth in the Plan that will not trigger a tax or penalty under Section 409A of the Code, as determined by the Committee. Such vesting shall be contingent, at the discretion of the Company, upon the Employee executing a general release (which may include an agreement with respect to engagement in detrimental activity, in a form acceptable to the Company) and such release becoming effective and irrevocable within the 60-day period following such Termination Date.</w:t>
      </w:r>
    </w:p>
    <w:p>
      <w:pPr>
        <w:spacing w:after="0" w:line="131" w:lineRule="exact"/>
        <w:rPr>
          <w:rFonts w:ascii="Arial" w:cs="Arial" w:eastAsia="Arial" w:hAnsi="Arial"/>
          <w:sz w:val="18"/>
          <w:szCs w:val="18"/>
          <w:color w:val="auto"/>
        </w:rPr>
      </w:pPr>
    </w:p>
    <w:p>
      <w:pPr>
        <w:jc w:val="both"/>
        <w:ind w:left="180" w:firstLine="4"/>
        <w:spacing w:after="0" w:line="259" w:lineRule="auto"/>
        <w:tabs>
          <w:tab w:leader="none" w:pos="603"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Death or Disability</w:t>
      </w:r>
      <w:r>
        <w:rPr>
          <w:rFonts w:ascii="Arial" w:cs="Arial" w:eastAsia="Arial" w:hAnsi="Arial"/>
          <w:sz w:val="18"/>
          <w:szCs w:val="18"/>
          <w:color w:val="auto"/>
        </w:rPr>
        <w:t>. In the event the Employee involuntarily ceases to be an employee of or otherwise provide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Employer by reason of death or Disability prior to a Change in Control, the PRSUs covered by this Agreement, and any dividend equivalents with respect thereto, shall remain eligible to vest pursuant to Section 3 based on the satisfaction of the Performance Conditions and as if such Employee remained employed through the Vesting Date and shall be settled within 60 days following the applicable Vesting Date in accordance with Section 2, without proration.</w:t>
      </w:r>
    </w:p>
    <w:p>
      <w:pPr>
        <w:spacing w:after="0" w:line="125" w:lineRule="exact"/>
        <w:rPr>
          <w:rFonts w:ascii="Arial" w:cs="Arial" w:eastAsia="Arial" w:hAnsi="Arial"/>
          <w:sz w:val="18"/>
          <w:szCs w:val="18"/>
          <w:color w:val="auto"/>
        </w:rPr>
      </w:pPr>
    </w:p>
    <w:p>
      <w:pPr>
        <w:jc w:val="both"/>
        <w:ind w:left="180" w:firstLine="4"/>
        <w:spacing w:after="0" w:line="262" w:lineRule="auto"/>
        <w:tabs>
          <w:tab w:leader="none" w:pos="724"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Termination for Cause</w:t>
      </w:r>
      <w:r>
        <w:rPr>
          <w:rFonts w:ascii="Arial" w:cs="Arial" w:eastAsia="Arial" w:hAnsi="Arial"/>
          <w:sz w:val="18"/>
          <w:szCs w:val="18"/>
          <w:color w:val="auto"/>
        </w:rPr>
        <w:t>. In the event the Employee involuntarily ceases to be an employee of or otherwise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the Employer due to termination for Cause, the PRSUs shall be cancelled and forfeited on the date of such termination of employment or services, in addition to any other rights reserved under the Conduent Incorporated Compensation Recoupment Policy, as may be amended from time to time, or any successor policy.</w:t>
      </w:r>
    </w:p>
    <w:p>
      <w:pPr>
        <w:spacing w:after="0" w:line="122" w:lineRule="exact"/>
        <w:rPr>
          <w:rFonts w:ascii="Arial" w:cs="Arial" w:eastAsia="Arial" w:hAnsi="Arial"/>
          <w:sz w:val="18"/>
          <w:szCs w:val="18"/>
          <w:color w:val="auto"/>
        </w:rPr>
      </w:pPr>
    </w:p>
    <w:p>
      <w:pPr>
        <w:jc w:val="both"/>
        <w:ind w:left="180" w:firstLine="4"/>
        <w:spacing w:after="0" w:line="268" w:lineRule="auto"/>
        <w:tabs>
          <w:tab w:leader="none" w:pos="764"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Termination Date</w:t>
      </w:r>
      <w:r>
        <w:rPr>
          <w:rFonts w:ascii="Arial" w:cs="Arial" w:eastAsia="Arial" w:hAnsi="Arial"/>
          <w:sz w:val="18"/>
          <w:szCs w:val="18"/>
          <w:color w:val="auto"/>
        </w:rPr>
        <w:t>. For purposes of this Agreement and the PRSUs, the Employee’s employment and / or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 will be considered terminated as of the date the Employee is no longer is actively providing services to the Company, the Employer or any affiliate (regardless of the reason for such termination and whether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120"/>
          </w:cols>
          <w:pgMar w:left="1440" w:top="1417" w:right="339" w:bottom="1440" w:gutter="0" w:footer="0" w:header="0"/>
        </w:sectPr>
      </w:pPr>
    </w:p>
    <w:bookmarkStart w:id="89" w:name="page90"/>
    <w:bookmarkEnd w:id="89"/>
    <w:p>
      <w:pPr>
        <w:jc w:val="both"/>
        <w:ind w:left="806"/>
        <w:spacing w:after="0" w:line="255" w:lineRule="auto"/>
        <w:rPr>
          <w:sz w:val="20"/>
          <w:szCs w:val="20"/>
          <w:color w:val="auto"/>
        </w:rPr>
      </w:pPr>
      <w:r>
        <w:rPr>
          <w:rFonts w:ascii="Arial" w:cs="Arial" w:eastAsia="Arial" w:hAnsi="Arial"/>
          <w:sz w:val="18"/>
          <w:szCs w:val="18"/>
          <w:color w:val="auto"/>
        </w:rPr>
        <w:t>not later found to be invalid or in breach of labor laws in the jurisdiction where the Employee provides services or the terms of the Employee's employment or other service agreement, if any), and unless otherwise determined by the Company, the Employee’s right to vest in the PRSUs, if any, will terminate as of such date and, in either case, will not be extended by any notice period (</w:t>
      </w:r>
      <w:r>
        <w:rPr>
          <w:rFonts w:ascii="Arial" w:cs="Arial" w:eastAsia="Arial" w:hAnsi="Arial"/>
          <w:sz w:val="18"/>
          <w:szCs w:val="18"/>
          <w:i w:val="1"/>
          <w:iCs w:val="1"/>
          <w:color w:val="auto"/>
        </w:rPr>
        <w:t>e.g.</w:t>
      </w:r>
      <w:r>
        <w:rPr>
          <w:rFonts w:ascii="Arial" w:cs="Arial" w:eastAsia="Arial" w:hAnsi="Arial"/>
          <w:sz w:val="18"/>
          <w:szCs w:val="18"/>
          <w:color w:val="auto"/>
        </w:rPr>
        <w:t>, the Employee’s period of service would not include any contractual notice period or any period of “garden leave” or similar period mandated under labor laws in the jurisdiction where the Employee provides services or the terms of the Employee's employment or other service agreement, if any). The Committee shall have the exclusive discretion to determine when the Employee no longer is actively providing services for purposes of this Agreement and the PRSUs (including whether the Employee still may be considered to be providing services while on a leave of absence).</w:t>
      </w:r>
    </w:p>
    <w:p>
      <w:pPr>
        <w:spacing w:after="0" w:line="131" w:lineRule="exact"/>
        <w:rPr>
          <w:sz w:val="20"/>
          <w:szCs w:val="20"/>
          <w:color w:val="auto"/>
        </w:rPr>
      </w:pPr>
    </w:p>
    <w:p>
      <w:pPr>
        <w:ind w:left="426" w:hanging="426"/>
        <w:spacing w:after="0"/>
        <w:tabs>
          <w:tab w:leader="none" w:pos="426"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426" w:right="20"/>
        <w:spacing w:after="0" w:line="28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has the meaning set forth in the Conduent Incorporated Compensation Recoupment Policy, as may be amended from time to time, or any successor policy.</w:t>
      </w:r>
    </w:p>
    <w:p>
      <w:pPr>
        <w:spacing w:after="0" w:line="98" w:lineRule="exact"/>
        <w:rPr>
          <w:rFonts w:ascii="Arial" w:cs="Arial" w:eastAsia="Arial" w:hAnsi="Arial"/>
          <w:sz w:val="18"/>
          <w:szCs w:val="18"/>
          <w:color w:val="auto"/>
        </w:rPr>
      </w:pPr>
    </w:p>
    <w:p>
      <w:pPr>
        <w:ind w:left="426"/>
        <w:spacing w:after="0" w:line="28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has the meaning set forth in the Plan, except that for Section 8(a) only, an increase in ownership by Permitted Holders shall not be deemed a Change in Control.</w:t>
      </w:r>
    </w:p>
    <w:p>
      <w:pPr>
        <w:spacing w:after="0" w:line="98" w:lineRule="exact"/>
        <w:rPr>
          <w:rFonts w:ascii="Arial" w:cs="Arial" w:eastAsia="Arial" w:hAnsi="Arial"/>
          <w:sz w:val="18"/>
          <w:szCs w:val="18"/>
          <w:color w:val="auto"/>
        </w:rPr>
      </w:pPr>
    </w:p>
    <w:p>
      <w:pPr>
        <w:ind w:left="426"/>
        <w:spacing w:after="0" w:line="28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Data Protection Laws</w:t>
      </w:r>
      <w:r>
        <w:rPr>
          <w:rFonts w:ascii="Arial" w:cs="Arial" w:eastAsia="Arial" w:hAnsi="Arial"/>
          <w:sz w:val="18"/>
          <w:szCs w:val="18"/>
          <w:color w:val="auto"/>
        </w:rPr>
        <w:t>” means all applicable laws and regulations relating to the processing of Personal Data and privacy that may exist in the relevant jurisdictions.</w:t>
      </w:r>
    </w:p>
    <w:p>
      <w:pPr>
        <w:spacing w:after="0" w:line="98" w:lineRule="exact"/>
        <w:rPr>
          <w:rFonts w:ascii="Arial" w:cs="Arial" w:eastAsia="Arial" w:hAnsi="Arial"/>
          <w:sz w:val="18"/>
          <w:szCs w:val="18"/>
          <w:color w:val="auto"/>
        </w:rPr>
      </w:pPr>
    </w:p>
    <w:p>
      <w:pPr>
        <w:jc w:val="both"/>
        <w:ind w:left="426"/>
        <w:spacing w:after="0" w:line="26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xml:space="preserve">” shall include cessation of active employment or services due to commencement of long-term disability under the Employer’s long-term disability plan or under a disability policy of any subsidiary or affiliate,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Disability shall not be deemed to have occurred for such purposes unless the circumstances would also result in a “disability” within the meaning of Section 409A of the Code.</w:t>
      </w:r>
    </w:p>
    <w:p>
      <w:pPr>
        <w:spacing w:after="0" w:line="122" w:lineRule="exact"/>
        <w:rPr>
          <w:rFonts w:ascii="Arial" w:cs="Arial" w:eastAsia="Arial" w:hAnsi="Arial"/>
          <w:sz w:val="18"/>
          <w:szCs w:val="18"/>
          <w:color w:val="auto"/>
        </w:rPr>
      </w:pPr>
    </w:p>
    <w:p>
      <w:pPr>
        <w:ind w:left="426"/>
        <w:spacing w:after="0" w:line="28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Holders</w:t>
      </w:r>
      <w:r>
        <w:rPr>
          <w:rFonts w:ascii="Arial" w:cs="Arial" w:eastAsia="Arial" w:hAnsi="Arial"/>
          <w:sz w:val="18"/>
          <w:szCs w:val="18"/>
          <w:color w:val="auto"/>
        </w:rPr>
        <w:t>” has the meaning set forth in the Conduent Incorporated Compensation Recoupment Policy, as may be amended from time to time, or any successor policy.</w:t>
      </w:r>
    </w:p>
    <w:p>
      <w:pPr>
        <w:spacing w:after="0" w:line="98" w:lineRule="exact"/>
        <w:rPr>
          <w:rFonts w:ascii="Arial" w:cs="Arial" w:eastAsia="Arial" w:hAnsi="Arial"/>
          <w:sz w:val="18"/>
          <w:szCs w:val="18"/>
          <w:color w:val="auto"/>
        </w:rPr>
      </w:pPr>
    </w:p>
    <w:p>
      <w:pPr>
        <w:jc w:val="both"/>
        <w:ind w:left="426"/>
        <w:spacing w:after="0" w:line="256"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Pro-Rata Amount</w:t>
      </w:r>
      <w:r>
        <w:rPr>
          <w:rFonts w:ascii="Arial" w:cs="Arial" w:eastAsia="Arial" w:hAnsi="Arial"/>
          <w:sz w:val="18"/>
          <w:szCs w:val="18"/>
          <w:color w:val="auto"/>
        </w:rPr>
        <w:t xml:space="preserve">” will be equal to the number of PRSUs that would otherwise vest on December 31, 2027 based on the achievement of the Performance Conditions, multiplied by a fraction, the numerator of which is the number of full months elapsed between January 1, 2025 and the Termination Date and the denominator of which is 36;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vesting shall be contingent, at the discretion of the Company, upon the Employee executing a general release (which may include an agreement with respect to engagement in detrimental activity in a form acceptable to the Company) and such release becoming effective and irrevocable within the 60-day period following such Termination Date. Any PRSUs that do not vest as set forth above shall be forfeited.</w:t>
      </w:r>
    </w:p>
    <w:p>
      <w:pPr>
        <w:spacing w:after="0" w:line="128" w:lineRule="exact"/>
        <w:rPr>
          <w:rFonts w:ascii="Arial" w:cs="Arial" w:eastAsia="Arial" w:hAnsi="Arial"/>
          <w:sz w:val="18"/>
          <w:szCs w:val="18"/>
          <w:color w:val="auto"/>
        </w:rPr>
      </w:pPr>
    </w:p>
    <w:p>
      <w:pPr>
        <w:jc w:val="both"/>
        <w:ind w:left="426"/>
        <w:spacing w:after="0" w:line="260"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Qualifying Retirement</w:t>
      </w:r>
      <w:r>
        <w:rPr>
          <w:rFonts w:ascii="Arial" w:cs="Arial" w:eastAsia="Arial" w:hAnsi="Arial"/>
          <w:sz w:val="18"/>
          <w:szCs w:val="18"/>
          <w:color w:val="auto"/>
        </w:rPr>
        <w:t>” shall mean voluntary termination of Employee’s employment with or services to Employer where (i) the Employee is at least age sixty (60) and has at least five (5) years of service with the Employer or its parents or subsidiaries and</w:t>
      </w:r>
    </w:p>
    <w:p>
      <w:pPr>
        <w:spacing w:after="0" w:line="1" w:lineRule="exact"/>
        <w:rPr>
          <w:rFonts w:ascii="Arial" w:cs="Arial" w:eastAsia="Arial" w:hAnsi="Arial"/>
          <w:sz w:val="18"/>
          <w:szCs w:val="18"/>
          <w:color w:val="auto"/>
        </w:rPr>
      </w:pPr>
    </w:p>
    <w:p>
      <w:pPr>
        <w:jc w:val="both"/>
        <w:ind w:left="426" w:hanging="5"/>
        <w:spacing w:after="0" w:line="258" w:lineRule="auto"/>
        <w:tabs>
          <w:tab w:leader="none" w:pos="716" w:val="left"/>
        </w:tabs>
        <w:numPr>
          <w:ilvl w:val="1"/>
          <w:numId w:val="98"/>
        </w:numPr>
        <w:rPr>
          <w:rFonts w:ascii="Arial" w:cs="Arial" w:eastAsia="Arial" w:hAnsi="Arial"/>
          <w:sz w:val="18"/>
          <w:szCs w:val="18"/>
          <w:color w:val="auto"/>
        </w:rPr>
      </w:pPr>
      <w:r>
        <w:rPr>
          <w:rFonts w:ascii="Arial" w:cs="Arial" w:eastAsia="Arial" w:hAnsi="Arial"/>
          <w:sz w:val="18"/>
          <w:szCs w:val="18"/>
          <w:color w:val="auto"/>
        </w:rPr>
        <w:t>such Employee’s retirement has been agreed to and approved by the Chief Executive Officer of the Company (and, if Employee is a Section 16 officer of the Company, by the Board of Directors of the Company), who shall have the sole discretion to determine the date of retirement of such Employee.</w:t>
      </w:r>
    </w:p>
    <w:p>
      <w:pPr>
        <w:spacing w:after="0" w:line="124" w:lineRule="exact"/>
        <w:rPr>
          <w:sz w:val="20"/>
          <w:szCs w:val="20"/>
          <w:color w:val="auto"/>
        </w:rPr>
      </w:pPr>
    </w:p>
    <w:p>
      <w:pPr>
        <w:ind w:left="42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means the date of the Employee’s termination of employment with or services to the Employer.</w:t>
      </w:r>
    </w:p>
    <w:p>
      <w:pPr>
        <w:spacing w:after="0" w:line="171" w:lineRule="exact"/>
        <w:rPr>
          <w:sz w:val="20"/>
          <w:szCs w:val="20"/>
          <w:color w:val="auto"/>
        </w:rPr>
      </w:pPr>
    </w:p>
    <w:p>
      <w:pPr>
        <w:ind w:left="426"/>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For Good Reason</w:t>
      </w:r>
      <w:r>
        <w:rPr>
          <w:rFonts w:ascii="Arial" w:cs="Arial" w:eastAsia="Arial" w:hAnsi="Arial"/>
          <w:sz w:val="18"/>
          <w:szCs w:val="18"/>
          <w:color w:val="auto"/>
        </w:rPr>
        <w:t>” shall mean the termination of the Employee within two years of the occurrence of any of the following circumstances, provided that (1)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74"/>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746"/>
          </w:cols>
          <w:pgMar w:left="814" w:top="1417" w:right="339" w:bottom="1440" w:gutter="0" w:footer="0" w:header="0"/>
        </w:sectPr>
      </w:pPr>
    </w:p>
    <w:bookmarkStart w:id="90" w:name="page91"/>
    <w:bookmarkEnd w:id="90"/>
    <w:p>
      <w:pPr>
        <w:jc w:val="both"/>
        <w:ind w:left="523"/>
        <w:spacing w:after="0" w:line="262" w:lineRule="auto"/>
        <w:rPr>
          <w:sz w:val="20"/>
          <w:szCs w:val="20"/>
          <w:color w:val="auto"/>
        </w:rPr>
      </w:pPr>
      <w:r>
        <w:rPr>
          <w:rFonts w:ascii="Arial" w:cs="Arial" w:eastAsia="Arial" w:hAnsi="Arial"/>
          <w:sz w:val="18"/>
          <w:szCs w:val="18"/>
          <w:color w:val="auto"/>
        </w:rPr>
        <w:t>circumstance occurs without the Employee’s express written consent after a Change in Control, and (2) the Employee gives the Company notice of the occurrence of the offending circumstance(s) within 90 days of the first occurrence of the circumstance(s), and the Company fails to cure the circumstance(s) within 30 days of receipt of this notice (or the Company notifies the Employee in writing prior to the expiration of such 30-day period that the circumstance(s) will not be cured):</w:t>
      </w:r>
    </w:p>
    <w:p>
      <w:pPr>
        <w:spacing w:after="0" w:line="122" w:lineRule="exact"/>
        <w:rPr>
          <w:sz w:val="20"/>
          <w:szCs w:val="20"/>
          <w:color w:val="auto"/>
        </w:rPr>
      </w:pPr>
    </w:p>
    <w:p>
      <w:pPr>
        <w:ind w:left="903" w:firstLine="4"/>
        <w:spacing w:after="0" w:line="287" w:lineRule="auto"/>
        <w:tabs>
          <w:tab w:leader="none" w:pos="132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material diminution of the Employee’s authority, duties, or responsibilities from those in effect immediately prior to a Change in Control;</w:t>
      </w:r>
    </w:p>
    <w:p>
      <w:pPr>
        <w:spacing w:after="0" w:line="98" w:lineRule="exact"/>
        <w:rPr>
          <w:rFonts w:ascii="Arial" w:cs="Arial" w:eastAsia="Arial" w:hAnsi="Arial"/>
          <w:sz w:val="18"/>
          <w:szCs w:val="18"/>
          <w:color w:val="auto"/>
        </w:rPr>
      </w:pPr>
    </w:p>
    <w:p>
      <w:pPr>
        <w:jc w:val="both"/>
        <w:ind w:left="903" w:firstLine="4"/>
        <w:spacing w:after="0" w:line="255" w:lineRule="auto"/>
        <w:tabs>
          <w:tab w:leader="none" w:pos="1367"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of the following: (1) a material reduction in the Employee’s annual base salary and/or annual target bonus, (2) a failure by the Company to increase the Employee’s annual base salary following a Change in Control at such periodic intervals not materially inconsistent with the Company’s practice prior thereto by at least a percentage equal to the average of the percentage increases in the Employee’s base salary for the three merit pay periods immediately preceding such Change in Control, or (3) the failure to increase the Employee’s salary as the same may be increased from time to time for similarly situated individuals, except that this clause (b) shall not apply to across-the-board salary reductions similarly affecting all similarly situated employees of the Company and all similarly situated employees of any person in control of the Company;</w:t>
      </w:r>
    </w:p>
    <w:p>
      <w:pPr>
        <w:spacing w:after="0" w:line="130" w:lineRule="exact"/>
        <w:rPr>
          <w:rFonts w:ascii="Arial" w:cs="Arial" w:eastAsia="Arial" w:hAnsi="Arial"/>
          <w:sz w:val="18"/>
          <w:szCs w:val="18"/>
          <w:color w:val="auto"/>
        </w:rPr>
      </w:pPr>
    </w:p>
    <w:p>
      <w:pPr>
        <w:jc w:val="both"/>
        <w:ind w:left="903" w:firstLine="4"/>
        <w:spacing w:after="0" w:line="259" w:lineRule="auto"/>
        <w:tabs>
          <w:tab w:leader="none" w:pos="1451"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Company’s requiring the Employee to be based anywhere other than in the metropolitan area in which the Employee was based immediately before the Change in Control (except for required travel on the Company’s business to an extent substantially consistent with the Employee’s present business travel obligations), provided that such required relocation constitutes a material change in the geographic location at which the Employee is required to perform the services;</w:t>
      </w:r>
    </w:p>
    <w:p>
      <w:pPr>
        <w:spacing w:after="0" w:line="125" w:lineRule="exact"/>
        <w:rPr>
          <w:rFonts w:ascii="Arial" w:cs="Arial" w:eastAsia="Arial" w:hAnsi="Arial"/>
          <w:sz w:val="18"/>
          <w:szCs w:val="18"/>
          <w:color w:val="auto"/>
        </w:rPr>
      </w:pPr>
    </w:p>
    <w:p>
      <w:pPr>
        <w:jc w:val="both"/>
        <w:ind w:left="903" w:firstLine="4"/>
        <w:spacing w:after="0" w:line="256" w:lineRule="auto"/>
        <w:tabs>
          <w:tab w:leader="none" w:pos="1406"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failure by the Company to continue in effect any material compensation or benefit plan, vacation policy or any material perquisites in which the Employee participates immediately before the Change in Control (except to the extent such plan terminates in accordance with its terms), unless an equitable arrangement (embodied in an ongoing substitute or alternative plan) has been made with respect to such plan in connection with the Change in Control, or the failure by the Company to continue the Employee’s participation therein (or in such substitute or alternative plan) on a basis not materially less favorable, both in terms of the amount of benefits provided and the level of the Employee’s participation relative to other employees, than existed at the time of the Change in Control; or</w:t>
      </w:r>
    </w:p>
    <w:p>
      <w:pPr>
        <w:spacing w:after="0" w:line="128" w:lineRule="exact"/>
        <w:rPr>
          <w:rFonts w:ascii="Arial" w:cs="Arial" w:eastAsia="Arial" w:hAnsi="Arial"/>
          <w:sz w:val="18"/>
          <w:szCs w:val="18"/>
          <w:color w:val="auto"/>
        </w:rPr>
      </w:pPr>
    </w:p>
    <w:p>
      <w:pPr>
        <w:ind w:left="903" w:firstLine="4"/>
        <w:spacing w:after="0" w:line="287" w:lineRule="auto"/>
        <w:tabs>
          <w:tab w:leader="none" w:pos="134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failure of the Company to obtain a satisfactory agreement from any successor to assume responsibility to perform under this Plan.</w:t>
      </w:r>
    </w:p>
    <w:p>
      <w:pPr>
        <w:spacing w:after="0" w:line="99" w:lineRule="exact"/>
        <w:rPr>
          <w:sz w:val="20"/>
          <w:szCs w:val="20"/>
          <w:color w:val="auto"/>
        </w:rPr>
      </w:pPr>
    </w:p>
    <w:p>
      <w:pPr>
        <w:jc w:val="both"/>
        <w:ind w:left="523"/>
        <w:spacing w:after="0" w:line="259" w:lineRule="auto"/>
        <w:rPr>
          <w:sz w:val="20"/>
          <w:szCs w:val="20"/>
          <w:color w:val="auto"/>
        </w:rPr>
      </w:pPr>
      <w:r>
        <w:rPr>
          <w:rFonts w:ascii="Arial" w:cs="Arial" w:eastAsia="Arial" w:hAnsi="Arial"/>
          <w:sz w:val="18"/>
          <w:szCs w:val="18"/>
          <w:color w:val="auto"/>
        </w:rPr>
        <w:t>A termination by the Employee of his or her employment or services shall not fail to be a Termination for Good Reason merely because of the Employee’s incapacity due to physical or mental illness, or because the Employee’s employment or services continued after the occurrence of any of the events listed in this subsection. For the avoidance of doubt, a Termination for Good Reason by the Employee shall not mean the Company’s reasonable accommodation or modification of the Employee’s authority, duties, or responsibilities because of the Employee’s Disability.</w:t>
      </w:r>
    </w:p>
    <w:p>
      <w:pPr>
        <w:spacing w:after="0" w:line="125" w:lineRule="exact"/>
        <w:rPr>
          <w:sz w:val="20"/>
          <w:szCs w:val="20"/>
          <w:color w:val="auto"/>
        </w:rPr>
      </w:pPr>
    </w:p>
    <w:p>
      <w:pPr>
        <w:jc w:val="both"/>
        <w:ind w:left="423" w:hanging="423"/>
        <w:spacing w:after="0" w:line="262" w:lineRule="auto"/>
        <w:tabs>
          <w:tab w:leader="none" w:pos="624"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Divestiture</w:t>
      </w:r>
      <w:r>
        <w:rPr>
          <w:rFonts w:ascii="Arial" w:cs="Arial" w:eastAsia="Arial" w:hAnsi="Arial"/>
          <w:sz w:val="18"/>
          <w:szCs w:val="18"/>
          <w:color w:val="auto"/>
        </w:rPr>
        <w:t>. Notwithstanding the above, the termination of the Employee’s employment with or services to the Employer in connection with the Employer’s sale (whether by sale of assets or a subsidiary, or both) of a line of business within which the Employee was employed or providing services immediately prior to such sale as determined by the Committee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77"/>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843"/>
          </w:cols>
          <w:pgMar w:left="717" w:top="1417" w:right="339" w:bottom="1440" w:gutter="0" w:footer="0" w:header="0"/>
        </w:sectPr>
      </w:pPr>
    </w:p>
    <w:bookmarkStart w:id="91" w:name="page92"/>
    <w:bookmarkEnd w:id="91"/>
    <w:p>
      <w:pPr>
        <w:jc w:val="both"/>
        <w:ind w:left="650"/>
        <w:spacing w:after="0" w:line="262" w:lineRule="auto"/>
        <w:rPr>
          <w:sz w:val="20"/>
          <w:szCs w:val="20"/>
          <w:color w:val="auto"/>
        </w:rPr>
      </w:pPr>
      <w:r>
        <w:rPr>
          <w:rFonts w:ascii="Arial" w:cs="Arial" w:eastAsia="Arial" w:hAnsi="Arial"/>
          <w:sz w:val="18"/>
          <w:szCs w:val="18"/>
          <w:color w:val="auto"/>
        </w:rPr>
        <w:t>that does not constitute a Change in Control, shall be treated as an involuntary termination of employment or services for purposes of this Agreement and the PRSUs shall vest and be paid as provided in Section 8(a)(iii) above; provided, that, in the event the Employee is offered a comparable position with the acquirer of such line of business and does not accept such offer, the PRSUs shall be cancelled and forfeited on the date of termination of employment or services.</w:t>
      </w:r>
    </w:p>
    <w:p>
      <w:pPr>
        <w:spacing w:after="0" w:line="122" w:lineRule="exact"/>
        <w:rPr>
          <w:sz w:val="20"/>
          <w:szCs w:val="20"/>
          <w:color w:val="auto"/>
        </w:rPr>
      </w:pPr>
    </w:p>
    <w:p>
      <w:pPr>
        <w:jc w:val="both"/>
        <w:ind w:left="10" w:hanging="10"/>
        <w:spacing w:after="0" w:line="256" w:lineRule="auto"/>
        <w:tabs>
          <w:tab w:leader="none" w:pos="387"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General Restrictions</w:t>
      </w:r>
      <w:r>
        <w:rPr>
          <w:rFonts w:ascii="Arial" w:cs="Arial" w:eastAsia="Arial" w:hAnsi="Arial"/>
          <w:sz w:val="18"/>
          <w:szCs w:val="18"/>
          <w:color w:val="auto"/>
        </w:rPr>
        <w:t>. If at any time the Committee or its authorized delegate, as applicable, shall determine, in its discretion, that the listing, registration or qualification of any shares of Common Stock subject to this Agreement upon any securities exchange or under any state or Federal law, or the consent or approval of any government regulatory body, is necessary or desirable as a condition of, or in connection with, the awarding of the PRSUs or the issue or purchase of shares of Common Stock hereunder, the certificates for shares of Common Stock may not be issued in respect of PRSUs in whole or in part unless such listing, registration, qualification, consent or approval shall have been effected or obtained free of any conditions not acceptable to the Committee or its authorized delegate, as applicable, and any delay caused thereby shall in no way affect the date of termination of the PRSUs.</w:t>
      </w:r>
    </w:p>
    <w:p>
      <w:pPr>
        <w:spacing w:after="0" w:line="128" w:lineRule="exact"/>
        <w:rPr>
          <w:rFonts w:ascii="Arial" w:cs="Arial" w:eastAsia="Arial" w:hAnsi="Arial"/>
          <w:sz w:val="18"/>
          <w:szCs w:val="18"/>
          <w:color w:val="auto"/>
        </w:rPr>
      </w:pPr>
    </w:p>
    <w:p>
      <w:pPr>
        <w:ind w:left="450" w:hanging="450"/>
        <w:spacing w:after="0"/>
        <w:tabs>
          <w:tab w:leader="none" w:pos="45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650" w:hanging="407"/>
        <w:spacing w:after="0" w:line="253" w:lineRule="auto"/>
        <w:tabs>
          <w:tab w:leader="none" w:pos="716"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Employee acknowledges and agrees that, regardless of any action taken by the Company or, if different, the Employer, the ultimate liability for all income tax, social insurance, payroll tax, fringe benefits tax, payment on account or other tax-related items related to the Employee’s participation in the Plan and legally applicable or deemed applicable to the Employee (“</w:t>
      </w:r>
      <w:r>
        <w:rPr>
          <w:rFonts w:ascii="Arial" w:cs="Arial" w:eastAsia="Arial" w:hAnsi="Arial"/>
          <w:sz w:val="18"/>
          <w:szCs w:val="18"/>
          <w:b w:val="1"/>
          <w:bCs w:val="1"/>
          <w:i w:val="1"/>
          <w:iCs w:val="1"/>
          <w:color w:val="auto"/>
        </w:rPr>
        <w:t>Tax-Related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Items</w:t>
      </w:r>
      <w:r>
        <w:rPr>
          <w:rFonts w:ascii="Arial" w:cs="Arial" w:eastAsia="Arial" w:hAnsi="Arial"/>
          <w:sz w:val="18"/>
          <w:szCs w:val="18"/>
          <w:color w:val="auto"/>
        </w:rPr>
        <w:t>”) is and remains the Employee’s responsibility and may exceed the amount, if any, actually withheld by the Company 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Employer. The Employee further acknowledges that the Company and/or the Employer (i) make no representations or undertakings regarding the treatment of any Tax-Related Items in connection with any aspect of the PRSUs or the underlying shares of Common Stock, including, but not limited to, the grant, vesting or settlement of the PRSUs, the subsequent sale of shares of Common Stock acquired upon the settlement of the PRSUs and the receipt of any dividends; and (ii) do not commit to and are under no obligation to structure the terms of the grant or any aspect of the PRSUs to reduce or eliminate the Employee’s liability for Tax-Related Items or to achieve any particular tax result. Further, if the Employee is subject to Tax-Related Items in more than one jurisdiction, the Employee acknowledges that the Company and/or the Employer (or former employer, as applicable) may be required to withhold or account for Tax-Related Items in more than one jurisdiction.</w:t>
      </w:r>
    </w:p>
    <w:p>
      <w:pPr>
        <w:spacing w:after="0" w:line="189" w:lineRule="exact"/>
        <w:rPr>
          <w:rFonts w:ascii="Arial" w:cs="Arial" w:eastAsia="Arial" w:hAnsi="Arial"/>
          <w:sz w:val="18"/>
          <w:szCs w:val="18"/>
          <w:color w:val="auto"/>
        </w:rPr>
      </w:pPr>
    </w:p>
    <w:p>
      <w:pPr>
        <w:jc w:val="both"/>
        <w:ind w:left="650" w:hanging="407"/>
        <w:spacing w:after="0" w:line="253" w:lineRule="auto"/>
        <w:tabs>
          <w:tab w:leader="none" w:pos="791" w:val="left"/>
        </w:tabs>
        <w:numPr>
          <w:ilvl w:val="1"/>
          <w:numId w:val="101"/>
        </w:numPr>
        <w:rPr>
          <w:rFonts w:ascii="Arial" w:cs="Arial" w:eastAsia="Arial" w:hAnsi="Arial"/>
          <w:sz w:val="18"/>
          <w:szCs w:val="18"/>
          <w:color w:val="auto"/>
        </w:rPr>
      </w:pPr>
      <w:r>
        <w:rPr>
          <w:rFonts w:ascii="Arial" w:cs="Arial" w:eastAsia="Arial" w:hAnsi="Arial"/>
          <w:sz w:val="18"/>
          <w:szCs w:val="18"/>
          <w:color w:val="auto"/>
        </w:rPr>
        <w:t>Prior to the relevant taxable or tax withholding event, as applicable, the Employee agrees to make adequate arrangements satisfactory to the Company and/or the Employer to satisfy all Tax-Related Items. In this regard, the Employee authorizes the Company and/or the Employer, or their respective agents, at their discretion, to satisfy any applicable withholding obligations with regard to all Tax-Related Items by one or a combination of the following: (i) requiring the Employee to make a payment in a form acceptable to the Company, (ii) withholding from the Employee’s wages or other compensation payable to the Employee, (iii) withholding from proceeds of the sale of the shares of Common Stock acquired upon the settlement of the PRSUs either through a voluntary sale or through a mandatory sale arranged by the Company (on the Employee’s behalf pursuant to this authorization without further consent), (iv) withholding from the shares of Common Stock otherwise issuable at vesting of the PRSUs, provided, however, that if the Employee is subject to the reporting and other provisions of Section 16 of the Exchange Act, the Company shall affirmatively approve, by Board action, any such withholding of shares of Common Stock as contemplated in the immediately preceding proviso, or (v) any other method of withholding determined by the Company and, to the extent required by applicable law or the Plan, approved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070"/>
          </w:cols>
          <w:pgMar w:left="490" w:top="1417" w:right="339" w:bottom="1440" w:gutter="0" w:footer="0" w:header="0"/>
        </w:sectPr>
      </w:pPr>
    </w:p>
    <w:bookmarkStart w:id="92" w:name="page93"/>
    <w:bookmarkEnd w:id="92"/>
    <w:p>
      <w:pPr>
        <w:jc w:val="both"/>
        <w:ind w:left="650" w:hanging="407"/>
        <w:spacing w:after="0" w:line="255" w:lineRule="auto"/>
        <w:tabs>
          <w:tab w:leader="none" w:pos="70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Company and/or the Employer may withhold or account for Tax-Related Items by considering statutory withholding rates or other withholding rates, including maximum rates applicable in the Employee’s jurisdiction(s). In the event of over-withholding, the Employee may receive a refund of any over-withheld amount in cash (with no entitlement to the equivalent in shares of Common Stock) or, if not refunded, the Employee may seek a refund from the local tax authorities. In the event of under-withholding, the Employee may be required to pay additional Tax-Related Items directly to the applicable tax authority or to the Company and/or the Employer. If the obligation for Tax-Related Items is satisfied by withholding in shares of Common Stock, for tax purposes, the Employee is deemed to have been issued the full number of shares of Common Stock subject to the vested PRSUs, notwithstanding that a number of the shares of Common Stock is held back solely for the purpose of paying the Tax-Related Items.</w:t>
      </w:r>
    </w:p>
    <w:p>
      <w:pPr>
        <w:spacing w:after="0" w:line="184" w:lineRule="exact"/>
        <w:rPr>
          <w:rFonts w:ascii="Arial" w:cs="Arial" w:eastAsia="Arial" w:hAnsi="Arial"/>
          <w:sz w:val="18"/>
          <w:szCs w:val="18"/>
          <w:color w:val="auto"/>
        </w:rPr>
      </w:pPr>
    </w:p>
    <w:p>
      <w:pPr>
        <w:jc w:val="both"/>
        <w:ind w:left="650" w:hanging="407"/>
        <w:spacing w:after="0" w:line="259" w:lineRule="auto"/>
        <w:tabs>
          <w:tab w:leader="none" w:pos="794"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Employee agrees to pay to the Company or the Employer any amount of Tax-Related Items that the Company or the Employer may be required to withhold or account for as a result of the Employe’s participation in the Plan that cannot be satisfied by the means previously described. The Company may refuse to issue or deliver the shares of Common Stock or the proceeds of the sale of the shares of Common Stock acquired upon the vesting of the PRSUs, if the Employee fails to comply with the Employee's obligations in connection with the Tax-Related Items.</w:t>
      </w:r>
    </w:p>
    <w:p>
      <w:pPr>
        <w:spacing w:after="0" w:line="125" w:lineRule="exact"/>
        <w:rPr>
          <w:rFonts w:ascii="Arial" w:cs="Arial" w:eastAsia="Arial" w:hAnsi="Arial"/>
          <w:sz w:val="18"/>
          <w:szCs w:val="18"/>
          <w:color w:val="auto"/>
        </w:rPr>
      </w:pPr>
    </w:p>
    <w:p>
      <w:pPr>
        <w:ind w:left="430" w:hanging="430"/>
        <w:spacing w:after="0"/>
        <w:tabs>
          <w:tab w:leader="none" w:pos="43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Nature of Award</w:t>
      </w:r>
      <w:r>
        <w:rPr>
          <w:rFonts w:ascii="Arial" w:cs="Arial" w:eastAsia="Arial" w:hAnsi="Arial"/>
          <w:sz w:val="18"/>
          <w:szCs w:val="18"/>
          <w:color w:val="auto"/>
        </w:rPr>
        <w:t>. In accepting the award, the Employee acknowledges that:</w:t>
      </w:r>
    </w:p>
    <w:p>
      <w:pPr>
        <w:spacing w:after="0" w:line="171" w:lineRule="exact"/>
        <w:rPr>
          <w:rFonts w:ascii="Arial" w:cs="Arial" w:eastAsia="Arial" w:hAnsi="Arial"/>
          <w:sz w:val="18"/>
          <w:szCs w:val="18"/>
          <w:color w:val="auto"/>
        </w:rPr>
      </w:pPr>
    </w:p>
    <w:p>
      <w:pPr>
        <w:jc w:val="both"/>
        <w:ind w:left="650" w:right="20" w:hanging="407"/>
        <w:spacing w:after="0" w:line="268" w:lineRule="auto"/>
        <w:tabs>
          <w:tab w:leader="none" w:pos="71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in a manner consistent with Section 9(e) of the Plan regarding Plan amendment and termination and, in addition, the PRSUs are subject to modification and adjustment under Section 9(c) of the Plan;</w:t>
      </w:r>
    </w:p>
    <w:p>
      <w:pPr>
        <w:spacing w:after="0" w:line="116" w:lineRule="exact"/>
        <w:rPr>
          <w:rFonts w:ascii="Arial" w:cs="Arial" w:eastAsia="Arial" w:hAnsi="Arial"/>
          <w:sz w:val="18"/>
          <w:szCs w:val="18"/>
          <w:color w:val="auto"/>
        </w:rPr>
      </w:pPr>
    </w:p>
    <w:p>
      <w:pPr>
        <w:ind w:left="250" w:right="20" w:firstLine="74"/>
        <w:spacing w:after="0" w:line="287" w:lineRule="auto"/>
        <w:tabs>
          <w:tab w:leader="none" w:pos="1131" w:val="left"/>
        </w:tabs>
        <w:numPr>
          <w:ilvl w:val="2"/>
          <w:numId w:val="103"/>
        </w:numPr>
        <w:rPr>
          <w:rFonts w:ascii="Arial" w:cs="Arial" w:eastAsia="Arial" w:hAnsi="Arial"/>
          <w:sz w:val="18"/>
          <w:szCs w:val="18"/>
          <w:color w:val="auto"/>
        </w:rPr>
      </w:pPr>
      <w:r>
        <w:rPr>
          <w:rFonts w:ascii="Arial" w:cs="Arial" w:eastAsia="Arial" w:hAnsi="Arial"/>
          <w:sz w:val="18"/>
          <w:szCs w:val="18"/>
          <w:color w:val="auto"/>
        </w:rPr>
        <w:t>the award of the PRSUs is voluntary and occasional and does not create any contractual or other right to receive future grants of PRSUs, or benefits in lieu of PRSUs, even if PRSUs have been granted repeatedly in the past;</w:t>
      </w:r>
    </w:p>
    <w:p>
      <w:pPr>
        <w:spacing w:after="0" w:line="98" w:lineRule="exact"/>
        <w:rPr>
          <w:rFonts w:ascii="Arial" w:cs="Arial" w:eastAsia="Arial" w:hAnsi="Arial"/>
          <w:sz w:val="18"/>
          <w:szCs w:val="18"/>
          <w:color w:val="auto"/>
        </w:rPr>
      </w:pPr>
    </w:p>
    <w:p>
      <w:pPr>
        <w:ind w:left="250" w:right="20" w:firstLine="74"/>
        <w:spacing w:after="0" w:line="287" w:lineRule="auto"/>
        <w:tabs>
          <w:tab w:leader="none" w:pos="1131" w:val="left"/>
        </w:tabs>
        <w:numPr>
          <w:ilvl w:val="2"/>
          <w:numId w:val="103"/>
        </w:numPr>
        <w:rPr>
          <w:rFonts w:ascii="Arial" w:cs="Arial" w:eastAsia="Arial" w:hAnsi="Arial"/>
          <w:sz w:val="18"/>
          <w:szCs w:val="18"/>
          <w:color w:val="auto"/>
        </w:rPr>
      </w:pPr>
      <w:r>
        <w:rPr>
          <w:rFonts w:ascii="Arial" w:cs="Arial" w:eastAsia="Arial" w:hAnsi="Arial"/>
          <w:sz w:val="18"/>
          <w:szCs w:val="18"/>
          <w:color w:val="auto"/>
        </w:rPr>
        <w:t>all decisions with respect to future PRSU awards, if any, will be at the sole discretion of the Committee or its authorized delegate, as applicable;</w:t>
      </w:r>
    </w:p>
    <w:p>
      <w:pPr>
        <w:spacing w:after="0" w:line="98" w:lineRule="exact"/>
        <w:rPr>
          <w:rFonts w:ascii="Arial" w:cs="Arial" w:eastAsia="Arial" w:hAnsi="Arial"/>
          <w:sz w:val="18"/>
          <w:szCs w:val="18"/>
          <w:color w:val="auto"/>
        </w:rPr>
      </w:pPr>
    </w:p>
    <w:p>
      <w:pPr>
        <w:jc w:val="both"/>
        <w:ind w:left="250" w:firstLine="74"/>
        <w:spacing w:after="0" w:line="268" w:lineRule="auto"/>
        <w:tabs>
          <w:tab w:leader="none" w:pos="1135" w:val="left"/>
        </w:tabs>
        <w:numPr>
          <w:ilvl w:val="2"/>
          <w:numId w:val="103"/>
        </w:numPr>
        <w:rPr>
          <w:rFonts w:ascii="Arial" w:cs="Arial" w:eastAsia="Arial" w:hAnsi="Arial"/>
          <w:sz w:val="18"/>
          <w:szCs w:val="18"/>
          <w:color w:val="auto"/>
        </w:rPr>
      </w:pPr>
      <w:r>
        <w:rPr>
          <w:rFonts w:ascii="Arial" w:cs="Arial" w:eastAsia="Arial" w:hAnsi="Arial"/>
          <w:sz w:val="18"/>
          <w:szCs w:val="18"/>
          <w:color w:val="auto"/>
        </w:rPr>
        <w:t>the Employee’s participation in the Plan shall not create a right to further employment with the Employer and shall not interfere with the ability of the Employer to terminate the Employee’s employment relationship at any time; further, the PRSU award and the Employee’s participation in the Plan will not be interpreted to form an employment contract or relationship with the Employer;</w:t>
      </w:r>
    </w:p>
    <w:p>
      <w:pPr>
        <w:spacing w:after="0" w:line="116" w:lineRule="exact"/>
        <w:rPr>
          <w:rFonts w:ascii="Arial" w:cs="Arial" w:eastAsia="Arial" w:hAnsi="Arial"/>
          <w:sz w:val="18"/>
          <w:szCs w:val="18"/>
          <w:color w:val="auto"/>
        </w:rPr>
      </w:pPr>
    </w:p>
    <w:p>
      <w:pPr>
        <w:ind w:left="1130" w:hanging="806"/>
        <w:spacing w:after="0"/>
        <w:tabs>
          <w:tab w:leader="none" w:pos="113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the Employee is voluntarily participating in the Plan;</w:t>
      </w:r>
    </w:p>
    <w:p>
      <w:pPr>
        <w:spacing w:after="0" w:line="171" w:lineRule="exact"/>
        <w:rPr>
          <w:rFonts w:ascii="Arial" w:cs="Arial" w:eastAsia="Arial" w:hAnsi="Arial"/>
          <w:sz w:val="18"/>
          <w:szCs w:val="18"/>
          <w:color w:val="auto"/>
        </w:rPr>
      </w:pPr>
    </w:p>
    <w:p>
      <w:pPr>
        <w:jc w:val="both"/>
        <w:ind w:left="250" w:firstLine="74"/>
        <w:spacing w:after="0" w:line="268" w:lineRule="auto"/>
        <w:tabs>
          <w:tab w:leader="none" w:pos="1131" w:val="left"/>
        </w:tabs>
        <w:numPr>
          <w:ilvl w:val="2"/>
          <w:numId w:val="103"/>
        </w:numPr>
        <w:rPr>
          <w:rFonts w:ascii="Arial" w:cs="Arial" w:eastAsia="Arial" w:hAnsi="Arial"/>
          <w:sz w:val="18"/>
          <w:szCs w:val="18"/>
          <w:color w:val="auto"/>
        </w:rPr>
      </w:pPr>
      <w:r>
        <w:rPr>
          <w:rFonts w:ascii="Arial" w:cs="Arial" w:eastAsia="Arial" w:hAnsi="Arial"/>
          <w:sz w:val="18"/>
          <w:szCs w:val="18"/>
          <w:color w:val="auto"/>
        </w:rPr>
        <w:t>the PRSUs and the shares of Common Stock subject to the PRSUs are an extraordinary item that does not constitute compensation of any kind for services of any kind rendered to the Employer, and which is outside the scope of the Employee’s employment contract, if any;</w:t>
      </w:r>
    </w:p>
    <w:p>
      <w:pPr>
        <w:spacing w:after="0" w:line="116" w:lineRule="exact"/>
        <w:rPr>
          <w:rFonts w:ascii="Arial" w:cs="Arial" w:eastAsia="Arial" w:hAnsi="Arial"/>
          <w:sz w:val="18"/>
          <w:szCs w:val="18"/>
          <w:color w:val="auto"/>
        </w:rPr>
      </w:pPr>
    </w:p>
    <w:p>
      <w:pPr>
        <w:ind w:left="250" w:right="20" w:firstLine="74"/>
        <w:spacing w:after="0" w:line="287" w:lineRule="auto"/>
        <w:tabs>
          <w:tab w:leader="none" w:pos="1135" w:val="left"/>
        </w:tabs>
        <w:numPr>
          <w:ilvl w:val="2"/>
          <w:numId w:val="103"/>
        </w:numPr>
        <w:rPr>
          <w:rFonts w:ascii="Arial" w:cs="Arial" w:eastAsia="Arial" w:hAnsi="Arial"/>
          <w:sz w:val="18"/>
          <w:szCs w:val="18"/>
          <w:color w:val="auto"/>
        </w:rPr>
      </w:pPr>
      <w:r>
        <w:rPr>
          <w:rFonts w:ascii="Arial" w:cs="Arial" w:eastAsia="Arial" w:hAnsi="Arial"/>
          <w:sz w:val="18"/>
          <w:szCs w:val="18"/>
          <w:color w:val="auto"/>
        </w:rPr>
        <w:t>the PRSUs and the shares of Common Stock subject to the PRSUs are not intended to replace any pension rights or compensation;</w:t>
      </w:r>
    </w:p>
    <w:p>
      <w:pPr>
        <w:spacing w:after="0" w:line="98" w:lineRule="exact"/>
        <w:rPr>
          <w:rFonts w:ascii="Arial" w:cs="Arial" w:eastAsia="Arial" w:hAnsi="Arial"/>
          <w:sz w:val="18"/>
          <w:szCs w:val="18"/>
          <w:color w:val="auto"/>
        </w:rPr>
      </w:pPr>
    </w:p>
    <w:p>
      <w:pPr>
        <w:jc w:val="both"/>
        <w:ind w:left="250" w:firstLine="74"/>
        <w:spacing w:after="0" w:line="262" w:lineRule="auto"/>
        <w:tabs>
          <w:tab w:leader="none" w:pos="1131" w:val="left"/>
        </w:tabs>
        <w:numPr>
          <w:ilvl w:val="2"/>
          <w:numId w:val="103"/>
        </w:numPr>
        <w:rPr>
          <w:rFonts w:ascii="Arial" w:cs="Arial" w:eastAsia="Arial" w:hAnsi="Arial"/>
          <w:sz w:val="18"/>
          <w:szCs w:val="18"/>
          <w:color w:val="auto"/>
        </w:rPr>
      </w:pPr>
      <w:r>
        <w:rPr>
          <w:rFonts w:ascii="Arial" w:cs="Arial" w:eastAsia="Arial" w:hAnsi="Arial"/>
          <w:sz w:val="18"/>
          <w:szCs w:val="18"/>
          <w:color w:val="auto"/>
        </w:rPr>
        <w:t>the PRSUs and the shares of Common Stock subject to the PRSUs are not part of normal or expected compensation or salary for any purposes, including, but not limited to, calculating any severance, resignation, termination, redundancy, dismissal, end of service payments, bonuses, long-service awards, pension or retirement or welfare benefits or similar payments and in no event should be considered as compensation for, or relating in any way to, past services for the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070"/>
          </w:cols>
          <w:pgMar w:left="490" w:top="1417" w:right="339" w:bottom="1440" w:gutter="0" w:footer="0" w:header="0"/>
        </w:sectPr>
      </w:pPr>
    </w:p>
    <w:bookmarkStart w:id="93" w:name="page94"/>
    <w:bookmarkEnd w:id="93"/>
    <w:p>
      <w:pPr>
        <w:ind w:left="1130" w:hanging="806"/>
        <w:spacing w:after="0"/>
        <w:tabs>
          <w:tab w:leader="none" w:pos="113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future value of the underlying shares of Common Stock is unknown and cannot be predicted with certainty;</w:t>
      </w:r>
    </w:p>
    <w:p>
      <w:pPr>
        <w:spacing w:after="0" w:line="171" w:lineRule="exact"/>
        <w:rPr>
          <w:sz w:val="20"/>
          <w:szCs w:val="20"/>
          <w:color w:val="auto"/>
        </w:rPr>
      </w:pPr>
    </w:p>
    <w:p>
      <w:pPr>
        <w:jc w:val="both"/>
        <w:ind w:left="250" w:firstLine="81"/>
        <w:spacing w:after="0" w:line="255" w:lineRule="auto"/>
        <w:rPr>
          <w:sz w:val="20"/>
          <w:szCs w:val="20"/>
          <w:color w:val="auto"/>
        </w:rPr>
      </w:pPr>
      <w:r>
        <w:rPr>
          <w:rFonts w:ascii="Arial" w:cs="Arial" w:eastAsia="Arial" w:hAnsi="Arial"/>
          <w:sz w:val="18"/>
          <w:szCs w:val="18"/>
          <w:color w:val="auto"/>
        </w:rPr>
        <w:t>(i)in consideration of the award of the PRSUs, no claim or entitlement to compensation or damages shall arise from forfeiture of the PRSUs, including, but not limited to, (i) forfeiture resulting from termination of the Employee’s employment with or services to the Employer (for any reason whatsoever and whether or not in breach of local labor laws) and/or (ii) forfeiture of the PRSUs or the recoupment of any shares of Common Stock or other benefits or payments acquired under the Plan resulting from the application of any recoupment or clawback policy or provision required by the Company or any recovery or clawback otherwise required by law, as further described in Section 16. The Employee irrevocably releases the Company and the Employer from any such claim that may arise; if, notwithstanding the foregoing, any such claim is found by a court of competent jurisdiction to have arisen, the Employee shall be deemed irrevocably to have waived the Employee’s entitlement to pursue such claim; and</w:t>
      </w:r>
    </w:p>
    <w:p>
      <w:pPr>
        <w:spacing w:after="0" w:line="131" w:lineRule="exact"/>
        <w:rPr>
          <w:sz w:val="20"/>
          <w:szCs w:val="20"/>
          <w:color w:val="auto"/>
        </w:rPr>
      </w:pPr>
    </w:p>
    <w:p>
      <w:pPr>
        <w:jc w:val="both"/>
        <w:ind w:left="250" w:right="20" w:firstLine="81"/>
        <w:spacing w:after="0" w:line="287" w:lineRule="auto"/>
        <w:rPr>
          <w:sz w:val="20"/>
          <w:szCs w:val="20"/>
          <w:color w:val="auto"/>
        </w:rPr>
      </w:pPr>
      <w:r>
        <w:rPr>
          <w:rFonts w:ascii="Arial" w:cs="Arial" w:eastAsia="Arial" w:hAnsi="Arial"/>
          <w:sz w:val="18"/>
          <w:szCs w:val="18"/>
          <w:color w:val="auto"/>
        </w:rPr>
        <w:t>(j)subject to the provisions in the Plan regarding Change in Control, PRSUs and the benefits under the Plan, if any, will not automatically transfer to another company in the case of a merger, take-over or transfer of liability.</w:t>
      </w:r>
    </w:p>
    <w:p>
      <w:pPr>
        <w:spacing w:after="0" w:line="99" w:lineRule="exact"/>
        <w:rPr>
          <w:sz w:val="20"/>
          <w:szCs w:val="20"/>
          <w:color w:val="auto"/>
        </w:rPr>
      </w:pPr>
    </w:p>
    <w:p>
      <w:pPr>
        <w:jc w:val="both"/>
        <w:ind w:left="10" w:hanging="10"/>
        <w:spacing w:after="0" w:line="262" w:lineRule="auto"/>
        <w:tabs>
          <w:tab w:leader="none" w:pos="581"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No Advice Regarding Award</w:t>
      </w:r>
      <w:r>
        <w:rPr>
          <w:rFonts w:ascii="Arial" w:cs="Arial" w:eastAsia="Arial" w:hAnsi="Arial"/>
          <w:sz w:val="18"/>
          <w:szCs w:val="18"/>
          <w:color w:val="auto"/>
        </w:rPr>
        <w:t>. Neither the Company nor the Employer is providing any tax, legal or financial advice, nor is the Company or Employer making any recommendations regarding the Employee’s participation in the Plan, or his or her acquisition or sale of the underlying shares of Common Stock. The Employee is hereby advised to consult with the Employee’s own personal tax, legal and financial advisors regarding the Employee’s participation in the Plan before taking any action related to the Plan.</w:t>
      </w:r>
    </w:p>
    <w:p>
      <w:pPr>
        <w:spacing w:after="0" w:line="122" w:lineRule="exact"/>
        <w:rPr>
          <w:rFonts w:ascii="Arial" w:cs="Arial" w:eastAsia="Arial" w:hAnsi="Arial"/>
          <w:sz w:val="18"/>
          <w:szCs w:val="18"/>
          <w:color w:val="auto"/>
        </w:rPr>
      </w:pPr>
    </w:p>
    <w:p>
      <w:pPr>
        <w:jc w:val="both"/>
        <w:ind w:left="10" w:hanging="10"/>
        <w:spacing w:after="0" w:line="253"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Notwithstanding any other provision of the Plan or this Agreement, unless there is an available exemption from any registration, qualification or other legal requirement applicable to the shares of Common Stock, the Company shall not be required to deliver any shares of Common Stock issuable upon settlement of the PRSUs prior to the completion of any registration or qualification of the Common Stock under any U.S. or non-U.S. local, state or federal securities or other applicable law or under rulings or regulations of the U.S.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 or of any other U.S. or non-U.S. governmental regulatory body, or prior to obtaining any approval or other clearance from any U.S. or non-U.S. local, state or federal governmental agency, which registration, qualification or approval the Company shall, in its absolute discretion, deem necessary or advisable. The Employee understands that the Company is under no obligation to register or qualify the shares of Common Stock subject to the PRSUs with the SEC or any U.S. state or non-U.S. securities commission or to seek approval or clearance from any governmental authority for the issuance or sale of the Common Stock. Further, the Employee agrees that the Company shall have unilateral authority to amend the Plan and this Agreement without the Employee’s consent to the extent necessary to comply with securities or other laws applicable to the issuance of the shares of Common Stock.</w:t>
      </w:r>
    </w:p>
    <w:p>
      <w:pPr>
        <w:spacing w:after="0" w:line="135" w:lineRule="exact"/>
        <w:rPr>
          <w:rFonts w:ascii="Arial" w:cs="Arial" w:eastAsia="Arial" w:hAnsi="Arial"/>
          <w:sz w:val="18"/>
          <w:szCs w:val="18"/>
          <w:color w:val="auto"/>
        </w:rPr>
      </w:pPr>
    </w:p>
    <w:p>
      <w:pPr>
        <w:ind w:left="10" w:hanging="10"/>
        <w:spacing w:after="0" w:line="287" w:lineRule="auto"/>
        <w:tabs>
          <w:tab w:leader="none" w:pos="527"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Amendment of This Agreement</w:t>
      </w:r>
      <w:r>
        <w:rPr>
          <w:rFonts w:ascii="Arial" w:cs="Arial" w:eastAsia="Arial" w:hAnsi="Arial"/>
          <w:sz w:val="18"/>
          <w:szCs w:val="18"/>
          <w:color w:val="auto"/>
        </w:rPr>
        <w:t>. With the consent of the Employee, the Committee or its authorized delegate, as applicable, may amend this Agreement in a manner not inconsistent with the Plan.</w:t>
      </w:r>
    </w:p>
    <w:p>
      <w:pPr>
        <w:spacing w:after="0" w:line="98" w:lineRule="exact"/>
        <w:rPr>
          <w:rFonts w:ascii="Arial" w:cs="Arial" w:eastAsia="Arial" w:hAnsi="Arial"/>
          <w:sz w:val="18"/>
          <w:szCs w:val="18"/>
          <w:color w:val="auto"/>
        </w:rPr>
      </w:pPr>
    </w:p>
    <w:p>
      <w:pPr>
        <w:jc w:val="both"/>
        <w:ind w:left="10" w:hanging="10"/>
        <w:spacing w:after="0" w:line="265" w:lineRule="auto"/>
        <w:tabs>
          <w:tab w:leader="none" w:pos="487"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Except where otherwise prohibited under applicable law, (including but not limited to California) by executing this Agreement and accepting the PRSUs and the delivery of any shares of Common Stock hereunder, the Employee expressly acknowledges and agrees to be bound by and to comply with all of the terms and conditions contained in the Non-Competition and Non-Solicitation Agreement set forth as Exhibit B to this Agreement and incorporated herein by reference (“</w:t>
      </w:r>
      <w:r>
        <w:rPr>
          <w:rFonts w:ascii="Arial" w:cs="Arial" w:eastAsia="Arial" w:hAnsi="Arial"/>
          <w:sz w:val="18"/>
          <w:szCs w:val="18"/>
          <w:b w:val="1"/>
          <w:bCs w:val="1"/>
          <w:i w:val="1"/>
          <w:iCs w:val="1"/>
          <w:color w:val="auto"/>
        </w:rPr>
        <w:t>Restrictive Covenants</w:t>
      </w:r>
      <w:r>
        <w:rPr>
          <w:rFonts w:ascii="Arial" w:cs="Arial" w:eastAsia="Arial" w:hAnsi="Arial"/>
          <w:sz w:val="18"/>
          <w:szCs w:val="18"/>
          <w:color w:val="auto"/>
        </w:rPr>
        <w:t>”).</w:t>
      </w:r>
    </w:p>
    <w:p>
      <w:pPr>
        <w:spacing w:after="0" w:line="111" w:lineRule="exact"/>
        <w:rPr>
          <w:rFonts w:ascii="Arial" w:cs="Arial" w:eastAsia="Arial" w:hAnsi="Arial"/>
          <w:sz w:val="18"/>
          <w:szCs w:val="18"/>
          <w:color w:val="auto"/>
        </w:rPr>
      </w:pPr>
    </w:p>
    <w:p>
      <w:pPr>
        <w:jc w:val="both"/>
        <w:ind w:left="10" w:hanging="10"/>
        <w:spacing w:after="0" w:line="268" w:lineRule="auto"/>
        <w:tabs>
          <w:tab w:leader="none" w:pos="487"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Recoupment</w:t>
      </w:r>
      <w:r>
        <w:rPr>
          <w:rFonts w:ascii="Arial" w:cs="Arial" w:eastAsia="Arial" w:hAnsi="Arial"/>
          <w:sz w:val="18"/>
          <w:szCs w:val="18"/>
          <w:color w:val="auto"/>
        </w:rPr>
        <w:t>. This Award shall be subject to (i) the Conduent Incorporated Compensation Recoupment Policy, as may be amended from time to time, or any successor policy and (ii) any other compensation recovery policy adopted after the PRSUs are granted to facilitate compliance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070"/>
          </w:cols>
          <w:pgMar w:left="490" w:top="1417" w:right="339" w:bottom="1440" w:gutter="0" w:footer="0" w:header="0"/>
        </w:sectPr>
      </w:pPr>
    </w:p>
    <w:bookmarkStart w:id="94" w:name="page95"/>
    <w:bookmarkEnd w:id="94"/>
    <w:p>
      <w:pPr>
        <w:jc w:val="both"/>
        <w:ind w:left="10"/>
        <w:spacing w:after="0" w:line="287" w:lineRule="auto"/>
        <w:rPr>
          <w:sz w:val="20"/>
          <w:szCs w:val="20"/>
          <w:color w:val="auto"/>
        </w:rPr>
      </w:pPr>
      <w:r>
        <w:rPr>
          <w:rFonts w:ascii="Arial" w:cs="Arial" w:eastAsia="Arial" w:hAnsi="Arial"/>
          <w:sz w:val="18"/>
          <w:szCs w:val="18"/>
          <w:color w:val="auto"/>
        </w:rPr>
        <w:t>applicable law, including in response to the requirements of Section 10D of the Exchange Act, the U.S. Securities and Exchange Commission’s final rules thereunder, and any applicable listing rules or other rules and regulations implementing the foregoing.</w:t>
      </w:r>
    </w:p>
    <w:p>
      <w:pPr>
        <w:spacing w:after="0" w:line="99" w:lineRule="exact"/>
        <w:rPr>
          <w:sz w:val="20"/>
          <w:szCs w:val="20"/>
          <w:color w:val="auto"/>
        </w:rPr>
      </w:pPr>
    </w:p>
    <w:p>
      <w:pPr>
        <w:jc w:val="both"/>
        <w:ind w:left="10"/>
        <w:spacing w:after="0" w:line="259" w:lineRule="auto"/>
        <w:rPr>
          <w:sz w:val="20"/>
          <w:szCs w:val="20"/>
          <w:color w:val="auto"/>
        </w:rPr>
      </w:pPr>
      <w:r>
        <w:rPr>
          <w:rFonts w:ascii="Arial" w:cs="Arial" w:eastAsia="Arial" w:hAnsi="Arial"/>
          <w:sz w:val="18"/>
          <w:szCs w:val="18"/>
          <w:color w:val="auto"/>
        </w:rPr>
        <w:t>For purposes of this Section 16, the Employee expressly and explicitly authorizes the Company to issue instructions, on the Employee's behalf, to any brokerage firm and/or third party administrator engaged by the Company to hold any shares of Common Stock and other amounts acquired pursuant to the PRSUs to re-convey, transfer or otherwise return such shares of Common Stock and/or other amounts to the Company upon the Company’s enforcement of the Company’s recoupment policy, the Company’s clawback policy, if any, and any other compensation recovery policy adopted by the Board or the Committee.</w:t>
      </w:r>
    </w:p>
    <w:p>
      <w:pPr>
        <w:spacing w:after="0" w:line="125" w:lineRule="exact"/>
        <w:rPr>
          <w:sz w:val="20"/>
          <w:szCs w:val="20"/>
          <w:color w:val="auto"/>
        </w:rPr>
      </w:pPr>
    </w:p>
    <w:p>
      <w:pPr>
        <w:ind w:left="10" w:hanging="10"/>
        <w:spacing w:after="0" w:line="287" w:lineRule="auto"/>
        <w:tabs>
          <w:tab w:leader="none" w:pos="554"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Cancellation and Rescission of Award</w:t>
      </w:r>
      <w:r>
        <w:rPr>
          <w:rFonts w:ascii="Arial" w:cs="Arial" w:eastAsia="Arial" w:hAnsi="Arial"/>
          <w:sz w:val="18"/>
          <w:szCs w:val="18"/>
          <w:color w:val="auto"/>
        </w:rPr>
        <w:t>. Without limiting the foregoing Section 16, the Company may cancel any award provided hereunder if the Employee is not in compliance with all of the following conditions:</w:t>
      </w:r>
    </w:p>
    <w:p>
      <w:pPr>
        <w:spacing w:after="0" w:line="98" w:lineRule="exact"/>
        <w:rPr>
          <w:rFonts w:ascii="Arial" w:cs="Arial" w:eastAsia="Arial" w:hAnsi="Arial"/>
          <w:sz w:val="18"/>
          <w:szCs w:val="18"/>
          <w:color w:val="auto"/>
        </w:rPr>
      </w:pPr>
    </w:p>
    <w:p>
      <w:pPr>
        <w:jc w:val="both"/>
        <w:ind w:left="650" w:hanging="407"/>
        <w:spacing w:after="0" w:line="268" w:lineRule="auto"/>
        <w:tabs>
          <w:tab w:leader="none" w:pos="6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Employee shall not render services for any organization or engage directly or indirectly in any business which would cause the Employee to breach any of the post-employment prohibitions contained in any agreement between the Employer and the Employee.</w:t>
      </w:r>
    </w:p>
    <w:p>
      <w:pPr>
        <w:spacing w:after="0" w:line="116" w:lineRule="exact"/>
        <w:rPr>
          <w:rFonts w:ascii="Arial" w:cs="Arial" w:eastAsia="Arial" w:hAnsi="Arial"/>
          <w:sz w:val="18"/>
          <w:szCs w:val="18"/>
          <w:color w:val="auto"/>
        </w:rPr>
      </w:pPr>
    </w:p>
    <w:p>
      <w:pPr>
        <w:jc w:val="both"/>
        <w:ind w:left="650" w:hanging="407"/>
        <w:spacing w:after="0" w:line="262" w:lineRule="auto"/>
        <w:tabs>
          <w:tab w:leader="none" w:pos="6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Employee shall not, without prior written authorization from the Employer, disclose to anyone outside the Employer, or use in other than the Employer’s business, any confidential information or material, as specified in any agreement between the Employer and the Employee which contains post-employment prohibitions, relating to the business of the Employer acquired by the Employee either during or after employment with the Employer.</w:t>
      </w:r>
    </w:p>
    <w:p>
      <w:pPr>
        <w:spacing w:after="0" w:line="122" w:lineRule="exact"/>
        <w:rPr>
          <w:rFonts w:ascii="Arial" w:cs="Arial" w:eastAsia="Arial" w:hAnsi="Arial"/>
          <w:sz w:val="18"/>
          <w:szCs w:val="18"/>
          <w:color w:val="auto"/>
        </w:rPr>
      </w:pPr>
    </w:p>
    <w:p>
      <w:pPr>
        <w:jc w:val="both"/>
        <w:ind w:left="650"/>
        <w:spacing w:after="0" w:line="257" w:lineRule="auto"/>
        <w:rPr>
          <w:rFonts w:ascii="Arial" w:cs="Arial" w:eastAsia="Arial" w:hAnsi="Arial"/>
          <w:sz w:val="18"/>
          <w:szCs w:val="18"/>
          <w:color w:val="auto"/>
        </w:rPr>
      </w:pPr>
      <w:r>
        <w:rPr>
          <w:rFonts w:ascii="Arial" w:cs="Arial" w:eastAsia="Arial" w:hAnsi="Arial"/>
          <w:sz w:val="18"/>
          <w:szCs w:val="18"/>
          <w:color w:val="auto"/>
        </w:rPr>
        <w:t>Notwithstanding the above, this Agreement does not in any manner restrict the Employee from reporting possible violations of federal, state or local laws or regulations to any governmental agency or entity, and shall not, and not be interpreted to, impair the participant from exercising any legally protected whistleblower rights (including under Rule 21F under the Exchange Act). Similarly, the Employer does not in any manner restrict the Employee from participating in any proceeding or investigation by a federal, state or local government agency or entity responsible for enforcing such laws. The Employee is not required to notify the Employer that the Employee has made such report or disclosure, or of the Employee’s participation in an agency investigation or proceeding.</w:t>
      </w:r>
    </w:p>
    <w:p>
      <w:pPr>
        <w:spacing w:after="0" w:line="128" w:lineRule="exact"/>
        <w:rPr>
          <w:rFonts w:ascii="Arial" w:cs="Arial" w:eastAsia="Arial" w:hAnsi="Arial"/>
          <w:sz w:val="18"/>
          <w:szCs w:val="18"/>
          <w:color w:val="auto"/>
        </w:rPr>
      </w:pPr>
    </w:p>
    <w:p>
      <w:pPr>
        <w:jc w:val="both"/>
        <w:ind w:left="650" w:hanging="407"/>
        <w:spacing w:after="0" w:line="259" w:lineRule="auto"/>
        <w:tabs>
          <w:tab w:leader="none" w:pos="644"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Employee, pursuant to any agreement between the Employer and the Employee which contains post-employment prohibitions, shall disclose promptly and assign to the Employer all right, title and interest in any invention or idea, patentable or not, made or conceived by the Employee during services with the Employer, relating in any manner to the actual or anticipated business, research or development work of the Employer, and shall do anything reasonably necessary to enable the Employer to secure a patent where appropriate in the United States and in foreign countries.</w:t>
      </w:r>
    </w:p>
    <w:p>
      <w:pPr>
        <w:spacing w:after="0" w:line="125" w:lineRule="exact"/>
        <w:rPr>
          <w:rFonts w:ascii="Arial" w:cs="Arial" w:eastAsia="Arial" w:hAnsi="Arial"/>
          <w:sz w:val="18"/>
          <w:szCs w:val="18"/>
          <w:color w:val="auto"/>
        </w:rPr>
      </w:pPr>
    </w:p>
    <w:p>
      <w:pPr>
        <w:jc w:val="both"/>
        <w:ind w:left="650" w:hanging="407"/>
        <w:spacing w:after="0" w:line="256" w:lineRule="auto"/>
        <w:tabs>
          <w:tab w:leader="none" w:pos="6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Failure to comply with the provision of subparagraphs (a), (b) or (c) of this Section 17 prior to, or during the six months after, any payment or delivery shall cause such payment or delivery to be rescinded. The Company shall notify the Employee in writing of any such rescission within two years after such payment or delivery. Within ten days after receiving such a notice from the Company, the Employee shall pay to the Company the amount of any payment received as a result of the rescinded payment or delivery pursuant to an award. Such payment to the Company by the Employee shall be made either in cash or by returning to the Company the number of shares of Common Stock that the Employee received in connection with the rescinded payment or delivery.</w:t>
      </w:r>
    </w:p>
    <w:p>
      <w:pPr>
        <w:spacing w:after="0" w:line="128" w:lineRule="exact"/>
        <w:rPr>
          <w:rFonts w:ascii="Arial" w:cs="Arial" w:eastAsia="Arial" w:hAnsi="Arial"/>
          <w:sz w:val="18"/>
          <w:szCs w:val="18"/>
          <w:color w:val="auto"/>
        </w:rPr>
      </w:pPr>
    </w:p>
    <w:p>
      <w:pPr>
        <w:ind w:left="10" w:right="20" w:hanging="10"/>
        <w:spacing w:after="0" w:line="287" w:lineRule="auto"/>
        <w:tabs>
          <w:tab w:leader="none" w:pos="514"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in writing and if to the Company shall be mailed to the Company at 100 Campus Drive, Suite 200, Florham Park, NJ 07932 USA, addressed to the attention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070"/>
          </w:cols>
          <w:pgMar w:left="490" w:top="1417" w:right="339" w:bottom="1440" w:gutter="0" w:footer="0" w:header="0"/>
        </w:sectPr>
      </w:pPr>
    </w:p>
    <w:bookmarkStart w:id="95" w:name="page96"/>
    <w:bookmarkEnd w:id="95"/>
    <w:p>
      <w:pPr>
        <w:ind w:left="10"/>
        <w:spacing w:after="0" w:line="287" w:lineRule="auto"/>
        <w:rPr>
          <w:sz w:val="20"/>
          <w:szCs w:val="20"/>
          <w:color w:val="auto"/>
        </w:rPr>
      </w:pPr>
      <w:r>
        <w:rPr>
          <w:rFonts w:ascii="Arial" w:cs="Arial" w:eastAsia="Arial" w:hAnsi="Arial"/>
          <w:sz w:val="18"/>
          <w:szCs w:val="18"/>
          <w:color w:val="auto"/>
        </w:rPr>
        <w:t>Stock Plan Administrator, and if to the Employee shall be delivered personally or mailed to the Employee at his address as the same appears on the records of the Company.</w:t>
      </w:r>
    </w:p>
    <w:p>
      <w:pPr>
        <w:spacing w:after="0" w:line="99" w:lineRule="exact"/>
        <w:rPr>
          <w:sz w:val="20"/>
          <w:szCs w:val="20"/>
          <w:color w:val="auto"/>
        </w:rPr>
      </w:pPr>
    </w:p>
    <w:p>
      <w:pPr>
        <w:ind w:left="10" w:hanging="10"/>
        <w:spacing w:after="0" w:line="287" w:lineRule="auto"/>
        <w:tabs>
          <w:tab w:leader="none" w:pos="487"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the Employee has received this Agreement or any other document related to the Plan translated into a language other than English and if the meaning of the translated version is different than the English version, the English version will control.</w:t>
      </w:r>
    </w:p>
    <w:p>
      <w:pPr>
        <w:spacing w:after="0" w:line="98" w:lineRule="exact"/>
        <w:rPr>
          <w:rFonts w:ascii="Arial" w:cs="Arial" w:eastAsia="Arial" w:hAnsi="Arial"/>
          <w:sz w:val="18"/>
          <w:szCs w:val="18"/>
          <w:color w:val="auto"/>
        </w:rPr>
      </w:pPr>
    </w:p>
    <w:p>
      <w:pPr>
        <w:jc w:val="both"/>
        <w:ind w:left="10" w:hanging="10"/>
        <w:spacing w:after="0" w:line="259" w:lineRule="auto"/>
        <w:tabs>
          <w:tab w:leader="none" w:pos="473"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Electronic Delivery and Acceptance</w:t>
      </w:r>
      <w:r>
        <w:rPr>
          <w:rFonts w:ascii="Arial" w:cs="Arial" w:eastAsia="Arial" w:hAnsi="Arial"/>
          <w:sz w:val="18"/>
          <w:szCs w:val="18"/>
          <w:color w:val="auto"/>
        </w:rPr>
        <w:t>. The Company will deliver any documents related to current or future participation in the Plan by electronic means. The Employee hereby consents to receive such documents by electronic delivery, and agrees to participate in the Plan and be bound by the terms and conditions of this Agreement, through an on-line or electronic system established and maintained by the Company or a third party designated by the Company. Electronic acceptance by the Employee is required and the award will be cancelled for any employee who fails to comply with the Company’s acceptance requirement within 90 days of the effective date of the award.</w:t>
      </w:r>
    </w:p>
    <w:p>
      <w:pPr>
        <w:spacing w:after="0" w:line="125" w:lineRule="exact"/>
        <w:rPr>
          <w:rFonts w:ascii="Arial" w:cs="Arial" w:eastAsia="Arial" w:hAnsi="Arial"/>
          <w:sz w:val="18"/>
          <w:szCs w:val="18"/>
          <w:color w:val="auto"/>
        </w:rPr>
      </w:pPr>
    </w:p>
    <w:p>
      <w:pPr>
        <w:jc w:val="both"/>
        <w:ind w:left="10" w:hanging="10"/>
        <w:spacing w:after="0" w:line="257" w:lineRule="auto"/>
        <w:tabs>
          <w:tab w:leader="none" w:pos="514"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Interpretation of This Agreement</w:t>
      </w:r>
      <w:r>
        <w:rPr>
          <w:rFonts w:ascii="Arial" w:cs="Arial" w:eastAsia="Arial" w:hAnsi="Arial"/>
          <w:sz w:val="18"/>
          <w:szCs w:val="18"/>
          <w:color w:val="auto"/>
        </w:rPr>
        <w:t>. The Committee or its authorized delegate, as applicable, shall have the authority to interpret the Plan and this Agreement and to take whatever administrative actions, including correction of administrative errors in the awards subject to this Agreement and in this Agreement, as the Committee or its authorized delegate, as applicable, in its sole good faith judgment shall determine to be advisable. All decisions, interpretations and administrative actions made by the Committee or its authorized delegate, as applicable, hereunder or under the Plan shall be binding and conclusive on the Company and the Employee. In the event there is inconsistency between the provisions of this Agreement and of the Plan, the provisions of the Plan shall govern.</w:t>
      </w:r>
    </w:p>
    <w:p>
      <w:pPr>
        <w:spacing w:after="0" w:line="128" w:lineRule="exact"/>
        <w:rPr>
          <w:rFonts w:ascii="Arial" w:cs="Arial" w:eastAsia="Arial" w:hAnsi="Arial"/>
          <w:sz w:val="18"/>
          <w:szCs w:val="18"/>
          <w:color w:val="auto"/>
        </w:rPr>
      </w:pPr>
    </w:p>
    <w:p>
      <w:pPr>
        <w:ind w:left="10" w:hanging="10"/>
        <w:spacing w:after="0" w:line="287" w:lineRule="auto"/>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hereto and the successors and assigns of the Company and to the extent provided in Section 9(b) of the Plan to the Beneficiary(ies) or transferee of the Employee.</w:t>
      </w:r>
    </w:p>
    <w:p>
      <w:pPr>
        <w:spacing w:after="0" w:line="98" w:lineRule="exact"/>
        <w:rPr>
          <w:rFonts w:ascii="Arial" w:cs="Arial" w:eastAsia="Arial" w:hAnsi="Arial"/>
          <w:sz w:val="18"/>
          <w:szCs w:val="18"/>
          <w:color w:val="auto"/>
        </w:rPr>
      </w:pPr>
    </w:p>
    <w:p>
      <w:pPr>
        <w:jc w:val="both"/>
        <w:ind w:left="10" w:hanging="10"/>
        <w:spacing w:after="0" w:line="255" w:lineRule="auto"/>
        <w:tabs>
          <w:tab w:leader="none" w:pos="581"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The validity, construction and effect of the Agreement, any actions taken under or relating to this Agreement, and any disputes arising out of or related to this Agreement, shall be governed by and construed in accordance with the laws of the United States and the laws of the State of Delaware without giving effect to any choice or conflict of law provision or rule (whether of the State of Delaware or any other jurisdiction) that would cause the application of the laws of any jurisdiction other than the United States and the State or Delaware. This grant is made and/or administered in the United States. For purposes of litigating any dispute that arises under this grant or the Agreement the parties hereby submit to and consent to the jurisdiction of the State of Delaware, and agree that such litigation shall only be conducted in the state or federal courts located in Delaware to the exclusion of all other courts and fora. By accepting the PRSUs, the Employee irrevocably consents to the jurisdiction of, and venue in, such courts and waives any objection that such courts are an inconvenient forum.</w:t>
      </w:r>
    </w:p>
    <w:p>
      <w:pPr>
        <w:spacing w:after="0" w:line="126" w:lineRule="exact"/>
        <w:rPr>
          <w:rFonts w:ascii="Arial" w:cs="Arial" w:eastAsia="Arial" w:hAnsi="Arial"/>
          <w:sz w:val="18"/>
          <w:szCs w:val="18"/>
          <w:color w:val="auto"/>
        </w:rPr>
      </w:pPr>
    </w:p>
    <w:p>
      <w:pPr>
        <w:jc w:val="both"/>
        <w:ind w:left="10" w:hanging="10"/>
        <w:spacing w:after="0" w:line="268" w:lineRule="auto"/>
        <w:tabs>
          <w:tab w:leader="none" w:pos="31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It is intended that the provisions of this Agreement comply with, or are exempt from, Section 409A, and all provisions of this Agreement shall be construed and interpreted in a manner consistent with the requirements for avoiding taxes or penalties under Section 409A.</w:t>
      </w:r>
    </w:p>
    <w:p>
      <w:pPr>
        <w:spacing w:after="0" w:line="117" w:lineRule="exact"/>
        <w:rPr>
          <w:sz w:val="20"/>
          <w:szCs w:val="20"/>
          <w:color w:val="auto"/>
        </w:rPr>
      </w:pPr>
    </w:p>
    <w:p>
      <w:pPr>
        <w:jc w:val="both"/>
        <w:ind w:left="10"/>
        <w:spacing w:after="0" w:line="259" w:lineRule="auto"/>
        <w:rPr>
          <w:sz w:val="20"/>
          <w:szCs w:val="20"/>
          <w:color w:val="auto"/>
        </w:rPr>
      </w:pPr>
      <w:r>
        <w:rPr>
          <w:rFonts w:ascii="Arial" w:cs="Arial" w:eastAsia="Arial" w:hAnsi="Arial"/>
          <w:sz w:val="18"/>
          <w:szCs w:val="18"/>
          <w:color w:val="auto"/>
        </w:rPr>
        <w:t>Except as permitted under Section 409A, any deferred compensation (within the meaning of Section 409A) payable to the Employee or for the Employee’s benefit under this Agreement may not be reduced by, or offset against, any amount owing by the Employee to the Company or any of its affiliates. In the event that any 60-day period described in Section 8 of this Agreement straddles two calendar years, then any PRSUs, and any dividends with respect thereto, that are settled within such 60-day period in accordance with this Agreement shall be settled in the second calendar year.</w:t>
      </w:r>
    </w:p>
    <w:p>
      <w:pPr>
        <w:spacing w:after="0" w:line="125" w:lineRule="exact"/>
        <w:rPr>
          <w:sz w:val="20"/>
          <w:szCs w:val="20"/>
          <w:color w:val="auto"/>
        </w:rPr>
      </w:pPr>
    </w:p>
    <w:p>
      <w:pPr>
        <w:jc w:val="both"/>
        <w:ind w:left="10"/>
        <w:spacing w:after="0" w:line="260" w:lineRule="auto"/>
        <w:rPr>
          <w:sz w:val="20"/>
          <w:szCs w:val="20"/>
          <w:color w:val="auto"/>
        </w:rPr>
      </w:pPr>
      <w:r>
        <w:rPr>
          <w:rFonts w:ascii="Arial" w:cs="Arial" w:eastAsia="Arial" w:hAnsi="Arial"/>
          <w:sz w:val="18"/>
          <w:szCs w:val="18"/>
          <w:color w:val="auto"/>
        </w:rPr>
        <w:t>If, at the time of the Employee’s separation from service (within the meaning of Section 409A), (a) the Employee shall be a specified employee (within the meaning of Section 409A and using the identification methodology selected by the Company from time to time) and</w:t>
      </w:r>
    </w:p>
    <w:p>
      <w:pPr>
        <w:spacing w:after="0" w:line="2" w:lineRule="exact"/>
        <w:rPr>
          <w:sz w:val="20"/>
          <w:szCs w:val="20"/>
          <w:color w:val="auto"/>
        </w:rPr>
      </w:pPr>
    </w:p>
    <w:p>
      <w:pPr>
        <w:ind w:left="270" w:hanging="270"/>
        <w:spacing w:after="0"/>
        <w:tabs>
          <w:tab w:leader="none" w:pos="27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Company shall make a good faith determination that an amount payable hereunder constitutes deferred compensation (within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5" w:lineRule="exact"/>
        <w:rPr>
          <w:rFonts w:ascii="Arial" w:cs="Arial" w:eastAsia="Arial" w:hAnsi="Arial"/>
          <w:sz w:val="18"/>
          <w:szCs w:val="18"/>
          <w:color w:val="auto"/>
        </w:rPr>
      </w:pPr>
    </w:p>
    <w:p>
      <w:pPr>
        <w:ind w:left="5370"/>
        <w:spacing w:after="0"/>
        <w:rPr>
          <w:rFonts w:ascii="Arial" w:cs="Arial" w:eastAsia="Arial" w:hAnsi="Arial"/>
          <w:sz w:val="18"/>
          <w:szCs w:val="18"/>
          <w:color w:val="auto"/>
        </w:rPr>
      </w:pPr>
      <w:r>
        <w:rPr>
          <w:rFonts w:ascii="Times New Roman" w:cs="Times New Roman" w:eastAsia="Times New Roman" w:hAnsi="Times New Roman"/>
          <w:sz w:val="16"/>
          <w:szCs w:val="16"/>
          <w:color w:val="auto"/>
        </w:rPr>
        <w:t>10</w:t>
      </w:r>
    </w:p>
    <w:p>
      <w:pPr>
        <w:sectPr>
          <w:pgSz w:w="11900" w:h="16838" w:orient="portrait"/>
          <w:cols w:equalWidth="0" w:num="1">
            <w:col w:w="11070"/>
          </w:cols>
          <w:pgMar w:left="490" w:top="1417" w:right="339" w:bottom="1440" w:gutter="0" w:footer="0" w:header="0"/>
        </w:sectPr>
      </w:pPr>
    </w:p>
    <w:bookmarkStart w:id="96" w:name="page97"/>
    <w:bookmarkEnd w:id="96"/>
    <w:p>
      <w:pPr>
        <w:jc w:val="both"/>
        <w:ind w:left="10"/>
        <w:spacing w:after="0" w:line="268" w:lineRule="auto"/>
        <w:rPr>
          <w:sz w:val="20"/>
          <w:szCs w:val="20"/>
          <w:color w:val="auto"/>
        </w:rPr>
      </w:pPr>
      <w:r>
        <w:rPr>
          <w:rFonts w:ascii="Arial" w:cs="Arial" w:eastAsia="Arial" w:hAnsi="Arial"/>
          <w:sz w:val="18"/>
          <w:szCs w:val="18"/>
          <w:color w:val="auto"/>
        </w:rPr>
        <w:t>the meaning of Section 409A) the payment of which is required to be delayed pursuant to the six-month delay rule set forth in Section 409A in order to avoid taxes or penalties under Section 409A, then the Company shall not pay such amount on the otherwise scheduled payment date but shall instead pay it, without interest, on the first business day after such six-month period.</w:t>
      </w:r>
    </w:p>
    <w:p>
      <w:pPr>
        <w:spacing w:after="0" w:line="117" w:lineRule="exact"/>
        <w:rPr>
          <w:sz w:val="20"/>
          <w:szCs w:val="20"/>
          <w:color w:val="auto"/>
        </w:rPr>
      </w:pPr>
    </w:p>
    <w:p>
      <w:pPr>
        <w:jc w:val="both"/>
        <w:ind w:left="10"/>
        <w:spacing w:after="0" w:line="257" w:lineRule="auto"/>
        <w:rPr>
          <w:sz w:val="20"/>
          <w:szCs w:val="20"/>
          <w:color w:val="auto"/>
        </w:rPr>
      </w:pPr>
      <w:r>
        <w:rPr>
          <w:rFonts w:ascii="Arial" w:cs="Arial" w:eastAsia="Arial" w:hAnsi="Arial"/>
          <w:sz w:val="18"/>
          <w:szCs w:val="18"/>
          <w:color w:val="auto"/>
        </w:rPr>
        <w:t>Notwithstanding any provision of this Agreement to the contrary, in light of the uncertainty with respect to the proper application of Section 409A, the Company reserves the right to make amendments to this Agreement as the Company deems necessary or desirable to avoid the imposition of taxes or penalties under Section 409A. In any case, the Employee shall be solely responsible and liable for the satisfaction of all taxes and penalties that may be imposed on the Employee or for the Employee’s account in connection with this Agreement (including any taxes and penalties under Section 409A), and neither the Company nor any of its Affiliates shall have any obligation to indemnify or otherwise hold the Employee harmless from any or all of such taxes or penalties.</w:t>
      </w:r>
    </w:p>
    <w:p>
      <w:pPr>
        <w:spacing w:after="0" w:line="128" w:lineRule="exact"/>
        <w:rPr>
          <w:sz w:val="20"/>
          <w:szCs w:val="20"/>
          <w:color w:val="auto"/>
        </w:rPr>
      </w:pPr>
    </w:p>
    <w:p>
      <w:pPr>
        <w:ind w:left="450" w:hanging="450"/>
        <w:spacing w:after="0"/>
        <w:tabs>
          <w:tab w:leader="none" w:pos="45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630" w:hanging="391"/>
        <w:spacing w:after="0" w:line="259" w:lineRule="auto"/>
        <w:tabs>
          <w:tab w:leader="none" w:pos="755"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Data Collection and Usage</w:t>
      </w:r>
      <w:r>
        <w:rPr>
          <w:rFonts w:ascii="Arial" w:cs="Arial" w:eastAsia="Arial" w:hAnsi="Arial"/>
          <w:sz w:val="18"/>
          <w:szCs w:val="18"/>
          <w:color w:val="auto"/>
        </w:rPr>
        <w:t>. The Company and the Employer collect, process and use certain personal information about the Employee, including, but not limited to, the Employee’s name, home address and telephone number, email address, date of birth, social insurance, passport or other identification number, salary, nationality, job title, any shares of Common Stock or directorships held in the Company, details of all PRSUs or any other entitlement to shares or equivalent benefits awarded, canceled, exercised, vested, unvested or outstanding in the Employee’s favor (“</w:t>
      </w:r>
      <w:r>
        <w:rPr>
          <w:rFonts w:ascii="Arial" w:cs="Arial" w:eastAsia="Arial" w:hAnsi="Arial"/>
          <w:sz w:val="18"/>
          <w:szCs w:val="18"/>
          <w:b w:val="1"/>
          <w:bCs w:val="1"/>
          <w:i w:val="1"/>
          <w:iCs w:val="1"/>
          <w:color w:val="auto"/>
        </w:rPr>
        <w:t>Data</w:t>
      </w:r>
      <w:r>
        <w:rPr>
          <w:rFonts w:ascii="Arial" w:cs="Arial" w:eastAsia="Arial" w:hAnsi="Arial"/>
          <w:sz w:val="18"/>
          <w:szCs w:val="18"/>
          <w:color w:val="auto"/>
        </w:rPr>
        <w:t>”), for the purposes of implementing, administering and managing</w:t>
      </w:r>
    </w:p>
    <w:p>
      <w:pPr>
        <w:spacing w:after="0" w:line="4" w:lineRule="exact"/>
        <w:rPr>
          <w:sz w:val="20"/>
          <w:szCs w:val="20"/>
          <w:color w:val="auto"/>
        </w:rPr>
      </w:pPr>
    </w:p>
    <w:p>
      <w:pPr>
        <w:jc w:val="both"/>
        <w:ind w:left="630"/>
        <w:spacing w:after="0" w:line="256" w:lineRule="auto"/>
        <w:rPr>
          <w:sz w:val="20"/>
          <w:szCs w:val="20"/>
          <w:color w:val="auto"/>
        </w:rPr>
      </w:pPr>
      <w:r>
        <w:rPr>
          <w:rFonts w:ascii="Arial" w:cs="Arial" w:eastAsia="Arial" w:hAnsi="Arial"/>
          <w:sz w:val="18"/>
          <w:szCs w:val="18"/>
          <w:color w:val="auto"/>
        </w:rPr>
        <w:t>the Plan. The Company shall comply with Data Protection Laws in connection with the processing of any Data. The Company shall ensure that personnel with access to Data are under an appropriate obligation of confidentiality and that such personnel have received appropriate data protection and security training pertaining to the responsibilities of their role. The Company agrees that in order to provide the Plan and services, Company may engage subcontractors to process the Data. The Company will enter into a written agreement with the subcontractor imposing data protection terms that places the equivalent data protection obligations as those set out in this Agreement to the extent applicable to the nature of the services provided by such subcontractor, in particular providing appropriate administrative, technical, and physical safeguards that the processing will protect the Data.</w:t>
      </w:r>
    </w:p>
    <w:p>
      <w:pPr>
        <w:spacing w:after="0" w:line="129" w:lineRule="exact"/>
        <w:rPr>
          <w:sz w:val="20"/>
          <w:szCs w:val="20"/>
          <w:color w:val="auto"/>
        </w:rPr>
      </w:pPr>
    </w:p>
    <w:p>
      <w:pPr>
        <w:jc w:val="both"/>
        <w:ind w:left="630" w:hanging="391"/>
        <w:spacing w:after="0" w:line="257" w:lineRule="auto"/>
        <w:tabs>
          <w:tab w:leader="none" w:pos="742"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International Data Transfers</w:t>
      </w:r>
      <w:r>
        <w:rPr>
          <w:rFonts w:ascii="Arial" w:cs="Arial" w:eastAsia="Arial" w:hAnsi="Arial"/>
          <w:sz w:val="18"/>
          <w:szCs w:val="18"/>
          <w:color w:val="auto"/>
        </w:rPr>
        <w:t>. It may be necessary for Data to be transferred to, and processed in, the U.S. If the Employee is outside of the U.S., the Employee should note that the Employee's country has enacted Data Protection Laws that are different from the U.S. As a result, in the absence of appropriate safeguards, the transfer of Data to the U.S. or, as the case may be, other countries might not be subject to substantive data processing principles or supervision by data protection authorities. The Employee acknowledges that Company may transfer Data outside of the Employee’s home country and agrees to consent to the Data transfer as set forth in Section 25(e).</w:t>
      </w:r>
    </w:p>
    <w:p>
      <w:pPr>
        <w:spacing w:after="0" w:line="128" w:lineRule="exact"/>
        <w:rPr>
          <w:rFonts w:ascii="Arial" w:cs="Arial" w:eastAsia="Arial" w:hAnsi="Arial"/>
          <w:sz w:val="18"/>
          <w:szCs w:val="18"/>
          <w:color w:val="auto"/>
        </w:rPr>
      </w:pPr>
    </w:p>
    <w:p>
      <w:pPr>
        <w:jc w:val="both"/>
        <w:ind w:left="630" w:hanging="391"/>
        <w:spacing w:after="0" w:line="268" w:lineRule="auto"/>
        <w:tabs>
          <w:tab w:leader="none" w:pos="732"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Data Retention</w:t>
      </w:r>
      <w:r>
        <w:rPr>
          <w:rFonts w:ascii="Arial" w:cs="Arial" w:eastAsia="Arial" w:hAnsi="Arial"/>
          <w:sz w:val="18"/>
          <w:szCs w:val="18"/>
          <w:color w:val="auto"/>
        </w:rPr>
        <w:t>. The Company will hold and use Data only as long as is necessary to implement, administer and manage the Employee’s participation in the Plan, or as required to comply with legal or regulatory obligations, including under tax, exchange control, labor and securities laws.</w:t>
      </w:r>
    </w:p>
    <w:p>
      <w:pPr>
        <w:spacing w:after="0" w:line="116" w:lineRule="exact"/>
        <w:rPr>
          <w:rFonts w:ascii="Arial" w:cs="Arial" w:eastAsia="Arial" w:hAnsi="Arial"/>
          <w:sz w:val="18"/>
          <w:szCs w:val="18"/>
          <w:color w:val="auto"/>
        </w:rPr>
      </w:pPr>
    </w:p>
    <w:p>
      <w:pPr>
        <w:jc w:val="both"/>
        <w:ind w:left="630" w:hanging="391"/>
        <w:spacing w:after="0" w:line="259" w:lineRule="auto"/>
        <w:tabs>
          <w:tab w:leader="none" w:pos="742"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Voluntariness and Consequences of Consent Denial or Withdrawal</w:t>
      </w:r>
      <w:r>
        <w:rPr>
          <w:rFonts w:ascii="Arial" w:cs="Arial" w:eastAsia="Arial" w:hAnsi="Arial"/>
          <w:sz w:val="18"/>
          <w:szCs w:val="18"/>
          <w:color w:val="auto"/>
        </w:rPr>
        <w:t>. Participation in the Plan is voluntary, and the Employee is providing the consents herein on a purely voluntary basis. If the Employee does not consent, or if the Employee later seeks to revoke the Employee's consent, the Employee’s salary from or employment and career with the Employer will not be affected; the only consequence of refusing or withdrawing consent is that the Company would not be able to grant the PRSUs or other equity awards to the Employee or administer or maintain such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070"/>
          </w:cols>
          <w:pgMar w:left="490" w:top="1417" w:right="339" w:bottom="1440" w:gutter="0" w:footer="0" w:header="0"/>
        </w:sectPr>
      </w:pPr>
    </w:p>
    <w:bookmarkStart w:id="97" w:name="page98"/>
    <w:bookmarkEnd w:id="97"/>
    <w:p>
      <w:pPr>
        <w:jc w:val="both"/>
        <w:ind w:left="630" w:hanging="391"/>
        <w:spacing w:after="0" w:line="268" w:lineRule="auto"/>
        <w:tabs>
          <w:tab w:leader="none" w:pos="688"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Data Subject Rights</w:t>
      </w:r>
      <w:r>
        <w:rPr>
          <w:rFonts w:ascii="Arial" w:cs="Arial" w:eastAsia="Arial" w:hAnsi="Arial"/>
          <w:sz w:val="18"/>
          <w:szCs w:val="18"/>
          <w:color w:val="auto"/>
        </w:rPr>
        <w:t>. The Employee may have a number of rights under Data Protection Laws in the Employee’s jurisdiction. The Company will use reasonable efforts to fulfill any privacy rights requests under Data Protection Laws. To receive clarification regarding these rights or to exercise these rights, the Employee can contact the local human resources representative.</w:t>
      </w:r>
    </w:p>
    <w:p>
      <w:pPr>
        <w:spacing w:after="0" w:line="117" w:lineRule="exact"/>
        <w:rPr>
          <w:sz w:val="20"/>
          <w:szCs w:val="20"/>
          <w:color w:val="auto"/>
        </w:rPr>
      </w:pPr>
    </w:p>
    <w:p>
      <w:pPr>
        <w:jc w:val="both"/>
        <w:ind w:left="630" w:firstLine="74"/>
        <w:spacing w:after="0" w:line="262" w:lineRule="auto"/>
        <w:rPr>
          <w:sz w:val="20"/>
          <w:szCs w:val="20"/>
          <w:color w:val="auto"/>
        </w:rPr>
      </w:pPr>
      <w:r>
        <w:rPr>
          <w:rFonts w:ascii="Arial" w:cs="Arial" w:eastAsia="Arial" w:hAnsi="Arial"/>
          <w:sz w:val="18"/>
          <w:szCs w:val="18"/>
          <w:color w:val="auto"/>
        </w:rPr>
        <w:t>By accepting the PRSUs and indicating consent via the Company’s acceptance procedure, the Employee is declaring agreement with the data processing practices described herein and consents to the collection, processing and use of Data by the Company and the transfer of Data to the recipients mentioned above, including recipients located in countries which may not have an adequate level of protection from a Data Protection Law perspective, for the purposes described above.</w:t>
      </w:r>
    </w:p>
    <w:p>
      <w:pPr>
        <w:spacing w:after="0" w:line="122" w:lineRule="exact"/>
        <w:rPr>
          <w:sz w:val="20"/>
          <w:szCs w:val="20"/>
          <w:color w:val="auto"/>
        </w:rPr>
      </w:pPr>
    </w:p>
    <w:p>
      <w:pPr>
        <w:jc w:val="both"/>
        <w:ind w:left="630" w:firstLine="134"/>
        <w:spacing w:after="0" w:line="255" w:lineRule="auto"/>
        <w:rPr>
          <w:sz w:val="20"/>
          <w:szCs w:val="20"/>
          <w:color w:val="auto"/>
        </w:rPr>
      </w:pPr>
      <w:r>
        <w:rPr>
          <w:rFonts w:ascii="Arial" w:cs="Arial" w:eastAsia="Arial" w:hAnsi="Arial"/>
          <w:sz w:val="18"/>
          <w:szCs w:val="18"/>
          <w:color w:val="auto"/>
        </w:rPr>
        <w:t>Finally, the Employee understands that the Company may rely on a different basis for the processing or transfer of Data in the future and/or request that the Employee provide another data privacy consent. If applicable, the Employee agrees that upon request of the Company or the Employer, the Employee will provide an executed acknowledgement or data privacy consent form (or any other agreements or consents) that the Company and/or the Employer may deem necessary to obtain from the Employee for the purpose of administering the Employee’s participation in the Plan in compliance with the Data Protection Laws in the Employee’s country, either now or in the future. The Employee understands and agrees that the Employee will not be able to participate in the Plan if the Employee fails to provide any such consent or agreement requested by the Company and/or the Employer.</w:t>
      </w:r>
    </w:p>
    <w:p>
      <w:pPr>
        <w:spacing w:after="0" w:line="131" w:lineRule="exact"/>
        <w:rPr>
          <w:sz w:val="20"/>
          <w:szCs w:val="20"/>
          <w:color w:val="auto"/>
        </w:rPr>
      </w:pPr>
    </w:p>
    <w:p>
      <w:pPr>
        <w:jc w:val="both"/>
        <w:ind w:left="630" w:hanging="391"/>
        <w:spacing w:after="0" w:line="259" w:lineRule="auto"/>
        <w:tabs>
          <w:tab w:leader="none" w:pos="881"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Security</w:t>
      </w:r>
      <w:r>
        <w:rPr>
          <w:rFonts w:ascii="Arial" w:cs="Arial" w:eastAsia="Arial" w:hAnsi="Arial"/>
          <w:sz w:val="18"/>
          <w:szCs w:val="18"/>
          <w:color w:val="auto"/>
        </w:rPr>
        <w:t>. Company shall use commercially reasonable efforts to implement and maintain reasonable and appropriate administrative, technical, and physical safeguards that are designed to ensure the security and confidentiality of Data in Company's possession or control; and protect Data in Company's possession or control from or unauthorized access, or disclosure. If Company experiences an actual data breach or compromise of security, confidentiality or integrity of Data, then Company shall promptly notify the Employee of such data breach in accordance with applicable Data Protection Laws.</w:t>
      </w:r>
    </w:p>
    <w:p>
      <w:pPr>
        <w:spacing w:after="0" w:line="125" w:lineRule="exact"/>
        <w:rPr>
          <w:rFonts w:ascii="Arial" w:cs="Arial" w:eastAsia="Arial" w:hAnsi="Arial"/>
          <w:sz w:val="18"/>
          <w:szCs w:val="18"/>
          <w:color w:val="auto"/>
        </w:rPr>
      </w:pPr>
    </w:p>
    <w:p>
      <w:pPr>
        <w:jc w:val="both"/>
        <w:ind w:left="10" w:hanging="10"/>
        <w:spacing w:after="0" w:line="268" w:lineRule="auto"/>
        <w:tabs>
          <w:tab w:leader="none" w:pos="577"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Separability</w:t>
      </w:r>
      <w:r>
        <w:rPr>
          <w:rFonts w:ascii="Arial" w:cs="Arial" w:eastAsia="Arial" w:hAnsi="Arial"/>
          <w:sz w:val="18"/>
          <w:szCs w:val="18"/>
          <w:color w:val="auto"/>
        </w:rPr>
        <w:t>. In case any provision in the Agreement, or in any other instrument referred to herein, shall become invalid, illegal or unenforceable, the validity, legality and enforceability of the remaining provisions in the Agreement, or in any other instrument referred to herein, shall not in any way be affected or impaired thereby.</w:t>
      </w:r>
    </w:p>
    <w:p>
      <w:pPr>
        <w:spacing w:after="0" w:line="116" w:lineRule="exact"/>
        <w:rPr>
          <w:rFonts w:ascii="Arial" w:cs="Arial" w:eastAsia="Arial" w:hAnsi="Arial"/>
          <w:sz w:val="18"/>
          <w:szCs w:val="18"/>
          <w:color w:val="auto"/>
        </w:rPr>
      </w:pPr>
    </w:p>
    <w:p>
      <w:pPr>
        <w:ind w:left="10" w:hanging="10"/>
        <w:spacing w:after="0" w:line="287" w:lineRule="auto"/>
        <w:tabs>
          <w:tab w:leader="none" w:pos="527"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Integration of Terms</w:t>
      </w:r>
      <w:r>
        <w:rPr>
          <w:rFonts w:ascii="Arial" w:cs="Arial" w:eastAsia="Arial" w:hAnsi="Arial"/>
          <w:sz w:val="18"/>
          <w:szCs w:val="18"/>
          <w:color w:val="auto"/>
        </w:rPr>
        <w:t>. Except as otherwise provided in this Agreement, this Agreement contains the entire agreement between the parties relating to the subject matter hereof and supersedes any and all oral statements and prior writings with respect thereto.</w:t>
      </w:r>
    </w:p>
    <w:p>
      <w:pPr>
        <w:spacing w:after="0" w:line="98" w:lineRule="exact"/>
        <w:rPr>
          <w:rFonts w:ascii="Arial" w:cs="Arial" w:eastAsia="Arial" w:hAnsi="Arial"/>
          <w:sz w:val="18"/>
          <w:szCs w:val="18"/>
          <w:color w:val="auto"/>
        </w:rPr>
      </w:pPr>
    </w:p>
    <w:p>
      <w:pPr>
        <w:jc w:val="both"/>
        <w:ind w:left="10" w:hanging="10"/>
        <w:spacing w:after="0" w:line="257" w:lineRule="auto"/>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Appendix for Non-U.S. Countries</w:t>
      </w:r>
      <w:r>
        <w:rPr>
          <w:rFonts w:ascii="Arial" w:cs="Arial" w:eastAsia="Arial" w:hAnsi="Arial"/>
          <w:sz w:val="18"/>
          <w:szCs w:val="18"/>
          <w:color w:val="auto"/>
        </w:rPr>
        <w:t>. Notwithstanding any provisions in this Agreement, the PRSUs shall be subject to any special terms and conditions set forth in any appendix to this Agreement for the Employee’s country of employment (the “</w:t>
      </w:r>
      <w:r>
        <w:rPr>
          <w:rFonts w:ascii="Arial" w:cs="Arial" w:eastAsia="Arial" w:hAnsi="Arial"/>
          <w:sz w:val="18"/>
          <w:szCs w:val="18"/>
          <w:b w:val="1"/>
          <w:bCs w:val="1"/>
          <w:i w:val="1"/>
          <w:iCs w:val="1"/>
          <w:color w:val="auto"/>
        </w:rPr>
        <w:t>Appendix</w:t>
      </w:r>
      <w:r>
        <w:rPr>
          <w:rFonts w:ascii="Arial" w:cs="Arial" w:eastAsia="Arial" w:hAnsi="Arial"/>
          <w:sz w:val="18"/>
          <w:szCs w:val="18"/>
          <w:color w:val="auto"/>
        </w:rPr>
        <w:t>”). Moreover, if the Employee relocates to or becomes subject to the local laws, rules or regulations of one of the countries included in the Appendix, the special terms and conditions for such country will apply to the Employee, to the extent the Company determines that the application of such terms and conditions is necessary or advisable in order to comply with local law or facilitate the administration of the Plan. The Appendix constitutes part of this Agreement.</w:t>
      </w:r>
    </w:p>
    <w:p>
      <w:pPr>
        <w:spacing w:after="0" w:line="128" w:lineRule="exact"/>
        <w:rPr>
          <w:rFonts w:ascii="Arial" w:cs="Arial" w:eastAsia="Arial" w:hAnsi="Arial"/>
          <w:sz w:val="18"/>
          <w:szCs w:val="18"/>
          <w:color w:val="auto"/>
        </w:rPr>
      </w:pPr>
    </w:p>
    <w:p>
      <w:pPr>
        <w:jc w:val="both"/>
        <w:ind w:left="10" w:hanging="10"/>
        <w:spacing w:after="0" w:line="259" w:lineRule="auto"/>
        <w:tabs>
          <w:tab w:leader="none" w:pos="568"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Committee or its authorized delegate, as applicable, reserves the right to impose other requirements on the Employee’s participation in the Plan, on the PRSUs and on any shares of Common Stock acquired under the Plan, to the extent the Committee or its authorized delegate, as applicable, determines it is necessary or advisable in order to comply with local law or facilitate the administration of the Plan, and to require the Employee to sign any additional agreements or undertakings that may be necessary to accomplish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070"/>
          </w:cols>
          <w:pgMar w:left="490" w:top="1417" w:right="339" w:bottom="1440" w:gutter="0" w:footer="0" w:header="0"/>
        </w:sectPr>
      </w:pPr>
    </w:p>
    <w:bookmarkStart w:id="98" w:name="page99"/>
    <w:bookmarkEnd w:id="98"/>
    <w:p>
      <w:pPr>
        <w:jc w:val="both"/>
        <w:ind w:left="4" w:hanging="4"/>
        <w:spacing w:after="0" w:line="257" w:lineRule="auto"/>
        <w:tabs>
          <w:tab w:leader="none" w:pos="344"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Legal, Regulatory and Tax Compliance; Cooperation</w:t>
      </w:r>
      <w:r>
        <w:rPr>
          <w:rFonts w:ascii="Arial" w:cs="Arial" w:eastAsia="Arial" w:hAnsi="Arial"/>
          <w:sz w:val="18"/>
          <w:szCs w:val="18"/>
          <w:color w:val="auto"/>
        </w:rPr>
        <w:t>. If the Employee resides or is employed outside of the United States, the Employee agrees, as a condition of the grant of the PRSUs, to take any and all actions as may be required to comply with the Employee's personal legal, regulatory</w:t>
      </w:r>
    </w:p>
    <w:p>
      <w:pPr>
        <w:spacing w:after="0" w:line="1" w:lineRule="exact"/>
        <w:rPr>
          <w:rFonts w:ascii="Arial" w:cs="Arial" w:eastAsia="Arial" w:hAnsi="Arial"/>
          <w:sz w:val="18"/>
          <w:szCs w:val="18"/>
          <w:color w:val="auto"/>
        </w:rPr>
      </w:pPr>
    </w:p>
    <w:p>
      <w:pPr>
        <w:ind w:left="4" w:right="3140"/>
        <w:spacing w:after="0" w:line="250" w:lineRule="auto"/>
        <w:rPr>
          <w:rFonts w:ascii="Arial" w:cs="Arial" w:eastAsia="Arial" w:hAnsi="Arial"/>
          <w:sz w:val="18"/>
          <w:szCs w:val="18"/>
          <w:color w:val="auto"/>
        </w:rPr>
      </w:pPr>
      <w:r>
        <w:rPr>
          <w:rFonts w:ascii="Arial" w:cs="Arial" w:eastAsia="Arial" w:hAnsi="Arial"/>
          <w:sz w:val="18"/>
          <w:szCs w:val="18"/>
          <w:color w:val="auto"/>
        </w:rPr>
        <w:t>and tax obligations under local laws, rules and regulations in the Employee's country of employment (and country of residence, if different), including (but not limited to) any obligations to repatriate all payments attributable to the shares of Common Stock and/or cash acquired under the Plan (e.g., dividends and any proceeds derived from the sale of shares of Common Stock acquired pursuant to the PRSUs). In addition, the Employee also agrees to take any and all actions, and consents to any and all actions taken by the Company and any of its subsidiaries or affiliates, as may be required to allow the Company and any of its subsidiaries or affiliates to comply with</w:t>
      </w:r>
    </w:p>
    <w:p>
      <w:pPr>
        <w:spacing w:after="0" w:line="2"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local laws, rules and regulations in the Employee's country of employment (and country of residence, if different).</w:t>
      </w:r>
    </w:p>
    <w:p>
      <w:pPr>
        <w:spacing w:after="0" w:line="234"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WITNESS WHEREOF, the Company has executed this Agreement as of the day and year set forth on the Award Summary.</w:t>
      </w:r>
    </w:p>
    <w:p>
      <w:pPr>
        <w:spacing w:after="0" w:line="200" w:lineRule="exact"/>
        <w:rPr>
          <w:sz w:val="20"/>
          <w:szCs w:val="20"/>
          <w:color w:val="auto"/>
        </w:rPr>
      </w:pPr>
    </w:p>
    <w:p>
      <w:pPr>
        <w:spacing w:after="0" w:line="376" w:lineRule="exact"/>
        <w:rPr>
          <w:sz w:val="20"/>
          <w:szCs w:val="20"/>
          <w:color w:val="auto"/>
        </w:rPr>
      </w:pPr>
    </w:p>
    <w:p>
      <w:pPr>
        <w:ind w:left="684"/>
        <w:spacing w:after="0"/>
        <w:rPr>
          <w:sz w:val="20"/>
          <w:szCs w:val="20"/>
          <w:color w:val="auto"/>
        </w:rPr>
      </w:pPr>
      <w:r>
        <w:rPr>
          <w:rFonts w:ascii="Arial" w:cs="Arial" w:eastAsia="Arial" w:hAnsi="Arial"/>
          <w:sz w:val="18"/>
          <w:szCs w:val="18"/>
          <w:color w:val="auto"/>
        </w:rPr>
        <w:t>CONDUENT INCORPORATED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3724" w:type="dxa"/>
        <w:tblCellMar>
          <w:top w:w="0" w:type="dxa"/>
          <w:left w:w="0" w:type="dxa"/>
          <w:bottom w:w="0" w:type="dxa"/>
          <w:right w:w="0" w:type="dxa"/>
        </w:tblCellMar>
      </w:tblPr>
      <w:tr>
        <w:trPr>
          <w:trHeight w:val="207"/>
        </w:trPr>
        <w:tc>
          <w:tcPr>
            <w:tcW w:w="2640" w:type="dxa"/>
            <w:vAlign w:val="bottom"/>
            <w:gridSpan w:val="2"/>
          </w:tcPr>
          <w:p>
            <w:pPr>
              <w:spacing w:after="0"/>
              <w:rPr>
                <w:sz w:val="20"/>
                <w:szCs w:val="20"/>
                <w:color w:val="auto"/>
              </w:rPr>
            </w:pPr>
            <w:r>
              <w:rPr>
                <w:rFonts w:ascii="Arial" w:cs="Arial" w:eastAsia="Arial" w:hAnsi="Arial"/>
                <w:sz w:val="18"/>
                <w:szCs w:val="18"/>
                <w:color w:val="auto"/>
              </w:rPr>
              <w:t>By:/s/ CHRISTOPHER KUJAWA</w:t>
            </w:r>
          </w:p>
        </w:tc>
        <w:tc>
          <w:tcPr>
            <w:tcW w:w="4480" w:type="dxa"/>
            <w:vAlign w:val="bottom"/>
          </w:tcPr>
          <w:p>
            <w:pPr>
              <w:ind w:left="840"/>
              <w:spacing w:after="0"/>
              <w:rPr>
                <w:sz w:val="20"/>
                <w:szCs w:val="20"/>
                <w:color w:val="auto"/>
              </w:rPr>
            </w:pPr>
            <w:r>
              <w:rPr>
                <w:rFonts w:ascii="Arial" w:cs="Arial" w:eastAsia="Arial" w:hAnsi="Arial"/>
                <w:sz w:val="18"/>
                <w:szCs w:val="18"/>
                <w:color w:val="auto"/>
                <w:w w:val="99"/>
              </w:rPr>
              <w:t>Christopher Kujawa, Chief Human Resources</w:t>
            </w:r>
          </w:p>
        </w:tc>
      </w:tr>
      <w:tr>
        <w:trPr>
          <w:trHeight w:val="20"/>
        </w:trPr>
        <w:tc>
          <w:tcPr>
            <w:tcW w:w="26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241"/>
        </w:trPr>
        <w:tc>
          <w:tcPr>
            <w:tcW w:w="2640" w:type="dxa"/>
            <w:vAlign w:val="bottom"/>
            <w:gridSpan w:val="2"/>
          </w:tcPr>
          <w:p>
            <w:pPr>
              <w:spacing w:after="0"/>
              <w:rPr>
                <w:sz w:val="20"/>
                <w:szCs w:val="20"/>
                <w:color w:val="auto"/>
              </w:rPr>
            </w:pPr>
            <w:r>
              <w:rPr>
                <w:rFonts w:ascii="Arial" w:cs="Arial" w:eastAsia="Arial" w:hAnsi="Arial"/>
                <w:sz w:val="18"/>
                <w:szCs w:val="18"/>
                <w:color w:val="auto"/>
              </w:rPr>
              <w:t>Officer</w:t>
            </w:r>
          </w:p>
        </w:tc>
        <w:tc>
          <w:tcPr>
            <w:tcW w:w="4480" w:type="dxa"/>
            <w:vAlign w:val="bottom"/>
          </w:tcPr>
          <w:p>
            <w:pPr>
              <w:spacing w:after="0"/>
              <w:rPr>
                <w:sz w:val="20"/>
                <w:szCs w:val="20"/>
                <w:color w:val="auto"/>
              </w:rPr>
            </w:pPr>
          </w:p>
        </w:tc>
      </w:tr>
      <w:tr>
        <w:trPr>
          <w:trHeight w:val="243"/>
        </w:trPr>
        <w:tc>
          <w:tcPr>
            <w:tcW w:w="2640" w:type="dxa"/>
            <w:vAlign w:val="bottom"/>
            <w:gridSpan w:val="2"/>
          </w:tcPr>
          <w:p>
            <w:pPr>
              <w:spacing w:after="0"/>
              <w:rPr>
                <w:sz w:val="20"/>
                <w:szCs w:val="20"/>
                <w:color w:val="auto"/>
              </w:rPr>
            </w:pPr>
            <w:r>
              <w:rPr>
                <w:rFonts w:ascii="Arial" w:cs="Arial" w:eastAsia="Arial" w:hAnsi="Arial"/>
                <w:sz w:val="18"/>
                <w:szCs w:val="18"/>
                <w:color w:val="auto"/>
              </w:rPr>
              <w:t>Date: April 1, 2025</w:t>
            </w:r>
          </w:p>
        </w:tc>
        <w:tc>
          <w:tcPr>
            <w:tcW w:w="448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56"/>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1064"/>
          </w:cols>
          <w:pgMar w:left="496" w:top="1417" w:right="339" w:bottom="1440" w:gutter="0" w:footer="0" w:header="0"/>
        </w:sectPr>
      </w:pPr>
    </w:p>
    <w:bookmarkStart w:id="99" w:name="page100"/>
    <w:bookmarkEnd w:id="99"/>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A</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Performance Conditions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number of PRSUs that vest shall be based on the satisfaction of the adjusted revenue growth goals set forth below.</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Performance is measured each year and annual results are determined. The average of the three annual results is used to determine payout at the end of the three-year period,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126365</wp:posOffset>
            </wp:positionV>
            <wp:extent cx="2417445" cy="10198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2417445" cy="101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Linear interpolation will be used for results between points.</w:t>
      </w:r>
    </w:p>
    <w:p>
      <w:pPr>
        <w:spacing w:after="0" w:line="293"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goal will be adjusted for any dispositions of businesses and asset sales, and may be adjusted for other unanticipated or unbudgeted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4826000" cy="9518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4826000" cy="951865"/>
                    </a:xfrm>
                    <a:prstGeom prst="rect">
                      <a:avLst/>
                    </a:prstGeom>
                    <a:noFill/>
                  </pic:spPr>
                </pic:pic>
              </a:graphicData>
            </a:graphic>
          </wp:anchor>
        </w:drawing>
      </w:r>
    </w:p>
    <w:p>
      <w:pPr>
        <w:spacing w:after="0" w:line="214"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FFFFFF"/>
        </w:rPr>
        <w:t>Adjusted Revenue Growth Targets (from Previous Fiscal Year)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0" w:type="dxa"/>
            <w:vAlign w:val="bottom"/>
            <w:shd w:val="clear" w:color="auto" w:fill="468CFF"/>
          </w:tcPr>
          <w:p>
            <w:pPr>
              <w:jc w:val="center"/>
              <w:ind w:right="130"/>
              <w:spacing w:after="0"/>
              <w:rPr>
                <w:sz w:val="20"/>
                <w:szCs w:val="20"/>
                <w:color w:val="auto"/>
              </w:rPr>
            </w:pPr>
            <w:r>
              <w:rPr>
                <w:rFonts w:ascii="Arial" w:cs="Arial" w:eastAsia="Arial" w:hAnsi="Arial"/>
                <w:sz w:val="18"/>
                <w:szCs w:val="18"/>
                <w:b w:val="1"/>
                <w:bCs w:val="1"/>
                <w:color w:val="FFFFFF"/>
              </w:rPr>
              <w:t>Adjusted Revenue</w:t>
            </w:r>
          </w:p>
        </w:tc>
        <w:tc>
          <w:tcPr>
            <w:tcW w:w="1540" w:type="dxa"/>
            <w:vAlign w:val="bottom"/>
            <w:vMerge w:val="restart"/>
            <w:shd w:val="clear" w:color="auto" w:fill="468CFF"/>
          </w:tcPr>
          <w:p>
            <w:pPr>
              <w:jc w:val="center"/>
              <w:ind w:right="250"/>
              <w:spacing w:after="0"/>
              <w:rPr>
                <w:sz w:val="20"/>
                <w:szCs w:val="20"/>
                <w:color w:val="auto"/>
              </w:rPr>
            </w:pPr>
            <w:r>
              <w:rPr>
                <w:rFonts w:ascii="Arial" w:cs="Arial" w:eastAsia="Arial" w:hAnsi="Arial"/>
                <w:sz w:val="18"/>
                <w:szCs w:val="18"/>
                <w:b w:val="1"/>
                <w:bCs w:val="1"/>
                <w:color w:val="FFFFFF"/>
                <w:w w:val="99"/>
              </w:rPr>
              <w:t>2024</w:t>
            </w:r>
          </w:p>
        </w:tc>
        <w:tc>
          <w:tcPr>
            <w:tcW w:w="1980" w:type="dxa"/>
            <w:vAlign w:val="bottom"/>
            <w:vMerge w:val="restart"/>
            <w:shd w:val="clear" w:color="auto" w:fill="468CFF"/>
          </w:tcPr>
          <w:p>
            <w:pPr>
              <w:jc w:val="center"/>
              <w:spacing w:after="0"/>
              <w:rPr>
                <w:sz w:val="20"/>
                <w:szCs w:val="20"/>
                <w:color w:val="auto"/>
              </w:rPr>
            </w:pPr>
            <w:r>
              <w:rPr>
                <w:rFonts w:ascii="Arial" w:cs="Arial" w:eastAsia="Arial" w:hAnsi="Arial"/>
                <w:sz w:val="18"/>
                <w:szCs w:val="18"/>
                <w:b w:val="1"/>
                <w:bCs w:val="1"/>
                <w:color w:val="FFFFFF"/>
              </w:rPr>
              <w:t>2025</w:t>
            </w:r>
          </w:p>
        </w:tc>
        <w:tc>
          <w:tcPr>
            <w:tcW w:w="2080" w:type="dxa"/>
            <w:vAlign w:val="bottom"/>
            <w:vMerge w:val="restart"/>
            <w:shd w:val="clear" w:color="auto" w:fill="468CFF"/>
          </w:tcPr>
          <w:p>
            <w:pPr>
              <w:jc w:val="center"/>
              <w:spacing w:after="0"/>
              <w:rPr>
                <w:sz w:val="20"/>
                <w:szCs w:val="20"/>
                <w:color w:val="auto"/>
              </w:rPr>
            </w:pPr>
            <w:r>
              <w:rPr>
                <w:rFonts w:ascii="Arial" w:cs="Arial" w:eastAsia="Arial" w:hAnsi="Arial"/>
                <w:sz w:val="18"/>
                <w:szCs w:val="18"/>
                <w:b w:val="1"/>
                <w:bCs w:val="1"/>
                <w:color w:val="FFFFFF"/>
                <w:w w:val="99"/>
              </w:rPr>
              <w:t>2026</w:t>
            </w:r>
          </w:p>
        </w:tc>
        <w:tc>
          <w:tcPr>
            <w:tcW w:w="0" w:type="dxa"/>
            <w:vAlign w:val="bottom"/>
          </w:tcPr>
          <w:p>
            <w:pPr>
              <w:spacing w:after="0"/>
              <w:rPr>
                <w:sz w:val="1"/>
                <w:szCs w:val="1"/>
                <w:color w:val="auto"/>
              </w:rPr>
            </w:pPr>
          </w:p>
        </w:tc>
      </w:tr>
      <w:tr>
        <w:trPr>
          <w:trHeight w:val="160"/>
        </w:trPr>
        <w:tc>
          <w:tcPr>
            <w:tcW w:w="2000" w:type="dxa"/>
            <w:vAlign w:val="bottom"/>
            <w:vMerge w:val="restart"/>
            <w:shd w:val="clear" w:color="auto" w:fill="468CFF"/>
          </w:tcPr>
          <w:p>
            <w:pPr>
              <w:jc w:val="center"/>
              <w:ind w:right="170"/>
              <w:spacing w:after="0"/>
              <w:rPr>
                <w:sz w:val="20"/>
                <w:szCs w:val="20"/>
                <w:color w:val="auto"/>
              </w:rPr>
            </w:pPr>
            <w:r>
              <w:rPr>
                <w:rFonts w:ascii="Arial" w:cs="Arial" w:eastAsia="Arial" w:hAnsi="Arial"/>
                <w:sz w:val="18"/>
                <w:szCs w:val="18"/>
                <w:b w:val="1"/>
                <w:bCs w:val="1"/>
                <w:color w:val="FFFFFF"/>
                <w:w w:val="98"/>
              </w:rPr>
              <w:t>Growth</w:t>
            </w:r>
          </w:p>
        </w:tc>
        <w:tc>
          <w:tcPr>
            <w:tcW w:w="1540" w:type="dxa"/>
            <w:vAlign w:val="bottom"/>
            <w:vMerge w:val="continue"/>
            <w:shd w:val="clear" w:color="auto" w:fill="468CFF"/>
          </w:tcPr>
          <w:p>
            <w:pPr>
              <w:spacing w:after="0"/>
              <w:rPr>
                <w:sz w:val="13"/>
                <w:szCs w:val="13"/>
                <w:color w:val="auto"/>
              </w:rPr>
            </w:pPr>
          </w:p>
        </w:tc>
        <w:tc>
          <w:tcPr>
            <w:tcW w:w="1980" w:type="dxa"/>
            <w:vAlign w:val="bottom"/>
            <w:vMerge w:val="continue"/>
            <w:shd w:val="clear" w:color="auto" w:fill="468CFF"/>
          </w:tcPr>
          <w:p>
            <w:pPr>
              <w:spacing w:after="0"/>
              <w:rPr>
                <w:sz w:val="13"/>
                <w:szCs w:val="13"/>
                <w:color w:val="auto"/>
              </w:rPr>
            </w:pPr>
          </w:p>
        </w:tc>
        <w:tc>
          <w:tcPr>
            <w:tcW w:w="2080" w:type="dxa"/>
            <w:vAlign w:val="bottom"/>
            <w:vMerge w:val="continue"/>
            <w:shd w:val="clear" w:color="auto" w:fill="468CFF"/>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000" w:type="dxa"/>
            <w:vAlign w:val="bottom"/>
            <w:tcBorders>
              <w:bottom w:val="single" w:sz="8" w:color="468CFF"/>
            </w:tcBorders>
            <w:vMerge w:val="continue"/>
            <w:shd w:val="clear" w:color="auto" w:fill="468CFF"/>
          </w:tcPr>
          <w:p>
            <w:pPr>
              <w:spacing w:after="0"/>
              <w:rPr>
                <w:sz w:val="7"/>
                <w:szCs w:val="7"/>
                <w:color w:val="auto"/>
              </w:rPr>
            </w:pPr>
          </w:p>
        </w:tc>
        <w:tc>
          <w:tcPr>
            <w:tcW w:w="1540" w:type="dxa"/>
            <w:vAlign w:val="bottom"/>
            <w:tcBorders>
              <w:bottom w:val="single" w:sz="8" w:color="468CFF"/>
            </w:tcBorders>
            <w:shd w:val="clear" w:color="auto" w:fill="468CFF"/>
          </w:tcPr>
          <w:p>
            <w:pPr>
              <w:spacing w:after="0"/>
              <w:rPr>
                <w:sz w:val="7"/>
                <w:szCs w:val="7"/>
                <w:color w:val="auto"/>
              </w:rPr>
            </w:pPr>
          </w:p>
        </w:tc>
        <w:tc>
          <w:tcPr>
            <w:tcW w:w="1980" w:type="dxa"/>
            <w:vAlign w:val="bottom"/>
            <w:tcBorders>
              <w:bottom w:val="single" w:sz="8" w:color="468CFF"/>
            </w:tcBorders>
            <w:shd w:val="clear" w:color="auto" w:fill="468CFF"/>
          </w:tcPr>
          <w:p>
            <w:pPr>
              <w:spacing w:after="0"/>
              <w:rPr>
                <w:sz w:val="7"/>
                <w:szCs w:val="7"/>
                <w:color w:val="auto"/>
              </w:rPr>
            </w:pPr>
          </w:p>
        </w:tc>
        <w:tc>
          <w:tcPr>
            <w:tcW w:w="2080" w:type="dxa"/>
            <w:vAlign w:val="bottom"/>
            <w:tcBorders>
              <w:bottom w:val="single" w:sz="8" w:color="468CFF"/>
            </w:tcBorders>
            <w:shd w:val="clear" w:color="auto" w:fill="468CFF"/>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2000" w:type="dxa"/>
            <w:vAlign w:val="bottom"/>
            <w:shd w:val="clear" w:color="auto" w:fill="CFDBFF"/>
          </w:tcPr>
          <w:p>
            <w:pPr>
              <w:jc w:val="center"/>
              <w:ind w:right="190"/>
              <w:spacing w:after="0"/>
              <w:rPr>
                <w:sz w:val="20"/>
                <w:szCs w:val="20"/>
                <w:color w:val="auto"/>
              </w:rPr>
            </w:pPr>
            <w:r>
              <w:rPr>
                <w:rFonts w:ascii="Arial" w:cs="Arial" w:eastAsia="Arial" w:hAnsi="Arial"/>
                <w:sz w:val="18"/>
                <w:szCs w:val="18"/>
                <w:color w:val="auto"/>
                <w:w w:val="99"/>
              </w:rPr>
              <w:t>Threshold</w:t>
            </w:r>
          </w:p>
        </w:tc>
        <w:tc>
          <w:tcPr>
            <w:tcW w:w="1540" w:type="dxa"/>
            <w:vAlign w:val="bottom"/>
            <w:shd w:val="clear" w:color="auto" w:fill="CFDBFF"/>
          </w:tcPr>
          <w:p>
            <w:pPr>
              <w:jc w:val="center"/>
              <w:ind w:right="250"/>
              <w:spacing w:after="0"/>
              <w:rPr>
                <w:sz w:val="20"/>
                <w:szCs w:val="20"/>
                <w:color w:val="auto"/>
              </w:rPr>
            </w:pPr>
            <w:r>
              <w:rPr>
                <w:rFonts w:ascii="Arial" w:cs="Arial" w:eastAsia="Arial" w:hAnsi="Arial"/>
                <w:sz w:val="18"/>
                <w:szCs w:val="18"/>
                <w:color w:val="auto"/>
                <w:w w:val="99"/>
              </w:rPr>
              <w:t>- 2.7%</w:t>
            </w:r>
          </w:p>
        </w:tc>
        <w:tc>
          <w:tcPr>
            <w:tcW w:w="1980" w:type="dxa"/>
            <w:vAlign w:val="bottom"/>
            <w:shd w:val="clear" w:color="auto" w:fill="CFDBFF"/>
          </w:tcPr>
          <w:p>
            <w:pPr>
              <w:jc w:val="center"/>
              <w:spacing w:after="0"/>
              <w:rPr>
                <w:sz w:val="20"/>
                <w:szCs w:val="20"/>
                <w:color w:val="auto"/>
              </w:rPr>
            </w:pPr>
            <w:r>
              <w:rPr>
                <w:rFonts w:ascii="Arial" w:cs="Arial" w:eastAsia="Arial" w:hAnsi="Arial"/>
                <w:sz w:val="18"/>
                <w:szCs w:val="18"/>
                <w:color w:val="auto"/>
                <w:w w:val="97"/>
              </w:rPr>
              <w:t>-1.0%</w:t>
            </w:r>
          </w:p>
        </w:tc>
        <w:tc>
          <w:tcPr>
            <w:tcW w:w="2080" w:type="dxa"/>
            <w:vAlign w:val="bottom"/>
            <w:shd w:val="clear" w:color="auto" w:fill="CFDBFF"/>
          </w:tcPr>
          <w:p>
            <w:pPr>
              <w:jc w:val="center"/>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2000" w:type="dxa"/>
            <w:vAlign w:val="bottom"/>
            <w:shd w:val="clear" w:color="auto" w:fill="E9EEFF"/>
          </w:tcPr>
          <w:p>
            <w:pPr>
              <w:jc w:val="center"/>
              <w:ind w:right="170"/>
              <w:spacing w:after="0"/>
              <w:rPr>
                <w:sz w:val="20"/>
                <w:szCs w:val="20"/>
                <w:color w:val="auto"/>
              </w:rPr>
            </w:pPr>
            <w:r>
              <w:rPr>
                <w:rFonts w:ascii="Arial" w:cs="Arial" w:eastAsia="Arial" w:hAnsi="Arial"/>
                <w:sz w:val="18"/>
                <w:szCs w:val="18"/>
                <w:b w:val="1"/>
                <w:bCs w:val="1"/>
                <w:color w:val="auto"/>
                <w:w w:val="98"/>
              </w:rPr>
              <w:t>Target</w:t>
            </w:r>
          </w:p>
        </w:tc>
        <w:tc>
          <w:tcPr>
            <w:tcW w:w="1540" w:type="dxa"/>
            <w:vAlign w:val="bottom"/>
            <w:shd w:val="clear" w:color="auto" w:fill="E9EEFF"/>
          </w:tcPr>
          <w:p>
            <w:pPr>
              <w:jc w:val="center"/>
              <w:ind w:right="270"/>
              <w:spacing w:after="0"/>
              <w:rPr>
                <w:sz w:val="20"/>
                <w:szCs w:val="20"/>
                <w:color w:val="auto"/>
              </w:rPr>
            </w:pPr>
            <w:r>
              <w:rPr>
                <w:rFonts w:ascii="Arial" w:cs="Arial" w:eastAsia="Arial" w:hAnsi="Arial"/>
                <w:sz w:val="18"/>
                <w:szCs w:val="18"/>
                <w:b w:val="1"/>
                <w:bCs w:val="1"/>
                <w:color w:val="auto"/>
                <w:w w:val="97"/>
              </w:rPr>
              <w:t>-0.7%</w:t>
            </w:r>
          </w:p>
        </w:tc>
        <w:tc>
          <w:tcPr>
            <w:tcW w:w="1980" w:type="dxa"/>
            <w:vAlign w:val="bottom"/>
            <w:shd w:val="clear" w:color="auto" w:fill="E9EEFF"/>
          </w:tcPr>
          <w:p>
            <w:pPr>
              <w:jc w:val="center"/>
              <w:spacing w:after="0"/>
              <w:rPr>
                <w:sz w:val="20"/>
                <w:szCs w:val="20"/>
                <w:color w:val="auto"/>
              </w:rPr>
            </w:pPr>
            <w:r>
              <w:rPr>
                <w:rFonts w:ascii="Arial" w:cs="Arial" w:eastAsia="Arial" w:hAnsi="Arial"/>
                <w:sz w:val="18"/>
                <w:szCs w:val="18"/>
                <w:b w:val="1"/>
                <w:bCs w:val="1"/>
                <w:color w:val="auto"/>
                <w:w w:val="96"/>
              </w:rPr>
              <w:t>+1.5%</w:t>
            </w:r>
          </w:p>
        </w:tc>
        <w:tc>
          <w:tcPr>
            <w:tcW w:w="2080" w:type="dxa"/>
            <w:vAlign w:val="bottom"/>
            <w:shd w:val="clear" w:color="auto" w:fill="E9EEFF"/>
          </w:tcPr>
          <w:p>
            <w:pPr>
              <w:jc w:val="center"/>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43"/>
        </w:trPr>
        <w:tc>
          <w:tcPr>
            <w:tcW w:w="2000" w:type="dxa"/>
            <w:vAlign w:val="bottom"/>
            <w:shd w:val="clear" w:color="auto" w:fill="CFDBFF"/>
          </w:tcPr>
          <w:p>
            <w:pPr>
              <w:jc w:val="center"/>
              <w:ind w:right="170"/>
              <w:spacing w:after="0"/>
              <w:rPr>
                <w:sz w:val="20"/>
                <w:szCs w:val="20"/>
                <w:color w:val="auto"/>
              </w:rPr>
            </w:pPr>
            <w:r>
              <w:rPr>
                <w:rFonts w:ascii="Arial" w:cs="Arial" w:eastAsia="Arial" w:hAnsi="Arial"/>
                <w:sz w:val="18"/>
                <w:szCs w:val="18"/>
                <w:color w:val="auto"/>
                <w:w w:val="99"/>
              </w:rPr>
              <w:t>Max</w:t>
            </w:r>
          </w:p>
        </w:tc>
        <w:tc>
          <w:tcPr>
            <w:tcW w:w="1540" w:type="dxa"/>
            <w:vAlign w:val="bottom"/>
            <w:shd w:val="clear" w:color="auto" w:fill="CFDBFF"/>
          </w:tcPr>
          <w:p>
            <w:pPr>
              <w:jc w:val="center"/>
              <w:ind w:right="250"/>
              <w:spacing w:after="0"/>
              <w:rPr>
                <w:sz w:val="20"/>
                <w:szCs w:val="20"/>
                <w:color w:val="auto"/>
              </w:rPr>
            </w:pPr>
            <w:r>
              <w:rPr>
                <w:rFonts w:ascii="Arial" w:cs="Arial" w:eastAsia="Arial" w:hAnsi="Arial"/>
                <w:sz w:val="18"/>
                <w:szCs w:val="18"/>
                <w:color w:val="auto"/>
              </w:rPr>
              <w:t>+1.3%</w:t>
            </w:r>
          </w:p>
        </w:tc>
        <w:tc>
          <w:tcPr>
            <w:tcW w:w="1980" w:type="dxa"/>
            <w:vAlign w:val="bottom"/>
            <w:shd w:val="clear" w:color="auto" w:fill="CFDBFF"/>
          </w:tcPr>
          <w:p>
            <w:pPr>
              <w:jc w:val="center"/>
              <w:spacing w:after="0"/>
              <w:rPr>
                <w:sz w:val="20"/>
                <w:szCs w:val="20"/>
                <w:color w:val="auto"/>
              </w:rPr>
            </w:pPr>
            <w:r>
              <w:rPr>
                <w:rFonts w:ascii="Arial" w:cs="Arial" w:eastAsia="Arial" w:hAnsi="Arial"/>
                <w:sz w:val="18"/>
                <w:szCs w:val="18"/>
                <w:color w:val="auto"/>
                <w:w w:val="96"/>
              </w:rPr>
              <w:t>+4.0%</w:t>
            </w:r>
          </w:p>
        </w:tc>
        <w:tc>
          <w:tcPr>
            <w:tcW w:w="2080" w:type="dxa"/>
            <w:vAlign w:val="bottom"/>
            <w:shd w:val="clear" w:color="auto" w:fill="CFDBFF"/>
          </w:tcPr>
          <w:p>
            <w:pPr>
              <w:jc w:val="center"/>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A-1</w:t>
      </w:r>
    </w:p>
    <w:p>
      <w:pPr>
        <w:sectPr>
          <w:pgSz w:w="11900" w:h="16838" w:orient="portrait"/>
          <w:cols w:equalWidth="0" w:num="1">
            <w:col w:w="11200"/>
          </w:cols>
          <w:pgMar w:left="320" w:top="1440" w:right="37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EXHIBIT B</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333333"/>
        </w:rPr>
        <w:t>Non-Competition and Non-Solicitation Agreement</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This Non-Competition and Non-Solicitation Agreement (“Agreement”) is made effective as of April 1, 2025 (“Effective Date”) between Conduent Business Services, LLC, its parent, subsidiaries, divisions and affiliates (collectively, “Conduent”) and the individual whose name appears in the Award Summary (“Employee”).</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acknowledges that Conduent is in a competitive industry in which the creation, maintenance, and use of 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or proprietary information and innovation are critical to Conduent’s success, and that the protection of that information and innovation is reasonably necessary to protect the goodwill and other legitimate business interests of Conduent; and</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further acknowledges the receipt and sufficiency of the consideration provided to Employee in exchange for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obligations under this Agreement, including, but not limited to, Employee’s employment or continued employment with Conduent in Employee’s current or a newly promoted role, Employee’s access to and receipt of trade secrets and confidential and proprietary information relating to Conduent’s business and clients, and, if applicable, Employee’s participation in Conduent incentive programs.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Conduent and Employee agree as follows:</w:t>
      </w:r>
    </w:p>
    <w:p>
      <w:pPr>
        <w:spacing w:after="0" w:line="252" w:lineRule="exact"/>
        <w:rPr>
          <w:sz w:val="20"/>
          <w:szCs w:val="20"/>
          <w:color w:val="auto"/>
        </w:rPr>
      </w:pPr>
    </w:p>
    <w:p>
      <w:pPr>
        <w:jc w:val="both"/>
        <w:ind w:left="340" w:right="60" w:hanging="332"/>
        <w:spacing w:after="0" w:line="276" w:lineRule="auto"/>
        <w:tabs>
          <w:tab w:leader="none" w:pos="328" w:val="left"/>
        </w:tabs>
        <w:numPr>
          <w:ilvl w:val="0"/>
          <w:numId w:val="115"/>
        </w:numPr>
        <w:rPr>
          <w:rFonts w:ascii="Arial" w:cs="Arial" w:eastAsia="Arial" w:hAnsi="Arial"/>
          <w:sz w:val="18"/>
          <w:szCs w:val="18"/>
          <w:color w:val="auto"/>
        </w:rPr>
      </w:pPr>
      <w:r>
        <w:rPr>
          <w:rFonts w:ascii="Arial" w:cs="Arial" w:eastAsia="Arial" w:hAnsi="Arial"/>
          <w:sz w:val="18"/>
          <w:szCs w:val="18"/>
          <w:b w:val="1"/>
          <w:bCs w:val="1"/>
          <w:u w:val="single" w:color="auto"/>
          <w:color w:val="auto"/>
        </w:rPr>
        <w:t>Non-Competition</w:t>
      </w:r>
      <w:r>
        <w:rPr>
          <w:rFonts w:ascii="Arial" w:cs="Arial" w:eastAsia="Arial" w:hAnsi="Arial"/>
          <w:sz w:val="18"/>
          <w:szCs w:val="18"/>
          <w:color w:val="auto"/>
        </w:rPr>
        <w:t>. (a) During the Non-Compete Period, Employee will not, directly or indirectly, own (beneficially or otherwise), manage,</w:t>
      </w:r>
      <w:r>
        <w:rPr>
          <w:rFonts w:ascii="Arial" w:cs="Arial" w:eastAsia="Arial" w:hAnsi="Arial"/>
          <w:sz w:val="18"/>
          <w:szCs w:val="18"/>
          <w:b w:val="1"/>
          <w:bCs w:val="1"/>
          <w:color w:val="auto"/>
        </w:rPr>
        <w:t xml:space="preserve"> </w:t>
      </w:r>
      <w:r>
        <w:rPr>
          <w:rFonts w:ascii="Arial" w:cs="Arial" w:eastAsia="Arial" w:hAnsi="Arial"/>
          <w:sz w:val="18"/>
          <w:szCs w:val="18"/>
          <w:color w:val="auto"/>
        </w:rPr>
        <w:t>operate, or render any services for (including, but not limited to, as an employee, proprietor, partner, agent, contractor, or consultant) any Entity that is engaged in any Competitive Activity in the Geographical Area.</w:t>
      </w:r>
    </w:p>
    <w:p>
      <w:pPr>
        <w:spacing w:after="0" w:line="203" w:lineRule="exact"/>
        <w:rPr>
          <w:rFonts w:ascii="Arial" w:cs="Arial" w:eastAsia="Arial" w:hAnsi="Arial"/>
          <w:sz w:val="18"/>
          <w:szCs w:val="18"/>
          <w:color w:val="auto"/>
        </w:rPr>
      </w:pPr>
    </w:p>
    <w:p>
      <w:pPr>
        <w:ind w:left="800" w:hanging="468"/>
        <w:spacing w:after="0"/>
        <w:tabs>
          <w:tab w:leader="none" w:pos="8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For purposes of this Agreement, the following terms will have the meaning set forth below:</w:t>
      </w:r>
    </w:p>
    <w:p>
      <w:pPr>
        <w:spacing w:after="0" w:line="265" w:lineRule="exact"/>
        <w:rPr>
          <w:rFonts w:ascii="Arial" w:cs="Arial" w:eastAsia="Arial" w:hAnsi="Arial"/>
          <w:sz w:val="18"/>
          <w:szCs w:val="18"/>
          <w:color w:val="auto"/>
        </w:rPr>
      </w:pPr>
    </w:p>
    <w:p>
      <w:pPr>
        <w:jc w:val="both"/>
        <w:ind w:left="1300" w:hanging="46"/>
        <w:spacing w:after="0" w:line="267" w:lineRule="auto"/>
        <w:tabs>
          <w:tab w:leader="none" w:pos="1751" w:val="left"/>
        </w:tabs>
        <w:numPr>
          <w:ilvl w:val="2"/>
          <w:numId w:val="115"/>
        </w:numPr>
        <w:rPr>
          <w:rFonts w:ascii="Arial" w:cs="Arial" w:eastAsia="Arial" w:hAnsi="Arial"/>
          <w:sz w:val="18"/>
          <w:szCs w:val="18"/>
          <w:color w:val="auto"/>
        </w:rPr>
      </w:pPr>
      <w:r>
        <w:rPr>
          <w:rFonts w:ascii="Arial" w:cs="Arial" w:eastAsia="Arial" w:hAnsi="Arial"/>
          <w:sz w:val="18"/>
          <w:szCs w:val="18"/>
          <w:color w:val="auto"/>
        </w:rPr>
        <w:t>“Non-Compete Period” means during Employee’s employment and for twelve (12) months following the Employment Cessation Date, provided, however, that the Non-Compete Period shall be shortened to end six (6) months following the Employment Cessation Date in either of the following two (2) situations: (A) immediately prior to the Employment Cessation Date, Employee’s employment job grade is C10 or lower and Employee has fully complied with each of the provisions of this Agreement, or (B) Employee’s termination is due specifically to a reduction in force and Employee has fully complied with each of the provisions of this Agreement.</w:t>
      </w:r>
    </w:p>
    <w:p>
      <w:pPr>
        <w:spacing w:after="0" w:line="211" w:lineRule="exact"/>
        <w:rPr>
          <w:sz w:val="20"/>
          <w:szCs w:val="20"/>
          <w:color w:val="auto"/>
        </w:rPr>
      </w:pPr>
    </w:p>
    <w:p>
      <w:pPr>
        <w:ind w:left="1300" w:firstLine="6"/>
        <w:spacing w:after="0" w:line="287" w:lineRule="auto"/>
        <w:tabs>
          <w:tab w:leader="none" w:pos="1909" w:val="left"/>
        </w:tabs>
        <w:numPr>
          <w:ilvl w:val="2"/>
          <w:numId w:val="116"/>
        </w:numPr>
        <w:rPr>
          <w:rFonts w:ascii="Arial" w:cs="Arial" w:eastAsia="Arial" w:hAnsi="Arial"/>
          <w:sz w:val="18"/>
          <w:szCs w:val="18"/>
          <w:color w:val="auto"/>
        </w:rPr>
      </w:pPr>
      <w:r>
        <w:rPr>
          <w:rFonts w:ascii="Arial" w:cs="Arial" w:eastAsia="Arial" w:hAnsi="Arial"/>
          <w:sz w:val="18"/>
          <w:szCs w:val="18"/>
          <w:color w:val="auto"/>
        </w:rPr>
        <w:t>“Employment Cessation Date” means the earlier of Employee’s last day of active employment with Conduent or Employee’s termination date as reflected in Conduent’s records.</w:t>
      </w:r>
    </w:p>
    <w:p>
      <w:pPr>
        <w:spacing w:after="0" w:line="193" w:lineRule="exact"/>
        <w:rPr>
          <w:rFonts w:ascii="Arial" w:cs="Arial" w:eastAsia="Arial" w:hAnsi="Arial"/>
          <w:sz w:val="18"/>
          <w:szCs w:val="18"/>
          <w:color w:val="auto"/>
        </w:rPr>
      </w:pPr>
    </w:p>
    <w:p>
      <w:pPr>
        <w:ind w:left="1300" w:hanging="81"/>
        <w:spacing w:after="0" w:line="303" w:lineRule="auto"/>
        <w:tabs>
          <w:tab w:leader="none" w:pos="1754" w:val="left"/>
        </w:tabs>
        <w:numPr>
          <w:ilvl w:val="1"/>
          <w:numId w:val="117"/>
        </w:numPr>
        <w:rPr>
          <w:rFonts w:ascii="Arial" w:cs="Arial" w:eastAsia="Arial" w:hAnsi="Arial"/>
          <w:sz w:val="18"/>
          <w:szCs w:val="18"/>
          <w:color w:val="auto"/>
        </w:rPr>
      </w:pPr>
      <w:r>
        <w:rPr>
          <w:rFonts w:ascii="Arial" w:cs="Arial" w:eastAsia="Arial" w:hAnsi="Arial"/>
          <w:sz w:val="18"/>
          <w:szCs w:val="18"/>
          <w:color w:val="auto"/>
        </w:rPr>
        <w:t>“Entity” means an individual, partnership, corporation, association, limited liability company, joint stock company, trust, joint venture, unincorporated organization or any other entity.</w:t>
      </w:r>
    </w:p>
    <w:p>
      <w:pPr>
        <w:spacing w:after="0" w:line="165" w:lineRule="exact"/>
        <w:rPr>
          <w:rFonts w:ascii="Arial" w:cs="Arial" w:eastAsia="Arial" w:hAnsi="Arial"/>
          <w:sz w:val="18"/>
          <w:szCs w:val="18"/>
          <w:color w:val="auto"/>
        </w:rPr>
      </w:pPr>
    </w:p>
    <w:p>
      <w:pPr>
        <w:jc w:val="both"/>
        <w:ind w:left="1300" w:hanging="107"/>
        <w:spacing w:after="0" w:line="284" w:lineRule="auto"/>
        <w:tabs>
          <w:tab w:leader="none" w:pos="165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“Competitive Activity” means offering, selling or providing any product or service that competes with a product or service that Conduent offers, sells, or provides at any time during the twenty-four (24) months before the Employee’s Employment Cessation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B-1</w:t>
      </w:r>
    </w:p>
    <w:p>
      <w:pPr>
        <w:sectPr>
          <w:pgSz w:w="11900" w:h="16838" w:orient="portrait"/>
          <w:cols w:equalWidth="0" w:num="1">
            <w:col w:w="11240"/>
          </w:cols>
          <w:pgMar w:left="320" w:top="1336" w:right="339" w:bottom="1440" w:gutter="0" w:footer="0" w:header="0"/>
        </w:sectPr>
      </w:pPr>
    </w:p>
    <w:bookmarkStart w:id="101" w:name="page102"/>
    <w:bookmarkEnd w:id="101"/>
    <w:p>
      <w:pPr>
        <w:ind w:left="1300" w:hanging="833"/>
        <w:spacing w:after="0" w:line="303" w:lineRule="auto"/>
        <w:tabs>
          <w:tab w:leader="none" w:pos="90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“Geographical Area” means the United States of America and any other country in which the Employee had responsibility for the business activity of Conduent in the twelve (12) months preceding the Employment Cessation Date.</w:t>
      </w:r>
    </w:p>
    <w:p>
      <w:pPr>
        <w:spacing w:after="0" w:line="16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Nothing in this Section 1 prohibits Employee from being or becoming an owner of less than five percent (5%) of the outstanding stock of any company listed on a national securities exchange or actively traded on in the over the counter market, so long as the Employee has no direct or indirect participation in any business of such company that offers any product or service that competes with any product or service offered by Conduent.</w:t>
      </w:r>
    </w:p>
    <w:p>
      <w:pPr>
        <w:spacing w:after="0" w:line="3" w:lineRule="exact"/>
        <w:rPr>
          <w:sz w:val="20"/>
          <w:szCs w:val="20"/>
          <w:color w:val="auto"/>
        </w:rPr>
      </w:pPr>
    </w:p>
    <w:p>
      <w:pPr>
        <w:jc w:val="both"/>
        <w:ind w:left="340" w:hanging="332"/>
        <w:spacing w:after="0" w:line="265" w:lineRule="auto"/>
        <w:tabs>
          <w:tab w:leader="none" w:pos="328" w:val="left"/>
        </w:tabs>
        <w:numPr>
          <w:ilvl w:val="0"/>
          <w:numId w:val="120"/>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 of Customers</w:t>
      </w:r>
      <w:r>
        <w:rPr>
          <w:rFonts w:ascii="Arial" w:cs="Arial" w:eastAsia="Arial" w:hAnsi="Arial"/>
          <w:sz w:val="18"/>
          <w:szCs w:val="18"/>
          <w:color w:val="auto"/>
        </w:rPr>
        <w:t>. During the term of Employee’s employment and for a period of twelve (12) months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Cessation date (“Non-Solicit Period”), Employee will not, directly or indirectly, solicit, service, handle, or accept business from any customer or potential customer of Conduent, or solicit, induce or encourage any customer or potential customer to terminate or reduce the level of business it does with Conduent. This covenant shall only apply to (i) customers of Conduent with whom Employee had contact or for whom Employee was responsible, in whole or part, for providing (or assisting or supervising the performance of) services or products on behalf of Conduent during the last twelve (12) months of Employee’s active employment with Conduent, and (ii) those prospective customers of Conduent with whom Employee had contact or solicited business on behalf of Conduent during the last twelve (12) months of Employee’s active employment,</w:t>
      </w:r>
    </w:p>
    <w:p>
      <w:pPr>
        <w:spacing w:after="0" w:line="268" w:lineRule="exact"/>
        <w:rPr>
          <w:rFonts w:ascii="Arial" w:cs="Arial" w:eastAsia="Arial" w:hAnsi="Arial"/>
          <w:sz w:val="18"/>
          <w:szCs w:val="18"/>
          <w:color w:val="auto"/>
        </w:rPr>
      </w:pPr>
    </w:p>
    <w:p>
      <w:pPr>
        <w:ind w:left="340" w:hanging="332"/>
        <w:spacing w:after="0" w:line="303" w:lineRule="auto"/>
        <w:tabs>
          <w:tab w:leader="none" w:pos="328" w:val="left"/>
        </w:tabs>
        <w:numPr>
          <w:ilvl w:val="0"/>
          <w:numId w:val="120"/>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 of Employees</w:t>
      </w:r>
      <w:r>
        <w:rPr>
          <w:rFonts w:ascii="Arial" w:cs="Arial" w:eastAsia="Arial" w:hAnsi="Arial"/>
          <w:sz w:val="18"/>
          <w:szCs w:val="18"/>
          <w:color w:val="auto"/>
        </w:rPr>
        <w:t>. During the Non-Solicit Period, as defined above, Employee will not, directly or indirectly, recruit, solicit,</w:t>
      </w:r>
      <w:r>
        <w:rPr>
          <w:rFonts w:ascii="Arial" w:cs="Arial" w:eastAsia="Arial" w:hAnsi="Arial"/>
          <w:sz w:val="18"/>
          <w:szCs w:val="18"/>
          <w:b w:val="1"/>
          <w:bCs w:val="1"/>
          <w:color w:val="auto"/>
        </w:rPr>
        <w:t xml:space="preserve"> </w:t>
      </w:r>
      <w:r>
        <w:rPr>
          <w:rFonts w:ascii="Arial" w:cs="Arial" w:eastAsia="Arial" w:hAnsi="Arial"/>
          <w:sz w:val="18"/>
          <w:szCs w:val="18"/>
          <w:color w:val="auto"/>
        </w:rPr>
        <w:t>induce, encourage or assist any employee of Conduent to leave such employee’s employment with Conduent.</w:t>
      </w:r>
    </w:p>
    <w:p>
      <w:pPr>
        <w:spacing w:after="0" w:line="152" w:lineRule="exact"/>
        <w:rPr>
          <w:rFonts w:ascii="Arial" w:cs="Arial" w:eastAsia="Arial" w:hAnsi="Arial"/>
          <w:sz w:val="18"/>
          <w:szCs w:val="18"/>
          <w:color w:val="auto"/>
        </w:rPr>
      </w:pPr>
    </w:p>
    <w:p>
      <w:pPr>
        <w:jc w:val="both"/>
        <w:ind w:left="340" w:hanging="332"/>
        <w:spacing w:after="0" w:line="255" w:lineRule="auto"/>
        <w:tabs>
          <w:tab w:leader="none" w:pos="328" w:val="left"/>
        </w:tabs>
        <w:numPr>
          <w:ilvl w:val="0"/>
          <w:numId w:val="120"/>
        </w:numPr>
        <w:rPr>
          <w:rFonts w:ascii="Arial" w:cs="Arial" w:eastAsia="Arial" w:hAnsi="Arial"/>
          <w:sz w:val="18"/>
          <w:szCs w:val="18"/>
          <w:color w:val="auto"/>
        </w:rPr>
      </w:pPr>
      <w:r>
        <w:rPr>
          <w:rFonts w:ascii="Arial" w:cs="Arial" w:eastAsia="Arial" w:hAnsi="Arial"/>
          <w:sz w:val="18"/>
          <w:szCs w:val="18"/>
          <w:b w:val="1"/>
          <w:bCs w:val="1"/>
          <w:u w:val="single" w:color="auto"/>
          <w:color w:val="auto"/>
        </w:rPr>
        <w:t>Non-Disparagement</w:t>
      </w:r>
      <w:r>
        <w:rPr>
          <w:rFonts w:ascii="Arial" w:cs="Arial" w:eastAsia="Arial" w:hAnsi="Arial"/>
          <w:sz w:val="18"/>
          <w:szCs w:val="18"/>
          <w:color w:val="auto"/>
        </w:rPr>
        <w:t>. During the Non-Compete Period, Employee agrees that Employee will not, directly or indirectly, in any capacity or</w:t>
      </w:r>
      <w:r>
        <w:rPr>
          <w:rFonts w:ascii="Arial" w:cs="Arial" w:eastAsia="Arial" w:hAnsi="Arial"/>
          <w:sz w:val="18"/>
          <w:szCs w:val="18"/>
          <w:b w:val="1"/>
          <w:bCs w:val="1"/>
          <w:color w:val="auto"/>
        </w:rPr>
        <w:t xml:space="preserve"> </w:t>
      </w:r>
      <w:r>
        <w:rPr>
          <w:rFonts w:ascii="Arial" w:cs="Arial" w:eastAsia="Arial" w:hAnsi="Arial"/>
          <w:sz w:val="18"/>
          <w:szCs w:val="18"/>
          <w:color w:val="auto"/>
        </w:rPr>
        <w:t>manner, publicly make, express, transmit, speak, write, verbalize or otherwise communicate in any way (or cause, further, assist, solicit, encourage, support or participate in any of the foregoing), any remark, comment, message, information, declaration, communication or other statement of any kind, whether verbal or in writing, electronically transmitted or otherwise, with respect to the Company, or any of its respective directors, officers or employees, (collectively “Company Parties”), which would malign, harm, disparage, defame or damage the reputation or good name of any of the Company Parties; provided, that this Section 4 shall not restrict Employee from disclosing any information to Employee’s attorneys or in response to a lawful subpoena or court order requiring disclosure of information or otherwise responding in any legal proceeding or legal or regulatory process or in connection with initiating any legal proceeding.</w:t>
      </w:r>
    </w:p>
    <w:p>
      <w:pPr>
        <w:spacing w:after="0" w:line="279" w:lineRule="exact"/>
        <w:rPr>
          <w:rFonts w:ascii="Arial" w:cs="Arial" w:eastAsia="Arial" w:hAnsi="Arial"/>
          <w:sz w:val="18"/>
          <w:szCs w:val="18"/>
          <w:color w:val="auto"/>
        </w:rPr>
      </w:pPr>
    </w:p>
    <w:p>
      <w:pPr>
        <w:jc w:val="both"/>
        <w:ind w:left="340" w:hanging="332"/>
        <w:spacing w:after="0" w:line="273" w:lineRule="auto"/>
        <w:tabs>
          <w:tab w:leader="none" w:pos="328" w:val="left"/>
        </w:tabs>
        <w:numPr>
          <w:ilvl w:val="0"/>
          <w:numId w:val="120"/>
        </w:numPr>
        <w:rPr>
          <w:rFonts w:ascii="Arial" w:cs="Arial" w:eastAsia="Arial" w:hAnsi="Arial"/>
          <w:sz w:val="18"/>
          <w:szCs w:val="18"/>
          <w:color w:val="auto"/>
        </w:rPr>
      </w:pPr>
      <w:r>
        <w:rPr>
          <w:rFonts w:ascii="Arial" w:cs="Arial" w:eastAsia="Arial" w:hAnsi="Arial"/>
          <w:sz w:val="18"/>
          <w:szCs w:val="18"/>
          <w:b w:val="1"/>
          <w:bCs w:val="1"/>
          <w:u w:val="single" w:color="auto"/>
          <w:color w:val="auto"/>
        </w:rPr>
        <w:t>At-Will Employment</w:t>
      </w:r>
      <w:r>
        <w:rPr>
          <w:rFonts w:ascii="Arial" w:cs="Arial" w:eastAsia="Arial" w:hAnsi="Arial"/>
          <w:sz w:val="18"/>
          <w:szCs w:val="18"/>
          <w:color w:val="auto"/>
        </w:rPr>
        <w:t>. Employee and Conduent agree and acknowledge that Employee’s employment with Conduent is at-will and that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does not obligate Conduent to employ Employee for a predetermined period of time. Employee has the right to terminate Employee’s employment at any time for any reason, and Conduent has the same right. The post-employment obligations of this Agreement shall survive the termination of Employee’s employment with Conduent.</w:t>
      </w:r>
    </w:p>
    <w:p>
      <w:pPr>
        <w:spacing w:after="0" w:line="259" w:lineRule="exact"/>
        <w:rPr>
          <w:rFonts w:ascii="Arial" w:cs="Arial" w:eastAsia="Arial" w:hAnsi="Arial"/>
          <w:sz w:val="18"/>
          <w:szCs w:val="18"/>
          <w:color w:val="auto"/>
        </w:rPr>
      </w:pPr>
    </w:p>
    <w:p>
      <w:pPr>
        <w:jc w:val="both"/>
        <w:ind w:left="340" w:hanging="332"/>
        <w:spacing w:after="0" w:line="273" w:lineRule="auto"/>
        <w:tabs>
          <w:tab w:leader="none" w:pos="328" w:val="left"/>
        </w:tabs>
        <w:numPr>
          <w:ilvl w:val="0"/>
          <w:numId w:val="120"/>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Certain Other Obligations</w:t>
      </w:r>
      <w:r>
        <w:rPr>
          <w:rFonts w:ascii="Arial" w:cs="Arial" w:eastAsia="Arial" w:hAnsi="Arial"/>
          <w:sz w:val="18"/>
          <w:szCs w:val="18"/>
          <w:color w:val="auto"/>
        </w:rPr>
        <w:t>. Employee and Conduent agree that any prior agreement between Employee and Conduent</w:t>
      </w:r>
      <w:r>
        <w:rPr>
          <w:rFonts w:ascii="Arial" w:cs="Arial" w:eastAsia="Arial" w:hAnsi="Arial"/>
          <w:sz w:val="18"/>
          <w:szCs w:val="18"/>
          <w:b w:val="1"/>
          <w:bCs w:val="1"/>
          <w:color w:val="auto"/>
        </w:rPr>
        <w:t xml:space="preserve"> </w:t>
      </w:r>
      <w:r>
        <w:rPr>
          <w:rFonts w:ascii="Arial" w:cs="Arial" w:eastAsia="Arial" w:hAnsi="Arial"/>
          <w:sz w:val="18"/>
          <w:szCs w:val="18"/>
          <w:color w:val="auto"/>
        </w:rPr>
        <w:t>containing a non-compete obligation, a non-solicitation of customers obligation or a non-solicitation of employees obligation is hereby terminated and Employee shall only be subject to this Agreement with respect to such matters. Except as provided by the preceding sentence, all other terms of all agreements between Employee and Conduent shall remain in full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B-2</w:t>
      </w:r>
    </w:p>
    <w:p>
      <w:pPr>
        <w:sectPr>
          <w:pgSz w:w="11900" w:h="16838" w:orient="portrait"/>
          <w:cols w:equalWidth="0" w:num="1">
            <w:col w:w="11240"/>
          </w:cols>
          <w:pgMar w:left="320" w:top="1093" w:right="339" w:bottom="1440" w:gutter="0" w:footer="0" w:header="0"/>
        </w:sectPr>
      </w:pPr>
    </w:p>
    <w:bookmarkStart w:id="102" w:name="page103"/>
    <w:bookmarkEnd w:id="102"/>
    <w:p>
      <w:pPr>
        <w:jc w:val="both"/>
        <w:ind w:left="340" w:hanging="332"/>
        <w:spacing w:after="0" w:line="267" w:lineRule="auto"/>
        <w:tabs>
          <w:tab w:leader="none" w:pos="328" w:val="left"/>
        </w:tabs>
        <w:numPr>
          <w:ilvl w:val="0"/>
          <w:numId w:val="121"/>
        </w:numPr>
        <w:rPr>
          <w:rFonts w:ascii="Arial" w:cs="Arial" w:eastAsia="Arial" w:hAnsi="Arial"/>
          <w:sz w:val="18"/>
          <w:szCs w:val="18"/>
          <w:color w:val="auto"/>
        </w:rPr>
      </w:pPr>
      <w:r>
        <w:rPr>
          <w:rFonts w:ascii="Arial" w:cs="Arial" w:eastAsia="Arial" w:hAnsi="Arial"/>
          <w:sz w:val="18"/>
          <w:szCs w:val="18"/>
          <w:b w:val="1"/>
          <w:bCs w:val="1"/>
          <w:u w:val="single" w:color="auto"/>
          <w:color w:val="auto"/>
        </w:rPr>
        <w:t>Equitable Relief</w:t>
      </w:r>
      <w:r>
        <w:rPr>
          <w:rFonts w:ascii="Arial" w:cs="Arial" w:eastAsia="Arial" w:hAnsi="Arial"/>
          <w:sz w:val="18"/>
          <w:szCs w:val="18"/>
          <w:color w:val="auto"/>
          <w:highlight w:val="white"/>
        </w:rPr>
        <w:t>. Employee and Conduent agree that, in the event of breach of this Agreement by Employee, Conduent would be</w:t>
      </w:r>
      <w:r>
        <w:rPr>
          <w:rFonts w:ascii="Arial" w:cs="Arial" w:eastAsia="Arial" w:hAnsi="Arial"/>
          <w:sz w:val="18"/>
          <w:szCs w:val="18"/>
          <w:b w:val="1"/>
          <w:bCs w:val="1"/>
          <w:color w:val="auto"/>
        </w:rPr>
        <w:t xml:space="preserve"> </w:t>
      </w:r>
      <w:r>
        <w:rPr>
          <w:rFonts w:ascii="Arial" w:cs="Arial" w:eastAsia="Arial" w:hAnsi="Arial"/>
          <w:sz w:val="18"/>
          <w:szCs w:val="18"/>
          <w:color w:val="auto"/>
        </w:rPr>
        <w:t>irreparably harmed but the amount of damages to Conduent would be difficult to ascertain. Conduent and Employee agree that in the event of such breach, Conduent shall have the right to an injunction or other equitable relief and to all other appropriate legal remedies, including damages. In the event any lawsuit is brought to enforce any of the provisions of this Agreement, the prevailing party shall be entitled to recover its reasonable attorneys’ fees and costs from the other party.</w:t>
      </w:r>
    </w:p>
    <w:p>
      <w:pPr>
        <w:spacing w:after="0" w:line="279" w:lineRule="exact"/>
        <w:rPr>
          <w:rFonts w:ascii="Arial" w:cs="Arial" w:eastAsia="Arial" w:hAnsi="Arial"/>
          <w:sz w:val="18"/>
          <w:szCs w:val="18"/>
          <w:color w:val="auto"/>
        </w:rPr>
      </w:pPr>
    </w:p>
    <w:p>
      <w:pPr>
        <w:jc w:val="both"/>
        <w:ind w:left="340" w:hanging="332"/>
        <w:spacing w:after="0" w:line="273" w:lineRule="auto"/>
        <w:tabs>
          <w:tab w:leader="none" w:pos="328" w:val="left"/>
        </w:tabs>
        <w:numPr>
          <w:ilvl w:val="0"/>
          <w:numId w:val="121"/>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highlight w:val="white"/>
        </w:rPr>
        <w:t>. This Agreement shall be governed by and construed in accordance with the laws of the State of Delaware,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conflict of law principles. Employee and Conduent agree that any claims or suits arising out of or relating to this Agreement shall be commenced and maintained in the state or federal courts located in Delaware, and Employee hereby submits to the jurisdiction and venue of any such court.</w:t>
      </w:r>
    </w:p>
    <w:p>
      <w:pPr>
        <w:spacing w:after="0" w:line="259" w:lineRule="exact"/>
        <w:rPr>
          <w:rFonts w:ascii="Arial" w:cs="Arial" w:eastAsia="Arial" w:hAnsi="Arial"/>
          <w:sz w:val="18"/>
          <w:szCs w:val="18"/>
          <w:color w:val="auto"/>
        </w:rPr>
      </w:pPr>
    </w:p>
    <w:p>
      <w:pPr>
        <w:jc w:val="both"/>
        <w:ind w:left="340" w:hanging="332"/>
        <w:spacing w:after="0" w:line="273" w:lineRule="auto"/>
        <w:tabs>
          <w:tab w:leader="none" w:pos="328" w:val="left"/>
        </w:tabs>
        <w:numPr>
          <w:ilvl w:val="0"/>
          <w:numId w:val="121"/>
        </w:numPr>
        <w:rPr>
          <w:rFonts w:ascii="Arial" w:cs="Arial" w:eastAsia="Arial" w:hAnsi="Arial"/>
          <w:sz w:val="18"/>
          <w:szCs w:val="18"/>
          <w:color w:val="auto"/>
        </w:rPr>
      </w:pPr>
      <w:r>
        <w:rPr>
          <w:rFonts w:ascii="Arial" w:cs="Arial" w:eastAsia="Arial" w:hAnsi="Arial"/>
          <w:sz w:val="18"/>
          <w:szCs w:val="18"/>
          <w:b w:val="1"/>
          <w:bCs w:val="1"/>
          <w:u w:val="single" w:color="auto"/>
          <w:color w:val="auto"/>
        </w:rPr>
        <w:t>Enforceability</w:t>
      </w:r>
      <w:r>
        <w:rPr>
          <w:rFonts w:ascii="Arial" w:cs="Arial" w:eastAsia="Arial" w:hAnsi="Arial"/>
          <w:sz w:val="18"/>
          <w:szCs w:val="18"/>
          <w:color w:val="auto"/>
          <w:highlight w:val="white"/>
        </w:rPr>
        <w:t>. In the event that any of the provisions of this Agreement is deemed unenforceable or to exceed the protections afforded</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employers under applicable law, then such provision(s) shall be deleted and/or revised to provide Conduent the maximum protections permitted by applicable law and still be valid and enforceable, and all remaining provisions of this Agreement shall remain in full force and effect.</w:t>
      </w:r>
    </w:p>
    <w:p>
      <w:pPr>
        <w:spacing w:after="0" w:line="259" w:lineRule="exact"/>
        <w:rPr>
          <w:rFonts w:ascii="Arial" w:cs="Arial" w:eastAsia="Arial" w:hAnsi="Arial"/>
          <w:sz w:val="18"/>
          <w:szCs w:val="18"/>
          <w:color w:val="auto"/>
        </w:rPr>
      </w:pPr>
    </w:p>
    <w:p>
      <w:pPr>
        <w:ind w:left="340" w:hanging="332"/>
        <w:spacing w:after="0" w:line="303" w:lineRule="auto"/>
        <w:tabs>
          <w:tab w:leader="none" w:pos="333" w:val="left"/>
        </w:tabs>
        <w:numPr>
          <w:ilvl w:val="0"/>
          <w:numId w:val="121"/>
        </w:numPr>
        <w:rPr>
          <w:rFonts w:ascii="Arial" w:cs="Arial" w:eastAsia="Arial" w:hAnsi="Arial"/>
          <w:sz w:val="18"/>
          <w:szCs w:val="18"/>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Employee acknowledges that Employee had the opportunity to review this Agreement with an attorney of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own choosing and that Employee carefully reviewed the terms of this Agreement before knowingly and voluntarily executing it.</w:t>
      </w:r>
    </w:p>
    <w:p>
      <w:pPr>
        <w:spacing w:after="0" w:line="233" w:lineRule="exact"/>
        <w:rPr>
          <w:rFonts w:ascii="Arial" w:cs="Arial" w:eastAsia="Arial" w:hAnsi="Arial"/>
          <w:sz w:val="18"/>
          <w:szCs w:val="18"/>
          <w:color w:val="auto"/>
        </w:rPr>
      </w:pPr>
    </w:p>
    <w:p>
      <w:pPr>
        <w:jc w:val="both"/>
        <w:ind w:left="340" w:hanging="332"/>
        <w:spacing w:after="0" w:line="276" w:lineRule="auto"/>
        <w:tabs>
          <w:tab w:leader="none" w:pos="320" w:val="left"/>
        </w:tabs>
        <w:numPr>
          <w:ilvl w:val="0"/>
          <w:numId w:val="121"/>
        </w:numPr>
        <w:rPr>
          <w:rFonts w:ascii="Arial" w:cs="Arial" w:eastAsia="Arial" w:hAnsi="Arial"/>
          <w:sz w:val="18"/>
          <w:szCs w:val="18"/>
          <w:color w:val="auto"/>
        </w:rPr>
      </w:pPr>
      <w:r>
        <w:rPr>
          <w:rFonts w:ascii="Arial" w:cs="Arial" w:eastAsia="Arial" w:hAnsi="Arial"/>
          <w:sz w:val="18"/>
          <w:szCs w:val="18"/>
          <w:b w:val="1"/>
          <w:bCs w:val="1"/>
          <w:u w:val="single" w:color="auto"/>
          <w:color w:val="auto"/>
        </w:rPr>
        <w:t>No Waiver</w:t>
      </w:r>
      <w:r>
        <w:rPr>
          <w:rFonts w:ascii="Arial" w:cs="Arial" w:eastAsia="Arial" w:hAnsi="Arial"/>
          <w:sz w:val="18"/>
          <w:szCs w:val="18"/>
          <w:color w:val="auto"/>
          <w:highlight w:val="white"/>
        </w:rPr>
        <w:t>. Any failure by Conduent to exercise any of its rights under this Agreement in the event of any breach of the Agreement by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shall not be construed as a waiver of any such breach, nor act to prevent Conduent from requiring strict compliance with the terms of this Agreement.</w:t>
      </w:r>
    </w:p>
    <w:p>
      <w:pPr>
        <w:spacing w:after="0" w:line="271" w:lineRule="exact"/>
        <w:rPr>
          <w:rFonts w:ascii="Arial" w:cs="Arial" w:eastAsia="Arial" w:hAnsi="Arial"/>
          <w:sz w:val="18"/>
          <w:szCs w:val="18"/>
          <w:color w:val="auto"/>
        </w:rPr>
      </w:pPr>
    </w:p>
    <w:p>
      <w:pPr>
        <w:jc w:val="both"/>
        <w:ind w:left="340" w:hanging="332"/>
        <w:spacing w:after="0" w:line="267" w:lineRule="auto"/>
        <w:tabs>
          <w:tab w:leader="none" w:pos="333" w:val="left"/>
        </w:tabs>
        <w:numPr>
          <w:ilvl w:val="0"/>
          <w:numId w:val="121"/>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 This Agreement shall be assignable to and shall inure to the benefit of Conduent’s successors and assigns, including, but</w:t>
      </w:r>
      <w:r>
        <w:rPr>
          <w:rFonts w:ascii="Arial" w:cs="Arial" w:eastAsia="Arial" w:hAnsi="Arial"/>
          <w:sz w:val="18"/>
          <w:szCs w:val="18"/>
          <w:b w:val="1"/>
          <w:bCs w:val="1"/>
          <w:color w:val="auto"/>
        </w:rPr>
        <w:t xml:space="preserve"> </w:t>
      </w:r>
      <w:r>
        <w:rPr>
          <w:rFonts w:ascii="Arial" w:cs="Arial" w:eastAsia="Arial" w:hAnsi="Arial"/>
          <w:sz w:val="18"/>
          <w:szCs w:val="18"/>
          <w:color w:val="auto"/>
        </w:rPr>
        <w:t>not limited to, subsidiaries and/or successors through mergers, name change, consolidation or sale of the majority of Conduent’s stock or assets and shall be binding upon Employee. Employee shall not have the right to assign the Employee’s rights or obligations under this Agreement. The covenants contained in this Agreement shall survive termination of Employee’s employment regardless of who causes the termination of employment or the reason for the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B-3</w:t>
      </w:r>
    </w:p>
    <w:p>
      <w:pPr>
        <w:sectPr>
          <w:pgSz w:w="11900" w:h="16838" w:orient="portrait"/>
          <w:cols w:equalWidth="0" w:num="1">
            <w:col w:w="11240"/>
          </w:cols>
          <w:pgMar w:left="320" w:top="1403"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Exhibit C</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TO PERFORMANCE RESTRICTED STOCK UNIT AWARD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 CONDUENT INCORPORATED 2021 PERFORMANCE INCENTIVE PLAN</w:t>
      </w: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terms of the Plan and the Agreement, the PRSUs are subject to the following additional terms and conditions (the "</w:t>
      </w:r>
      <w:r>
        <w:rPr>
          <w:rFonts w:ascii="Arial" w:cs="Arial" w:eastAsia="Arial" w:hAnsi="Arial"/>
          <w:sz w:val="18"/>
          <w:szCs w:val="18"/>
          <w:b w:val="1"/>
          <w:bCs w:val="1"/>
          <w:i w:val="1"/>
          <w:iCs w:val="1"/>
          <w:color w:val="auto"/>
        </w:rPr>
        <w:t>Appendix</w:t>
      </w:r>
      <w:r>
        <w:rPr>
          <w:rFonts w:ascii="Arial" w:cs="Arial" w:eastAsia="Arial" w:hAnsi="Arial"/>
          <w:sz w:val="18"/>
          <w:szCs w:val="18"/>
          <w:color w:val="auto"/>
        </w:rPr>
        <w:t xml:space="preserve">"). </w:t>
      </w:r>
      <w:r>
        <w:rPr>
          <w:rFonts w:ascii="Arial" w:cs="Arial" w:eastAsia="Arial" w:hAnsi="Arial"/>
          <w:sz w:val="18"/>
          <w:szCs w:val="18"/>
          <w:b w:val="1"/>
          <w:bCs w:val="1"/>
          <w:color w:val="auto"/>
        </w:rPr>
        <w:t>The information reflected in this Appendix is based on the securities, exchange control and other laws in effect in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respective countries as of February 2025. </w:t>
      </w:r>
      <w:r>
        <w:rPr>
          <w:rFonts w:ascii="Arial" w:cs="Arial" w:eastAsia="Arial" w:hAnsi="Arial"/>
          <w:sz w:val="18"/>
          <w:szCs w:val="18"/>
          <w:color w:val="auto"/>
        </w:rPr>
        <w:t>All capitalized terms as contained in this Appendix shall have the same meaning as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and the Agreement. Pursuant to Section 28 of the Agreement, if the Employee transfers residence and/or employment to or otherwise becomes subject to the local laws, rules or regulations of another country reflected in an Appendix at the time of transfer, the additional terms and conditions for such country will apply to the Employee to the extent the Company determines, in its sole discretion, that the application of such terms and conditions is necessary or advisable in order to comply with local law, rules and regulations, or to facilitate the operation and administration of the award and the Plan (or the Company may establish alternative terms and conditions as may be necessary or advisable to accommodate the Employee's transfer).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European Union ("EU") / European Economic Area ("EEA") / Switzerland and the United Kingdom*</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If the Employee resides and/or the Employee is employed in the EU / EEA, Switzerland or the United Kingdom the following provision replaces Section 25 of the Agreement:</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is located at 100 CAMPUS DRIVE, FLORHAM PARK, NJ, 07932 and grants PRSUs under the Plan to employees of the Company and its affiliates and subsidiaries in its sole discretion. The Employee should review the following information about the Company's data processing practices.</w:t>
      </w:r>
    </w:p>
    <w:p>
      <w:pPr>
        <w:spacing w:after="0" w:line="171" w:lineRule="exact"/>
        <w:rPr>
          <w:sz w:val="20"/>
          <w:szCs w:val="20"/>
          <w:color w:val="auto"/>
        </w:rPr>
      </w:pPr>
    </w:p>
    <w:p>
      <w:pPr>
        <w:jc w:val="both"/>
        <w:ind w:left="660" w:hanging="652"/>
        <w:spacing w:after="0" w:line="253" w:lineRule="auto"/>
        <w:tabs>
          <w:tab w:leader="none" w:pos="65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Data Collection, Processing and Usage</w:t>
      </w:r>
      <w:r>
        <w:rPr>
          <w:rFonts w:ascii="Arial" w:cs="Arial" w:eastAsia="Arial" w:hAnsi="Arial"/>
          <w:sz w:val="18"/>
          <w:szCs w:val="18"/>
          <w:color w:val="auto"/>
        </w:rPr>
        <w:t>. Pursuant to applicable data protection laws, the Employee is hereby notified that the Company collects, processes, and uses certain personally-identifiable information about the Employee; specifically, including the Employee’s name, home address, email address and telephone number, date of birth, social insurance / passport number or other identification number (e.g. resident registration number), salary, citizenship, job title, any shares of Common Stock or directorships held in the Company, and details of all PRSUs or any other equity compensation awards granted, canceled, exercised, vested, or outstanding in the Employee’s favor, which the Company receives from the Employee or the Employer ("Personal Information"). In granting the PRSUs under the Plan, the Company will collect the Employee’s Personal Information for purposes of allocating shares of Common Stock and implementing, administering and managing the Plan. The Company’s legal basis for collecting, processing and using the Employee's Personal Information will be the Company's necessity to execute its contractual obligations under this Agreement and to comply with its legal obligations. The Employee’s refusal to provide personal data may affect the Employee’s ability to participate in the Plan. As such, by participating in the Plan, the Employee voluntarily acknowledges the collection, processing and use, of the Employee’s Personal Information as described herein.</w:t>
      </w:r>
    </w:p>
    <w:p>
      <w:pPr>
        <w:spacing w:after="0" w:line="189" w:lineRule="exact"/>
        <w:rPr>
          <w:rFonts w:ascii="Arial" w:cs="Arial" w:eastAsia="Arial" w:hAnsi="Arial"/>
          <w:sz w:val="18"/>
          <w:szCs w:val="18"/>
          <w:color w:val="auto"/>
        </w:rPr>
      </w:pPr>
    </w:p>
    <w:p>
      <w:pPr>
        <w:jc w:val="both"/>
        <w:ind w:left="660" w:hanging="652"/>
        <w:spacing w:after="0" w:line="256" w:lineRule="auto"/>
        <w:tabs>
          <w:tab w:leader="none" w:pos="65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Stock Plan Administration Service Provider</w:t>
      </w:r>
      <w:r>
        <w:rPr>
          <w:rFonts w:ascii="Arial" w:cs="Arial" w:eastAsia="Arial" w:hAnsi="Arial"/>
          <w:sz w:val="18"/>
          <w:szCs w:val="18"/>
          <w:color w:val="auto"/>
        </w:rPr>
        <w:t>. The Company transfers participant data to Morgan Stanley Smith Barney LLC and its affiliates, an independent service provider based in the United States, which assists the Company with the implementation, administration and management of the Plan (the “Stock Plan Administrator”). In the future, the Company may select a different Stock Plan Administrator and share the Employee’s Personal Information with another company that serves in a similar manner, including but not limited to, the Company's outside legal counsel and/or the Company's auditor. The Stock Plan Administrator will open an account for the Employee to receive and trade shares of Common Stock acquired under the Plan. The Employee will be asked to agree on separate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 - 1</w:t>
      </w:r>
    </w:p>
    <w:p>
      <w:pPr>
        <w:sectPr>
          <w:pgSz w:w="11900" w:h="16838" w:orient="portrait"/>
          <w:cols w:equalWidth="0" w:num="1">
            <w:col w:w="11240"/>
          </w:cols>
          <w:pgMar w:left="320" w:top="1403" w:right="339" w:bottom="1440" w:gutter="0" w:footer="0" w:header="0"/>
        </w:sectPr>
      </w:pPr>
    </w:p>
    <w:bookmarkStart w:id="104" w:name="page105"/>
    <w:bookmarkEnd w:id="104"/>
    <w:p>
      <w:pPr>
        <w:ind w:left="660"/>
        <w:spacing w:after="0" w:line="287" w:lineRule="auto"/>
        <w:rPr>
          <w:sz w:val="20"/>
          <w:szCs w:val="20"/>
          <w:color w:val="auto"/>
        </w:rPr>
      </w:pPr>
      <w:r>
        <w:rPr>
          <w:rFonts w:ascii="Arial" w:cs="Arial" w:eastAsia="Arial" w:hAnsi="Arial"/>
          <w:sz w:val="18"/>
          <w:szCs w:val="18"/>
          <w:color w:val="auto"/>
        </w:rPr>
        <w:t>terms and data processing practices with the Stock Plan Administrator, which is a condition to the Employee’s ability to participate in the Plan.</w:t>
      </w:r>
    </w:p>
    <w:p>
      <w:pPr>
        <w:spacing w:after="0" w:line="153" w:lineRule="exact"/>
        <w:rPr>
          <w:sz w:val="20"/>
          <w:szCs w:val="20"/>
          <w:color w:val="auto"/>
        </w:rPr>
      </w:pPr>
    </w:p>
    <w:p>
      <w:pPr>
        <w:jc w:val="both"/>
        <w:ind w:left="660" w:hanging="652"/>
        <w:spacing w:after="0" w:line="262" w:lineRule="auto"/>
        <w:tabs>
          <w:tab w:leader="none" w:pos="654"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International Data Transfers</w:t>
      </w:r>
      <w:r>
        <w:rPr>
          <w:rFonts w:ascii="Arial" w:cs="Arial" w:eastAsia="Arial" w:hAnsi="Arial"/>
          <w:sz w:val="18"/>
          <w:szCs w:val="18"/>
          <w:color w:val="auto"/>
        </w:rPr>
        <w:t>. The Company and the Stock Plan Administrator are based in the United States. The Company can only meet its contractual obligations to the Employee if the Employee’s Personal Information is transferred to the United States. The Company’s legal basis for the transfer of the Employee’s Personal Information to the United States is to satisfy its contractual obligations under the terms of this Agreement and/or its use of the standard data protection clauses adopted by the EU Commission.</w:t>
      </w:r>
    </w:p>
    <w:p>
      <w:pPr>
        <w:spacing w:after="0" w:line="176" w:lineRule="exact"/>
        <w:rPr>
          <w:rFonts w:ascii="Arial" w:cs="Arial" w:eastAsia="Arial" w:hAnsi="Arial"/>
          <w:sz w:val="18"/>
          <w:szCs w:val="18"/>
          <w:color w:val="auto"/>
        </w:rPr>
      </w:pPr>
    </w:p>
    <w:p>
      <w:pPr>
        <w:jc w:val="both"/>
        <w:ind w:left="660" w:hanging="652"/>
        <w:spacing w:after="0" w:line="259" w:lineRule="auto"/>
        <w:tabs>
          <w:tab w:leader="none" w:pos="65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Data Retention</w:t>
      </w:r>
      <w:r>
        <w:rPr>
          <w:rFonts w:ascii="Arial" w:cs="Arial" w:eastAsia="Arial" w:hAnsi="Arial"/>
          <w:sz w:val="18"/>
          <w:szCs w:val="18"/>
          <w:color w:val="auto"/>
        </w:rPr>
        <w:t>. The Company will use the Employee’s Personal Information only as long as is necessary to implement, administer and manage the Employee’s participation in the Plan or as required to comply with legal or regulatory obligations, including under tax and securities laws. When the Company no longer needs the Employee’s Personal Information, the Company will remove it from its systems. If the Company keeps the Employee’s data longer, it would be to satisfy legal or regulatory obligations and the Company’s legal basis would be for compliance with relevant laws or regulations.</w:t>
      </w:r>
    </w:p>
    <w:p>
      <w:pPr>
        <w:spacing w:after="0" w:line="179" w:lineRule="exact"/>
        <w:rPr>
          <w:rFonts w:ascii="Arial" w:cs="Arial" w:eastAsia="Arial" w:hAnsi="Arial"/>
          <w:sz w:val="18"/>
          <w:szCs w:val="18"/>
          <w:color w:val="auto"/>
        </w:rPr>
      </w:pPr>
    </w:p>
    <w:p>
      <w:pPr>
        <w:jc w:val="both"/>
        <w:ind w:left="660" w:hanging="652"/>
        <w:spacing w:after="0" w:line="256" w:lineRule="auto"/>
        <w:tabs>
          <w:tab w:leader="none" w:pos="65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Data Subjects Rights</w:t>
      </w:r>
      <w:r>
        <w:rPr>
          <w:rFonts w:ascii="Arial" w:cs="Arial" w:eastAsia="Arial" w:hAnsi="Arial"/>
          <w:sz w:val="18"/>
          <w:szCs w:val="18"/>
          <w:color w:val="auto"/>
        </w:rPr>
        <w:t>. The Employee may have a number of rights under data privacy laws in the Employee’s country of residence (and country of employment, if different). For example, the Employee’s rights may include the right to (i) request access or copies of personal data the Company processes pursuant to this Agreement, (ii) request rectification of incorrect data, (iii) request deletion of data, (iv) request restrictions on processing, (v) lodge complaints with competent authorities in the Employee’s country of residence (and country of employment, if different), and/or (vi) request a list with the names and addresses of any potential recipients of the Employee’s Personal Information. To receive clarification regarding the Employee’s rights or to exercise the Employee's rights, the Employee should contact the Employee's local human resources department.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BRAZIL</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Labor Law Acknowledgment</w:t>
      </w:r>
      <w:r>
        <w:rPr>
          <w:rFonts w:ascii="Arial" w:cs="Arial" w:eastAsia="Arial" w:hAnsi="Arial"/>
          <w:sz w:val="18"/>
          <w:szCs w:val="18"/>
          <w:color w:val="auto"/>
        </w:rPr>
        <w:t>. By accepting the PRSUs, the Employee acknowledges and agrees, for all legal purposes, that (a) the benefits provided under the Agreement and the Plan are the result of commercial transactions unrelated to the Employee's employment; (b) the Agreement and the Plan are not a part of the terms and conditions of the Employee's employment; and (c) the income from the PRSUs, if any, is not part of the Employee's remuneration from employment.</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By accepting the PRSUs, the Employee acknowledges and agrees to comply with applicable Brazilian laws and to pay any and all applicable taxes associated with the vesting of the PRSUs, the issuance and/or sale of shares of Common Stock acquired under the Plan and the receipt of any dividends.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If the Employee is resident or domiciled in Brazil, the Employee will be required to submit an annual declaration of assets and rights held outside of Brazil to the Central Bank of Brazil if the aggregate value of such assets and rights is greater than US$1 million as of December 31 of each year. If the aggregate value exceeds US$100 million as of the end of each quarter, a declaration must be submitted quarterly. Assets and rights that must be reported include shares of Common Stock acquired under the Plan. The Employee should consult with the Employee's personal advisor(s) regarding any personal legal, regulatory or foreign exchange obligations the Employee may have in connection with the Employee's participation in the Plan.</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Tax on Financial Transaction (IOF)</w:t>
      </w:r>
      <w:r>
        <w:rPr>
          <w:rFonts w:ascii="Arial" w:cs="Arial" w:eastAsia="Arial" w:hAnsi="Arial"/>
          <w:sz w:val="18"/>
          <w:szCs w:val="18"/>
          <w:color w:val="auto"/>
        </w:rPr>
        <w:t>. Repatriation of funds (</w:t>
      </w:r>
      <w:r>
        <w:rPr>
          <w:rFonts w:ascii="Arial" w:cs="Arial" w:eastAsia="Arial" w:hAnsi="Arial"/>
          <w:sz w:val="18"/>
          <w:szCs w:val="18"/>
          <w:i w:val="1"/>
          <w:iCs w:val="1"/>
          <w:color w:val="auto"/>
        </w:rPr>
        <w:t>e.g.</w:t>
      </w:r>
      <w:r>
        <w:rPr>
          <w:rFonts w:ascii="Arial" w:cs="Arial" w:eastAsia="Arial" w:hAnsi="Arial"/>
          <w:sz w:val="18"/>
          <w:szCs w:val="18"/>
          <w:color w:val="auto"/>
        </w:rPr>
        <w:t>, the proceeds from the sale of shares of Common Stock) into Brazil and the conversion of USD into BRL associated with such fund transfers may be subject to the Tax on Financial Transactions. It is the Employee's responsibility to comply with any applicable Tax on Financial Transactions arising from the Employee's participation in the Plan. The Employee should consult with the Employee's personal tax advisor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 - 2</w:t>
      </w:r>
    </w:p>
    <w:p>
      <w:pPr>
        <w:sectPr>
          <w:pgSz w:w="11900" w:h="16838" w:orient="portrait"/>
          <w:cols w:equalWidth="0" w:num="1">
            <w:col w:w="11240"/>
          </w:cols>
          <w:pgMar w:left="320" w:top="1093"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highlight w:val="lightGray"/>
        </w:rPr>
        <w:t>CANADA</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u w:val="single" w:color="auto"/>
          <w:color w:val="auto"/>
        </w:rPr>
        <w:t>Settlement in Shares</w:t>
      </w:r>
      <w:r>
        <w:rPr>
          <w:rFonts w:ascii="Arial" w:cs="Arial" w:eastAsia="Arial" w:hAnsi="Arial"/>
          <w:sz w:val="18"/>
          <w:szCs w:val="18"/>
          <w:color w:val="auto"/>
        </w:rPr>
        <w:t>. Notwithstanding anything to the contrary in the Agreement or the Plan, the PRSUs shall be settled only in shares of Common Stock (and may not be settled in cash).</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The following supplements Section 8(a)(iv) of the Agreement as well as any other section required to give effect to the same:</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event of the Employee's termination of employment and/or service relationship for any reason (other than by reason of death, Disability or Good Reason), either by the Employee or by the Employer, with or without cause, the Employee's rights to vest or to continue to vest in the PRSUs and receive shares of Common Stock under the Plan, if any, will terminate as of the actual Termination Date. For this purpose, the "Termination Date" shall mean the date that the Employee is no longer actively providing services to the Company, the Employer or any affiliate (regardless of the reason for such termination and whether or not later found to be invalid or in breach of labor laws in the jurisdiction where the Employee provides services or the terms of the Employee's employment or other service agreement, if any), and shall not include or be extended by any period following such day during which the Employee is in receipt of or eligible to receive any notice of termination, pay in lieu of notice of termination, severance pay or any other payments or damages, whether arising under statute, contract or at common law.</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Notwithstanding the foregoing, if applicable employment standards legislation explicitly requires continued entitlement to vesting during a statutory notice period, the Employee's right to vest in the PRSUs under the Plan, if any, will terminate effective as of the last day of the Employee's minimum statutory notice period, but the Employee will not earn or be entitled to pro-rated vesting if the vesting date falls after the end of the Employee's statutory notice period, nor will the Employee be entitled to any compensation for lost vesting.</w:t>
      </w:r>
    </w:p>
    <w:p>
      <w:pPr>
        <w:spacing w:after="0" w:line="17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The Employee is permitted to sell shares of Common Stock acquired under the Plan through the designated broker appointed under the Plan, if any, provided that the sale of shares of Common Stock takes place outside Canada through the facilities of a stock exchange on which the shares are listed (</w:t>
      </w:r>
      <w:r>
        <w:rPr>
          <w:rFonts w:ascii="Arial" w:cs="Arial" w:eastAsia="Arial" w:hAnsi="Arial"/>
          <w:sz w:val="18"/>
          <w:szCs w:val="18"/>
          <w:i w:val="1"/>
          <w:iCs w:val="1"/>
          <w:color w:val="auto"/>
        </w:rPr>
        <w:t>i.e.</w:t>
      </w:r>
      <w:r>
        <w:rPr>
          <w:rFonts w:ascii="Arial" w:cs="Arial" w:eastAsia="Arial" w:hAnsi="Arial"/>
          <w:sz w:val="18"/>
          <w:szCs w:val="18"/>
          <w:color w:val="auto"/>
        </w:rPr>
        <w:t>, the Nasdaq).</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Specified foreign property, including the PRSUs, shares of Common Stock acquired under the Plan, and other rights to receive shares of a non-Canadian company held by a Canadian resident generally must be reported annually on a Form T1135 (Foreign Income Verification Statement) if the total cost of the foreign property exceeds C$ 100,000 at any time during the year. Thus, the unvested portion of the PRSUs must be reported – generally at a nil cost – if the C$100,000 cost threshold is exceeded because the Employee holds other specified foreign property. When shares of Common Stock are acquired, their cost generally is the adjusted cost base (“ACB”) of the shares of Common Stock. The ACB ordinarily will equal the fair market value of the shares of Common Stock at the time of acquisition, but if the Employee owns other shares of Common Stock, the ACB may need to be averaged with the ACB of the other shares of Common Stock. The Employee should consult with the Employee's personal advisor(s) regarding any personal foreign asset/foreign account tax obligations the Employee may have in connection with the Employee's participation in the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French Language Documents</w:t>
      </w:r>
      <w:r>
        <w:rPr>
          <w:rFonts w:ascii="Arial" w:cs="Arial" w:eastAsia="Arial" w:hAnsi="Arial"/>
          <w:sz w:val="18"/>
          <w:szCs w:val="18"/>
          <w:color w:val="auto"/>
        </w:rPr>
        <w:t>. The following provision will apply if the Employee is a resident of Quebec: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French translation of this Agreement and certain other documents related to the PRSUs will be made available to the Employee as soon as reasonably practicable. The Employee understands that, from time to time, additional information related to the PRSUs may be provided in English and such information may not be immediately available in French. However, upon request, the Company will provide a translation of such information into French as soon as reasonably practicable. Notwithstanding anything to the contrary in the Agreement, and unless the Employee indicates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 - 3</w:t>
      </w:r>
    </w:p>
    <w:p>
      <w:pPr>
        <w:sectPr>
          <w:pgSz w:w="11900" w:h="16838" w:orient="portrait"/>
          <w:cols w:equalWidth="0" w:num="1">
            <w:col w:w="11240"/>
          </w:cols>
          <w:pgMar w:left="320" w:top="1093" w:right="339" w:bottom="1440" w:gutter="0" w:footer="0" w:header="0"/>
        </w:sectPr>
      </w:pPr>
    </w:p>
    <w:bookmarkStart w:id="106" w:name="page107"/>
    <w:bookmarkEnd w:id="106"/>
    <w:p>
      <w:pPr>
        <w:jc w:val="both"/>
        <w:ind w:right="20"/>
        <w:spacing w:after="0" w:line="287" w:lineRule="auto"/>
        <w:rPr>
          <w:sz w:val="20"/>
          <w:szCs w:val="20"/>
          <w:color w:val="auto"/>
        </w:rPr>
      </w:pPr>
      <w:r>
        <w:rPr>
          <w:rFonts w:ascii="Arial" w:cs="Arial" w:eastAsia="Arial" w:hAnsi="Arial"/>
          <w:sz w:val="18"/>
          <w:szCs w:val="18"/>
          <w:color w:val="auto"/>
        </w:rPr>
        <w:t>otherwise, the French translation of this Agreement and certain other documents related to the PRSUs will govern the Employee's participation in the Plan.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FRANCE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Type of Grant.</w:t>
      </w:r>
      <w:r>
        <w:rPr>
          <w:rFonts w:ascii="Arial" w:cs="Arial" w:eastAsia="Arial" w:hAnsi="Arial"/>
          <w:sz w:val="18"/>
          <w:szCs w:val="18"/>
          <w:color w:val="auto"/>
        </w:rPr>
        <w:t xml:space="preserve"> The PRSUs granted under the Agreement are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intended to be tax-qualified PRSUs under local tax regulations in France.</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highlight w:val="white"/>
        </w:rPr>
        <w:t>. The value of any cash or securities imported to or exported from France without the use of a financial</w:t>
      </w:r>
      <w:r>
        <w:rPr>
          <w:rFonts w:ascii="Arial" w:cs="Arial" w:eastAsia="Arial" w:hAnsi="Arial"/>
          <w:sz w:val="18"/>
          <w:szCs w:val="18"/>
          <w:color w:val="auto"/>
        </w:rPr>
        <w:t xml:space="preserve"> institution must be reported to the customs and excise authorities when the value of such cash or securities is equal to or greater than a certain amount (currently €10,000). The Employee should consult with the Employee's personal advisor(s) regarding any personal legal, regulatory or foreign exchange obligations the Employee may have in connection with the Employee's participation in the Plan.</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French residents must report annually any shares and bank accounts held outside France, including the accounts that were opened, used and/or closed during the tax year, to the French tax authorities, on an annual basis on a special Form N° 3916, together with the Employee's personal income tax return. Failure to report triggers a significant penalty. The Employee should consult with the Employee's personal advisor(s) regarding any personal foreign asset/foreign account tax obligations the Employee may have in connection with the Employee's participation in the Plan.</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Use of English Language</w:t>
      </w:r>
      <w:r>
        <w:rPr>
          <w:rFonts w:ascii="Arial" w:cs="Arial" w:eastAsia="Arial" w:hAnsi="Arial"/>
          <w:sz w:val="18"/>
          <w:szCs w:val="18"/>
          <w:color w:val="auto"/>
        </w:rPr>
        <w:t xml:space="preserve">. By accepting the PRSUs, the Employee acknowledges and agrees that it is the Employee's wish that the </w:t>
      </w:r>
      <w:r>
        <w:rPr>
          <w:rFonts w:ascii="Arial" w:cs="Arial" w:eastAsia="Arial" w:hAnsi="Arial"/>
          <w:sz w:val="18"/>
          <w:szCs w:val="18"/>
          <w:b w:val="1"/>
          <w:bCs w:val="1"/>
          <w:color w:val="auto"/>
        </w:rPr>
        <w:t>Agreement</w:t>
      </w:r>
      <w:r>
        <w:rPr>
          <w:rFonts w:ascii="Arial" w:cs="Arial" w:eastAsia="Arial" w:hAnsi="Arial"/>
          <w:sz w:val="18"/>
          <w:szCs w:val="18"/>
          <w:color w:val="auto"/>
        </w:rPr>
        <w:t>, this</w:t>
      </w:r>
      <w:r>
        <w:rPr>
          <w:rFonts w:ascii="Arial" w:cs="Arial" w:eastAsia="Arial" w:hAnsi="Arial"/>
          <w:sz w:val="18"/>
          <w:szCs w:val="18"/>
          <w:b w:val="1"/>
          <w:bCs w:val="1"/>
          <w:color w:val="auto"/>
        </w:rPr>
        <w:t xml:space="preserve"> Appendix</w:t>
      </w:r>
      <w:r>
        <w:rPr>
          <w:rFonts w:ascii="Arial" w:cs="Arial" w:eastAsia="Arial" w:hAnsi="Arial"/>
          <w:sz w:val="18"/>
          <w:szCs w:val="18"/>
          <w:color w:val="auto"/>
        </w:rPr>
        <w:t>, as well as all other documents, notices and legal proceedings entered into, given or instituted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PRSUs, either directly or indirectly, be drawn up in English.</w:t>
      </w:r>
    </w:p>
    <w:p>
      <w:pPr>
        <w:spacing w:after="0" w:line="17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u w:val="single" w:color="auto"/>
          <w:color w:val="auto"/>
        </w:rPr>
        <w:t>Langue anglaise</w:t>
      </w:r>
      <w:r>
        <w:rPr>
          <w:rFonts w:ascii="Arial" w:cs="Arial" w:eastAsia="Arial" w:hAnsi="Arial"/>
          <w:sz w:val="18"/>
          <w:szCs w:val="18"/>
          <w:i w:val="1"/>
          <w:iCs w:val="1"/>
          <w:color w:val="auto"/>
        </w:rPr>
        <w:t>. En acceptant l'allocation de vos PRSUs, vous reconnaissez et acceptez avoir souhaité que le Termes et Conditions, le présent avenant, ainsi que tous autres documents exécutés, avis donnés et procédures judiciaires intentées, relatifs, directement ou indirectement, à l'allocation de vos PRSUs, soient rédigés en anglais.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GERMANY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xml:space="preserve"> Cross-border payments in excess of EUR 50,000 must be reported to the German Federal Bank (</w:t>
      </w:r>
      <w:r>
        <w:rPr>
          <w:rFonts w:ascii="Arial" w:cs="Arial" w:eastAsia="Arial" w:hAnsi="Arial"/>
          <w:sz w:val="18"/>
          <w:szCs w:val="18"/>
          <w:i w:val="1"/>
          <w:iCs w:val="1"/>
          <w:color w:val="auto"/>
        </w:rPr>
        <w:t>Bundesbank</w:t>
      </w:r>
      <w:r>
        <w:rPr>
          <w:rFonts w:ascii="Arial" w:cs="Arial" w:eastAsia="Arial" w:hAnsi="Arial"/>
          <w:sz w:val="18"/>
          <w:szCs w:val="18"/>
          <w:color w:val="auto"/>
        </w:rPr>
        <w:t>). If the Employee receives a cross-border payment in excess of this amount (e.g., proceeds from the sale of shares of Common Stock acquired under the Plan) and/or if the Company withholds or sells shares of Common Stock with a value in excess of EUR 50,000 for any Tax-Related Items, the Employee must report the payment and/or the value of the shares received and/or sold or withheld to the Bundesbank, either electronically using the “General Statistics Reporting Portal” (“</w:t>
      </w:r>
      <w:r>
        <w:rPr>
          <w:rFonts w:ascii="Arial" w:cs="Arial" w:eastAsia="Arial" w:hAnsi="Arial"/>
          <w:sz w:val="18"/>
          <w:szCs w:val="18"/>
          <w:i w:val="1"/>
          <w:iCs w:val="1"/>
          <w:color w:val="auto"/>
        </w:rPr>
        <w:t>Allgemeines Meldeportal Statistik</w:t>
      </w:r>
      <w:r>
        <w:rPr>
          <w:rFonts w:ascii="Arial" w:cs="Arial" w:eastAsia="Arial" w:hAnsi="Arial"/>
          <w:sz w:val="18"/>
          <w:szCs w:val="18"/>
          <w:color w:val="auto"/>
        </w:rPr>
        <w:t>”) available on the Bundesbank website (</w:t>
      </w:r>
      <w:r>
        <w:rPr>
          <w:rFonts w:ascii="Arial" w:cs="Arial" w:eastAsia="Arial" w:hAnsi="Arial"/>
          <w:sz w:val="18"/>
          <w:szCs w:val="18"/>
          <w:u w:val="single" w:color="auto"/>
          <w:color w:val="auto"/>
        </w:rPr>
        <w:t>www.bundesbank.de</w:t>
      </w:r>
      <w:r>
        <w:rPr>
          <w:rFonts w:ascii="Arial" w:cs="Arial" w:eastAsia="Arial" w:hAnsi="Arial"/>
          <w:sz w:val="18"/>
          <w:szCs w:val="18"/>
          <w:color w:val="auto"/>
        </w:rPr>
        <w:t>) or via such other method (e.g., by email or telephone) as is permitted or required by Bundesbank. The report must be submitted monthly or within other such timing as is permitted or required by Bundesbank. The Employee should consult with the Employee’s personal advisor(s) regarding any personal legal, regulatory or foreign exchange obligations the Employee may have in connection with the Employee’s participation in the Plan.</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German residents must notify their local tax office of the acquisition of shares of Common Stock when they file their personal income tax returns for the relevant year if the value of the shares of Common Stock acquired exceeds €150,000 or in the unlikely event that the resident holds shares of Common Stock exceeding 10% of the Company’s total shares of Common Stock outstanding. However, if the shares of Common Stock are listed on a recognized U.S. stock exchange and the Employee owns less than 1% of the total shares of Common Stock, this requirement will not apply even if shares of Common Stock with a value exceeding €150,000 are acquired. The Employee should consult with the Employee's personal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 - 4</w:t>
      </w:r>
    </w:p>
    <w:p>
      <w:pPr>
        <w:sectPr>
          <w:pgSz w:w="11900" w:h="16838" w:orient="portrait"/>
          <w:cols w:equalWidth="0" w:num="1">
            <w:col w:w="11240"/>
          </w:cols>
          <w:pgMar w:left="320" w:top="1093" w:right="339" w:bottom="1440" w:gutter="0" w:footer="0" w:header="0"/>
        </w:sectPr>
      </w:pPr>
    </w:p>
    <w:bookmarkStart w:id="107" w:name="page108"/>
    <w:bookmarkEnd w:id="107"/>
    <w:p>
      <w:pPr>
        <w:jc w:val="both"/>
        <w:ind w:right="20"/>
        <w:spacing w:after="0" w:line="287" w:lineRule="auto"/>
        <w:rPr>
          <w:sz w:val="20"/>
          <w:szCs w:val="20"/>
          <w:color w:val="auto"/>
        </w:rPr>
      </w:pPr>
      <w:r>
        <w:rPr>
          <w:rFonts w:ascii="Arial" w:cs="Arial" w:eastAsia="Arial" w:hAnsi="Arial"/>
          <w:sz w:val="18"/>
          <w:szCs w:val="18"/>
          <w:color w:val="auto"/>
        </w:rPr>
        <w:t>advisor(s) regarding any personal foreign asset/foreign account tax obligations the Employee may have in connection with the Employee's participation in the Plan.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GUATEMALA</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Consent to Receive Information in English</w:t>
      </w:r>
      <w:r>
        <w:rPr>
          <w:rFonts w:ascii="Arial" w:cs="Arial" w:eastAsia="Arial" w:hAnsi="Arial"/>
          <w:sz w:val="18"/>
          <w:szCs w:val="18"/>
          <w:color w:val="auto"/>
        </w:rPr>
        <w:t>. By participating in the Plan, the Employee acknowledges that have reviewed Section 19 of this Agreement and are sufficiently proficient in English, or, alternatively, the Employee will seek appropriate assistance, to understand the terms and conditions in this Agreement.</w:t>
      </w:r>
    </w:p>
    <w:p>
      <w:pPr>
        <w:spacing w:after="0" w:line="173" w:lineRule="exact"/>
        <w:rPr>
          <w:sz w:val="20"/>
          <w:szCs w:val="20"/>
          <w:color w:val="auto"/>
        </w:rPr>
      </w:pPr>
    </w:p>
    <w:p>
      <w:pPr>
        <w:jc w:val="both"/>
        <w:spacing w:after="0" w:line="285" w:lineRule="auto"/>
        <w:rPr>
          <w:sz w:val="20"/>
          <w:szCs w:val="20"/>
          <w:color w:val="auto"/>
        </w:rPr>
      </w:pPr>
      <w:r>
        <w:rPr>
          <w:rFonts w:ascii="Arial" w:cs="Arial" w:eastAsia="Arial" w:hAnsi="Arial"/>
          <w:sz w:val="18"/>
          <w:szCs w:val="18"/>
          <w:i w:val="1"/>
          <w:iCs w:val="1"/>
          <w:u w:val="single" w:color="auto"/>
          <w:color w:val="auto"/>
        </w:rPr>
        <w:t>Consentimiento a Recibir Información en Ingles</w:t>
      </w:r>
      <w:r>
        <w:rPr>
          <w:rFonts w:ascii="Arial" w:cs="Arial" w:eastAsia="Arial" w:hAnsi="Arial"/>
          <w:sz w:val="18"/>
          <w:szCs w:val="18"/>
          <w:i w:val="1"/>
          <w:iCs w:val="1"/>
          <w:color w:val="auto"/>
        </w:rPr>
        <w:t>. Al participar en el Plan, usted reconoce que ha revisado la Sección 15 del Convenio y que usted domina inglés, o, en el alternativo, usted buscará la asistencia necesaria para entender los términos y las condiciones del Convenio.</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INDIA</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Repatriation Requirements</w:t>
      </w:r>
      <w:r>
        <w:rPr>
          <w:rFonts w:ascii="Arial" w:cs="Arial" w:eastAsia="Arial" w:hAnsi="Arial"/>
          <w:sz w:val="18"/>
          <w:szCs w:val="18"/>
          <w:color w:val="auto"/>
        </w:rPr>
        <w:t>. The Employee expressly agrees to repatriate all sale proceeds and dividends attributable to shares of Common Stock acquired under the Plan in accordance with local foreign exchange rules and regulations. Neither the Company, the Employer or any of the Company's subsidiaries shall be liable for any fines or penalties resulting from the Employee's failure to comply with applicable laws, rules or regulations.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The Employee is required to declare the Employee's foreign bank accounts and any foreign financial assets (including shares of Common Stock acquired under the Plan held outside India) in the Employee's annual tax return. The Employee should consult with the Employee's personal advisor(s) regarding any personal foreign asset/foreign account tax obligations the Employee may have in connection with the Employee's participation in the Plan.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ITALY</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Acknowledgement of Nature of Award Notice</w:t>
      </w:r>
      <w:r>
        <w:rPr>
          <w:rFonts w:ascii="Arial" w:cs="Arial" w:eastAsia="Arial" w:hAnsi="Arial"/>
          <w:sz w:val="18"/>
          <w:szCs w:val="18"/>
          <w:color w:val="auto"/>
        </w:rPr>
        <w:t>. In accepting the PRSUs, the Employee acknowledges that (a) the Employee has received a copy of the Plan, the Agreement and this Appendix; (b) the Employee has reviewed the applicable documents in their entirety and fully understand the contents thereof; and (c) the Employee accepts all provisions of the Plan, the Agreement and this Appendix.</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Italian residents who, at any time during the fiscal year, hold foreign financial assets (including cash and shares of Common Stock)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 The Employee should consult with the Employee's personal advisor(s) regarding any personal foreign asset/foreign account tax obligations the Employee may have in connection with the Employee's participation in the Plan.</w:t>
      </w:r>
    </w:p>
    <w:p>
      <w:pPr>
        <w:spacing w:after="0" w:line="18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u w:val="single" w:color="auto"/>
          <w:color w:val="auto"/>
        </w:rPr>
        <w:t>Foreign Asset Tax</w:t>
      </w:r>
      <w:r>
        <w:rPr>
          <w:rFonts w:ascii="Arial" w:cs="Arial" w:eastAsia="Arial" w:hAnsi="Arial"/>
          <w:sz w:val="18"/>
          <w:szCs w:val="18"/>
          <w:color w:val="auto"/>
        </w:rPr>
        <w:t>. The value of any shares of Common Stock (and other financial assets) held outside Italy by individuals resident of Italy may be subject to a foreign asset tax. The taxable amount will be the fair market value of the financial assets (e.g., shares of Common Stock) assessed at the end of the calendar year. The value of financial assets held abroad must be reported in Form RM of the annual return. The Employee should consult the Employee's personal tax advisor for additional information on the foreign asset tax.</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JAMAICA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 country-specific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 - 5</w:t>
      </w:r>
    </w:p>
    <w:p>
      <w:pPr>
        <w:sectPr>
          <w:pgSz w:w="11900" w:h="16838" w:orient="portrait"/>
          <w:cols w:equalWidth="0" w:num="1">
            <w:col w:w="11240"/>
          </w:cols>
          <w:pgMar w:left="320" w:top="1093"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highlight w:val="lightGray"/>
        </w:rPr>
        <w:t>MEXICO</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u w:val="single" w:color="auto"/>
          <w:color w:val="auto"/>
        </w:rPr>
        <w:t>Commercial Relationship</w:t>
      </w:r>
      <w:r>
        <w:rPr>
          <w:rFonts w:ascii="Times New Roman" w:cs="Times New Roman" w:eastAsia="Times New Roman" w:hAnsi="Times New Roman"/>
          <w:sz w:val="18"/>
          <w:szCs w:val="18"/>
          <w:color w:val="auto"/>
        </w:rPr>
        <w:t>. The Employee expressly recognizes that the Employee</w:t>
      </w:r>
      <w:r>
        <w:rPr>
          <w:rFonts w:ascii="Arial" w:cs="Arial" w:eastAsia="Arial" w:hAnsi="Arial"/>
          <w:sz w:val="18"/>
          <w:szCs w:val="18"/>
          <w:color w:val="auto"/>
        </w:rPr>
        <w:t>’</w:t>
      </w:r>
      <w:r>
        <w:rPr>
          <w:rFonts w:ascii="Times New Roman" w:cs="Times New Roman" w:eastAsia="Times New Roman" w:hAnsi="Times New Roman"/>
          <w:sz w:val="18"/>
          <w:szCs w:val="18"/>
          <w:color w:val="auto"/>
        </w:rPr>
        <w:t>s participation in the Plan and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grant of the PRSUs does not constitute an employment relationship between the Employee and the Company. The Employee has been granted the PRSUs as a consequence of the commercial relationship between the Company and the subsidiary in Mexico that employs the Employee (</w:t>
      </w:r>
      <w:r>
        <w:rPr>
          <w:rFonts w:ascii="Arial" w:cs="Arial" w:eastAsia="Arial" w:hAnsi="Arial"/>
          <w:sz w:val="18"/>
          <w:szCs w:val="18"/>
          <w:color w:val="auto"/>
        </w:rPr>
        <w:t>“</w:t>
      </w:r>
      <w:r>
        <w:rPr>
          <w:rFonts w:ascii="Times New Roman" w:cs="Times New Roman" w:eastAsia="Times New Roman" w:hAnsi="Times New Roman"/>
          <w:sz w:val="18"/>
          <w:szCs w:val="18"/>
          <w:color w:val="auto"/>
        </w:rPr>
        <w:t>Conduent-Mexico</w:t>
      </w:r>
      <w:r>
        <w:rPr>
          <w:rFonts w:ascii="Arial" w:cs="Arial" w:eastAsia="Arial" w:hAnsi="Arial"/>
          <w:sz w:val="18"/>
          <w:szCs w:val="18"/>
          <w:color w:val="auto"/>
        </w:rPr>
        <w:t>”</w:t>
      </w:r>
      <w:r>
        <w:rPr>
          <w:rFonts w:ascii="Times New Roman" w:cs="Times New Roman" w:eastAsia="Times New Roman" w:hAnsi="Times New Roman"/>
          <w:sz w:val="18"/>
          <w:szCs w:val="18"/>
          <w:color w:val="auto"/>
        </w:rPr>
        <w:t>) and Conduent-Mexico is the Employee</w:t>
      </w:r>
      <w:r>
        <w:rPr>
          <w:rFonts w:ascii="Arial" w:cs="Arial" w:eastAsia="Arial" w:hAnsi="Arial"/>
          <w:sz w:val="18"/>
          <w:szCs w:val="18"/>
          <w:color w:val="auto"/>
        </w:rPr>
        <w:t>’</w:t>
      </w:r>
      <w:r>
        <w:rPr>
          <w:rFonts w:ascii="Times New Roman" w:cs="Times New Roman" w:eastAsia="Times New Roman" w:hAnsi="Times New Roman"/>
          <w:sz w:val="18"/>
          <w:szCs w:val="18"/>
          <w:color w:val="auto"/>
        </w:rPr>
        <w:t>s sole employer. Based on the foregoing, the Employee expressly recognizes that (a) the Plan and the benefits the Employee may derive from the Employee's participation in the Plan do not establish any rights between the Employee and Conduent-Mexico, (b) the Plan and the benefits the Employee may derive from the Employee's participation in the Plan are not part of the employment conditions and/or benefits provided by Conduent-Mexico, and (c) any modification or amendments of the Plan by the Company, or a termination of the Plan by the Company shall not constitute a change or impairment of the terms and conditions of the Employee</w:t>
      </w:r>
      <w:r>
        <w:rPr>
          <w:rFonts w:ascii="Arial" w:cs="Arial" w:eastAsia="Arial" w:hAnsi="Arial"/>
          <w:sz w:val="18"/>
          <w:szCs w:val="18"/>
          <w:color w:val="auto"/>
        </w:rPr>
        <w:t>’</w:t>
      </w:r>
      <w:r>
        <w:rPr>
          <w:rFonts w:ascii="Times New Roman" w:cs="Times New Roman" w:eastAsia="Times New Roman" w:hAnsi="Times New Roman"/>
          <w:sz w:val="18"/>
          <w:szCs w:val="18"/>
          <w:color w:val="auto"/>
        </w:rPr>
        <w:t>s employment with Conduent-Mexico.</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Employee further understands that the Employee’s participation in the Plan is as a result of a unilateral and discretionary decision of the Company; therefore, subject to the terms of the Plan, the Company reserves the absolute right to amend and/or discontinue the Employee’s participation at any time without any liability to the Employee.</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Finally, the Employee hereby declares that the Employee does not reserve to the Employee any action or right to bring any claim against the Company for any compensation or damages regarding any provision of the Plan or the benefits derived under the Plan, and the Employee therefore grants a full and broad release to the Company, its subsidiaries, affiliates, branches, representation offices, its shareholders, officers, agents or legal representatives with respect to any claim that may arise.</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Extraordinary Item of Compensation</w:t>
      </w:r>
      <w:r>
        <w:rPr>
          <w:rFonts w:ascii="Arial" w:cs="Arial" w:eastAsia="Arial" w:hAnsi="Arial"/>
          <w:sz w:val="18"/>
          <w:szCs w:val="18"/>
          <w:color w:val="auto"/>
        </w:rPr>
        <w:t>. The Employee expressly recognizes and acknowledges that the Employee’s participation in the Plan is a result of the discretionary and unilateral decision of the Company, as well as the Employee’s free and voluntary decision to participate in the Plan in accordance with the terms and conditions of the Plan, the Agreement and this Appendix. As such, the Employee acknowledges and agrees that the Company may, in its sole discretion, amend and/or discontinue the Employee’s participation in the Plan at any time and without liability. The value of the PRSUs is an extraordinary item of compensation outside the scope of the Employee’s employment contract, if any. The PRSUs are not part of the Employee’s regular or expected compensation for purposes of calculating any severance, resignation, redundancy, end of service payments, bonuses, long-service awards, pension or retirement benefits, or any similar payments, which are the exclusive obligations of Conduent-Mexico.</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The PRSUs and any shares of Common Stock acquired under the Plan have not been registered with the National Register of Securities maintained by the Mexican National Banking and Securities Commission and cannot be offered or sold publicly in Mexico. In addition, the Plan, the Agreement and any other document relating to the PRSUs may not be publicly distributed in Mexico. These materials are addressed to the Employee because of the Employee’s existing relationship with the Company or one of the Companies subsidiaries or affiliates,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the Company or one of its subsidiaries or affiliates made in accordance with the provisions of the Mexican Securities Market Law, and any rights under such offering shall not be assigned or transferred.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NETHERLANDS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 country-specific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PERU</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Nature of the Grant</w:t>
      </w:r>
      <w:r>
        <w:rPr>
          <w:rFonts w:ascii="Arial" w:cs="Arial" w:eastAsia="Arial" w:hAnsi="Arial"/>
          <w:sz w:val="18"/>
          <w:szCs w:val="18"/>
          <w:color w:val="auto"/>
        </w:rPr>
        <w:t>. The following provision supplements Section 11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 - 6</w:t>
      </w:r>
    </w:p>
    <w:p>
      <w:pPr>
        <w:sectPr>
          <w:pgSz w:w="11900" w:h="16838" w:orient="portrait"/>
          <w:cols w:equalWidth="0" w:num="1">
            <w:col w:w="11240"/>
          </w:cols>
          <w:pgMar w:left="320" w:top="1093" w:right="339" w:bottom="1440" w:gutter="0" w:footer="0" w:header="0"/>
        </w:sectPr>
      </w:pPr>
    </w:p>
    <w:bookmarkStart w:id="109" w:name="page110"/>
    <w:bookmarkEnd w:id="109"/>
    <w:p>
      <w:pPr>
        <w:jc w:val="both"/>
        <w:spacing w:after="0" w:line="287" w:lineRule="auto"/>
        <w:rPr>
          <w:sz w:val="20"/>
          <w:szCs w:val="20"/>
          <w:color w:val="auto"/>
        </w:rPr>
      </w:pPr>
      <w:r>
        <w:rPr>
          <w:rFonts w:ascii="Arial" w:cs="Arial" w:eastAsia="Arial" w:hAnsi="Arial"/>
          <w:sz w:val="18"/>
          <w:szCs w:val="18"/>
          <w:color w:val="auto"/>
        </w:rPr>
        <w:t xml:space="preserve">The PRSU is being granted </w:t>
      </w:r>
      <w:r>
        <w:rPr>
          <w:rFonts w:ascii="Arial" w:cs="Arial" w:eastAsia="Arial" w:hAnsi="Arial"/>
          <w:sz w:val="18"/>
          <w:szCs w:val="18"/>
          <w:i w:val="1"/>
          <w:iCs w:val="1"/>
          <w:color w:val="auto"/>
        </w:rPr>
        <w:t>ex gratia</w:t>
      </w:r>
      <w:r>
        <w:rPr>
          <w:rFonts w:ascii="Arial" w:cs="Arial" w:eastAsia="Arial" w:hAnsi="Arial"/>
          <w:sz w:val="18"/>
          <w:szCs w:val="18"/>
          <w:color w:val="auto"/>
        </w:rPr>
        <w:t xml:space="preserve"> to the Employee by the Company as an incentive to reward the Employee for the Employee's contributions to the Company.</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xml:space="preserve">. The grant of the PRSUs under the Plan is considered a private offering in Peru and accordingly, is not subject to registration in Peru. For more information concerning the grant of the PRSUs, please refer to the Plan, the Agreement, and any other grant documents made available to the Employee by the Company. For more information regarding the Company, please refer to the Company's most recent annual report on Form 10-K and quarterly report on Form 10-Q available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as well as on the Company's website at </w:t>
      </w:r>
      <w:r>
        <w:rPr>
          <w:rFonts w:ascii="Arial" w:cs="Arial" w:eastAsia="Arial" w:hAnsi="Arial"/>
          <w:sz w:val="18"/>
          <w:szCs w:val="18"/>
          <w:u w:val="single" w:color="auto"/>
          <w:color w:val="auto"/>
        </w:rPr>
        <w:t>https://www.conduent.com/</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ROMANIA</w:t>
      </w:r>
    </w:p>
    <w:p>
      <w:pPr>
        <w:spacing w:after="0" w:line="22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u w:val="single" w:color="auto"/>
          <w:color w:val="auto"/>
        </w:rPr>
        <w:t>English Language</w:t>
      </w:r>
      <w:r>
        <w:rPr>
          <w:rFonts w:ascii="Times New Roman" w:cs="Times New Roman" w:eastAsia="Times New Roman" w:hAnsi="Times New Roman"/>
          <w:sz w:val="18"/>
          <w:szCs w:val="18"/>
          <w:color w:val="auto"/>
        </w:rPr>
        <w:t>. The Employee hereby expressly agrees that the Agreement, the Plan as well as all documents, notices and proceedings entered into, relating directly or indirectly hereto, be drawn up or communicated only in the English language.</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Angajatul consimte în mod expres prin prezentul ca acest Contract, Plan precum şi orice alte documente, notificări, înştiinţări legate direct sau indirect de acest Contract să fie redactate sau efectuate doar în limba engleză.</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The Employee is not required to seek special authorization from the National Bank of Romania in order to open or maintain a foreign bank account. However, if the Employee remits foreign currency into Romania (</w:t>
      </w:r>
      <w:r>
        <w:rPr>
          <w:rFonts w:ascii="Arial" w:cs="Arial" w:eastAsia="Arial" w:hAnsi="Arial"/>
          <w:sz w:val="18"/>
          <w:szCs w:val="18"/>
          <w:i w:val="1"/>
          <w:iCs w:val="1"/>
          <w:color w:val="auto"/>
        </w:rPr>
        <w:t>e.g.</w:t>
      </w:r>
      <w:r>
        <w:rPr>
          <w:rFonts w:ascii="Arial" w:cs="Arial" w:eastAsia="Arial" w:hAnsi="Arial"/>
          <w:sz w:val="18"/>
          <w:szCs w:val="18"/>
          <w:color w:val="auto"/>
        </w:rPr>
        <w:t>, proceeds from the sale of shares of Common Stock), the Employee may be required to provide the Romanian bank through which the foreign currency is transferred with appropriate documentation. The Employee should consult with the Employee’s personal advisor(s) regarding any personal legal, regulatory or foreign exchange obligations the Employee may have in connection with the Employee’s participation in the Plan.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SWITZERLAND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The PRSUs are not intended to be publicly offered in or from Switzerland. Neither this document nor any other materials relating to the PRSUs (1) constitutes a prospectus according to articles 35 et seq. of the Swiss Federal Act on Financial Services (“FinSA”), (2) may be publicly distributed or otherwise made publicly available in Switzerland to any person other than an employee of the Company, or (3) have been or will be filed with, approved or supervised by any Swiss reviewing body according to article 51 FinSA or any Swiss regulatory authority (in particular, the Swiss Financial Market Supervisory Authority).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UNITED KINGDOM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 The following provision supplements Section 10 (Responsibility for Taxes) of the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Without limitation to Section 10 of the Agreement, the Employee agrees to be liable for any Tax-Related Items and hereby covenants to pay any such Tax-Related Items, as and when requested by the Company or the Employer or by HMRC (or any other tax authority or any other relevant authority). The Employee agrees to indemnify and keep indemnified the Company and the Employer against any Tax-Related Items that they are required to pay or withhold or have paid or will pay to HM Revenue &amp; Customs (“HMRC”) (or any other tax authority or any other relevant authority) on the Employee’s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 - 7</w:t>
      </w:r>
    </w:p>
    <w:p>
      <w:pPr>
        <w:sectPr>
          <w:pgSz w:w="11900" w:h="16838" w:orient="portrait"/>
          <w:cols w:equalWidth="0" w:num="1">
            <w:col w:w="11240"/>
          </w:cols>
          <w:pgMar w:left="320" w:top="1201" w:right="339" w:bottom="1440" w:gutter="0" w:footer="0" w:header="0"/>
        </w:sectPr>
      </w:pPr>
    </w:p>
    <w:bookmarkStart w:id="110" w:name="page111"/>
    <w:bookmarkEnd w:id="110"/>
    <w:p>
      <w:pPr>
        <w:jc w:val="both"/>
        <w:spacing w:after="0" w:line="255" w:lineRule="auto"/>
        <w:rPr>
          <w:sz w:val="20"/>
          <w:szCs w:val="20"/>
          <w:color w:val="auto"/>
        </w:rPr>
      </w:pPr>
      <w:r>
        <w:rPr>
          <w:rFonts w:ascii="Arial" w:cs="Arial" w:eastAsia="Arial" w:hAnsi="Arial"/>
          <w:sz w:val="18"/>
          <w:szCs w:val="18"/>
          <w:color w:val="auto"/>
        </w:rPr>
        <w:t>Notwithstanding the foregoing, if the Employee is an executive officer or director (as within the meaning of Section 13(k) of the Exchange Act), the Employee understands that the Employee may not be able to indemnify the Company for the amount of any Tax-Related Items not collected from or paid by the Employee, in case the indemnification could be considered to be a loan. In this case, the Tax-Related Items not collected or paid may constitute a benefit to the Employee on which additional income tax and National Insurance Contributions (“NICs”) may be payable. The Employee acknowledges that the Employee will be personally responsible for reporting and paying any income tax due on this additional benefit directly to the HMRC under the self-assessment regime and for paying the Company or the Employer, as applicable, for the value of any employee NICs due on this additional benefit, which may also be recovered from the Employee by any of the means referred to in Section 10 of the Agreement.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 - 8</w:t>
      </w:r>
    </w:p>
    <w:p>
      <w:pPr>
        <w:sectPr>
          <w:pgSz w:w="11900" w:h="16838" w:orient="portrait"/>
          <w:cols w:equalWidth="0" w:num="1">
            <w:col w:w="11240"/>
          </w:cols>
          <w:pgMar w:left="320" w:top="1201" w:right="339" w:bottom="1440" w:gutter="0" w:footer="0" w:header="0"/>
        </w:sectPr>
      </w:pPr>
    </w:p>
    <w:bookmarkStart w:id="111" w:name="page112"/>
    <w:bookmarkEnd w:id="111"/>
    <w:p>
      <w:pPr>
        <w:ind w:left="9670"/>
        <w:spacing w:after="0"/>
        <w:rPr>
          <w:sz w:val="20"/>
          <w:szCs w:val="20"/>
          <w:color w:val="auto"/>
        </w:rPr>
      </w:pPr>
      <w:r>
        <w:rPr>
          <w:rFonts w:ascii="Arial" w:cs="Arial" w:eastAsia="Arial" w:hAnsi="Arial"/>
          <w:sz w:val="17"/>
          <w:szCs w:val="17"/>
          <w:color w:val="auto"/>
        </w:rPr>
        <w:t>Exhibit 10.6(a)(iv)</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50"/>
        <w:spacing w:after="0"/>
        <w:rPr>
          <w:sz w:val="20"/>
          <w:szCs w:val="20"/>
          <w:color w:val="auto"/>
        </w:rPr>
      </w:pPr>
      <w:r>
        <w:rPr>
          <w:rFonts w:ascii="Arial" w:cs="Arial" w:eastAsia="Arial" w:hAnsi="Arial"/>
          <w:sz w:val="16"/>
          <w:szCs w:val="16"/>
          <w:b w:val="1"/>
          <w:bCs w:val="1"/>
          <w:color w:val="auto"/>
        </w:rPr>
        <w:t>PERFORMANCE RESTRICTED STOCK UNIT AWARD AGREEMENT PURSUANT TO</w:t>
      </w:r>
    </w:p>
    <w:p>
      <w:pPr>
        <w:jc w:val="center"/>
        <w:ind w:right="150"/>
        <w:spacing w:after="0"/>
        <w:rPr>
          <w:sz w:val="20"/>
          <w:szCs w:val="20"/>
          <w:color w:val="auto"/>
        </w:rPr>
      </w:pPr>
      <w:r>
        <w:rPr>
          <w:rFonts w:ascii="Arial" w:cs="Arial" w:eastAsia="Arial" w:hAnsi="Arial"/>
          <w:sz w:val="16"/>
          <w:szCs w:val="16"/>
          <w:b w:val="1"/>
          <w:bCs w:val="1"/>
          <w:color w:val="auto"/>
        </w:rPr>
        <w:t>CONDUENT INCORPORATED 2021 PERFORMANCE INCENTIVE PLAN</w:t>
      </w:r>
    </w:p>
    <w:p>
      <w:pPr>
        <w:spacing w:after="0" w:line="214" w:lineRule="exact"/>
        <w:rPr>
          <w:sz w:val="20"/>
          <w:szCs w:val="20"/>
          <w:color w:val="auto"/>
        </w:rPr>
      </w:pPr>
    </w:p>
    <w:p>
      <w:pPr>
        <w:jc w:val="both"/>
        <w:ind w:left="10"/>
        <w:spacing w:after="0" w:line="265" w:lineRule="auto"/>
        <w:rPr>
          <w:sz w:val="20"/>
          <w:szCs w:val="20"/>
          <w:color w:val="auto"/>
        </w:rPr>
      </w:pPr>
      <w:r>
        <w:rPr>
          <w:rFonts w:ascii="Arial" w:cs="Arial" w:eastAsia="Arial" w:hAnsi="Arial"/>
          <w:sz w:val="18"/>
          <w:szCs w:val="18"/>
          <w:color w:val="auto"/>
        </w:rPr>
        <w:t>This Performance Restricted Stock Unit Award Agreement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by Conduent Incorporated, a New York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as of the date that appears in the Award Summary (as defined below) and the individual whose name appears on the Award Summary (the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who is an employee of the Company, one of the Company’s subsidiaries or one of its affiliates (the Company, or such subsidiary or affiliate,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w:t>
      </w:r>
    </w:p>
    <w:p>
      <w:pPr>
        <w:spacing w:after="0" w:line="112" w:lineRule="exact"/>
        <w:rPr>
          <w:sz w:val="20"/>
          <w:szCs w:val="20"/>
          <w:color w:val="auto"/>
        </w:rPr>
      </w:pPr>
    </w:p>
    <w:p>
      <w:pPr>
        <w:jc w:val="both"/>
        <w:ind w:left="10"/>
        <w:spacing w:after="0" w:line="268" w:lineRule="auto"/>
        <w:rPr>
          <w:sz w:val="20"/>
          <w:szCs w:val="20"/>
          <w:color w:val="auto"/>
        </w:rPr>
      </w:pPr>
      <w:r>
        <w:rPr>
          <w:rFonts w:ascii="Arial" w:cs="Arial" w:eastAsia="Arial" w:hAnsi="Arial"/>
          <w:sz w:val="18"/>
          <w:szCs w:val="18"/>
          <w:color w:val="auto"/>
        </w:rPr>
        <w:t>In accordance with the provisions of the Conduent Incorporated 2021 Performance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the Compensation Committee of the Board of Directors of the Company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or the Chief Executive Officer (the “</w:t>
      </w:r>
      <w:r>
        <w:rPr>
          <w:rFonts w:ascii="Arial" w:cs="Arial" w:eastAsia="Arial" w:hAnsi="Arial"/>
          <w:sz w:val="18"/>
          <w:szCs w:val="18"/>
          <w:b w:val="1"/>
          <w:bCs w:val="1"/>
          <w:i w:val="1"/>
          <w:iCs w:val="1"/>
          <w:color w:val="auto"/>
        </w:rPr>
        <w:t>CEO</w:t>
      </w:r>
      <w:r>
        <w:rPr>
          <w:rFonts w:ascii="Arial" w:cs="Arial" w:eastAsia="Arial" w:hAnsi="Arial"/>
          <w:sz w:val="18"/>
          <w:szCs w:val="18"/>
          <w:color w:val="auto"/>
        </w:rPr>
        <w:t>") of the Company has authorized the execution and delivery of this Agreement.</w:t>
      </w:r>
    </w:p>
    <w:p>
      <w:pPr>
        <w:spacing w:after="0" w:line="117" w:lineRule="exact"/>
        <w:rPr>
          <w:sz w:val="20"/>
          <w:szCs w:val="20"/>
          <w:color w:val="auto"/>
        </w:rPr>
      </w:pPr>
    </w:p>
    <w:p>
      <w:pPr>
        <w:jc w:val="both"/>
        <w:ind w:left="10"/>
        <w:spacing w:after="0" w:line="287" w:lineRule="auto"/>
        <w:rPr>
          <w:sz w:val="20"/>
          <w:szCs w:val="20"/>
          <w:color w:val="auto"/>
        </w:rPr>
      </w:pPr>
      <w:r>
        <w:rPr>
          <w:rFonts w:ascii="Arial" w:cs="Arial" w:eastAsia="Arial" w:hAnsi="Arial"/>
          <w:sz w:val="18"/>
          <w:szCs w:val="18"/>
          <w:color w:val="auto"/>
        </w:rPr>
        <w:t>Terms used herein that are defined in the Plan or in this Agreement shall have the meanings assigned to them in the Plan or this Agreement, respectively.</w:t>
      </w:r>
    </w:p>
    <w:p>
      <w:pPr>
        <w:spacing w:after="0" w:line="99" w:lineRule="exact"/>
        <w:rPr>
          <w:sz w:val="20"/>
          <w:szCs w:val="20"/>
          <w:color w:val="auto"/>
        </w:rPr>
      </w:pPr>
    </w:p>
    <w:p>
      <w:pPr>
        <w:jc w:val="both"/>
        <w:ind w:left="10"/>
        <w:spacing w:after="0" w:line="268"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Award Summary</w:t>
      </w:r>
      <w:r>
        <w:rPr>
          <w:rFonts w:ascii="Arial" w:cs="Arial" w:eastAsia="Arial" w:hAnsi="Arial"/>
          <w:sz w:val="18"/>
          <w:szCs w:val="18"/>
          <w:b w:val="1"/>
          <w:bCs w:val="1"/>
          <w:color w:val="auto"/>
        </w:rPr>
        <w:t>”</w:t>
      </w:r>
      <w:r>
        <w:rPr>
          <w:rFonts w:ascii="Arial" w:cs="Arial" w:eastAsia="Arial" w:hAnsi="Arial"/>
          <w:sz w:val="18"/>
          <w:szCs w:val="18"/>
          <w:color w:val="auto"/>
        </w:rPr>
        <w:t xml:space="preserve"> is a separate document, provided via email or posted to GEMS or any other applicable Human Resources information system, that provides for the effective date hereof (the “</w:t>
      </w:r>
      <w:r>
        <w:rPr>
          <w:rFonts w:ascii="Arial" w:cs="Arial" w:eastAsia="Arial" w:hAnsi="Arial"/>
          <w:sz w:val="18"/>
          <w:szCs w:val="18"/>
          <w:b w:val="1"/>
          <w:bCs w:val="1"/>
          <w:i w:val="1"/>
          <w:iCs w:val="1"/>
          <w:color w:val="auto"/>
        </w:rPr>
        <w:t>Date of Grant</w:t>
      </w:r>
      <w:r>
        <w:rPr>
          <w:rFonts w:ascii="Arial" w:cs="Arial" w:eastAsia="Arial" w:hAnsi="Arial"/>
          <w:sz w:val="18"/>
          <w:szCs w:val="18"/>
          <w:color w:val="auto"/>
        </w:rPr>
        <w:t>”), and the target number of Performance Restricted Stock Units granted pursuant hereto. The Award Summary is incorporated herein in its entirety.</w:t>
      </w:r>
    </w:p>
    <w:p>
      <w:pPr>
        <w:spacing w:after="0" w:line="117" w:lineRule="exact"/>
        <w:rPr>
          <w:sz w:val="20"/>
          <w:szCs w:val="20"/>
          <w:color w:val="auto"/>
        </w:rPr>
      </w:pPr>
    </w:p>
    <w:p>
      <w:pPr>
        <w:jc w:val="center"/>
        <w:ind w:right="450"/>
        <w:spacing w:after="0"/>
        <w:rPr>
          <w:sz w:val="20"/>
          <w:szCs w:val="20"/>
          <w:color w:val="auto"/>
        </w:rPr>
      </w:pPr>
      <w:r>
        <w:rPr>
          <w:rFonts w:ascii="Arial" w:cs="Arial" w:eastAsia="Arial" w:hAnsi="Arial"/>
          <w:sz w:val="17"/>
          <w:szCs w:val="17"/>
          <w:color w:val="auto"/>
        </w:rPr>
        <w:t>NOW, THEREFORE, in consideration of the premises and for other good and valuable consideration the Company agrees as follows:</w:t>
      </w:r>
    </w:p>
    <w:p>
      <w:pPr>
        <w:spacing w:after="0" w:line="183"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color w:val="auto"/>
        </w:rPr>
        <w:t>AWARDS</w:t>
      </w:r>
    </w:p>
    <w:p>
      <w:pPr>
        <w:spacing w:after="0" w:line="171" w:lineRule="exact"/>
        <w:rPr>
          <w:sz w:val="20"/>
          <w:szCs w:val="20"/>
          <w:color w:val="auto"/>
        </w:rPr>
      </w:pPr>
    </w:p>
    <w:p>
      <w:pPr>
        <w:jc w:val="both"/>
        <w:ind w:left="10" w:right="20" w:hanging="10"/>
        <w:spacing w:after="0" w:line="268" w:lineRule="auto"/>
        <w:tabs>
          <w:tab w:leader="none" w:pos="387"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Award of Performance Restricted Stock Units</w:t>
      </w:r>
      <w:r>
        <w:rPr>
          <w:rFonts w:ascii="Arial" w:cs="Arial" w:eastAsia="Arial" w:hAnsi="Arial"/>
          <w:sz w:val="18"/>
          <w:szCs w:val="18"/>
          <w:color w:val="auto"/>
        </w:rPr>
        <w:t>. Subject to all terms and conditions of the Plan and this Agreement, the Company has awarded to the Employee on the Date of Grant the target number of Performance Restricted Stock Units (the “</w:t>
      </w:r>
      <w:r>
        <w:rPr>
          <w:rFonts w:ascii="Arial" w:cs="Arial" w:eastAsia="Arial" w:hAnsi="Arial"/>
          <w:sz w:val="18"/>
          <w:szCs w:val="18"/>
          <w:b w:val="1"/>
          <w:bCs w:val="1"/>
          <w:i w:val="1"/>
          <w:iCs w:val="1"/>
          <w:color w:val="auto"/>
        </w:rPr>
        <w:t>PRSUs</w:t>
      </w:r>
      <w:r>
        <w:rPr>
          <w:rFonts w:ascii="Arial" w:cs="Arial" w:eastAsia="Arial" w:hAnsi="Arial"/>
          <w:sz w:val="18"/>
          <w:szCs w:val="18"/>
          <w:color w:val="auto"/>
        </w:rPr>
        <w:t>”) as shown on the Award Summary.</w:t>
      </w:r>
    </w:p>
    <w:p>
      <w:pPr>
        <w:spacing w:after="0" w:line="117"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color w:val="auto"/>
        </w:rPr>
        <w:t>TERMS OF THE PERFORMANCE RESTRICTED STOCK UNITS</w:t>
      </w:r>
    </w:p>
    <w:p>
      <w:pPr>
        <w:spacing w:after="0" w:line="171" w:lineRule="exact"/>
        <w:rPr>
          <w:sz w:val="20"/>
          <w:szCs w:val="20"/>
          <w:color w:val="auto"/>
        </w:rPr>
      </w:pPr>
    </w:p>
    <w:p>
      <w:pPr>
        <w:jc w:val="both"/>
        <w:ind w:left="10" w:hanging="10"/>
        <w:spacing w:after="0" w:line="257" w:lineRule="auto"/>
        <w:tabs>
          <w:tab w:leader="none" w:pos="40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Entitlement to Shares</w:t>
      </w:r>
      <w:r>
        <w:rPr>
          <w:rFonts w:ascii="Arial" w:cs="Arial" w:eastAsia="Arial" w:hAnsi="Arial"/>
          <w:sz w:val="18"/>
          <w:szCs w:val="18"/>
          <w:color w:val="auto"/>
        </w:rPr>
        <w:t>. As soon as practicable and within 60 days following the Vesting Date (as defined below) (or such earlier date provided in Section 8) in connection with the PRSUs, the Company shall deliver to the Employee, in such manner as the Company shall determine, a number of shares of common stock of the Company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equal to the number of vested PRSUs as determined pursuant to Section 3 (subject to reduction for withholding of the Employee’s taxes in relation to the award as described in Section 10); provided that any fractional shares shall be delivered in the form of cash equal to the value of such fractional shares on the applicable Vesting Date.</w:t>
      </w:r>
    </w:p>
    <w:p>
      <w:pPr>
        <w:spacing w:after="0" w:line="128" w:lineRule="exact"/>
        <w:rPr>
          <w:rFonts w:ascii="Arial" w:cs="Arial" w:eastAsia="Arial" w:hAnsi="Arial"/>
          <w:sz w:val="18"/>
          <w:szCs w:val="18"/>
          <w:color w:val="auto"/>
        </w:rPr>
      </w:pPr>
    </w:p>
    <w:p>
      <w:pPr>
        <w:jc w:val="both"/>
        <w:ind w:left="10" w:hanging="10"/>
        <w:spacing w:after="0" w:line="256" w:lineRule="auto"/>
        <w:tabs>
          <w:tab w:leader="none" w:pos="223"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PRSUs will be subject to performance-based vesting conditions (the “</w:t>
      </w:r>
      <w:r>
        <w:rPr>
          <w:rFonts w:ascii="Arial" w:cs="Arial" w:eastAsia="Arial" w:hAnsi="Arial"/>
          <w:sz w:val="18"/>
          <w:szCs w:val="18"/>
          <w:b w:val="1"/>
          <w:bCs w:val="1"/>
          <w:i w:val="1"/>
          <w:iCs w:val="1"/>
          <w:color w:val="auto"/>
        </w:rPr>
        <w:t>Performance Conditions</w:t>
      </w:r>
      <w:r>
        <w:rPr>
          <w:rFonts w:ascii="Arial" w:cs="Arial" w:eastAsia="Arial" w:hAnsi="Arial"/>
          <w:sz w:val="18"/>
          <w:szCs w:val="18"/>
          <w:color w:val="auto"/>
        </w:rPr>
        <w:t>”) which are set forth on Exhibit A. The PRSUs shall vest on December 31, 2027 or such earlier date as may be provided in Section 8 (the “</w:t>
      </w:r>
      <w:r>
        <w:rPr>
          <w:rFonts w:ascii="Arial" w:cs="Arial" w:eastAsia="Arial" w:hAnsi="Arial"/>
          <w:sz w:val="18"/>
          <w:szCs w:val="18"/>
          <w:b w:val="1"/>
          <w:bCs w:val="1"/>
          <w:i w:val="1"/>
          <w:iCs w:val="1"/>
          <w:color w:val="auto"/>
        </w:rPr>
        <w:t>Vesting Date</w:t>
      </w:r>
      <w:r>
        <w:rPr>
          <w:rFonts w:ascii="Arial" w:cs="Arial" w:eastAsia="Arial" w:hAnsi="Arial"/>
          <w:sz w:val="18"/>
          <w:szCs w:val="18"/>
          <w:color w:val="auto"/>
        </w:rPr>
        <w:t>”) and the number of PRSUs eligible to vest shall be based on the satisfaction of the Performance Conditions as set forth on Exhibit A and subject to the Employee’s continued employment with or provision of services to the Company or a subsidiary or affiliate through the Vesting Date or as otherwise provided in Section 8. For the avoidance of doubt, the change of the Employee’s status from employee to non-employee member of the Board of Directors of the Company, consultant or contractor who continues to provide services to the Company or a subsidiary or affiliate will not be considered a termination for purposes of this Agreement.</w:t>
      </w:r>
    </w:p>
    <w:p>
      <w:pPr>
        <w:spacing w:after="0" w:line="129" w:lineRule="exact"/>
        <w:rPr>
          <w:sz w:val="20"/>
          <w:szCs w:val="20"/>
          <w:color w:val="auto"/>
        </w:rPr>
      </w:pPr>
    </w:p>
    <w:p>
      <w:pPr>
        <w:ind w:left="10"/>
        <w:spacing w:after="0"/>
        <w:rPr>
          <w:sz w:val="20"/>
          <w:szCs w:val="20"/>
          <w:color w:val="auto"/>
        </w:rPr>
      </w:pPr>
      <w:r>
        <w:rPr>
          <w:rFonts w:ascii="Arial" w:cs="Arial" w:eastAsia="Arial" w:hAnsi="Arial"/>
          <w:sz w:val="18"/>
          <w:szCs w:val="18"/>
          <w:color w:val="auto"/>
        </w:rPr>
        <w:t>Notwithstanding, to the extent all or a portion of the PRSUs have not vested as of the Vesting Date, the unvested PRSUs will be forfeited.</w:t>
      </w:r>
    </w:p>
    <w:p>
      <w:pPr>
        <w:spacing w:after="0" w:line="171" w:lineRule="exact"/>
        <w:rPr>
          <w:sz w:val="20"/>
          <w:szCs w:val="20"/>
          <w:color w:val="auto"/>
        </w:rPr>
      </w:pPr>
    </w:p>
    <w:p>
      <w:pPr>
        <w:jc w:val="both"/>
        <w:ind w:left="10"/>
        <w:spacing w:after="0" w:line="259" w:lineRule="auto"/>
        <w:rPr>
          <w:sz w:val="20"/>
          <w:szCs w:val="20"/>
          <w:color w:val="auto"/>
        </w:rPr>
      </w:pPr>
      <w:r>
        <w:rPr>
          <w:rFonts w:ascii="Arial" w:cs="Arial" w:eastAsia="Arial" w:hAnsi="Arial"/>
          <w:sz w:val="18"/>
          <w:szCs w:val="18"/>
          <w:color w:val="auto"/>
        </w:rPr>
        <w:t>Upon the occurrence of an event constituting a Change in Control, notwithstanding anything to the contrary in Section 8 of the Plan, the PRSUs outstanding on the date of such Change in Control, and any dividend equivalents with respect thereto, shall be assumed by the successor company (or its parent company) and remain outstanding, and thereafter the vesting of such PRSUs, and any dividend equivalents with respect thereto, shall be eligible to vest on the Vesting Date, subject to the Employee’s continued employment with or provision of services to the Company or a subsidiary or an affiliate through the Vesting Date (and the</w:t>
      </w:r>
    </w:p>
    <w:p>
      <w:pPr>
        <w:sectPr>
          <w:pgSz w:w="11900" w:h="16838" w:orient="portrait"/>
          <w:cols w:equalWidth="0" w:num="1">
            <w:col w:w="11070"/>
          </w:cols>
          <w:pgMar w:left="490" w:top="607" w:right="339" w:bottom="1440" w:gutter="0" w:footer="0" w:header="0"/>
        </w:sectPr>
      </w:pPr>
    </w:p>
    <w:bookmarkStart w:id="112" w:name="page113"/>
    <w:bookmarkEnd w:id="112"/>
    <w:p>
      <w:pPr>
        <w:jc w:val="both"/>
        <w:ind w:left="10"/>
        <w:spacing w:after="0" w:line="257" w:lineRule="auto"/>
        <w:rPr>
          <w:sz w:val="20"/>
          <w:szCs w:val="20"/>
          <w:color w:val="auto"/>
        </w:rPr>
      </w:pPr>
      <w:r>
        <w:rPr>
          <w:rFonts w:ascii="Arial" w:cs="Arial" w:eastAsia="Arial" w:hAnsi="Arial"/>
          <w:sz w:val="18"/>
          <w:szCs w:val="18"/>
          <w:color w:val="auto"/>
        </w:rPr>
        <w:t xml:space="preserve">Performance Conditions shall each be deemed to have been achieved at the “Target” level as set forth on Exhibit A as of the date of the Change in Control), and in such instance such PRSUs shall be paid in cash in accordance with the terms of the Plan at the earliest time set forth in the Plan that will not trigger a tax or penalty under Section 409A of the Code, as determined by the Committee;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PRSUs, and any dividend equivalents with respect thereto, shall vest and shall be paid to the extent provided in Section 8 in the event of the Employee’s termination of employment or services following such Change in Control and prior to the Vesting Date. Upon payment pursuant to the terms of the Plan, such awards shall be cancelled.</w:t>
      </w:r>
    </w:p>
    <w:p>
      <w:pPr>
        <w:spacing w:after="0" w:line="128" w:lineRule="exact"/>
        <w:rPr>
          <w:sz w:val="20"/>
          <w:szCs w:val="20"/>
          <w:color w:val="auto"/>
        </w:rPr>
      </w:pPr>
    </w:p>
    <w:p>
      <w:pPr>
        <w:jc w:val="both"/>
        <w:ind w:left="10" w:hanging="10"/>
        <w:spacing w:after="0" w:line="259" w:lineRule="auto"/>
        <w:tabs>
          <w:tab w:leader="none" w:pos="427"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The Employee shall become entitled to receive from the Company on the Vesting Date (or such earlier date provided in Section 8) a cash payment equaling the same amount(s) that the holder of record of a number of shares of Common Stock equal to the number of vested PRSUs (if any) would have been entitled to receive as dividends on such Common Stock during the period commencing on the effective date hereof and ending on the Vesting Date (or such earlier date provided in Section 8) as provided under Section 3. Payments under this Section shall be net of any required withholding taxes.</w:t>
      </w:r>
    </w:p>
    <w:p>
      <w:pPr>
        <w:spacing w:after="0" w:line="125"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u w:val="single" w:color="auto"/>
          <w:color w:val="auto"/>
        </w:rPr>
        <w:t>OTHER TERMS</w:t>
      </w:r>
    </w:p>
    <w:p>
      <w:pPr>
        <w:spacing w:after="0" w:line="171" w:lineRule="exact"/>
        <w:rPr>
          <w:sz w:val="20"/>
          <w:szCs w:val="20"/>
          <w:color w:val="auto"/>
        </w:rPr>
      </w:pPr>
    </w:p>
    <w:p>
      <w:pPr>
        <w:jc w:val="both"/>
        <w:ind w:left="10" w:hanging="10"/>
        <w:spacing w:after="0" w:line="268" w:lineRule="auto"/>
        <w:tabs>
          <w:tab w:leader="none" w:pos="21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Ownership Guidelines</w:t>
      </w:r>
      <w:r>
        <w:rPr>
          <w:rFonts w:ascii="Arial" w:cs="Arial" w:eastAsia="Arial" w:hAnsi="Arial"/>
          <w:sz w:val="18"/>
          <w:szCs w:val="18"/>
          <w:color w:val="auto"/>
        </w:rPr>
        <w:t>. Guidelines pertaining to the Employee’s required ownership of Common Stock and related holding requirements (the “</w:t>
      </w:r>
      <w:r>
        <w:rPr>
          <w:rFonts w:ascii="Arial" w:cs="Arial" w:eastAsia="Arial" w:hAnsi="Arial"/>
          <w:sz w:val="18"/>
          <w:szCs w:val="18"/>
          <w:b w:val="1"/>
          <w:bCs w:val="1"/>
          <w:i w:val="1"/>
          <w:iCs w:val="1"/>
          <w:color w:val="auto"/>
        </w:rPr>
        <w:t>Stock Ownership Guidelines</w:t>
      </w:r>
      <w:r>
        <w:rPr>
          <w:rFonts w:ascii="Arial" w:cs="Arial" w:eastAsia="Arial" w:hAnsi="Arial"/>
          <w:sz w:val="18"/>
          <w:szCs w:val="18"/>
          <w:color w:val="auto"/>
        </w:rPr>
        <w:t>”) shall be determined by the Committee or its authorized delegate, as applicable, in its sole discretion from time to time as communicated to the Employee in writing.</w:t>
      </w:r>
    </w:p>
    <w:p>
      <w:pPr>
        <w:spacing w:after="0" w:line="116" w:lineRule="exact"/>
        <w:rPr>
          <w:rFonts w:ascii="Arial" w:cs="Arial" w:eastAsia="Arial" w:hAnsi="Arial"/>
          <w:sz w:val="18"/>
          <w:szCs w:val="18"/>
          <w:color w:val="auto"/>
        </w:rPr>
      </w:pPr>
    </w:p>
    <w:p>
      <w:pPr>
        <w:jc w:val="both"/>
        <w:ind w:left="10" w:hanging="4"/>
        <w:spacing w:after="0" w:line="268" w:lineRule="auto"/>
        <w:tabs>
          <w:tab w:leader="none" w:pos="373"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Voting Rights/Dividends</w:t>
      </w:r>
      <w:r>
        <w:rPr>
          <w:rFonts w:ascii="Arial" w:cs="Arial" w:eastAsia="Arial" w:hAnsi="Arial"/>
          <w:sz w:val="18"/>
          <w:szCs w:val="18"/>
          <w:color w:val="auto"/>
        </w:rPr>
        <w:t>. Except as otherwise provided herein, the Employee shall have no rights as a shareholder with respect to the PRSUs until the date of issuance of a stock certificate to him for such PRSUs and no adjustment shall be made for dividends or other rights for which the record date is prior to the date the PRSUs become vested.</w:t>
      </w:r>
    </w:p>
    <w:p>
      <w:pPr>
        <w:spacing w:after="0" w:line="116" w:lineRule="exact"/>
        <w:rPr>
          <w:rFonts w:ascii="Arial" w:cs="Arial" w:eastAsia="Arial" w:hAnsi="Arial"/>
          <w:sz w:val="18"/>
          <w:szCs w:val="18"/>
          <w:color w:val="auto"/>
        </w:rPr>
      </w:pPr>
    </w:p>
    <w:p>
      <w:pPr>
        <w:jc w:val="both"/>
        <w:ind w:left="10" w:hanging="10"/>
        <w:spacing w:after="0" w:line="262" w:lineRule="auto"/>
        <w:tabs>
          <w:tab w:leader="none" w:pos="495"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Non-Assignability</w:t>
      </w:r>
      <w:r>
        <w:rPr>
          <w:rFonts w:ascii="Arial" w:cs="Arial" w:eastAsia="Arial" w:hAnsi="Arial"/>
          <w:sz w:val="18"/>
          <w:szCs w:val="18"/>
          <w:color w:val="auto"/>
        </w:rPr>
        <w:t>. Unless otherwise provided by the Committee in its discretion, PRSUs may not be sold, assigned, alienated, transferred, pledged, attached or otherwise encumbered except as provided in Section 7(d)(ii) of the Plan. Any purported sale, assignment, alienation, transfer, pledge, attachment or other encumbrance of a PRSU in violation of the provisions of this Section 7 and Section 7(d)(ii) of the Plan shall be void.</w:t>
      </w:r>
    </w:p>
    <w:p>
      <w:pPr>
        <w:spacing w:after="0" w:line="122" w:lineRule="exact"/>
        <w:rPr>
          <w:rFonts w:ascii="Arial" w:cs="Arial" w:eastAsia="Arial" w:hAnsi="Arial"/>
          <w:sz w:val="18"/>
          <w:szCs w:val="18"/>
          <w:color w:val="auto"/>
        </w:rPr>
      </w:pPr>
    </w:p>
    <w:p>
      <w:pPr>
        <w:ind w:left="350" w:hanging="344"/>
        <w:spacing w:after="0"/>
        <w:tabs>
          <w:tab w:leader="none" w:pos="35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Employment or Services or Death</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730" w:hanging="490"/>
        <w:spacing w:after="0" w:line="287" w:lineRule="auto"/>
        <w:tabs>
          <w:tab w:leader="none" w:pos="695"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Effect on PRSUs</w:t>
      </w:r>
      <w:r>
        <w:rPr>
          <w:rFonts w:ascii="Arial" w:cs="Arial" w:eastAsia="Arial" w:hAnsi="Arial"/>
          <w:sz w:val="18"/>
          <w:szCs w:val="18"/>
          <w:color w:val="auto"/>
        </w:rPr>
        <w:t>. In the event of the Employee’s termination of employment or services prior to December 31, 2027, the PRSUs will be treated as set forth below.</w:t>
      </w:r>
    </w:p>
    <w:p>
      <w:pPr>
        <w:spacing w:after="0" w:line="98" w:lineRule="exact"/>
        <w:rPr>
          <w:rFonts w:ascii="Arial" w:cs="Arial" w:eastAsia="Arial" w:hAnsi="Arial"/>
          <w:sz w:val="18"/>
          <w:szCs w:val="18"/>
          <w:color w:val="auto"/>
        </w:rPr>
      </w:pPr>
    </w:p>
    <w:p>
      <w:pPr>
        <w:jc w:val="both"/>
        <w:ind w:left="1130" w:firstLine="4"/>
        <w:spacing w:after="0" w:line="262" w:lineRule="auto"/>
        <w:tabs>
          <w:tab w:leader="none" w:pos="1865" w:val="left"/>
        </w:tabs>
        <w:numPr>
          <w:ilvl w:val="2"/>
          <w:numId w:val="127"/>
        </w:numPr>
        <w:rPr>
          <w:rFonts w:ascii="Arial" w:cs="Arial" w:eastAsia="Arial" w:hAnsi="Arial"/>
          <w:sz w:val="18"/>
          <w:szCs w:val="18"/>
          <w:color w:val="auto"/>
        </w:rPr>
      </w:pPr>
      <w:r>
        <w:rPr>
          <w:rFonts w:ascii="Arial" w:cs="Arial" w:eastAsia="Arial" w:hAnsi="Arial"/>
          <w:sz w:val="18"/>
          <w:szCs w:val="18"/>
          <w:i w:val="1"/>
          <w:iCs w:val="1"/>
          <w:color w:val="auto"/>
        </w:rPr>
        <w:t>Voluntary Resignation</w:t>
      </w:r>
      <w:r>
        <w:rPr>
          <w:rFonts w:ascii="Arial" w:cs="Arial" w:eastAsia="Arial" w:hAnsi="Arial"/>
          <w:sz w:val="18"/>
          <w:szCs w:val="18"/>
          <w:color w:val="auto"/>
        </w:rPr>
        <w:t>. In the event the Employee voluntarily ceases to be an employee of or otherwise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the Employer for any reason other than a Termination For Good Reason following a Change in Control or a Qualifying Retirement, the PRSUs shall be canceled and forfeited on the date of such voluntary termination of employment or services.</w:t>
      </w:r>
    </w:p>
    <w:p>
      <w:pPr>
        <w:spacing w:after="0" w:line="122" w:lineRule="exact"/>
        <w:rPr>
          <w:rFonts w:ascii="Arial" w:cs="Arial" w:eastAsia="Arial" w:hAnsi="Arial"/>
          <w:sz w:val="18"/>
          <w:szCs w:val="18"/>
          <w:color w:val="auto"/>
        </w:rPr>
      </w:pPr>
    </w:p>
    <w:p>
      <w:pPr>
        <w:jc w:val="both"/>
        <w:ind w:left="1130" w:firstLine="4"/>
        <w:spacing w:after="0" w:line="254" w:lineRule="auto"/>
        <w:tabs>
          <w:tab w:leader="none" w:pos="1570" w:val="left"/>
        </w:tabs>
        <w:numPr>
          <w:ilvl w:val="2"/>
          <w:numId w:val="127"/>
        </w:numPr>
        <w:rPr>
          <w:rFonts w:ascii="Arial" w:cs="Arial" w:eastAsia="Arial" w:hAnsi="Arial"/>
          <w:sz w:val="18"/>
          <w:szCs w:val="18"/>
          <w:color w:val="auto"/>
        </w:rPr>
      </w:pPr>
      <w:r>
        <w:rPr>
          <w:rFonts w:ascii="Arial" w:cs="Arial" w:eastAsia="Arial" w:hAnsi="Arial"/>
          <w:sz w:val="18"/>
          <w:szCs w:val="18"/>
          <w:i w:val="1"/>
          <w:iCs w:val="1"/>
          <w:color w:val="auto"/>
        </w:rPr>
        <w:t xml:space="preserve">Qualifying Retirement. </w:t>
      </w:r>
      <w:r>
        <w:rPr>
          <w:rFonts w:ascii="Arial" w:cs="Arial" w:eastAsia="Arial" w:hAnsi="Arial"/>
          <w:sz w:val="18"/>
          <w:szCs w:val="18"/>
          <w:color w:val="auto"/>
        </w:rPr>
        <w:t>In the event of a Qualifying Retirement, the Employee will remain eligible to vest in a Pro-Rata</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the PRSUs that otherwise vest on December 31, 2027 based on the achievement of the Performance Conditions, and any dividend equivalents with respect thereto; provided that the Employee (A) completes a successful transition of responsibilities (as determined by the Board of Directors of the Company) and cooperates during the remaining vesting period, (B) complies with any applicable restrictive covenants and non-disparagement provisions during the remaining vesting period, (C) reasonably cooperates with the Company and its affiliates with respect to any investigation, litigation, arbitration, or regulatory proceeding regarding events that occurred during the Employee’s tenure with the Company, and (D) does not accept full time employment at a public or private company (with the exception of (1) board service, teaching, public service, or consulting, (2) employment with a family business, non-profit, startup, or other materially similar enterprise, or (3) any other employment specifically approved by the CEO (or, if the Employee was the CEO prior to such retirement,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070"/>
          </w:cols>
          <w:pgMar w:left="490" w:top="1160" w:right="339" w:bottom="1440" w:gutter="0" w:footer="0" w:header="0"/>
        </w:sectPr>
      </w:pPr>
    </w:p>
    <w:bookmarkStart w:id="113" w:name="page114"/>
    <w:bookmarkEnd w:id="113"/>
    <w:p>
      <w:pPr>
        <w:jc w:val="both"/>
        <w:ind w:left="806" w:firstLine="4"/>
        <w:spacing w:after="0" w:line="256" w:lineRule="auto"/>
        <w:tabs>
          <w:tab w:leader="none" w:pos="1273" w:val="left"/>
        </w:tabs>
        <w:numPr>
          <w:ilvl w:val="1"/>
          <w:numId w:val="128"/>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without Cause. </w:t>
      </w:r>
      <w:r>
        <w:rPr>
          <w:rFonts w:ascii="Arial" w:cs="Arial" w:eastAsia="Arial" w:hAnsi="Arial"/>
          <w:sz w:val="18"/>
          <w:szCs w:val="18"/>
          <w:color w:val="auto"/>
        </w:rPr>
        <w:t>In the event the Employee involuntarily ceases to be an employee of or otherwise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the Employer for any reason other than due to death, Disability, or a termination for Cause, the Employee will remain eligible to vest in a Pro-Rata Amount of PRSUs that otherwise vest on December 31, 2027 based on the achievement of the Performance Conditions, and any dividend equivalents with respect thereto, provided that the number of full months in the numerator of the Pro-Rata Amount will be increased by a number equal to the number of months of cash severance the Employee would be entitled to under the Company’s applicable severance plan or policy, but shall in no event be greater than 36.</w:t>
      </w:r>
    </w:p>
    <w:p>
      <w:pPr>
        <w:spacing w:after="0" w:line="128" w:lineRule="exact"/>
        <w:rPr>
          <w:rFonts w:ascii="Arial" w:cs="Arial" w:eastAsia="Arial" w:hAnsi="Arial"/>
          <w:sz w:val="18"/>
          <w:szCs w:val="18"/>
          <w:color w:val="auto"/>
        </w:rPr>
      </w:pPr>
    </w:p>
    <w:p>
      <w:pPr>
        <w:jc w:val="both"/>
        <w:ind w:left="806" w:firstLine="4"/>
        <w:spacing w:after="0" w:line="254" w:lineRule="auto"/>
        <w:tabs>
          <w:tab w:leader="none" w:pos="1256" w:val="left"/>
        </w:tabs>
        <w:numPr>
          <w:ilvl w:val="1"/>
          <w:numId w:val="128"/>
        </w:numPr>
        <w:rPr>
          <w:rFonts w:ascii="Arial" w:cs="Arial" w:eastAsia="Arial" w:hAnsi="Arial"/>
          <w:sz w:val="18"/>
          <w:szCs w:val="18"/>
          <w:color w:val="auto"/>
        </w:rPr>
      </w:pPr>
      <w:r>
        <w:rPr>
          <w:rFonts w:ascii="Arial" w:cs="Arial" w:eastAsia="Arial" w:hAnsi="Arial"/>
          <w:sz w:val="18"/>
          <w:szCs w:val="18"/>
          <w:i w:val="1"/>
          <w:iCs w:val="1"/>
          <w:color w:val="auto"/>
        </w:rPr>
        <w:t>Qualifying Termination Following Change in Control</w:t>
      </w:r>
      <w:r>
        <w:rPr>
          <w:rFonts w:ascii="Arial" w:cs="Arial" w:eastAsia="Arial" w:hAnsi="Arial"/>
          <w:sz w:val="18"/>
          <w:szCs w:val="18"/>
          <w:color w:val="auto"/>
        </w:rPr>
        <w:t>. In the event the Employee involuntarily ceases to be an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of or otherwise provide services to the Employer following a Change in Control for any reason other than a termination for Cause, or voluntarily ceases to be an employee due to a Termination for Good Reason following a Change in Control, then the PRSUs covered by this Agreement, and any dividend equivalents with respect thereto, shall immediately vest at the “Target” performance level as set forth on Exhibit A (without proration based on the portion of the vesting period elapsed prior to such termination) and shall be paid in cash in accordance with the terms of the Plan within 60 days following the earliest time set forth in the Plan that will not trigger a tax or penalty under Section 409A of the Code, as determined by the Committee. Such vesting shall be contingent, at the discretion of the Company, upon the Employee executing a general release (which may include an agreement with respect to engagement in detrimental activity, in a form acceptable to the Company) and such release becoming effective and irrevocable within the 60-day period following such Termination Date.</w:t>
      </w:r>
    </w:p>
    <w:p>
      <w:pPr>
        <w:spacing w:after="0" w:line="131" w:lineRule="exact"/>
        <w:rPr>
          <w:rFonts w:ascii="Arial" w:cs="Arial" w:eastAsia="Arial" w:hAnsi="Arial"/>
          <w:sz w:val="18"/>
          <w:szCs w:val="18"/>
          <w:color w:val="auto"/>
        </w:rPr>
      </w:pPr>
    </w:p>
    <w:p>
      <w:pPr>
        <w:jc w:val="both"/>
        <w:ind w:left="806" w:firstLine="4"/>
        <w:spacing w:after="0" w:line="259" w:lineRule="auto"/>
        <w:tabs>
          <w:tab w:leader="none" w:pos="1229" w:val="left"/>
        </w:tabs>
        <w:numPr>
          <w:ilvl w:val="1"/>
          <w:numId w:val="128"/>
        </w:numPr>
        <w:rPr>
          <w:rFonts w:ascii="Arial" w:cs="Arial" w:eastAsia="Arial" w:hAnsi="Arial"/>
          <w:sz w:val="18"/>
          <w:szCs w:val="18"/>
          <w:color w:val="auto"/>
        </w:rPr>
      </w:pPr>
      <w:r>
        <w:rPr>
          <w:rFonts w:ascii="Arial" w:cs="Arial" w:eastAsia="Arial" w:hAnsi="Arial"/>
          <w:sz w:val="18"/>
          <w:szCs w:val="18"/>
          <w:i w:val="1"/>
          <w:iCs w:val="1"/>
          <w:color w:val="auto"/>
        </w:rPr>
        <w:t>Death or Disability</w:t>
      </w:r>
      <w:r>
        <w:rPr>
          <w:rFonts w:ascii="Arial" w:cs="Arial" w:eastAsia="Arial" w:hAnsi="Arial"/>
          <w:sz w:val="18"/>
          <w:szCs w:val="18"/>
          <w:color w:val="auto"/>
        </w:rPr>
        <w:t>. In the event the Employee involuntarily ceases to be an employee of or otherwise provide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Employer by reason of death or Disability prior to a Change in Control, the PRSUs covered by this Agreement, and any dividend equivalents with respect thereto, shall remain eligible to vest pursuant to Section 3 based on the satisfaction of the Performance Conditions and as if such Employee remained employed through the Vesting Date and shall be settled within 60 days following the applicable Vesting Date in accordance with Section 2, without proration.</w:t>
      </w:r>
    </w:p>
    <w:p>
      <w:pPr>
        <w:spacing w:after="0" w:line="125" w:lineRule="exact"/>
        <w:rPr>
          <w:rFonts w:ascii="Arial" w:cs="Arial" w:eastAsia="Arial" w:hAnsi="Arial"/>
          <w:sz w:val="18"/>
          <w:szCs w:val="18"/>
          <w:color w:val="auto"/>
        </w:rPr>
      </w:pPr>
    </w:p>
    <w:p>
      <w:pPr>
        <w:jc w:val="both"/>
        <w:ind w:left="806" w:firstLine="4"/>
        <w:spacing w:after="0" w:line="262" w:lineRule="auto"/>
        <w:tabs>
          <w:tab w:leader="none" w:pos="1350" w:val="left"/>
        </w:tabs>
        <w:numPr>
          <w:ilvl w:val="1"/>
          <w:numId w:val="128"/>
        </w:numPr>
        <w:rPr>
          <w:rFonts w:ascii="Arial" w:cs="Arial" w:eastAsia="Arial" w:hAnsi="Arial"/>
          <w:sz w:val="18"/>
          <w:szCs w:val="18"/>
          <w:color w:val="auto"/>
        </w:rPr>
      </w:pPr>
      <w:r>
        <w:rPr>
          <w:rFonts w:ascii="Arial" w:cs="Arial" w:eastAsia="Arial" w:hAnsi="Arial"/>
          <w:sz w:val="18"/>
          <w:szCs w:val="18"/>
          <w:i w:val="1"/>
          <w:iCs w:val="1"/>
          <w:color w:val="auto"/>
        </w:rPr>
        <w:t>Termination for Cause</w:t>
      </w:r>
      <w:r>
        <w:rPr>
          <w:rFonts w:ascii="Arial" w:cs="Arial" w:eastAsia="Arial" w:hAnsi="Arial"/>
          <w:sz w:val="18"/>
          <w:szCs w:val="18"/>
          <w:color w:val="auto"/>
        </w:rPr>
        <w:t>. In the event the Employee involuntarily ceases to be an employee of or otherwise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the Employer due to termination for Cause, the PRSUs shall be cancelled and forfeited on the date of such termination of employment or services, in addition to any other rights reserved under the Conduent Incorporated Compensation Recoupment Policy, as may be amended from time to time, or any successor policy.</w:t>
      </w:r>
    </w:p>
    <w:p>
      <w:pPr>
        <w:spacing w:after="0" w:line="122" w:lineRule="exact"/>
        <w:rPr>
          <w:rFonts w:ascii="Arial" w:cs="Arial" w:eastAsia="Arial" w:hAnsi="Arial"/>
          <w:sz w:val="18"/>
          <w:szCs w:val="18"/>
          <w:color w:val="auto"/>
        </w:rPr>
      </w:pPr>
    </w:p>
    <w:p>
      <w:pPr>
        <w:jc w:val="both"/>
        <w:ind w:left="806" w:firstLine="4"/>
        <w:spacing w:after="0" w:line="254" w:lineRule="auto"/>
        <w:tabs>
          <w:tab w:leader="none" w:pos="1390" w:val="left"/>
        </w:tabs>
        <w:numPr>
          <w:ilvl w:val="1"/>
          <w:numId w:val="128"/>
        </w:numPr>
        <w:rPr>
          <w:rFonts w:ascii="Arial" w:cs="Arial" w:eastAsia="Arial" w:hAnsi="Arial"/>
          <w:sz w:val="18"/>
          <w:szCs w:val="18"/>
          <w:color w:val="auto"/>
        </w:rPr>
      </w:pPr>
      <w:r>
        <w:rPr>
          <w:rFonts w:ascii="Arial" w:cs="Arial" w:eastAsia="Arial" w:hAnsi="Arial"/>
          <w:sz w:val="18"/>
          <w:szCs w:val="18"/>
          <w:i w:val="1"/>
          <w:iCs w:val="1"/>
          <w:color w:val="auto"/>
        </w:rPr>
        <w:t>Termination Date</w:t>
      </w:r>
      <w:r>
        <w:rPr>
          <w:rFonts w:ascii="Arial" w:cs="Arial" w:eastAsia="Arial" w:hAnsi="Arial"/>
          <w:sz w:val="18"/>
          <w:szCs w:val="18"/>
          <w:color w:val="auto"/>
        </w:rPr>
        <w:t>. For purposes of this Agreement and the PRSUs, the Employee’s employment and / or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 will be considered terminated as of the date the Employee is no longer is actively providing services to the Company, the Employer or any affiliate (regardless of the reason for such termination and whether or not later found to be invalid or in breach of labor laws in the jurisdiction where the Employee provides services or the terms of the Employee's employment or other service agreement, if any), and unless otherwise determined by the Company, the Employee’s right to vest in the PRSUs, if any, will terminate as of such date and, in either case, will not be extended by any notice period (</w:t>
      </w:r>
      <w:r>
        <w:rPr>
          <w:rFonts w:ascii="Arial" w:cs="Arial" w:eastAsia="Arial" w:hAnsi="Arial"/>
          <w:sz w:val="18"/>
          <w:szCs w:val="18"/>
          <w:i w:val="1"/>
          <w:iCs w:val="1"/>
          <w:color w:val="auto"/>
        </w:rPr>
        <w:t>e.g.</w:t>
      </w:r>
      <w:r>
        <w:rPr>
          <w:rFonts w:ascii="Arial" w:cs="Arial" w:eastAsia="Arial" w:hAnsi="Arial"/>
          <w:sz w:val="18"/>
          <w:szCs w:val="18"/>
          <w:color w:val="auto"/>
        </w:rPr>
        <w:t>, the Employee’s period of service would not include any contractual notice period or any period of “garden leave” or similar period mandated under labor laws in the jurisdiction where the Employee provides services or the terms of the Employee's employment or other service agreement, if any). The Committee shall have the exclusive discretion to determine when the Employee no longer is actively providing services for purposes of this Agreement and the PRSUs (including whether the Employee still may be considered to be providing services while on a leave of absence).</w:t>
      </w:r>
    </w:p>
    <w:p>
      <w:pPr>
        <w:spacing w:after="0" w:line="128" w:lineRule="exact"/>
        <w:rPr>
          <w:rFonts w:ascii="Arial" w:cs="Arial" w:eastAsia="Arial" w:hAnsi="Arial"/>
          <w:sz w:val="18"/>
          <w:szCs w:val="18"/>
          <w:color w:val="auto"/>
        </w:rPr>
      </w:pPr>
    </w:p>
    <w:p>
      <w:pPr>
        <w:ind w:left="426" w:hanging="426"/>
        <w:spacing w:after="0"/>
        <w:tabs>
          <w:tab w:leader="none" w:pos="426"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426" w:right="20"/>
        <w:spacing w:after="0" w:line="28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has the meaning set forth in the Conduent Incorporated Compensation Recoupment Policy, as may be amended from time to time, or any successor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74"/>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746"/>
          </w:cols>
          <w:pgMar w:left="814" w:top="1160" w:right="339" w:bottom="1440" w:gutter="0" w:footer="0" w:header="0"/>
        </w:sectPr>
      </w:pPr>
    </w:p>
    <w:bookmarkStart w:id="114" w:name="page115"/>
    <w:bookmarkEnd w:id="114"/>
    <w:p>
      <w:pPr>
        <w:jc w:val="both"/>
        <w:ind w:left="5"/>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has the meaning set forth in the Plan, except that for Section 8(a) only, an increase in ownership by Permitted Holders shall not be deemed a Change in Control.</w:t>
      </w:r>
    </w:p>
    <w:p>
      <w:pPr>
        <w:spacing w:after="0" w:line="99" w:lineRule="exact"/>
        <w:rPr>
          <w:sz w:val="20"/>
          <w:szCs w:val="20"/>
          <w:color w:val="auto"/>
        </w:rPr>
      </w:pPr>
    </w:p>
    <w:p>
      <w:pPr>
        <w:jc w:val="both"/>
        <w:ind w:left="5"/>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Data Protection Laws</w:t>
      </w:r>
      <w:r>
        <w:rPr>
          <w:rFonts w:ascii="Arial" w:cs="Arial" w:eastAsia="Arial" w:hAnsi="Arial"/>
          <w:sz w:val="18"/>
          <w:szCs w:val="18"/>
          <w:color w:val="auto"/>
        </w:rPr>
        <w:t>” means all applicable laws and regulations relating to the processing of Personal Data and privacy that may exist in the relevant jurisdictions.</w:t>
      </w:r>
    </w:p>
    <w:p>
      <w:pPr>
        <w:spacing w:after="0" w:line="99" w:lineRule="exact"/>
        <w:rPr>
          <w:sz w:val="20"/>
          <w:szCs w:val="20"/>
          <w:color w:val="auto"/>
        </w:rPr>
      </w:pPr>
    </w:p>
    <w:p>
      <w:pPr>
        <w:jc w:val="both"/>
        <w:ind w:left="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xml:space="preserve">” shall include cessation of active employment or services due to commencement of long-term disability under the Employer’s long-term disability plan or under a disability policy of any subsidiary or affiliate,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Disability shall not be deemed to have occurred for such purposes unless the circumstances would also result in a “disability” within the meaning of Section 409A of the Code.</w:t>
      </w:r>
    </w:p>
    <w:p>
      <w:pPr>
        <w:spacing w:after="0" w:line="122" w:lineRule="exact"/>
        <w:rPr>
          <w:sz w:val="20"/>
          <w:szCs w:val="20"/>
          <w:color w:val="auto"/>
        </w:rPr>
      </w:pPr>
    </w:p>
    <w:p>
      <w:pPr>
        <w:jc w:val="both"/>
        <w:ind w:left="5"/>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Holders</w:t>
      </w:r>
      <w:r>
        <w:rPr>
          <w:rFonts w:ascii="Arial" w:cs="Arial" w:eastAsia="Arial" w:hAnsi="Arial"/>
          <w:sz w:val="18"/>
          <w:szCs w:val="18"/>
          <w:color w:val="auto"/>
        </w:rPr>
        <w:t>” has the meaning set forth in the Conduent Incorporated Compensation Recoupment Policy, as may be amended from time to time, or any successor policy.</w:t>
      </w:r>
    </w:p>
    <w:p>
      <w:pPr>
        <w:spacing w:after="0" w:line="99" w:lineRule="exact"/>
        <w:rPr>
          <w:sz w:val="20"/>
          <w:szCs w:val="20"/>
          <w:color w:val="auto"/>
        </w:rPr>
      </w:pPr>
    </w:p>
    <w:p>
      <w:pPr>
        <w:jc w:val="both"/>
        <w:ind w:left="5"/>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Pro-Rata Amount</w:t>
      </w:r>
      <w:r>
        <w:rPr>
          <w:rFonts w:ascii="Arial" w:cs="Arial" w:eastAsia="Arial" w:hAnsi="Arial"/>
          <w:sz w:val="18"/>
          <w:szCs w:val="18"/>
          <w:color w:val="auto"/>
        </w:rPr>
        <w:t xml:space="preserve">” will be equal to the number of PRSUs that would otherwise vest on December 31, 2027 based on the achievement of the Performance Conditions, multiplied by a fraction, the numerator of which is the number of full months elapsed between January 1, 2025 and the Termination Date and the denominator of which is 36;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vesting shall be contingent, at the discretion of the Company, upon the Employee executing a general release (which may include an agreement with respect to engagement in detrimental activity in a form acceptable to the Company) and such release becoming effective and irrevocable within the 60-day period following such Termination Date. Any PRSUs that do not vest as set forth above shall be forfeited.</w:t>
      </w:r>
    </w:p>
    <w:p>
      <w:pPr>
        <w:spacing w:after="0" w:line="129" w:lineRule="exact"/>
        <w:rPr>
          <w:sz w:val="20"/>
          <w:szCs w:val="20"/>
          <w:color w:val="auto"/>
        </w:rPr>
      </w:pPr>
    </w:p>
    <w:p>
      <w:pPr>
        <w:jc w:val="both"/>
        <w:ind w:left="5"/>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Qualifying Retirement</w:t>
      </w:r>
      <w:r>
        <w:rPr>
          <w:rFonts w:ascii="Arial" w:cs="Arial" w:eastAsia="Arial" w:hAnsi="Arial"/>
          <w:sz w:val="18"/>
          <w:szCs w:val="18"/>
          <w:color w:val="auto"/>
        </w:rPr>
        <w:t>” shall mean voluntary termination of Employee’s employment with or services to Employer where (i) the Employee is at least age sixty (60) and has at least five (5) years of service with the Employer or its parents or subsidiaries and</w:t>
      </w:r>
    </w:p>
    <w:p>
      <w:pPr>
        <w:spacing w:after="0" w:line="2" w:lineRule="exact"/>
        <w:rPr>
          <w:sz w:val="20"/>
          <w:szCs w:val="20"/>
          <w:color w:val="auto"/>
        </w:rPr>
      </w:pPr>
    </w:p>
    <w:p>
      <w:pPr>
        <w:jc w:val="both"/>
        <w:ind w:left="5" w:hanging="5"/>
        <w:spacing w:after="0" w:line="258" w:lineRule="auto"/>
        <w:tabs>
          <w:tab w:leader="none" w:pos="29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such Employee’s retirement has been agreed to and approved by the Chief Executive Officer of the Company (and, if Employee is a Section 16 officer of the Company, by the Board of Directors of the Company), who shall have the sole discretion to determine the date of retirement of such Employee.</w:t>
      </w:r>
    </w:p>
    <w:p>
      <w:pPr>
        <w:spacing w:after="0" w:line="124"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means the date of the Employee’s termination of employment with or services to the Employer.</w:t>
      </w:r>
    </w:p>
    <w:p>
      <w:pPr>
        <w:spacing w:after="0" w:line="171" w:lineRule="exact"/>
        <w:rPr>
          <w:sz w:val="20"/>
          <w:szCs w:val="20"/>
          <w:color w:val="auto"/>
        </w:rPr>
      </w:pPr>
    </w:p>
    <w:p>
      <w:pPr>
        <w:jc w:val="both"/>
        <w:ind w:left="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For Good Reason</w:t>
      </w:r>
      <w:r>
        <w:rPr>
          <w:rFonts w:ascii="Arial" w:cs="Arial" w:eastAsia="Arial" w:hAnsi="Arial"/>
          <w:sz w:val="18"/>
          <w:szCs w:val="18"/>
          <w:color w:val="auto"/>
        </w:rPr>
        <w:t>” shall mean the termination of the Employee within two years of the occurrence of any of the following circumstances, provided that (1) such circumstance occurs without the Employee’s express written consent after a Change in Control, and (2) the Employee gives the Company notice of the occurrence of the offending circumstance(s) within 90 days of the first occurrence of the circumstance(s), and the Company fails to cure the circumstance(s) within 30 days of receipt of this notice (or the Company notifies the Employee in writing prior to the expiration of such 30-day period that the circumstance(s) will not be cured):</w:t>
      </w:r>
    </w:p>
    <w:p>
      <w:pPr>
        <w:spacing w:after="0" w:line="128" w:lineRule="exact"/>
        <w:rPr>
          <w:sz w:val="20"/>
          <w:szCs w:val="20"/>
          <w:color w:val="auto"/>
        </w:rPr>
      </w:pPr>
    </w:p>
    <w:p>
      <w:pPr>
        <w:ind w:left="385" w:firstLine="4"/>
        <w:spacing w:after="0" w:line="287" w:lineRule="auto"/>
        <w:tabs>
          <w:tab w:leader="none" w:pos="80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material diminution of the Employee’s authority, duties, or responsibilities from those in effect immediately prior to a Change in Control;</w:t>
      </w:r>
    </w:p>
    <w:p>
      <w:pPr>
        <w:spacing w:after="0" w:line="98" w:lineRule="exact"/>
        <w:rPr>
          <w:rFonts w:ascii="Arial" w:cs="Arial" w:eastAsia="Arial" w:hAnsi="Arial"/>
          <w:sz w:val="18"/>
          <w:szCs w:val="18"/>
          <w:color w:val="auto"/>
        </w:rPr>
      </w:pPr>
    </w:p>
    <w:p>
      <w:pPr>
        <w:jc w:val="both"/>
        <w:ind w:left="385" w:firstLine="4"/>
        <w:spacing w:after="0" w:line="255" w:lineRule="auto"/>
        <w:tabs>
          <w:tab w:leader="none" w:pos="84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of the following: (1) a material reduction in the Employee’s annual base salary and/or annual target bonus, (2) a failure by the Company to increase the Employee’s annual base salary following a Change in Control at such periodic intervals not materially inconsistent with the Company’s practice prior thereto by at least a percentage equal to the average of the percentage increases in the Employee’s base salary for the three merit pay periods immediately preceding such Change in Control, or (3) the failure to increase the Employee’s salary as the same may be increased from time to time for similarly situated individuals, except that this clause (b) shall not apply to across-the-board salary reductions similarly affecting all similarly situated employees of the Company and all similarly situated employees of any person in control of the Company;</w:t>
      </w:r>
    </w:p>
    <w:p>
      <w:pPr>
        <w:spacing w:after="0" w:line="130" w:lineRule="exact"/>
        <w:rPr>
          <w:rFonts w:ascii="Arial" w:cs="Arial" w:eastAsia="Arial" w:hAnsi="Arial"/>
          <w:sz w:val="18"/>
          <w:szCs w:val="18"/>
          <w:color w:val="auto"/>
        </w:rPr>
      </w:pPr>
    </w:p>
    <w:p>
      <w:pPr>
        <w:jc w:val="both"/>
        <w:ind w:left="385" w:firstLine="4"/>
        <w:spacing w:after="0" w:line="262" w:lineRule="auto"/>
        <w:tabs>
          <w:tab w:leader="none" w:pos="93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Company’s requiring the Employee to be based anywhere other than in the metropolitan area in which the Employee was based immediately before the Change in Control (except for required travel on the Company’s business to an extent substantially consistent with the Employee’s present business travel obligations), provided that such required relocation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665"/>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325"/>
          </w:cols>
          <w:pgMar w:left="1235" w:top="1160" w:right="339" w:bottom="1440" w:gutter="0" w:footer="0" w:header="0"/>
        </w:sectPr>
      </w:pPr>
    </w:p>
    <w:bookmarkStart w:id="115" w:name="page116"/>
    <w:bookmarkEnd w:id="115"/>
    <w:p>
      <w:pPr>
        <w:ind w:left="1130"/>
        <w:spacing w:after="0"/>
        <w:rPr>
          <w:sz w:val="20"/>
          <w:szCs w:val="20"/>
          <w:color w:val="auto"/>
        </w:rPr>
      </w:pPr>
      <w:r>
        <w:rPr>
          <w:rFonts w:ascii="Arial" w:cs="Arial" w:eastAsia="Arial" w:hAnsi="Arial"/>
          <w:sz w:val="18"/>
          <w:szCs w:val="18"/>
          <w:color w:val="auto"/>
        </w:rPr>
        <w:t>constitutes a material change in the geographic location at which the Employee is required to perform the services;</w:t>
      </w:r>
    </w:p>
    <w:p>
      <w:pPr>
        <w:spacing w:after="0" w:line="171" w:lineRule="exact"/>
        <w:rPr>
          <w:sz w:val="20"/>
          <w:szCs w:val="20"/>
          <w:color w:val="auto"/>
        </w:rPr>
      </w:pPr>
    </w:p>
    <w:p>
      <w:pPr>
        <w:jc w:val="both"/>
        <w:ind w:left="1130" w:firstLine="4"/>
        <w:spacing w:after="0" w:line="256" w:lineRule="auto"/>
        <w:tabs>
          <w:tab w:leader="none" w:pos="163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failure by the Company to continue in effect any material compensation or benefit plan, vacation policy or any material perquisites in which the Employee participates immediately before the Change in Control (except to the extent such plan terminates in accordance with its terms), unless an equitable arrangement (embodied in an ongoing substitute or alternative plan) has been made with respect to such plan in connection with the Change in Control, or the failure by the Company to continue the Employee’s participation therein (or in such substitute or alternative plan) on a basis not materially less favorable, both in terms of the amount of benefits provided and the level of the Employee’s participation relative to other employees, than existed at the time of the Change in Control; or</w:t>
      </w:r>
    </w:p>
    <w:p>
      <w:pPr>
        <w:spacing w:after="0" w:line="128" w:lineRule="exact"/>
        <w:rPr>
          <w:rFonts w:ascii="Arial" w:cs="Arial" w:eastAsia="Arial" w:hAnsi="Arial"/>
          <w:sz w:val="18"/>
          <w:szCs w:val="18"/>
          <w:color w:val="auto"/>
        </w:rPr>
      </w:pPr>
    </w:p>
    <w:p>
      <w:pPr>
        <w:ind w:left="1130" w:firstLine="4"/>
        <w:spacing w:after="0" w:line="287" w:lineRule="auto"/>
        <w:tabs>
          <w:tab w:leader="none" w:pos="157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failure of the Company to obtain a satisfactory agreement from any successor to assume responsibility to perform under this Plan.</w:t>
      </w:r>
    </w:p>
    <w:p>
      <w:pPr>
        <w:spacing w:after="0" w:line="99" w:lineRule="exact"/>
        <w:rPr>
          <w:sz w:val="20"/>
          <w:szCs w:val="20"/>
          <w:color w:val="auto"/>
        </w:rPr>
      </w:pPr>
    </w:p>
    <w:p>
      <w:pPr>
        <w:jc w:val="both"/>
        <w:ind w:left="750"/>
        <w:spacing w:after="0" w:line="259" w:lineRule="auto"/>
        <w:rPr>
          <w:sz w:val="20"/>
          <w:szCs w:val="20"/>
          <w:color w:val="auto"/>
        </w:rPr>
      </w:pPr>
      <w:r>
        <w:rPr>
          <w:rFonts w:ascii="Arial" w:cs="Arial" w:eastAsia="Arial" w:hAnsi="Arial"/>
          <w:sz w:val="18"/>
          <w:szCs w:val="18"/>
          <w:color w:val="auto"/>
        </w:rPr>
        <w:t>A termination by the Employee of his or her employment or services shall not fail to be a Termination for Good Reason merely because of the Employee’s incapacity due to physical or mental illness, or because the Employee’s employment or services continued after the occurrence of any of the events listed in this subsection. For the avoidance of doubt, a Termination for Good Reason by the Employee shall not mean the Company’s reasonable accommodation or modification of the Employee’s authority, duties, or responsibilities because of the Employee’s Disability.</w:t>
      </w:r>
    </w:p>
    <w:p>
      <w:pPr>
        <w:spacing w:after="0" w:line="125" w:lineRule="exact"/>
        <w:rPr>
          <w:sz w:val="20"/>
          <w:szCs w:val="20"/>
          <w:color w:val="auto"/>
        </w:rPr>
      </w:pPr>
    </w:p>
    <w:p>
      <w:pPr>
        <w:jc w:val="both"/>
        <w:ind w:left="650" w:hanging="423"/>
        <w:spacing w:after="0" w:line="256" w:lineRule="auto"/>
        <w:tabs>
          <w:tab w:leader="none" w:pos="851" w:val="left"/>
        </w:tabs>
        <w:numPr>
          <w:ilvl w:val="1"/>
          <w:numId w:val="133"/>
        </w:numPr>
        <w:rPr>
          <w:rFonts w:ascii="Arial" w:cs="Arial" w:eastAsia="Arial" w:hAnsi="Arial"/>
          <w:sz w:val="18"/>
          <w:szCs w:val="18"/>
          <w:color w:val="auto"/>
        </w:rPr>
      </w:pPr>
      <w:r>
        <w:rPr>
          <w:rFonts w:ascii="Arial" w:cs="Arial" w:eastAsia="Arial" w:hAnsi="Arial"/>
          <w:sz w:val="18"/>
          <w:szCs w:val="18"/>
          <w:u w:val="single" w:color="auto"/>
          <w:color w:val="auto"/>
        </w:rPr>
        <w:t>Divestiture</w:t>
      </w:r>
      <w:r>
        <w:rPr>
          <w:rFonts w:ascii="Arial" w:cs="Arial" w:eastAsia="Arial" w:hAnsi="Arial"/>
          <w:sz w:val="18"/>
          <w:szCs w:val="18"/>
          <w:color w:val="auto"/>
        </w:rPr>
        <w:t>. Notwithstanding the above, the termination of the Employee’s employment with or services to the Employer in connection with the Employer’s sale (whether by sale of assets or a subsidiary, or both) of a line of business within which the Employee was employed or providing services immediately prior to such sale as determined by the Committee in its sole discretion, that does not constitute a Change in Control, shall be treated as an involuntary termination of employment or services for purposes of this Agreement and the PRSUs shall vest and be paid as provided in Section 8(a)(iii) above; provided, that, in the event the Employee is offered a comparable position with the acquirer of such line of business and does not accept such offer, the PRSUs shall be cancelled and forfeited on the date of termination of employment or services.</w:t>
      </w:r>
    </w:p>
    <w:p>
      <w:pPr>
        <w:spacing w:after="0" w:line="128" w:lineRule="exact"/>
        <w:rPr>
          <w:rFonts w:ascii="Arial" w:cs="Arial" w:eastAsia="Arial" w:hAnsi="Arial"/>
          <w:sz w:val="18"/>
          <w:szCs w:val="18"/>
          <w:color w:val="auto"/>
        </w:rPr>
      </w:pPr>
    </w:p>
    <w:p>
      <w:pPr>
        <w:jc w:val="both"/>
        <w:ind w:left="10" w:hanging="10"/>
        <w:spacing w:after="0" w:line="256" w:lineRule="auto"/>
        <w:tabs>
          <w:tab w:leader="none" w:pos="387"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General Restrictions</w:t>
      </w:r>
      <w:r>
        <w:rPr>
          <w:rFonts w:ascii="Arial" w:cs="Arial" w:eastAsia="Arial" w:hAnsi="Arial"/>
          <w:sz w:val="18"/>
          <w:szCs w:val="18"/>
          <w:color w:val="auto"/>
        </w:rPr>
        <w:t>. If at any time the Committee or its authorized delegate, as applicable, shall determine, in its discretion, that the listing, registration or qualification of any shares of Common Stock subject to this Agreement upon any securities exchange or under any state or Federal law, or the consent or approval of any government regulatory body, is necessary or desirable as a condition of, or in connection with, the awarding of the PRSUs or the issue or purchase of shares of Common Stock hereunder, the certificates for shares of Common Stock may not be issued in respect of PRSUs in whole or in part unless such listing, registration, qualification, consent or approval shall have been effected or obtained free of any conditions not acceptable to the Committee or its authorized delegate, as applicable, and any delay caused thereby shall in no way affect the date of termination of the PRSUs.</w:t>
      </w:r>
    </w:p>
    <w:p>
      <w:pPr>
        <w:spacing w:after="0" w:line="128" w:lineRule="exact"/>
        <w:rPr>
          <w:rFonts w:ascii="Arial" w:cs="Arial" w:eastAsia="Arial" w:hAnsi="Arial"/>
          <w:sz w:val="18"/>
          <w:szCs w:val="18"/>
          <w:color w:val="auto"/>
        </w:rPr>
      </w:pPr>
    </w:p>
    <w:p>
      <w:pPr>
        <w:ind w:left="450" w:hanging="450"/>
        <w:spacing w:after="0"/>
        <w:tabs>
          <w:tab w:leader="none" w:pos="45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650" w:hanging="407"/>
        <w:spacing w:after="0" w:line="254" w:lineRule="auto"/>
        <w:tabs>
          <w:tab w:leader="none" w:pos="716" w:val="left"/>
        </w:tabs>
        <w:numPr>
          <w:ilvl w:val="2"/>
          <w:numId w:val="134"/>
        </w:numPr>
        <w:rPr>
          <w:rFonts w:ascii="Arial" w:cs="Arial" w:eastAsia="Arial" w:hAnsi="Arial"/>
          <w:sz w:val="18"/>
          <w:szCs w:val="18"/>
          <w:color w:val="auto"/>
        </w:rPr>
      </w:pPr>
      <w:r>
        <w:rPr>
          <w:rFonts w:ascii="Arial" w:cs="Arial" w:eastAsia="Arial" w:hAnsi="Arial"/>
          <w:sz w:val="18"/>
          <w:szCs w:val="18"/>
          <w:color w:val="auto"/>
        </w:rPr>
        <w:t>The Employee acknowledges and agrees that, regardless of any action taken by the Company or, if different, the Employer, the ultimate liability for all income tax, social insurance, payroll tax, fringe benefits tax, payment on account or other tax-related items related to the Employee’s participation in the Plan and legally applicable or deemed applicable to the Employee (“</w:t>
      </w:r>
      <w:r>
        <w:rPr>
          <w:rFonts w:ascii="Arial" w:cs="Arial" w:eastAsia="Arial" w:hAnsi="Arial"/>
          <w:sz w:val="18"/>
          <w:szCs w:val="18"/>
          <w:b w:val="1"/>
          <w:bCs w:val="1"/>
          <w:i w:val="1"/>
          <w:iCs w:val="1"/>
          <w:color w:val="auto"/>
        </w:rPr>
        <w:t>Tax-Related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Items</w:t>
      </w:r>
      <w:r>
        <w:rPr>
          <w:rFonts w:ascii="Arial" w:cs="Arial" w:eastAsia="Arial" w:hAnsi="Arial"/>
          <w:sz w:val="18"/>
          <w:szCs w:val="18"/>
          <w:color w:val="auto"/>
        </w:rPr>
        <w:t>”) is and remains the Employee’s responsibility and may exceed the amount, if any, actually withheld by the Company 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Employer. The Employee further acknowledges that the Company and/or the Employer (i) make no representations or undertakings regarding the treatment of any Tax-Related Items in connection with any aspect of the PRSUs or the underlying shares of Common Stock, including, but not limited to, the grant, vesting or settlement of the PRSUs, the subsequent sale of shares of Common Stock acquired upon the settlement of the PRSUs and the receipt of any dividends; and (ii) do not commit to and are under no obligation to structure the terms of the grant or any aspect of the PRSUs to reduce or eliminate the Employee’s liability for Tax-Related Items or to achieve any particular tax result. Further, if the Employee is subject to Tax-Related Items in more than one jurisdiction,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070"/>
          </w:cols>
          <w:pgMar w:left="490" w:top="1160" w:right="339" w:bottom="1440" w:gutter="0" w:footer="0" w:header="0"/>
        </w:sectPr>
      </w:pPr>
    </w:p>
    <w:bookmarkStart w:id="116" w:name="page117"/>
    <w:bookmarkEnd w:id="116"/>
    <w:p>
      <w:pPr>
        <w:ind w:left="650" w:right="20"/>
        <w:spacing w:after="0" w:line="287" w:lineRule="auto"/>
        <w:rPr>
          <w:sz w:val="20"/>
          <w:szCs w:val="20"/>
          <w:color w:val="auto"/>
        </w:rPr>
      </w:pPr>
      <w:r>
        <w:rPr>
          <w:rFonts w:ascii="Arial" w:cs="Arial" w:eastAsia="Arial" w:hAnsi="Arial"/>
          <w:sz w:val="18"/>
          <w:szCs w:val="18"/>
          <w:color w:val="auto"/>
        </w:rPr>
        <w:t>acknowledges that the Company and/or the Employer (or former employer, as applicable) may be required to withhold or account for Tax-Related Items in more than one jurisdiction.</w:t>
      </w:r>
    </w:p>
    <w:p>
      <w:pPr>
        <w:spacing w:after="0" w:line="153" w:lineRule="exact"/>
        <w:rPr>
          <w:sz w:val="20"/>
          <w:szCs w:val="20"/>
          <w:color w:val="auto"/>
        </w:rPr>
      </w:pPr>
    </w:p>
    <w:p>
      <w:pPr>
        <w:jc w:val="both"/>
        <w:ind w:left="650" w:hanging="407"/>
        <w:spacing w:after="0" w:line="253" w:lineRule="auto"/>
        <w:tabs>
          <w:tab w:leader="none" w:pos="791" w:val="left"/>
        </w:tabs>
        <w:numPr>
          <w:ilvl w:val="1"/>
          <w:numId w:val="135"/>
        </w:numPr>
        <w:rPr>
          <w:rFonts w:ascii="Arial" w:cs="Arial" w:eastAsia="Arial" w:hAnsi="Arial"/>
          <w:sz w:val="18"/>
          <w:szCs w:val="18"/>
          <w:color w:val="auto"/>
        </w:rPr>
      </w:pPr>
      <w:r>
        <w:rPr>
          <w:rFonts w:ascii="Arial" w:cs="Arial" w:eastAsia="Arial" w:hAnsi="Arial"/>
          <w:sz w:val="18"/>
          <w:szCs w:val="18"/>
          <w:color w:val="auto"/>
        </w:rPr>
        <w:t>Prior to the relevant taxable or tax withholding event, as applicable, the Employee agrees to make adequate arrangements satisfactory to the Company and/or the Employer to satisfy all Tax-Related Items. In this regard, the Employee authorizes the Company and/or the Employer, or their respective agents, at their discretion, to satisfy any applicable withholding obligations with regard to all Tax-Related Items by one or a combination of the following: (i) requiring the Employee to make a payment in a form acceptable to the Company, (ii) withholding from the Employee’s wages or other compensation payable to the Employee, (iii) withholding from proceeds of the sale of the shares of Common Stock acquired upon the settlement of the PRSUs either through a voluntary sale or through a mandatory sale arranged by the Company (on the Employee’s behalf pursuant to this authorization without further consent), (iv) withholding from the shares of Common Stock otherwise issuable at vesting of the PRSUs, provided, however, that if the Employee is subject to the reporting and other provisions of Section 16 of the Exchange Act, the Company shall affirmatively approve, by Board action, any such withholding of shares of Common Stock as contemplated in the immediately preceding proviso, or (v) any other method of withholding determined by the Company and, to the extent required by applicable law or the Plan, approved by the Committee.</w:t>
      </w:r>
    </w:p>
    <w:p>
      <w:pPr>
        <w:spacing w:after="0" w:line="189" w:lineRule="exact"/>
        <w:rPr>
          <w:rFonts w:ascii="Arial" w:cs="Arial" w:eastAsia="Arial" w:hAnsi="Arial"/>
          <w:sz w:val="18"/>
          <w:szCs w:val="18"/>
          <w:color w:val="auto"/>
        </w:rPr>
      </w:pPr>
    </w:p>
    <w:p>
      <w:pPr>
        <w:jc w:val="both"/>
        <w:ind w:left="650" w:hanging="407"/>
        <w:spacing w:after="0" w:line="255" w:lineRule="auto"/>
        <w:tabs>
          <w:tab w:leader="none" w:pos="708"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Company and/or the Employer may withhold or account for Tax-Related Items by considering statutory withholding rates or other withholding rates, including maximum rates applicable in the Employee’s jurisdiction(s). In the event of over-withholding, the Employee may receive a refund of any over-withheld amount in cash (with no entitlement to the equivalent in shares of Common Stock) or, if not refunded, the Employee may seek a refund from the local tax authorities. In the event of under-withholding, the Employee may be required to pay additional Tax-Related Items directly to the applicable tax authority or to the Company and/or the Employer. If the obligation for Tax-Related Items is satisfied by withholding in shares of Common Stock, for tax purposes, the Employee is deemed to have been issued the full number of shares of Common Stock subject to the vested PRSUs, notwithstanding that a number of the shares of Common Stock is held back solely for the purpose of paying the Tax-Related Items.</w:t>
      </w:r>
    </w:p>
    <w:p>
      <w:pPr>
        <w:spacing w:after="0" w:line="184" w:lineRule="exact"/>
        <w:rPr>
          <w:rFonts w:ascii="Arial" w:cs="Arial" w:eastAsia="Arial" w:hAnsi="Arial"/>
          <w:sz w:val="18"/>
          <w:szCs w:val="18"/>
          <w:color w:val="auto"/>
        </w:rPr>
      </w:pPr>
    </w:p>
    <w:p>
      <w:pPr>
        <w:jc w:val="both"/>
        <w:ind w:left="650" w:hanging="407"/>
        <w:spacing w:after="0" w:line="259" w:lineRule="auto"/>
        <w:tabs>
          <w:tab w:leader="none" w:pos="794"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Employee agrees to pay to the Company or the Employer any amount of Tax-Related Items that the Company or the Employer may be required to withhold or account for as a result of the Employe’s participation in the Plan that cannot be satisfied by the means previously described. The Company may refuse to issue or deliver the shares of Common Stock or the proceeds of the sale of the shares of Common Stock acquired upon the vesting of the PRSUs, if the Employee fails to comply with the Employee's obligations in connection with the Tax-Related Items.</w:t>
      </w:r>
    </w:p>
    <w:p>
      <w:pPr>
        <w:spacing w:after="0" w:line="125" w:lineRule="exact"/>
        <w:rPr>
          <w:rFonts w:ascii="Arial" w:cs="Arial" w:eastAsia="Arial" w:hAnsi="Arial"/>
          <w:sz w:val="18"/>
          <w:szCs w:val="18"/>
          <w:color w:val="auto"/>
        </w:rPr>
      </w:pPr>
    </w:p>
    <w:p>
      <w:pPr>
        <w:ind w:left="430" w:hanging="430"/>
        <w:spacing w:after="0"/>
        <w:tabs>
          <w:tab w:leader="none" w:pos="43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Nature of Award</w:t>
      </w:r>
      <w:r>
        <w:rPr>
          <w:rFonts w:ascii="Arial" w:cs="Arial" w:eastAsia="Arial" w:hAnsi="Arial"/>
          <w:sz w:val="18"/>
          <w:szCs w:val="18"/>
          <w:color w:val="auto"/>
        </w:rPr>
        <w:t>. In accepting the award, the Employee acknowledges that:</w:t>
      </w:r>
    </w:p>
    <w:p>
      <w:pPr>
        <w:spacing w:after="0" w:line="171" w:lineRule="exact"/>
        <w:rPr>
          <w:rFonts w:ascii="Arial" w:cs="Arial" w:eastAsia="Arial" w:hAnsi="Arial"/>
          <w:sz w:val="18"/>
          <w:szCs w:val="18"/>
          <w:color w:val="auto"/>
        </w:rPr>
      </w:pPr>
    </w:p>
    <w:p>
      <w:pPr>
        <w:jc w:val="both"/>
        <w:ind w:left="650" w:hanging="326"/>
        <w:spacing w:after="0" w:line="268" w:lineRule="auto"/>
        <w:tabs>
          <w:tab w:leader="none" w:pos="640" w:val="left"/>
        </w:tabs>
        <w:numPr>
          <w:ilvl w:val="2"/>
          <w:numId w:val="136"/>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in a manner consistent with Section 9(e) of the Plan regarding Plan amendment and termination and, in addition, the PRSUs are subject to modification and adjustment under Section 9(c) of the Plan;</w:t>
      </w:r>
    </w:p>
    <w:p>
      <w:pPr>
        <w:spacing w:after="0" w:line="197" w:lineRule="exact"/>
        <w:rPr>
          <w:rFonts w:ascii="Arial" w:cs="Arial" w:eastAsia="Arial" w:hAnsi="Arial"/>
          <w:sz w:val="18"/>
          <w:szCs w:val="18"/>
          <w:color w:val="auto"/>
        </w:rPr>
      </w:pPr>
    </w:p>
    <w:p>
      <w:pPr>
        <w:ind w:left="650" w:hanging="326"/>
        <w:spacing w:after="0" w:line="287" w:lineRule="auto"/>
        <w:tabs>
          <w:tab w:leader="none" w:pos="640" w:val="left"/>
        </w:tabs>
        <w:numPr>
          <w:ilvl w:val="2"/>
          <w:numId w:val="136"/>
        </w:numPr>
        <w:rPr>
          <w:rFonts w:ascii="Arial" w:cs="Arial" w:eastAsia="Arial" w:hAnsi="Arial"/>
          <w:sz w:val="18"/>
          <w:szCs w:val="18"/>
          <w:color w:val="auto"/>
        </w:rPr>
      </w:pPr>
      <w:r>
        <w:rPr>
          <w:rFonts w:ascii="Arial" w:cs="Arial" w:eastAsia="Arial" w:hAnsi="Arial"/>
          <w:sz w:val="18"/>
          <w:szCs w:val="18"/>
          <w:color w:val="auto"/>
        </w:rPr>
        <w:t>the award of the PRSUs is voluntary and occasional and does not create any contractual or other right to receive future grants of PRSUs, or benefits in lieu of PRSUs, even if PRSUs have been granted repeatedly in the past;</w:t>
      </w:r>
    </w:p>
    <w:p>
      <w:pPr>
        <w:spacing w:after="0" w:line="98" w:lineRule="exact"/>
        <w:rPr>
          <w:rFonts w:ascii="Arial" w:cs="Arial" w:eastAsia="Arial" w:hAnsi="Arial"/>
          <w:sz w:val="18"/>
          <w:szCs w:val="18"/>
          <w:color w:val="auto"/>
        </w:rPr>
      </w:pPr>
    </w:p>
    <w:p>
      <w:pPr>
        <w:ind w:left="650" w:hanging="326"/>
        <w:spacing w:after="0" w:line="287" w:lineRule="auto"/>
        <w:tabs>
          <w:tab w:leader="none" w:pos="644" w:val="left"/>
        </w:tabs>
        <w:numPr>
          <w:ilvl w:val="2"/>
          <w:numId w:val="136"/>
        </w:numPr>
        <w:rPr>
          <w:rFonts w:ascii="Arial" w:cs="Arial" w:eastAsia="Arial" w:hAnsi="Arial"/>
          <w:sz w:val="18"/>
          <w:szCs w:val="18"/>
          <w:color w:val="auto"/>
        </w:rPr>
      </w:pPr>
      <w:r>
        <w:rPr>
          <w:rFonts w:ascii="Arial" w:cs="Arial" w:eastAsia="Arial" w:hAnsi="Arial"/>
          <w:sz w:val="18"/>
          <w:szCs w:val="18"/>
          <w:color w:val="auto"/>
        </w:rPr>
        <w:t>all decisions with respect to future PRSU awards, if any, will be at the sole discretion of the Committee or its authorized delegate, as applicable;</w:t>
      </w:r>
    </w:p>
    <w:p>
      <w:pPr>
        <w:spacing w:after="0" w:line="98" w:lineRule="exact"/>
        <w:rPr>
          <w:rFonts w:ascii="Arial" w:cs="Arial" w:eastAsia="Arial" w:hAnsi="Arial"/>
          <w:sz w:val="18"/>
          <w:szCs w:val="18"/>
          <w:color w:val="auto"/>
        </w:rPr>
      </w:pPr>
    </w:p>
    <w:p>
      <w:pPr>
        <w:jc w:val="both"/>
        <w:ind w:left="650" w:hanging="326"/>
        <w:spacing w:after="0" w:line="268" w:lineRule="auto"/>
        <w:tabs>
          <w:tab w:leader="none" w:pos="640" w:val="left"/>
        </w:tabs>
        <w:numPr>
          <w:ilvl w:val="2"/>
          <w:numId w:val="136"/>
        </w:numPr>
        <w:rPr>
          <w:rFonts w:ascii="Arial" w:cs="Arial" w:eastAsia="Arial" w:hAnsi="Arial"/>
          <w:sz w:val="18"/>
          <w:szCs w:val="18"/>
          <w:color w:val="auto"/>
        </w:rPr>
      </w:pPr>
      <w:r>
        <w:rPr>
          <w:rFonts w:ascii="Arial" w:cs="Arial" w:eastAsia="Arial" w:hAnsi="Arial"/>
          <w:sz w:val="18"/>
          <w:szCs w:val="18"/>
          <w:color w:val="auto"/>
        </w:rPr>
        <w:t>the Employee’s participation in the Plan shall not create a right to further employment with the Employer and shall not interfere with the ability of the Employer to terminate the Employee’s employment relationship at any time; further, the PRSU award and the Employee’s participation in the Plan will not be interpreted to form an employment contract or relationship with the Employer;</w:t>
      </w:r>
    </w:p>
    <w:p>
      <w:pPr>
        <w:spacing w:after="0" w:line="116" w:lineRule="exact"/>
        <w:rPr>
          <w:rFonts w:ascii="Arial" w:cs="Arial" w:eastAsia="Arial" w:hAnsi="Arial"/>
          <w:sz w:val="18"/>
          <w:szCs w:val="18"/>
          <w:color w:val="auto"/>
        </w:rPr>
      </w:pPr>
    </w:p>
    <w:p>
      <w:pPr>
        <w:ind w:left="630" w:hanging="306"/>
        <w:spacing w:after="0"/>
        <w:tabs>
          <w:tab w:leader="none" w:pos="630" w:val="left"/>
        </w:tabs>
        <w:numPr>
          <w:ilvl w:val="2"/>
          <w:numId w:val="136"/>
        </w:numPr>
        <w:rPr>
          <w:rFonts w:ascii="Arial" w:cs="Arial" w:eastAsia="Arial" w:hAnsi="Arial"/>
          <w:sz w:val="18"/>
          <w:szCs w:val="18"/>
          <w:color w:val="auto"/>
        </w:rPr>
      </w:pPr>
      <w:r>
        <w:rPr>
          <w:rFonts w:ascii="Arial" w:cs="Arial" w:eastAsia="Arial" w:hAnsi="Arial"/>
          <w:sz w:val="18"/>
          <w:szCs w:val="18"/>
          <w:color w:val="auto"/>
        </w:rPr>
        <w:t>the Employee is voluntarily participating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070"/>
          </w:cols>
          <w:pgMar w:left="490" w:top="1160" w:right="339" w:bottom="1440" w:gutter="0" w:footer="0" w:header="0"/>
        </w:sectPr>
      </w:pPr>
    </w:p>
    <w:bookmarkStart w:id="117" w:name="page118"/>
    <w:bookmarkEnd w:id="117"/>
    <w:p>
      <w:pPr>
        <w:jc w:val="both"/>
        <w:ind w:left="650" w:hanging="326"/>
        <w:spacing w:after="0" w:line="268" w:lineRule="auto"/>
        <w:tabs>
          <w:tab w:leader="none" w:pos="644"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PRSUs and the shares of Common Stock subject to the PRSUs are an extraordinary item that does not constitute compensation of any kind for services of any kind rendered to the Employer, and which is outside the scope of the Employee’s employment contract, if any;</w:t>
      </w:r>
    </w:p>
    <w:p>
      <w:pPr>
        <w:spacing w:after="0" w:line="116" w:lineRule="exact"/>
        <w:rPr>
          <w:rFonts w:ascii="Arial" w:cs="Arial" w:eastAsia="Arial" w:hAnsi="Arial"/>
          <w:sz w:val="18"/>
          <w:szCs w:val="18"/>
          <w:color w:val="auto"/>
        </w:rPr>
      </w:pPr>
    </w:p>
    <w:p>
      <w:pPr>
        <w:ind w:left="650" w:hanging="326"/>
        <w:spacing w:after="0" w:line="287" w:lineRule="auto"/>
        <w:tabs>
          <w:tab w:leader="none" w:pos="64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PRSUs and the shares of Common Stock subject to the PRSUs are not intended to replace any pension rights or compensation;</w:t>
      </w:r>
    </w:p>
    <w:p>
      <w:pPr>
        <w:spacing w:after="0" w:line="98" w:lineRule="exact"/>
        <w:rPr>
          <w:rFonts w:ascii="Arial" w:cs="Arial" w:eastAsia="Arial" w:hAnsi="Arial"/>
          <w:sz w:val="18"/>
          <w:szCs w:val="18"/>
          <w:color w:val="auto"/>
        </w:rPr>
      </w:pPr>
    </w:p>
    <w:p>
      <w:pPr>
        <w:jc w:val="both"/>
        <w:ind w:left="650" w:hanging="326"/>
        <w:spacing w:after="0" w:line="262" w:lineRule="auto"/>
        <w:tabs>
          <w:tab w:leader="none" w:pos="64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PRSUs and the shares of Common Stock subject to the PRSUs are not part of normal or expected compensation or salary for any purposes, including, but not limited to, calculating any severance, resignation, termination, redundancy, dismissal, end of service payments, bonuses, long-service awards, pension or retirement or welfare benefits or similar payments and in no event should be considered as compensation for, or relating in any way to, past services for the Employer;</w:t>
      </w:r>
    </w:p>
    <w:p>
      <w:pPr>
        <w:spacing w:after="0" w:line="122" w:lineRule="exact"/>
        <w:rPr>
          <w:rFonts w:ascii="Arial" w:cs="Arial" w:eastAsia="Arial" w:hAnsi="Arial"/>
          <w:sz w:val="18"/>
          <w:szCs w:val="18"/>
          <w:color w:val="auto"/>
        </w:rPr>
      </w:pPr>
    </w:p>
    <w:p>
      <w:pPr>
        <w:ind w:left="650" w:hanging="326"/>
        <w:spacing w:after="0"/>
        <w:tabs>
          <w:tab w:leader="none" w:pos="65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future value of the underlying shares of Common Stock is unknown and cannot be predicted with certainty;</w:t>
      </w:r>
    </w:p>
    <w:p>
      <w:pPr>
        <w:spacing w:after="0" w:line="171" w:lineRule="exact"/>
        <w:rPr>
          <w:rFonts w:ascii="Arial" w:cs="Arial" w:eastAsia="Arial" w:hAnsi="Arial"/>
          <w:sz w:val="18"/>
          <w:szCs w:val="18"/>
          <w:color w:val="auto"/>
        </w:rPr>
      </w:pPr>
    </w:p>
    <w:p>
      <w:pPr>
        <w:jc w:val="both"/>
        <w:ind w:left="650" w:hanging="326"/>
        <w:spacing w:after="0" w:line="255" w:lineRule="auto"/>
        <w:tabs>
          <w:tab w:leader="none" w:pos="648" w:val="left"/>
        </w:tabs>
        <w:numPr>
          <w:ilvl w:val="1"/>
          <w:numId w:val="137"/>
        </w:numPr>
        <w:rPr>
          <w:rFonts w:ascii="Arial" w:cs="Arial" w:eastAsia="Arial" w:hAnsi="Arial"/>
          <w:sz w:val="18"/>
          <w:szCs w:val="18"/>
          <w:color w:val="auto"/>
        </w:rPr>
      </w:pPr>
      <w:r>
        <w:rPr>
          <w:rFonts w:ascii="Arial" w:cs="Arial" w:eastAsia="Arial" w:hAnsi="Arial"/>
          <w:sz w:val="18"/>
          <w:szCs w:val="18"/>
          <w:color w:val="auto"/>
        </w:rPr>
        <w:t>in consideration of the award of the PRSUs, no claim or entitlement to compensation or damages shall arise from forfeiture of the PRSUs, including, but not limited to, (i) forfeiture resulting from termination of the Employee’s employment with or services to the Employer (for any reason whatsoever and whether or not in breach of local labor laws) or (ii) forfeiture of the PRSUs or the recoupment of any shares of Common Stock or other benefits or payments acquired under the Plan resulting from the application of any recoupment or clawback policy or provision required by the Company or any recovery or clawback otherwise required by law, as further described in Section 16. The Employee irrevocably releases the Company and the Employer from any such claim that may arise; if, notwithstanding the foregoing, any such claim is found by a court of competent jurisdiction to have arisen, the Employee shall be deemed irrevocably to have waived the Employee’s entitlement to pursue such claim; and</w:t>
      </w:r>
    </w:p>
    <w:p>
      <w:pPr>
        <w:spacing w:after="0" w:line="130" w:lineRule="exact"/>
        <w:rPr>
          <w:rFonts w:ascii="Arial" w:cs="Arial" w:eastAsia="Arial" w:hAnsi="Arial"/>
          <w:sz w:val="18"/>
          <w:szCs w:val="18"/>
          <w:color w:val="auto"/>
        </w:rPr>
      </w:pPr>
    </w:p>
    <w:p>
      <w:pPr>
        <w:ind w:left="650" w:hanging="326"/>
        <w:spacing w:after="0" w:line="287" w:lineRule="auto"/>
        <w:tabs>
          <w:tab w:leader="none" w:pos="644" w:val="left"/>
        </w:tabs>
        <w:numPr>
          <w:ilvl w:val="1"/>
          <w:numId w:val="137"/>
        </w:numPr>
        <w:rPr>
          <w:rFonts w:ascii="Arial" w:cs="Arial" w:eastAsia="Arial" w:hAnsi="Arial"/>
          <w:sz w:val="18"/>
          <w:szCs w:val="18"/>
          <w:color w:val="auto"/>
        </w:rPr>
      </w:pPr>
      <w:r>
        <w:rPr>
          <w:rFonts w:ascii="Arial" w:cs="Arial" w:eastAsia="Arial" w:hAnsi="Arial"/>
          <w:sz w:val="18"/>
          <w:szCs w:val="18"/>
          <w:color w:val="auto"/>
        </w:rPr>
        <w:t>subject to the provisions in the Plan regarding Change in Control, PRSUs and the benefits under the Plan, if any, will not automatically transfer to another company in the case of a merger, take-over or transfer of liability.</w:t>
      </w:r>
    </w:p>
    <w:p>
      <w:pPr>
        <w:spacing w:after="0" w:line="98" w:lineRule="exact"/>
        <w:rPr>
          <w:rFonts w:ascii="Arial" w:cs="Arial" w:eastAsia="Arial" w:hAnsi="Arial"/>
          <w:sz w:val="18"/>
          <w:szCs w:val="18"/>
          <w:color w:val="auto"/>
        </w:rPr>
      </w:pPr>
    </w:p>
    <w:p>
      <w:pPr>
        <w:jc w:val="both"/>
        <w:ind w:left="10" w:hanging="10"/>
        <w:spacing w:after="0" w:line="262" w:lineRule="auto"/>
        <w:tabs>
          <w:tab w:leader="none" w:pos="581"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No Advice Regarding Award</w:t>
      </w:r>
      <w:r>
        <w:rPr>
          <w:rFonts w:ascii="Arial" w:cs="Arial" w:eastAsia="Arial" w:hAnsi="Arial"/>
          <w:sz w:val="18"/>
          <w:szCs w:val="18"/>
          <w:color w:val="auto"/>
        </w:rPr>
        <w:t>. Neither the Company nor the Employer is providing any tax, legal or financial advice, nor is the Company or Employer making any recommendations regarding the Employee’s participation in the Plan, or his or her acquisition or sale of the underlying shares of Common Stock. The Employee is hereby advised to consult with the Employee’s own personal tax, legal and financial advisors regarding the Employee’s participation in the Plan before taking any action related to the Plan.</w:t>
      </w:r>
    </w:p>
    <w:p>
      <w:pPr>
        <w:spacing w:after="0" w:line="122" w:lineRule="exact"/>
        <w:rPr>
          <w:rFonts w:ascii="Arial" w:cs="Arial" w:eastAsia="Arial" w:hAnsi="Arial"/>
          <w:sz w:val="18"/>
          <w:szCs w:val="18"/>
          <w:color w:val="auto"/>
        </w:rPr>
      </w:pPr>
    </w:p>
    <w:p>
      <w:pPr>
        <w:jc w:val="both"/>
        <w:ind w:left="10" w:hanging="10"/>
        <w:spacing w:after="0" w:line="253" w:lineRule="auto"/>
        <w:tabs>
          <w:tab w:leader="none" w:pos="46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Notwithstanding any other provision of the Plan or this Agreement, unless there is an available exemption from any registration, qualification or other legal requirement applicable to the shares of Common Stock, the Company shall not be required to deliver any shares of Common Stock issuable upon settlement of the PRSUs prior to the completion of any registration or qualification of the Common Stock under any U.S. or non-U.S. local, state or federal securities or other applicable law or under rulings or regulations of the U.S.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 or of any other U.S. or non-U.S. governmental regulatory body, or prior to obtaining any approval or other clearance from any U.S. or non-U.S. local, state or federal governmental agency, which registration, qualification or approval the Company shall, in its absolute discretion, deem necessary or advisable. The Employee understands that the Company is under no obligation to register or qualify the shares of Common Stock subject to the PRSUs with the SEC or any U.S. state or non-U.S. securities commission or to seek approval or clearance from any governmental authority for the issuance or sale of the Common Stock. Further, the Employee agrees that the Company shall have unilateral authority to amend the Plan and this Agreement without the Employee’s consent to the extent necessary to comply with securities or other laws applicable to the issuance of the shares of Common Stock.</w:t>
      </w:r>
    </w:p>
    <w:p>
      <w:pPr>
        <w:spacing w:after="0" w:line="135" w:lineRule="exact"/>
        <w:rPr>
          <w:rFonts w:ascii="Arial" w:cs="Arial" w:eastAsia="Arial" w:hAnsi="Arial"/>
          <w:sz w:val="18"/>
          <w:szCs w:val="18"/>
          <w:color w:val="auto"/>
        </w:rPr>
      </w:pPr>
    </w:p>
    <w:p>
      <w:pPr>
        <w:ind w:left="10" w:hanging="10"/>
        <w:spacing w:after="0" w:line="287" w:lineRule="auto"/>
        <w:tabs>
          <w:tab w:leader="none" w:pos="527"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Amendment of This Agreement</w:t>
      </w:r>
      <w:r>
        <w:rPr>
          <w:rFonts w:ascii="Arial" w:cs="Arial" w:eastAsia="Arial" w:hAnsi="Arial"/>
          <w:sz w:val="18"/>
          <w:szCs w:val="18"/>
          <w:color w:val="auto"/>
        </w:rPr>
        <w:t>. With the consent of the Employee, the Committee or its authorized delegate, as applicable, may amend this Agreement in a manner not inconsistent with the Plan.</w:t>
      </w:r>
    </w:p>
    <w:p>
      <w:pPr>
        <w:spacing w:after="0" w:line="98" w:lineRule="exact"/>
        <w:rPr>
          <w:rFonts w:ascii="Arial" w:cs="Arial" w:eastAsia="Arial" w:hAnsi="Arial"/>
          <w:sz w:val="18"/>
          <w:szCs w:val="18"/>
          <w:color w:val="auto"/>
        </w:rPr>
      </w:pPr>
    </w:p>
    <w:p>
      <w:pPr>
        <w:jc w:val="both"/>
        <w:ind w:left="10" w:hanging="10"/>
        <w:spacing w:after="0" w:line="268" w:lineRule="auto"/>
        <w:tabs>
          <w:tab w:leader="none" w:pos="487"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Except where otherwise prohibited under applicable law, (including but not limited to California) by executing this Agreement and accepting the PRSUs and the delivery of any shares of Common Stock hereunder, the Employee expressly acknowledges and agrees to be bound by and to comply with all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070"/>
          </w:cols>
          <w:pgMar w:left="490" w:top="1160" w:right="339" w:bottom="1440" w:gutter="0" w:footer="0" w:header="0"/>
        </w:sectPr>
      </w:pPr>
    </w:p>
    <w:bookmarkStart w:id="118" w:name="page119"/>
    <w:bookmarkEnd w:id="118"/>
    <w:p>
      <w:pPr>
        <w:ind w:left="10"/>
        <w:spacing w:after="0" w:line="296" w:lineRule="auto"/>
        <w:rPr>
          <w:sz w:val="20"/>
          <w:szCs w:val="20"/>
          <w:color w:val="auto"/>
        </w:rPr>
      </w:pPr>
      <w:r>
        <w:rPr>
          <w:rFonts w:ascii="Arial" w:cs="Arial" w:eastAsia="Arial" w:hAnsi="Arial"/>
          <w:sz w:val="18"/>
          <w:szCs w:val="18"/>
          <w:color w:val="auto"/>
        </w:rPr>
        <w:t>the terms and conditions contained in the Non-Competition and Non-Solicitation Agreement set forth as Exhibit B to this Agreement and incorporated herein by reference (“</w:t>
      </w:r>
      <w:r>
        <w:rPr>
          <w:rFonts w:ascii="Arial" w:cs="Arial" w:eastAsia="Arial" w:hAnsi="Arial"/>
          <w:sz w:val="18"/>
          <w:szCs w:val="18"/>
          <w:b w:val="1"/>
          <w:bCs w:val="1"/>
          <w:i w:val="1"/>
          <w:iCs w:val="1"/>
          <w:color w:val="auto"/>
        </w:rPr>
        <w:t>Restrictive Covenants</w:t>
      </w:r>
      <w:r>
        <w:rPr>
          <w:rFonts w:ascii="Arial" w:cs="Arial" w:eastAsia="Arial" w:hAnsi="Arial"/>
          <w:sz w:val="18"/>
          <w:szCs w:val="18"/>
          <w:color w:val="auto"/>
        </w:rPr>
        <w:t>”).</w:t>
      </w:r>
    </w:p>
    <w:p>
      <w:pPr>
        <w:spacing w:after="0" w:line="83" w:lineRule="exact"/>
        <w:rPr>
          <w:sz w:val="20"/>
          <w:szCs w:val="20"/>
          <w:color w:val="auto"/>
        </w:rPr>
      </w:pPr>
    </w:p>
    <w:p>
      <w:pPr>
        <w:jc w:val="both"/>
        <w:ind w:left="10" w:hanging="10"/>
        <w:spacing w:after="0" w:line="282" w:lineRule="auto"/>
        <w:tabs>
          <w:tab w:leader="none" w:pos="487" w:val="left"/>
        </w:tabs>
        <w:numPr>
          <w:ilvl w:val="0"/>
          <w:numId w:val="139"/>
        </w:numPr>
        <w:rPr>
          <w:rFonts w:ascii="Arial" w:cs="Arial" w:eastAsia="Arial" w:hAnsi="Arial"/>
          <w:sz w:val="17"/>
          <w:szCs w:val="17"/>
          <w:color w:val="auto"/>
        </w:rPr>
      </w:pPr>
      <w:r>
        <w:rPr>
          <w:rFonts w:ascii="Arial" w:cs="Arial" w:eastAsia="Arial" w:hAnsi="Arial"/>
          <w:sz w:val="17"/>
          <w:szCs w:val="17"/>
          <w:u w:val="single" w:color="auto"/>
          <w:color w:val="auto"/>
        </w:rPr>
        <w:t>Recoupment</w:t>
      </w:r>
      <w:r>
        <w:rPr>
          <w:rFonts w:ascii="Arial" w:cs="Arial" w:eastAsia="Arial" w:hAnsi="Arial"/>
          <w:sz w:val="17"/>
          <w:szCs w:val="17"/>
          <w:color w:val="auto"/>
        </w:rPr>
        <w:t>. This Award shall be subject to (i) the Conduent Incorporated Compensation Recoupment Policy, as may be amended from time to time, or any successor policy and (ii) any other compensation recovery policy adopted after the PRSUs are granted to facilitate compliance with applicable law, including in response to the requirements of Section 10D of the Exchange Act, the U.S. Securities and Exchange Commission’s final rules thereunder, and any applicable listing rules or other rules and regulations implementing the foregoing.</w:t>
      </w:r>
    </w:p>
    <w:p>
      <w:pPr>
        <w:spacing w:after="0" w:line="107" w:lineRule="exact"/>
        <w:rPr>
          <w:sz w:val="20"/>
          <w:szCs w:val="20"/>
          <w:color w:val="auto"/>
        </w:rPr>
      </w:pPr>
    </w:p>
    <w:p>
      <w:pPr>
        <w:jc w:val="both"/>
        <w:ind w:left="10"/>
        <w:spacing w:after="0" w:line="259" w:lineRule="auto"/>
        <w:rPr>
          <w:sz w:val="20"/>
          <w:szCs w:val="20"/>
          <w:color w:val="auto"/>
        </w:rPr>
      </w:pPr>
      <w:r>
        <w:rPr>
          <w:rFonts w:ascii="Arial" w:cs="Arial" w:eastAsia="Arial" w:hAnsi="Arial"/>
          <w:sz w:val="18"/>
          <w:szCs w:val="18"/>
          <w:color w:val="auto"/>
        </w:rPr>
        <w:t>For purposes of this Section 16, the Employee expressly and explicitly authorizes the Company to issue instructions, on the Employee's behalf, to any brokerage firm and/or third party administrator engaged by the Company to hold any shares of Common Stock and other amounts acquired pursuant to the PRSUs to re-convey, transfer or otherwise return such shares of Common Stock and/or other amounts to the Company upon the Company’s enforcement of the Company’s recoupment policy, the Company’s clawback policy, if any, and any other compensation recovery policy adopted by the Board or the Committee.</w:t>
      </w:r>
    </w:p>
    <w:p>
      <w:pPr>
        <w:spacing w:after="0" w:line="125" w:lineRule="exact"/>
        <w:rPr>
          <w:sz w:val="20"/>
          <w:szCs w:val="20"/>
          <w:color w:val="auto"/>
        </w:rPr>
      </w:pPr>
    </w:p>
    <w:p>
      <w:pPr>
        <w:ind w:left="10" w:hanging="10"/>
        <w:spacing w:after="0" w:line="287" w:lineRule="auto"/>
        <w:tabs>
          <w:tab w:leader="none" w:pos="554"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Cancellation and Rescission of Award</w:t>
      </w:r>
      <w:r>
        <w:rPr>
          <w:rFonts w:ascii="Arial" w:cs="Arial" w:eastAsia="Arial" w:hAnsi="Arial"/>
          <w:sz w:val="18"/>
          <w:szCs w:val="18"/>
          <w:color w:val="auto"/>
        </w:rPr>
        <w:t>. Without limiting the foregoing Section 16, the Company may cancel any award provided hereunder if the Employee is not in compliance with all of the following conditions:</w:t>
      </w:r>
    </w:p>
    <w:p>
      <w:pPr>
        <w:spacing w:after="0" w:line="98" w:lineRule="exact"/>
        <w:rPr>
          <w:rFonts w:ascii="Arial" w:cs="Arial" w:eastAsia="Arial" w:hAnsi="Arial"/>
          <w:sz w:val="18"/>
          <w:szCs w:val="18"/>
          <w:color w:val="auto"/>
        </w:rPr>
      </w:pPr>
    </w:p>
    <w:p>
      <w:pPr>
        <w:jc w:val="both"/>
        <w:ind w:left="650" w:hanging="407"/>
        <w:spacing w:after="0" w:line="268" w:lineRule="auto"/>
        <w:tabs>
          <w:tab w:leader="none" w:pos="64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Employee shall not render services for any organization or engage directly or indirectly in any business which would cause the Employee to breach any of the post-employment prohibitions contained in any agreement between the Employer and the Employee.</w:t>
      </w:r>
    </w:p>
    <w:p>
      <w:pPr>
        <w:spacing w:after="0" w:line="116" w:lineRule="exact"/>
        <w:rPr>
          <w:rFonts w:ascii="Arial" w:cs="Arial" w:eastAsia="Arial" w:hAnsi="Arial"/>
          <w:sz w:val="18"/>
          <w:szCs w:val="18"/>
          <w:color w:val="auto"/>
        </w:rPr>
      </w:pPr>
    </w:p>
    <w:p>
      <w:pPr>
        <w:jc w:val="both"/>
        <w:ind w:left="650" w:hanging="407"/>
        <w:spacing w:after="0" w:line="262" w:lineRule="auto"/>
        <w:tabs>
          <w:tab w:leader="none" w:pos="64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Employee shall not, without prior written authorization from the Employer, disclose to anyone outside the Employer, or use in other than the Employer’s business, any confidential information or material, as specified in any agreement between the Employer and the Employee which contains post-employment prohibitions, relating to the business of the Employer acquired by the Employee either during or after employment with the Employer.</w:t>
      </w:r>
    </w:p>
    <w:p>
      <w:pPr>
        <w:spacing w:after="0" w:line="122" w:lineRule="exact"/>
        <w:rPr>
          <w:rFonts w:ascii="Arial" w:cs="Arial" w:eastAsia="Arial" w:hAnsi="Arial"/>
          <w:sz w:val="18"/>
          <w:szCs w:val="18"/>
          <w:color w:val="auto"/>
        </w:rPr>
      </w:pPr>
    </w:p>
    <w:p>
      <w:pPr>
        <w:jc w:val="both"/>
        <w:ind w:left="650"/>
        <w:spacing w:after="0" w:line="257" w:lineRule="auto"/>
        <w:rPr>
          <w:rFonts w:ascii="Arial" w:cs="Arial" w:eastAsia="Arial" w:hAnsi="Arial"/>
          <w:sz w:val="18"/>
          <w:szCs w:val="18"/>
          <w:color w:val="auto"/>
        </w:rPr>
      </w:pPr>
      <w:r>
        <w:rPr>
          <w:rFonts w:ascii="Arial" w:cs="Arial" w:eastAsia="Arial" w:hAnsi="Arial"/>
          <w:sz w:val="18"/>
          <w:szCs w:val="18"/>
          <w:color w:val="auto"/>
        </w:rPr>
        <w:t>Notwithstanding the above, this Agreement does not in any manner restrict the Employee from reporting possible violations of federal, state or local laws or regulations to any governmental agency or entity, and shall not, and not be interpreted to, impair the participant from exercising any legally protected whistleblower rights (including under Rule 21F under the Exchange Act). Similarly, the Employer does not in any manner restrict the Employee from participating in any proceeding or investigation by a federal, state or local government agency or entity responsible for enforcing such laws. The Employee is not required to notify the Employer that the Employee has made such report or disclosure, or of the Employee’s participation in an agency investigation or proceeding.</w:t>
      </w:r>
    </w:p>
    <w:p>
      <w:pPr>
        <w:spacing w:after="0" w:line="128" w:lineRule="exact"/>
        <w:rPr>
          <w:rFonts w:ascii="Arial" w:cs="Arial" w:eastAsia="Arial" w:hAnsi="Arial"/>
          <w:sz w:val="18"/>
          <w:szCs w:val="18"/>
          <w:color w:val="auto"/>
        </w:rPr>
      </w:pPr>
    </w:p>
    <w:p>
      <w:pPr>
        <w:jc w:val="both"/>
        <w:ind w:left="650" w:hanging="407"/>
        <w:spacing w:after="0" w:line="259" w:lineRule="auto"/>
        <w:tabs>
          <w:tab w:leader="none" w:pos="644"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Employee, pursuant to any agreement between the Employer and the Employee which contains post-employment prohibitions, shall disclose promptly and assign to the Employer all right, title and interest in any invention or idea, patentable or not, made or conceived by the Employee during services with the Employer, relating in any manner to the actual or anticipated business, research or development work of the Employer, and shall do anything reasonably necessary to enable the Employer to secure a patent where appropriate in the United States and in foreign countries.</w:t>
      </w:r>
    </w:p>
    <w:p>
      <w:pPr>
        <w:spacing w:after="0" w:line="125" w:lineRule="exact"/>
        <w:rPr>
          <w:rFonts w:ascii="Arial" w:cs="Arial" w:eastAsia="Arial" w:hAnsi="Arial"/>
          <w:sz w:val="18"/>
          <w:szCs w:val="18"/>
          <w:color w:val="auto"/>
        </w:rPr>
      </w:pPr>
    </w:p>
    <w:p>
      <w:pPr>
        <w:jc w:val="both"/>
        <w:ind w:left="650" w:hanging="407"/>
        <w:spacing w:after="0" w:line="256" w:lineRule="auto"/>
        <w:tabs>
          <w:tab w:leader="none" w:pos="64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Failure to comply with the provision of subparagraphs (a), (b) or (c) of this Section 17 prior to, or during the six months after, any payment or delivery shall cause such payment or delivery to be rescinded. The Company shall notify the Employee in writing of any such rescission within two years after such payment or delivery. Within ten days after receiving such a notice from the Company, the Employee shall pay to the Company the amount of any payment received as a result of the rescinded payment or delivery pursuant to an award. Such payment to the Company by the Employee shall be made either in cash or by returning to the Company the number of shares of Common Stock that the Employee received in connection with the rescinded payment or delivery.</w:t>
      </w:r>
    </w:p>
    <w:p>
      <w:pPr>
        <w:spacing w:after="0" w:line="128" w:lineRule="exact"/>
        <w:rPr>
          <w:rFonts w:ascii="Arial" w:cs="Arial" w:eastAsia="Arial" w:hAnsi="Arial"/>
          <w:sz w:val="18"/>
          <w:szCs w:val="18"/>
          <w:color w:val="auto"/>
        </w:rPr>
      </w:pPr>
    </w:p>
    <w:p>
      <w:pPr>
        <w:jc w:val="both"/>
        <w:ind w:left="10" w:hanging="10"/>
        <w:spacing w:after="0" w:line="268" w:lineRule="auto"/>
        <w:tabs>
          <w:tab w:leader="none" w:pos="514"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in writing and if to the Company shall be mailed to the Company at 100 Campus Drive, Suite 200, Florham Park, NJ 07932 USA, addressed to the attention of Stock Plan Administrator, and if to the Employee shall be delivered personally or mailed to the Employee at his address as the same appears on the records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070"/>
          </w:cols>
          <w:pgMar w:left="490" w:top="1160" w:right="339" w:bottom="1440" w:gutter="0" w:footer="0" w:header="0"/>
        </w:sectPr>
      </w:pPr>
    </w:p>
    <w:bookmarkStart w:id="119" w:name="page120"/>
    <w:bookmarkEnd w:id="119"/>
    <w:p>
      <w:pPr>
        <w:ind w:left="10" w:hanging="10"/>
        <w:spacing w:after="0" w:line="287" w:lineRule="auto"/>
        <w:tabs>
          <w:tab w:leader="none" w:pos="487"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the Employee has received this Agreement or any other document related to the Plan translated into a language other than English and if the meaning of the translated version is different than the English version, the English version will control.</w:t>
      </w:r>
    </w:p>
    <w:p>
      <w:pPr>
        <w:spacing w:after="0" w:line="98" w:lineRule="exact"/>
        <w:rPr>
          <w:rFonts w:ascii="Arial" w:cs="Arial" w:eastAsia="Arial" w:hAnsi="Arial"/>
          <w:sz w:val="18"/>
          <w:szCs w:val="18"/>
          <w:color w:val="auto"/>
        </w:rPr>
      </w:pPr>
    </w:p>
    <w:p>
      <w:pPr>
        <w:jc w:val="both"/>
        <w:ind w:left="10" w:hanging="10"/>
        <w:spacing w:after="0" w:line="259" w:lineRule="auto"/>
        <w:tabs>
          <w:tab w:leader="none" w:pos="473"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Electronic Delivery and Acceptance</w:t>
      </w:r>
      <w:r>
        <w:rPr>
          <w:rFonts w:ascii="Arial" w:cs="Arial" w:eastAsia="Arial" w:hAnsi="Arial"/>
          <w:sz w:val="18"/>
          <w:szCs w:val="18"/>
          <w:color w:val="auto"/>
        </w:rPr>
        <w:t>. The Company will deliver any documents related to current or future participation in the Plan by electronic means. The Employee hereby consents to receive such documents by electronic delivery, and agrees to participate in the Plan and be bound by the terms and conditions of this Agreement, through an on-line or electronic system established and maintained by the Company or a third party designated by the Company. Electronic acceptance by the Employee is required and the award will be cancelled for any employee who fails to comply with the Company’s acceptance requirement within 90 days of the effective date of the award.</w:t>
      </w:r>
    </w:p>
    <w:p>
      <w:pPr>
        <w:spacing w:after="0" w:line="125" w:lineRule="exact"/>
        <w:rPr>
          <w:rFonts w:ascii="Arial" w:cs="Arial" w:eastAsia="Arial" w:hAnsi="Arial"/>
          <w:sz w:val="18"/>
          <w:szCs w:val="18"/>
          <w:color w:val="auto"/>
        </w:rPr>
      </w:pPr>
    </w:p>
    <w:p>
      <w:pPr>
        <w:jc w:val="both"/>
        <w:ind w:left="10" w:hanging="10"/>
        <w:spacing w:after="0" w:line="257" w:lineRule="auto"/>
        <w:tabs>
          <w:tab w:leader="none" w:pos="514"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Interpretation of This Agreement</w:t>
      </w:r>
      <w:r>
        <w:rPr>
          <w:rFonts w:ascii="Arial" w:cs="Arial" w:eastAsia="Arial" w:hAnsi="Arial"/>
          <w:sz w:val="18"/>
          <w:szCs w:val="18"/>
          <w:color w:val="auto"/>
        </w:rPr>
        <w:t>. The Committee or its authorized delegate, as applicable, shall have the authority to interpret the Plan and this Agreement and to take whatever administrative actions, including correction of administrative errors in the awards subject to this Agreement and in this Agreement, as the Committee or its authorized delegate, as applicable, in its sole good faith judgment shall determine to be advisable. All decisions, interpretations and administrative actions made by the Committee or its authorized delegate, as applicable, hereunder or under the Plan shall be binding and conclusive on the Company and the Employee. In the event there is inconsistency between the provisions of this Agreement and of the Plan, the provisions of the Plan shall govern.</w:t>
      </w:r>
    </w:p>
    <w:p>
      <w:pPr>
        <w:spacing w:after="0" w:line="128" w:lineRule="exact"/>
        <w:rPr>
          <w:rFonts w:ascii="Arial" w:cs="Arial" w:eastAsia="Arial" w:hAnsi="Arial"/>
          <w:sz w:val="18"/>
          <w:szCs w:val="18"/>
          <w:color w:val="auto"/>
        </w:rPr>
      </w:pPr>
    </w:p>
    <w:p>
      <w:pPr>
        <w:ind w:left="10" w:hanging="10"/>
        <w:spacing w:after="0" w:line="287" w:lineRule="auto"/>
        <w:tabs>
          <w:tab w:leader="none" w:pos="46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hereto and the successors and assigns of the Company and to the extent provided in Section 9(b) of the Plan to the Beneficiary(ies) or transferee of the Employee.</w:t>
      </w:r>
    </w:p>
    <w:p>
      <w:pPr>
        <w:spacing w:after="0" w:line="98" w:lineRule="exact"/>
        <w:rPr>
          <w:rFonts w:ascii="Arial" w:cs="Arial" w:eastAsia="Arial" w:hAnsi="Arial"/>
          <w:sz w:val="18"/>
          <w:szCs w:val="18"/>
          <w:color w:val="auto"/>
        </w:rPr>
      </w:pPr>
    </w:p>
    <w:p>
      <w:pPr>
        <w:jc w:val="both"/>
        <w:ind w:left="10" w:hanging="10"/>
        <w:spacing w:after="0" w:line="255" w:lineRule="auto"/>
        <w:tabs>
          <w:tab w:leader="none" w:pos="581"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The validity, construction and effect of the Agreement, any actions taken under or relating to this Agreement, and any disputes arising out of or related to this Agreement, shall be governed by and construed in accordance with the laws of the United States and the laws of the State of Delaware without giving effect to any choice or conflict of law provision or rule (whether of the State of Delaware or any other jurisdiction) that would cause the application of the laws of any jurisdiction other than the United States and the State or Delaware. This grant is made and/or administered in the United States. For purposes of litigating any dispute that arises under this grant or the Agreement the parties hereby submit to and consent to the jurisdiction of the State of Delaware, and agree that such litigation shall only be conducted in the state or federal courts located in Delaware to the exclusion of all other courts and fora. By accepting the PRSUs, the Employee irrevocably consents to the jurisdiction of, and venue in, such courts and waives any objection that such courts are an inconvenient forum.</w:t>
      </w:r>
    </w:p>
    <w:p>
      <w:pPr>
        <w:spacing w:after="0" w:line="126" w:lineRule="exact"/>
        <w:rPr>
          <w:rFonts w:ascii="Arial" w:cs="Arial" w:eastAsia="Arial" w:hAnsi="Arial"/>
          <w:sz w:val="18"/>
          <w:szCs w:val="18"/>
          <w:color w:val="auto"/>
        </w:rPr>
      </w:pPr>
    </w:p>
    <w:p>
      <w:pPr>
        <w:jc w:val="both"/>
        <w:ind w:left="10" w:hanging="10"/>
        <w:spacing w:after="0" w:line="268" w:lineRule="auto"/>
        <w:tabs>
          <w:tab w:leader="none" w:pos="31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It is intended that the provisions of this Agreement comply with, or are exempt from, Section 409A, and all provisions of this Agreement shall be construed and interpreted in a manner consistent with the requirements for avoiding taxes or penalties under Section 409A.</w:t>
      </w:r>
    </w:p>
    <w:p>
      <w:pPr>
        <w:spacing w:after="0" w:line="117" w:lineRule="exact"/>
        <w:rPr>
          <w:sz w:val="20"/>
          <w:szCs w:val="20"/>
          <w:color w:val="auto"/>
        </w:rPr>
      </w:pPr>
    </w:p>
    <w:p>
      <w:pPr>
        <w:jc w:val="both"/>
        <w:ind w:left="10"/>
        <w:spacing w:after="0" w:line="259" w:lineRule="auto"/>
        <w:rPr>
          <w:sz w:val="20"/>
          <w:szCs w:val="20"/>
          <w:color w:val="auto"/>
        </w:rPr>
      </w:pPr>
      <w:r>
        <w:rPr>
          <w:rFonts w:ascii="Arial" w:cs="Arial" w:eastAsia="Arial" w:hAnsi="Arial"/>
          <w:sz w:val="18"/>
          <w:szCs w:val="18"/>
          <w:color w:val="auto"/>
        </w:rPr>
        <w:t>Except as permitted under Section 409A, any deferred compensation (within the meaning of Section 409A) payable to the Employee or for the Employee’s benefit under this Agreement may not be reduced by, or offset against, any amount owing by the Employee to the Company or any of its affiliates. In the event that any 60-day period described in Section 8 of this Agreement straddles two calendar years, then any PRSUs, and any dividends with respect thereto, that are settled within such 60-day period in accordance with this Agreement shall be settled in the second calendar year.</w:t>
      </w:r>
    </w:p>
    <w:p>
      <w:pPr>
        <w:spacing w:after="0" w:line="125" w:lineRule="exact"/>
        <w:rPr>
          <w:sz w:val="20"/>
          <w:szCs w:val="20"/>
          <w:color w:val="auto"/>
        </w:rPr>
      </w:pPr>
    </w:p>
    <w:p>
      <w:pPr>
        <w:jc w:val="both"/>
        <w:ind w:left="10"/>
        <w:spacing w:after="0" w:line="260" w:lineRule="auto"/>
        <w:rPr>
          <w:sz w:val="20"/>
          <w:szCs w:val="20"/>
          <w:color w:val="auto"/>
        </w:rPr>
      </w:pPr>
      <w:r>
        <w:rPr>
          <w:rFonts w:ascii="Arial" w:cs="Arial" w:eastAsia="Arial" w:hAnsi="Arial"/>
          <w:sz w:val="18"/>
          <w:szCs w:val="18"/>
          <w:color w:val="auto"/>
        </w:rPr>
        <w:t>If, at the time of the Employee’s separation from service (within the meaning of Section 409A), (a) the Employee shall be a specified employee (within the meaning of Section 409A and using the identification methodology selected by the Company from time to time) and</w:t>
      </w:r>
    </w:p>
    <w:p>
      <w:pPr>
        <w:spacing w:after="0" w:line="2" w:lineRule="exact"/>
        <w:rPr>
          <w:sz w:val="20"/>
          <w:szCs w:val="20"/>
          <w:color w:val="auto"/>
        </w:rPr>
      </w:pPr>
    </w:p>
    <w:p>
      <w:pPr>
        <w:jc w:val="both"/>
        <w:ind w:left="10" w:hanging="10"/>
        <w:spacing w:after="0" w:line="255" w:lineRule="auto"/>
        <w:tabs>
          <w:tab w:leader="none" w:pos="29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Company shall make a good faith determination that an amount payable hereunder constitutes deferred compensation (within the meaning of Section 409A) the payment of which is required to be delayed pursuant to the six-month delay rule set forth in Section 409A in order to avoid taxes or penalties under Section 409A, then the Company shall not pay such amount on the otherwise scheduled payment date but shall instead pay it, without interest, on the first business day after such six-month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070"/>
          </w:cols>
          <w:pgMar w:left="490" w:top="1160" w:right="339" w:bottom="1440" w:gutter="0" w:footer="0" w:header="0"/>
        </w:sectPr>
      </w:pPr>
    </w:p>
    <w:bookmarkStart w:id="120" w:name="page121"/>
    <w:bookmarkEnd w:id="120"/>
    <w:p>
      <w:pPr>
        <w:jc w:val="both"/>
        <w:ind w:left="10"/>
        <w:spacing w:after="0" w:line="257" w:lineRule="auto"/>
        <w:rPr>
          <w:sz w:val="20"/>
          <w:szCs w:val="20"/>
          <w:color w:val="auto"/>
        </w:rPr>
      </w:pPr>
      <w:r>
        <w:rPr>
          <w:rFonts w:ascii="Arial" w:cs="Arial" w:eastAsia="Arial" w:hAnsi="Arial"/>
          <w:sz w:val="18"/>
          <w:szCs w:val="18"/>
          <w:color w:val="auto"/>
        </w:rPr>
        <w:t>Notwithstanding any provision of this Agreement to the contrary, in light of the uncertainty with respect to the proper application of Section 409A, the Company reserves the right to make amendments to this Agreement as the Company deems necessary or desirable to avoid the imposition of taxes or penalties under Section 409A. In any case, the Employee shall be solely responsible and liable for the satisfaction of all taxes and penalties that may be imposed on the Employee or for the Employee’s account in connection with this Agreement (including any taxes and penalties under Section 409A), and neither the Company nor any of its Affiliates shall have any obligation to indemnify or otherwise hold the Employee harmless from any or all of such taxes or penalties.</w:t>
      </w:r>
    </w:p>
    <w:p>
      <w:pPr>
        <w:spacing w:after="0" w:line="128" w:lineRule="exact"/>
        <w:rPr>
          <w:sz w:val="20"/>
          <w:szCs w:val="20"/>
          <w:color w:val="auto"/>
        </w:rPr>
      </w:pPr>
    </w:p>
    <w:p>
      <w:pPr>
        <w:ind w:left="450" w:hanging="450"/>
        <w:spacing w:after="0"/>
        <w:tabs>
          <w:tab w:leader="none" w:pos="45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630" w:hanging="391"/>
        <w:spacing w:after="0" w:line="259" w:lineRule="auto"/>
        <w:tabs>
          <w:tab w:leader="none" w:pos="755"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Data Collection and Usage</w:t>
      </w:r>
      <w:r>
        <w:rPr>
          <w:rFonts w:ascii="Arial" w:cs="Arial" w:eastAsia="Arial" w:hAnsi="Arial"/>
          <w:sz w:val="18"/>
          <w:szCs w:val="18"/>
          <w:color w:val="auto"/>
        </w:rPr>
        <w:t>. The Company and the Employer collect, process and use certain personal information about the Employee, including, but not limited to, the Employee’s name, home address and telephone number, email address, date of birth, social insurance, passport or other identification number, salary, nationality, job title, any shares of Common Stock or directorships held in the Company, details of all PRSUs or any other entitlement to shares or equivalent benefits awarded, canceled, exercised, vested, unvested or outstanding in the Employee’s favor (“</w:t>
      </w:r>
      <w:r>
        <w:rPr>
          <w:rFonts w:ascii="Arial" w:cs="Arial" w:eastAsia="Arial" w:hAnsi="Arial"/>
          <w:sz w:val="18"/>
          <w:szCs w:val="18"/>
          <w:b w:val="1"/>
          <w:bCs w:val="1"/>
          <w:i w:val="1"/>
          <w:iCs w:val="1"/>
          <w:color w:val="auto"/>
        </w:rPr>
        <w:t>Data</w:t>
      </w:r>
      <w:r>
        <w:rPr>
          <w:rFonts w:ascii="Arial" w:cs="Arial" w:eastAsia="Arial" w:hAnsi="Arial"/>
          <w:sz w:val="18"/>
          <w:szCs w:val="18"/>
          <w:color w:val="auto"/>
        </w:rPr>
        <w:t>”), for the purposes of implementing, administering and managing</w:t>
      </w:r>
    </w:p>
    <w:p>
      <w:pPr>
        <w:spacing w:after="0" w:line="4" w:lineRule="exact"/>
        <w:rPr>
          <w:sz w:val="20"/>
          <w:szCs w:val="20"/>
          <w:color w:val="auto"/>
        </w:rPr>
      </w:pPr>
    </w:p>
    <w:p>
      <w:pPr>
        <w:jc w:val="both"/>
        <w:ind w:left="630"/>
        <w:spacing w:after="0" w:line="256" w:lineRule="auto"/>
        <w:rPr>
          <w:sz w:val="20"/>
          <w:szCs w:val="20"/>
          <w:color w:val="auto"/>
        </w:rPr>
      </w:pPr>
      <w:r>
        <w:rPr>
          <w:rFonts w:ascii="Arial" w:cs="Arial" w:eastAsia="Arial" w:hAnsi="Arial"/>
          <w:sz w:val="18"/>
          <w:szCs w:val="18"/>
          <w:color w:val="auto"/>
        </w:rPr>
        <w:t>the Plan. The Company shall comply with Data Protection Laws in connection with the processing of any Data. The Company shall ensure that personnel with access to Data are under an appropriate obligation of confidentiality and that such personnel have received appropriate data protection and security training pertaining to the responsibilities of their role. The Company agrees that in order to provide the Plan and services, Company may engage subcontractors to process the Data. The Company will enter into a written agreement with the subcontractor imposing data protection terms that places the equivalent data protection obligations as those set out in this Agreement to the extent applicable to the nature of the services provided by such subcontractor, in particular providing appropriate administrative, technical, and physical safeguards that the processing will protect the Data.</w:t>
      </w:r>
    </w:p>
    <w:p>
      <w:pPr>
        <w:spacing w:after="0" w:line="129" w:lineRule="exact"/>
        <w:rPr>
          <w:sz w:val="20"/>
          <w:szCs w:val="20"/>
          <w:color w:val="auto"/>
        </w:rPr>
      </w:pPr>
    </w:p>
    <w:p>
      <w:pPr>
        <w:jc w:val="both"/>
        <w:ind w:left="630" w:hanging="391"/>
        <w:spacing w:after="0" w:line="257" w:lineRule="auto"/>
        <w:tabs>
          <w:tab w:leader="none" w:pos="742"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International Data Transfers</w:t>
      </w:r>
      <w:r>
        <w:rPr>
          <w:rFonts w:ascii="Arial" w:cs="Arial" w:eastAsia="Arial" w:hAnsi="Arial"/>
          <w:sz w:val="18"/>
          <w:szCs w:val="18"/>
          <w:color w:val="auto"/>
        </w:rPr>
        <w:t>. It may be necessary for Data to be transferred to, and processed in, the U.S. If the Employee is outside of the U.S., the Employee should note that the Employee's country has enacted Data Protection Laws that are different from the U.S. As a result, in the absence of appropriate safeguards, the transfer of Data to the U.S. or, as the case may be, other countries might not be subject to substantive data processing principles or supervision by data protection authorities. The Employee acknowledges that Company may transfer Data outside of the Employee’s home country and agrees to consent to the Data transfer as set forth in Section 25(e).</w:t>
      </w:r>
    </w:p>
    <w:p>
      <w:pPr>
        <w:spacing w:after="0" w:line="128" w:lineRule="exact"/>
        <w:rPr>
          <w:rFonts w:ascii="Arial" w:cs="Arial" w:eastAsia="Arial" w:hAnsi="Arial"/>
          <w:sz w:val="18"/>
          <w:szCs w:val="18"/>
          <w:color w:val="auto"/>
        </w:rPr>
      </w:pPr>
    </w:p>
    <w:p>
      <w:pPr>
        <w:jc w:val="both"/>
        <w:ind w:left="630" w:hanging="391"/>
        <w:spacing w:after="0" w:line="268" w:lineRule="auto"/>
        <w:tabs>
          <w:tab w:leader="none" w:pos="732"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Data Retention</w:t>
      </w:r>
      <w:r>
        <w:rPr>
          <w:rFonts w:ascii="Arial" w:cs="Arial" w:eastAsia="Arial" w:hAnsi="Arial"/>
          <w:sz w:val="18"/>
          <w:szCs w:val="18"/>
          <w:color w:val="auto"/>
        </w:rPr>
        <w:t>. The Company will hold and use Data only as long as is necessary to implement, administer and manage the Employee’s participation in the Plan, or as required to comply with legal or regulatory obligations, including under tax, exchange control, labor and securities laws.</w:t>
      </w:r>
    </w:p>
    <w:p>
      <w:pPr>
        <w:spacing w:after="0" w:line="116" w:lineRule="exact"/>
        <w:rPr>
          <w:rFonts w:ascii="Arial" w:cs="Arial" w:eastAsia="Arial" w:hAnsi="Arial"/>
          <w:sz w:val="18"/>
          <w:szCs w:val="18"/>
          <w:color w:val="auto"/>
        </w:rPr>
      </w:pPr>
    </w:p>
    <w:p>
      <w:pPr>
        <w:jc w:val="both"/>
        <w:ind w:left="630" w:hanging="391"/>
        <w:spacing w:after="0" w:line="259" w:lineRule="auto"/>
        <w:tabs>
          <w:tab w:leader="none" w:pos="742"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Voluntariness and Consequences of Consent Denial or Withdrawal</w:t>
      </w:r>
      <w:r>
        <w:rPr>
          <w:rFonts w:ascii="Arial" w:cs="Arial" w:eastAsia="Arial" w:hAnsi="Arial"/>
          <w:sz w:val="18"/>
          <w:szCs w:val="18"/>
          <w:color w:val="auto"/>
        </w:rPr>
        <w:t>. Participation in the Plan is voluntary, and the Employee is providing the consents herein on a purely voluntary basis. If the Employee does not consent, or if the Employee later seeks to revoke the Employee's consent, the Employee’s salary from or employment and career with the Employer will not be affected; the only consequence of refusing or withdrawing consent is that the Company would not be able to grant the PRSUs or other equity awards to the Employee or administer or maintain such awards.</w:t>
      </w:r>
    </w:p>
    <w:p>
      <w:pPr>
        <w:spacing w:after="0" w:line="125" w:lineRule="exact"/>
        <w:rPr>
          <w:rFonts w:ascii="Arial" w:cs="Arial" w:eastAsia="Arial" w:hAnsi="Arial"/>
          <w:sz w:val="18"/>
          <w:szCs w:val="18"/>
          <w:color w:val="auto"/>
        </w:rPr>
      </w:pPr>
    </w:p>
    <w:p>
      <w:pPr>
        <w:jc w:val="both"/>
        <w:ind w:left="630" w:hanging="391"/>
        <w:spacing w:after="0" w:line="268" w:lineRule="auto"/>
        <w:tabs>
          <w:tab w:leader="none" w:pos="688"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Data Subject Rights</w:t>
      </w:r>
      <w:r>
        <w:rPr>
          <w:rFonts w:ascii="Arial" w:cs="Arial" w:eastAsia="Arial" w:hAnsi="Arial"/>
          <w:sz w:val="18"/>
          <w:szCs w:val="18"/>
          <w:color w:val="auto"/>
        </w:rPr>
        <w:t>. The Employee may have a number of rights under Data Protection Laws in the Employee’s jurisdiction. The Company will use reasonable efforts to fulfill any privacy rights requests under Data Protection Laws. To receive clarification regarding these rights or to exercise these rights, the Employee can contact the local human resources representative.</w:t>
      </w:r>
    </w:p>
    <w:p>
      <w:pPr>
        <w:spacing w:after="0" w:line="117" w:lineRule="exact"/>
        <w:rPr>
          <w:sz w:val="20"/>
          <w:szCs w:val="20"/>
          <w:color w:val="auto"/>
        </w:rPr>
      </w:pPr>
    </w:p>
    <w:p>
      <w:pPr>
        <w:jc w:val="both"/>
        <w:ind w:left="630" w:firstLine="74"/>
        <w:spacing w:after="0" w:line="262" w:lineRule="auto"/>
        <w:rPr>
          <w:sz w:val="20"/>
          <w:szCs w:val="20"/>
          <w:color w:val="auto"/>
        </w:rPr>
      </w:pPr>
      <w:r>
        <w:rPr>
          <w:rFonts w:ascii="Arial" w:cs="Arial" w:eastAsia="Arial" w:hAnsi="Arial"/>
          <w:sz w:val="18"/>
          <w:szCs w:val="18"/>
          <w:color w:val="auto"/>
        </w:rPr>
        <w:t>By accepting the PRSUs and indicating consent via the Company’s acceptance procedure, the Employee is declaring agreement with the data processing practices described herein and consents to the collection, processing and use of Data by the Company and the transfer of Data to the recipients mentioned above, including recipients located in countries which may not have an adequate level of protection from a Data Protection Law perspective, for the purposes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070"/>
          </w:cols>
          <w:pgMar w:left="490" w:top="1160" w:right="339" w:bottom="1440" w:gutter="0" w:footer="0" w:header="0"/>
        </w:sectPr>
      </w:pPr>
    </w:p>
    <w:bookmarkStart w:id="121" w:name="page122"/>
    <w:bookmarkEnd w:id="121"/>
    <w:p>
      <w:pPr>
        <w:jc w:val="both"/>
        <w:ind w:left="630" w:firstLine="134"/>
        <w:spacing w:after="0" w:line="255" w:lineRule="auto"/>
        <w:rPr>
          <w:sz w:val="20"/>
          <w:szCs w:val="20"/>
          <w:color w:val="auto"/>
        </w:rPr>
      </w:pPr>
      <w:r>
        <w:rPr>
          <w:rFonts w:ascii="Arial" w:cs="Arial" w:eastAsia="Arial" w:hAnsi="Arial"/>
          <w:sz w:val="18"/>
          <w:szCs w:val="18"/>
          <w:color w:val="auto"/>
        </w:rPr>
        <w:t>Finally, the Employee understands that the Company may rely on a different basis for the processing or transfer of Data in the future and/or request that the Employee provide another data privacy consent. If applicable, the Employee agrees that upon request of the Company or the Employer, the Employee will provide an executed acknowledgement or data privacy consent form (or any other agreements or consents) that the Company and/or the Employer may deem necessary to obtain from the Employee for the purpose of administering the Employee’s participation in the Plan in compliance with the Data Protection Laws in the Employee’s country, either now or in the future. The Employee understands and agrees that the Employee will not be able to participate in the Plan if the Employee fails to provide any such consent or agreement requested by the Company and/or the Employer.</w:t>
      </w:r>
    </w:p>
    <w:p>
      <w:pPr>
        <w:spacing w:after="0" w:line="131" w:lineRule="exact"/>
        <w:rPr>
          <w:sz w:val="20"/>
          <w:szCs w:val="20"/>
          <w:color w:val="auto"/>
        </w:rPr>
      </w:pPr>
    </w:p>
    <w:p>
      <w:pPr>
        <w:jc w:val="both"/>
        <w:ind w:left="630" w:hanging="391"/>
        <w:spacing w:after="0" w:line="259" w:lineRule="auto"/>
        <w:tabs>
          <w:tab w:leader="none" w:pos="881"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t>Security</w:t>
      </w:r>
      <w:r>
        <w:rPr>
          <w:rFonts w:ascii="Arial" w:cs="Arial" w:eastAsia="Arial" w:hAnsi="Arial"/>
          <w:sz w:val="18"/>
          <w:szCs w:val="18"/>
          <w:color w:val="auto"/>
        </w:rPr>
        <w:t>. Company shall use commercially reasonable efforts to implement and maintain reasonable and appropriate administrative, technical, and physical safeguards that are designed to ensure the security and confidentiality of Data in Company's possession or control; and protect Data in Company's possession or control from or unauthorized access, or disclosure. If Company experiences an actual data breach or compromise of security, confidentiality or integrity of Data, then Company shall promptly notify the Employee of such data breach in accordance with applicable Data Protection Laws.</w:t>
      </w:r>
    </w:p>
    <w:p>
      <w:pPr>
        <w:spacing w:after="0" w:line="125" w:lineRule="exact"/>
        <w:rPr>
          <w:rFonts w:ascii="Arial" w:cs="Arial" w:eastAsia="Arial" w:hAnsi="Arial"/>
          <w:sz w:val="18"/>
          <w:szCs w:val="18"/>
          <w:color w:val="auto"/>
        </w:rPr>
      </w:pPr>
    </w:p>
    <w:p>
      <w:pPr>
        <w:jc w:val="both"/>
        <w:ind w:left="10" w:hanging="10"/>
        <w:spacing w:after="0" w:line="268" w:lineRule="auto"/>
        <w:tabs>
          <w:tab w:leader="none" w:pos="577"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Separability</w:t>
      </w:r>
      <w:r>
        <w:rPr>
          <w:rFonts w:ascii="Arial" w:cs="Arial" w:eastAsia="Arial" w:hAnsi="Arial"/>
          <w:sz w:val="18"/>
          <w:szCs w:val="18"/>
          <w:color w:val="auto"/>
        </w:rPr>
        <w:t>. In case any provision in the Agreement, or in any other instrument referred to herein, shall become invalid, illegal or unenforceable, the validity, legality and enforceability of the remaining provisions in the Agreement, or in any other instrument referred to herein, shall not in any way be affected or impaired thereby.</w:t>
      </w:r>
    </w:p>
    <w:p>
      <w:pPr>
        <w:spacing w:after="0" w:line="116" w:lineRule="exact"/>
        <w:rPr>
          <w:rFonts w:ascii="Arial" w:cs="Arial" w:eastAsia="Arial" w:hAnsi="Arial"/>
          <w:sz w:val="18"/>
          <w:szCs w:val="18"/>
          <w:color w:val="auto"/>
        </w:rPr>
      </w:pPr>
    </w:p>
    <w:p>
      <w:pPr>
        <w:ind w:left="10" w:hanging="10"/>
        <w:spacing w:after="0" w:line="287" w:lineRule="auto"/>
        <w:tabs>
          <w:tab w:leader="none" w:pos="527"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Integration of Terms</w:t>
      </w:r>
      <w:r>
        <w:rPr>
          <w:rFonts w:ascii="Arial" w:cs="Arial" w:eastAsia="Arial" w:hAnsi="Arial"/>
          <w:sz w:val="18"/>
          <w:szCs w:val="18"/>
          <w:color w:val="auto"/>
        </w:rPr>
        <w:t>. Except as otherwise provided in this Agreement, this Agreement contains the entire agreement between the parties relating to the subject matter hereof and supersedes any and all oral statements and prior writings with respect thereto.</w:t>
      </w:r>
    </w:p>
    <w:p>
      <w:pPr>
        <w:spacing w:after="0" w:line="98" w:lineRule="exact"/>
        <w:rPr>
          <w:rFonts w:ascii="Arial" w:cs="Arial" w:eastAsia="Arial" w:hAnsi="Arial"/>
          <w:sz w:val="18"/>
          <w:szCs w:val="18"/>
          <w:color w:val="auto"/>
        </w:rPr>
      </w:pPr>
    </w:p>
    <w:p>
      <w:pPr>
        <w:jc w:val="both"/>
        <w:ind w:left="10" w:hanging="10"/>
        <w:spacing w:after="0" w:line="257" w:lineRule="auto"/>
        <w:tabs>
          <w:tab w:leader="none" w:pos="46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Appendix for Non-U.S. Countries</w:t>
      </w:r>
      <w:r>
        <w:rPr>
          <w:rFonts w:ascii="Arial" w:cs="Arial" w:eastAsia="Arial" w:hAnsi="Arial"/>
          <w:sz w:val="18"/>
          <w:szCs w:val="18"/>
          <w:color w:val="auto"/>
        </w:rPr>
        <w:t>. Notwithstanding any provisions in this Agreement, the PRSUs shall be subject to any special terms and conditions set forth in any appendix to this Agreement for the Employee’s country of employment (the “</w:t>
      </w:r>
      <w:r>
        <w:rPr>
          <w:rFonts w:ascii="Arial" w:cs="Arial" w:eastAsia="Arial" w:hAnsi="Arial"/>
          <w:sz w:val="18"/>
          <w:szCs w:val="18"/>
          <w:b w:val="1"/>
          <w:bCs w:val="1"/>
          <w:i w:val="1"/>
          <w:iCs w:val="1"/>
          <w:color w:val="auto"/>
        </w:rPr>
        <w:t>Appendix</w:t>
      </w:r>
      <w:r>
        <w:rPr>
          <w:rFonts w:ascii="Arial" w:cs="Arial" w:eastAsia="Arial" w:hAnsi="Arial"/>
          <w:sz w:val="18"/>
          <w:szCs w:val="18"/>
          <w:color w:val="auto"/>
        </w:rPr>
        <w:t>”). Moreover, if the Employee relocates to or becomes subject to the local laws, rules or regulations of one of the countries included in the Appendix, he special terms and conditions for such country will apply to the Employee, to the extent the Company determines that the application of such terms and conditions is necessary or advisable in order to comply with local law or facilitate the administration of the Plan. The Appendix constitutes part of this Agreement.</w:t>
      </w:r>
    </w:p>
    <w:p>
      <w:pPr>
        <w:spacing w:after="0" w:line="128" w:lineRule="exact"/>
        <w:rPr>
          <w:rFonts w:ascii="Arial" w:cs="Arial" w:eastAsia="Arial" w:hAnsi="Arial"/>
          <w:sz w:val="18"/>
          <w:szCs w:val="18"/>
          <w:color w:val="auto"/>
        </w:rPr>
      </w:pPr>
    </w:p>
    <w:p>
      <w:pPr>
        <w:jc w:val="both"/>
        <w:ind w:left="10" w:hanging="10"/>
        <w:spacing w:after="0" w:line="259" w:lineRule="auto"/>
        <w:tabs>
          <w:tab w:leader="none" w:pos="568"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Committee or its authorized delegate, as applicable, reserves the right to impose other requirements on the Employee’s participation in the Plan, on the PRSUs and on any shares of Common Stock acquired under the Plan, to the extent the Committee or its authorized delegate, as applicable, determines it is necessary or advisable in order to comply with local law or facilitate the administration of the Plan, and to require the Employee to sign any additional agreements or undertakings that may be necessary to accomplish the foregoing.</w:t>
      </w:r>
    </w:p>
    <w:p>
      <w:pPr>
        <w:spacing w:after="0" w:line="125" w:lineRule="exact"/>
        <w:rPr>
          <w:rFonts w:ascii="Arial" w:cs="Arial" w:eastAsia="Arial" w:hAnsi="Arial"/>
          <w:sz w:val="18"/>
          <w:szCs w:val="18"/>
          <w:color w:val="auto"/>
        </w:rPr>
      </w:pPr>
    </w:p>
    <w:p>
      <w:pPr>
        <w:jc w:val="both"/>
        <w:ind w:left="10" w:hanging="4"/>
        <w:spacing w:after="0" w:line="255" w:lineRule="auto"/>
        <w:tabs>
          <w:tab w:leader="none" w:pos="35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Legal, Regulatory and Tax Compliance; Cooperation</w:t>
      </w:r>
      <w:r>
        <w:rPr>
          <w:rFonts w:ascii="Arial" w:cs="Arial" w:eastAsia="Arial" w:hAnsi="Arial"/>
          <w:sz w:val="18"/>
          <w:szCs w:val="18"/>
          <w:color w:val="auto"/>
        </w:rPr>
        <w:t>. If the Employee resides or is employed outside of the United States, the Employee agrees, as a condition of the grant of the PRSUs, to take any and all actions as may be required to comply with the Employee's personal legal, regulatory and tax obligations under local laws, rules and regulations in the Employee's country of employment (and country of residence, if different), including (but not limited to) any obligations to repatriate all payments attributable to the shares of Common Stock and/or cash acquired under the Plan (e.g., dividends and any proceeds derived from the sale of shares of Common Stock acquired pursuant to the PRSUs). In addition, the Employee also agrees to take any and all actions, and consents to any and all actions taken by the Company and any of its subsidiaries or affiliates as may be required to allow the Company and any of its subsidiaries or affiliates to comply with local laws, rules and regulations in the Employee's country of employment (and country of residence, if different).</w:t>
      </w:r>
    </w:p>
    <w:p>
      <w:pPr>
        <w:spacing w:after="0" w:line="374" w:lineRule="exact"/>
        <w:rPr>
          <w:sz w:val="20"/>
          <w:szCs w:val="20"/>
          <w:color w:val="auto"/>
        </w:rPr>
      </w:pPr>
    </w:p>
    <w:p>
      <w:pPr>
        <w:ind w:left="10"/>
        <w:spacing w:after="0"/>
        <w:rPr>
          <w:sz w:val="20"/>
          <w:szCs w:val="20"/>
          <w:color w:val="auto"/>
        </w:rPr>
      </w:pPr>
      <w:r>
        <w:rPr>
          <w:rFonts w:ascii="Arial" w:cs="Arial" w:eastAsia="Arial" w:hAnsi="Arial"/>
          <w:sz w:val="18"/>
          <w:szCs w:val="18"/>
          <w:color w:val="auto"/>
        </w:rPr>
        <w:t>IN WITNESS WHEREOF, the Company has executed this Agreement as of the day and year set forth on the Award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070"/>
          </w:cols>
          <w:pgMar w:left="490" w:top="1160" w:right="339" w:bottom="1440" w:gutter="0" w:footer="0" w:header="0"/>
        </w:sectPr>
      </w:pPr>
    </w:p>
    <w:bookmarkStart w:id="122" w:name="page123"/>
    <w:bookmarkEnd w:id="122"/>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CONDUENT INCORPORATED</w:t>
      </w:r>
    </w:p>
    <w:p>
      <w:pPr>
        <w:spacing w:after="0" w:line="200" w:lineRule="exact"/>
        <w:rPr>
          <w:sz w:val="20"/>
          <w:szCs w:val="20"/>
          <w:color w:val="auto"/>
        </w:rPr>
      </w:pPr>
    </w:p>
    <w:p>
      <w:pPr>
        <w:spacing w:after="0" w:line="37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CHRISTOPHER KUJAWA</w:t>
      </w:r>
    </w:p>
    <w:p>
      <w:pPr>
        <w:spacing w:after="0" w:line="3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Christopher Kujawa, Chief Human Resources Officer</w:t>
      </w:r>
    </w:p>
    <w:p>
      <w:pPr>
        <w:spacing w:after="0" w:line="5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Date: April 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0139"/>
          </w:cols>
          <w:pgMar w:left="320" w:top="1440" w:right="1440"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Conditions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number of PRSUs that vest shall be based on the satisfaction of the relative total shareholder return (rTSR) goal set forth below.</w:t>
      </w:r>
    </w:p>
    <w:p>
      <w:pPr>
        <w:spacing w:after="0" w:line="25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Conduent’s TSR rank for the period from 4/1/2025 through 12/31/2027, as compared to the 2025 Proxy Peer Group as approved in August 2024 and as set forth in the table below:</w:t>
      </w:r>
    </w:p>
    <w:p>
      <w:pPr>
        <w:spacing w:after="0" w:line="206" w:lineRule="exact"/>
        <w:rPr>
          <w:sz w:val="20"/>
          <w:szCs w:val="20"/>
          <w:color w:val="auto"/>
        </w:rPr>
      </w:pPr>
    </w:p>
    <w:tbl>
      <w:tblPr>
        <w:tblLayout w:type="fixed"/>
        <w:tblInd w:w="1970" w:type="dxa"/>
        <w:tblCellMar>
          <w:top w:w="0" w:type="dxa"/>
          <w:left w:w="0" w:type="dxa"/>
          <w:bottom w:w="0" w:type="dxa"/>
          <w:right w:w="0" w:type="dxa"/>
        </w:tblCellMar>
      </w:tblPr>
      <w:tr>
        <w:trPr>
          <w:trHeight w:val="243"/>
        </w:trPr>
        <w:tc>
          <w:tcPr>
            <w:tcW w:w="2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rTSR</w:t>
            </w:r>
          </w:p>
        </w:tc>
        <w:tc>
          <w:tcPr>
            <w:tcW w:w="2340" w:type="dxa"/>
            <w:vAlign w:val="bottom"/>
            <w:tcBorders>
              <w:top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Payout (as % of Target)</w:t>
            </w:r>
          </w:p>
        </w:tc>
      </w:tr>
      <w:tr>
        <w:trPr>
          <w:trHeight w:val="263"/>
        </w:trPr>
        <w:tc>
          <w:tcPr>
            <w:tcW w:w="2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75</w:t>
            </w:r>
            <w:r>
              <w:rPr>
                <w:rFonts w:ascii="Arial" w:cs="Arial" w:eastAsia="Arial" w:hAnsi="Arial"/>
                <w:sz w:val="23"/>
                <w:szCs w:val="23"/>
                <w:color w:val="auto"/>
                <w:w w:val="96"/>
                <w:vertAlign w:val="superscript"/>
              </w:rPr>
              <w:t>th</w:t>
            </w:r>
            <w:r>
              <w:rPr>
                <w:rFonts w:ascii="Arial" w:cs="Arial" w:eastAsia="Arial" w:hAnsi="Arial"/>
                <w:sz w:val="18"/>
                <w:szCs w:val="18"/>
                <w:color w:val="auto"/>
                <w:w w:val="96"/>
              </w:rPr>
              <w:t xml:space="preserve"> Percentile</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150%</w:t>
            </w:r>
          </w:p>
        </w:tc>
      </w:tr>
      <w:tr>
        <w:trPr>
          <w:trHeight w:val="223"/>
        </w:trPr>
        <w:tc>
          <w:tcPr>
            <w:tcW w:w="2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Median</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100%</w:t>
            </w:r>
          </w:p>
        </w:tc>
      </w:tr>
      <w:tr>
        <w:trPr>
          <w:trHeight w:val="263"/>
        </w:trPr>
        <w:tc>
          <w:tcPr>
            <w:tcW w:w="2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25</w:t>
            </w:r>
            <w:r>
              <w:rPr>
                <w:rFonts w:ascii="Arial" w:cs="Arial" w:eastAsia="Arial" w:hAnsi="Arial"/>
                <w:sz w:val="23"/>
                <w:szCs w:val="23"/>
                <w:color w:val="auto"/>
                <w:w w:val="96"/>
                <w:vertAlign w:val="superscript"/>
              </w:rPr>
              <w:t>th</w:t>
            </w:r>
            <w:r>
              <w:rPr>
                <w:rFonts w:ascii="Arial" w:cs="Arial" w:eastAsia="Arial" w:hAnsi="Arial"/>
                <w:sz w:val="18"/>
                <w:szCs w:val="18"/>
                <w:color w:val="auto"/>
                <w:w w:val="96"/>
              </w:rPr>
              <w:t xml:space="preserve"> Percentile</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50%</w:t>
            </w:r>
          </w:p>
        </w:tc>
      </w:tr>
    </w:tbl>
    <w:p>
      <w:pPr>
        <w:spacing w:after="0" w:line="319" w:lineRule="exact"/>
        <w:rPr>
          <w:sz w:val="20"/>
          <w:szCs w:val="20"/>
          <w:color w:val="auto"/>
        </w:rPr>
      </w:pPr>
    </w:p>
    <w:p>
      <w:pPr>
        <w:ind w:left="660" w:hanging="328"/>
        <w:spacing w:after="0"/>
        <w:tabs>
          <w:tab w:leader="none" w:pos="660" w:val="left"/>
        </w:tabs>
        <w:numPr>
          <w:ilvl w:val="0"/>
          <w:numId w:val="147"/>
        </w:numPr>
        <w:rPr>
          <w:rFonts w:ascii="Times New Roman" w:cs="Times New Roman" w:eastAsia="Times New Roman" w:hAnsi="Times New Roman"/>
          <w:sz w:val="18"/>
          <w:szCs w:val="18"/>
          <w:color w:val="auto"/>
        </w:rPr>
      </w:pPr>
      <w:r>
        <w:rPr>
          <w:rFonts w:ascii="Arial" w:cs="Arial" w:eastAsia="Arial" w:hAnsi="Arial"/>
          <w:sz w:val="18"/>
          <w:szCs w:val="18"/>
          <w:color w:val="auto"/>
        </w:rPr>
        <w:t>Linear interpolation will be used for results between points.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7"/>
        </w:numPr>
        <w:rPr>
          <w:rFonts w:ascii="Times New Roman" w:cs="Times New Roman" w:eastAsia="Times New Roman" w:hAnsi="Times New Roman"/>
          <w:sz w:val="18"/>
          <w:szCs w:val="18"/>
          <w:color w:val="auto"/>
        </w:rPr>
      </w:pPr>
      <w:r>
        <w:rPr>
          <w:rFonts w:ascii="Arial" w:cs="Arial" w:eastAsia="Arial" w:hAnsi="Arial"/>
          <w:sz w:val="18"/>
          <w:szCs w:val="18"/>
          <w:color w:val="auto"/>
        </w:rPr>
        <w:t>Number of PRSUs vesting is capped at 100% of target if absolute TSR for Conduent during the period is negative.</w:t>
      </w:r>
    </w:p>
    <w:p>
      <w:pPr>
        <w:spacing w:after="0" w:line="8" w:lineRule="exact"/>
        <w:rPr>
          <w:rFonts w:ascii="Times New Roman" w:cs="Times New Roman" w:eastAsia="Times New Roman" w:hAnsi="Times New Roman"/>
          <w:sz w:val="18"/>
          <w:szCs w:val="18"/>
          <w:color w:val="auto"/>
        </w:rPr>
      </w:pPr>
    </w:p>
    <w:p>
      <w:pPr>
        <w:ind w:left="660" w:right="40" w:hanging="328"/>
        <w:spacing w:after="0" w:line="255" w:lineRule="auto"/>
        <w:tabs>
          <w:tab w:leader="none" w:pos="655" w:val="left"/>
        </w:tabs>
        <w:numPr>
          <w:ilvl w:val="0"/>
          <w:numId w:val="147"/>
        </w:numPr>
        <w:rPr>
          <w:rFonts w:ascii="Times New Roman" w:cs="Times New Roman" w:eastAsia="Times New Roman" w:hAnsi="Times New Roman"/>
          <w:sz w:val="18"/>
          <w:szCs w:val="18"/>
          <w:color w:val="auto"/>
        </w:rPr>
      </w:pPr>
      <w:r>
        <w:rPr>
          <w:rFonts w:ascii="Arial" w:cs="Arial" w:eastAsia="Arial" w:hAnsi="Arial"/>
          <w:sz w:val="18"/>
          <w:szCs w:val="18"/>
          <w:color w:val="auto"/>
        </w:rPr>
        <w:t>In the event that the number of PRSUs vesting have an aggregate fair market value as of the date of vesting that is greater than four times the aggregate fair market value of the target number of PRSUs on the date of grant (the “Vesting Limit”), the number of PRSUs vesting shall be reduced to the number of PRSUs with an aggregate fair market value as of the date of vesting equal to the Vesting Limit.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TSR for Conduent and the Proxy Peer Group are measured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TSR = </w:t>
      </w:r>
      <w:r>
        <w:rPr>
          <w:rFonts w:ascii="Arial" w:cs="Arial" w:eastAsia="Arial" w:hAnsi="Arial"/>
          <w:sz w:val="18"/>
          <w:szCs w:val="18"/>
          <w:u w:val="single" w:color="auto"/>
          <w:color w:val="auto"/>
        </w:rPr>
        <w:t>Ending Stock Price - Beginning Stock Price + Reinvested Dividends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Beginning Stock Price</w:t>
      </w:r>
    </w:p>
    <w:p>
      <w:pPr>
        <w:spacing w:after="0" w:line="234" w:lineRule="exact"/>
        <w:rPr>
          <w:sz w:val="20"/>
          <w:szCs w:val="20"/>
          <w:color w:val="auto"/>
        </w:rPr>
      </w:pPr>
    </w:p>
    <w:p>
      <w:pPr>
        <w:ind w:left="660" w:hanging="328"/>
        <w:spacing w:after="0"/>
        <w:tabs>
          <w:tab w:leader="none" w:pos="660" w:val="left"/>
        </w:tabs>
        <w:numPr>
          <w:ilvl w:val="0"/>
          <w:numId w:val="148"/>
        </w:numPr>
        <w:rPr>
          <w:rFonts w:ascii="Times New Roman" w:cs="Times New Roman" w:eastAsia="Times New Roman" w:hAnsi="Times New Roman"/>
          <w:sz w:val="18"/>
          <w:szCs w:val="18"/>
          <w:color w:val="auto"/>
        </w:rPr>
      </w:pPr>
      <w:r>
        <w:rPr>
          <w:rFonts w:ascii="Arial" w:cs="Arial" w:eastAsia="Arial" w:hAnsi="Arial"/>
          <w:sz w:val="18"/>
          <w:szCs w:val="18"/>
          <w:color w:val="auto"/>
        </w:rPr>
        <w:t>Beginning Price = Average closing stock price for the 90 trading days preceding the start of the performance period</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8"/>
        </w:numPr>
        <w:rPr>
          <w:rFonts w:ascii="Times New Roman" w:cs="Times New Roman" w:eastAsia="Times New Roman" w:hAnsi="Times New Roman"/>
          <w:sz w:val="18"/>
          <w:szCs w:val="18"/>
          <w:color w:val="auto"/>
        </w:rPr>
      </w:pPr>
      <w:r>
        <w:rPr>
          <w:rFonts w:ascii="Arial" w:cs="Arial" w:eastAsia="Arial" w:hAnsi="Arial"/>
          <w:sz w:val="18"/>
          <w:szCs w:val="18"/>
          <w:color w:val="auto"/>
        </w:rPr>
        <w:t>Ending Price = Average closing stock price for the last 90 trading days of the performance period</w:t>
      </w:r>
    </w:p>
    <w:p>
      <w:pPr>
        <w:spacing w:after="0" w:line="251" w:lineRule="exact"/>
        <w:rPr>
          <w:rFonts w:ascii="Times New Roman" w:cs="Times New Roman" w:eastAsia="Times New Roman" w:hAnsi="Times New Roman"/>
          <w:sz w:val="18"/>
          <w:szCs w:val="18"/>
          <w:color w:val="auto"/>
        </w:rPr>
      </w:pPr>
    </w:p>
    <w:p>
      <w:pPr>
        <w:ind w:left="4680" w:right="1940" w:hanging="4348"/>
        <w:spacing w:after="0" w:line="557" w:lineRule="auto"/>
        <w:tabs>
          <w:tab w:leader="none" w:pos="653" w:val="left"/>
        </w:tabs>
        <w:numPr>
          <w:ilvl w:val="0"/>
          <w:numId w:val="148"/>
        </w:numPr>
        <w:rPr>
          <w:rFonts w:ascii="Times New Roman" w:cs="Times New Roman" w:eastAsia="Times New Roman" w:hAnsi="Times New Roman"/>
          <w:sz w:val="18"/>
          <w:szCs w:val="18"/>
          <w:color w:val="auto"/>
        </w:rPr>
      </w:pPr>
      <w:r>
        <w:rPr>
          <w:rFonts w:ascii="Arial" w:cs="Arial" w:eastAsia="Arial" w:hAnsi="Arial"/>
          <w:sz w:val="18"/>
          <w:szCs w:val="18"/>
          <w:color w:val="auto"/>
        </w:rPr>
        <w:t>Reinvested Dividends = Dividends are assumed to be reinvested as of the ex-dividend date in the calculation 2025 Proxy Peer Group</w:t>
      </w:r>
    </w:p>
    <w:tbl>
      <w:tblPr>
        <w:tblLayout w:type="fixed"/>
        <w:tblInd w:w="10" w:type="dxa"/>
        <w:tblCellMar>
          <w:top w:w="0" w:type="dxa"/>
          <w:left w:w="0" w:type="dxa"/>
          <w:bottom w:w="0" w:type="dxa"/>
          <w:right w:w="0" w:type="dxa"/>
        </w:tblCellMar>
      </w:tblPr>
      <w:tr>
        <w:trPr>
          <w:trHeight w:val="224"/>
        </w:trPr>
        <w:tc>
          <w:tcPr>
            <w:tcW w:w="56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Alight</w:t>
            </w:r>
          </w:p>
        </w:tc>
        <w:tc>
          <w:tcPr>
            <w:tcW w:w="56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Genpact LTD</w:t>
            </w:r>
          </w:p>
        </w:tc>
      </w:tr>
      <w:tr>
        <w:trPr>
          <w:trHeight w:val="22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CACI International</w:t>
            </w:r>
          </w:p>
        </w:tc>
        <w:tc>
          <w:tcPr>
            <w:tcW w:w="5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ICF Intl</w:t>
            </w:r>
          </w:p>
        </w:tc>
      </w:tr>
      <w:tr>
        <w:trPr>
          <w:trHeight w:val="22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CGI Group</w:t>
            </w:r>
          </w:p>
        </w:tc>
        <w:tc>
          <w:tcPr>
            <w:tcW w:w="5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Maximus, Inc.</w:t>
            </w:r>
          </w:p>
        </w:tc>
      </w:tr>
      <w:tr>
        <w:trPr>
          <w:trHeight w:val="22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Concentrix</w:t>
            </w:r>
          </w:p>
        </w:tc>
        <w:tc>
          <w:tcPr>
            <w:tcW w:w="5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TELUS Intl</w:t>
            </w:r>
          </w:p>
        </w:tc>
      </w:tr>
      <w:tr>
        <w:trPr>
          <w:trHeight w:val="22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CSG Systems Intl</w:t>
            </w:r>
          </w:p>
        </w:tc>
        <w:tc>
          <w:tcPr>
            <w:tcW w:w="5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TriNet Group</w:t>
            </w:r>
          </w:p>
        </w:tc>
      </w:tr>
      <w:tr>
        <w:trPr>
          <w:trHeight w:val="22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ExlService</w:t>
            </w:r>
          </w:p>
        </w:tc>
        <w:tc>
          <w:tcPr>
            <w:tcW w:w="5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Task Us</w:t>
            </w:r>
          </w:p>
        </w:tc>
      </w:tr>
    </w:tbl>
    <w:p>
      <w:pPr>
        <w:spacing w:after="0" w:line="305" w:lineRule="exact"/>
        <w:rPr>
          <w:sz w:val="20"/>
          <w:szCs w:val="20"/>
          <w:color w:val="auto"/>
        </w:rPr>
      </w:pPr>
    </w:p>
    <w:p>
      <w:pPr>
        <w:ind w:left="660" w:hanging="328"/>
        <w:spacing w:after="0"/>
        <w:tabs>
          <w:tab w:leader="none" w:pos="660" w:val="left"/>
        </w:tabs>
        <w:numPr>
          <w:ilvl w:val="0"/>
          <w:numId w:val="149"/>
        </w:numPr>
        <w:rPr>
          <w:rFonts w:ascii="Times New Roman" w:cs="Times New Roman" w:eastAsia="Times New Roman" w:hAnsi="Times New Roman"/>
          <w:sz w:val="18"/>
          <w:szCs w:val="18"/>
          <w:color w:val="auto"/>
        </w:rPr>
      </w:pPr>
      <w:r>
        <w:rPr>
          <w:rFonts w:ascii="Arial" w:cs="Arial" w:eastAsia="Arial" w:hAnsi="Arial"/>
          <w:sz w:val="18"/>
          <w:szCs w:val="18"/>
          <w:color w:val="auto"/>
        </w:rPr>
        <w:t>Acquired peers (not the surviving company) will be removed from peer group for measurement.</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9"/>
        </w:numPr>
        <w:rPr>
          <w:rFonts w:ascii="Times New Roman" w:cs="Times New Roman" w:eastAsia="Times New Roman" w:hAnsi="Times New Roman"/>
          <w:sz w:val="18"/>
          <w:szCs w:val="18"/>
          <w:color w:val="auto"/>
        </w:rPr>
      </w:pPr>
      <w:r>
        <w:rPr>
          <w:rFonts w:ascii="Arial" w:cs="Arial" w:eastAsia="Arial" w:hAnsi="Arial"/>
          <w:sz w:val="18"/>
          <w:szCs w:val="18"/>
          <w:color w:val="auto"/>
        </w:rPr>
        <w:t>Bankrupt peers will be forced rank to the bottom (assume -100% TSR).</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9"/>
        </w:numPr>
        <w:rPr>
          <w:rFonts w:ascii="Times New Roman" w:cs="Times New Roman" w:eastAsia="Times New Roman" w:hAnsi="Times New Roman"/>
          <w:sz w:val="18"/>
          <w:szCs w:val="18"/>
          <w:color w:val="auto"/>
        </w:rPr>
      </w:pPr>
      <w:r>
        <w:rPr>
          <w:rFonts w:ascii="Arial" w:cs="Arial" w:eastAsia="Arial" w:hAnsi="Arial"/>
          <w:sz w:val="18"/>
          <w:szCs w:val="18"/>
          <w:color w:val="auto"/>
        </w:rPr>
        <w:t>Peer spins off business--keep peer and include in SpinCo distribution/dividend in calculation of the peer's TSR.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A-1</w:t>
      </w:r>
    </w:p>
    <w:p>
      <w:pPr>
        <w:sectPr>
          <w:pgSz w:w="11900" w:h="16838" w:orient="portrait"/>
          <w:cols w:equalWidth="0" w:num="1">
            <w:col w:w="11240"/>
          </w:cols>
          <w:pgMar w:left="320" w:top="1093"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EXHIBIT B</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333333"/>
        </w:rPr>
        <w:t>Non-Competition and Non-Solicitation Agreement</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This Non-Competition and Non-Solicitation Agreement (“Agreement”) is made effective as of April 1, 2025 (“Effective Date”) between Conduent Business Services, LLC, its parent, subsidiaries, divisions and affiliates (collectively, “Conduent”) and the individual whose name appears in the Award Summary (“Employee”).</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acknowledges that Conduent is in a competitive industry in which the creation, maintenance, and use of 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or proprietary information and innovation are critical to Conduent’s success, and that the protection of that information and innovation is reasonably necessary to protect the goodwill and other legitimate business interests of Conduent; and</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further acknowledges the receipt and sufficiency of the consideration provided to Employee in exchange for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obligations under this Agreement, including, but not limited to, Employee’s employment or continued employment with Conduent in Employee’s current or a newly promoted role, Employee’s access to and receipt of trade secrets and confidential and proprietary information relating to Conduent’s business and clients, and, if applicable, Employee’s participation in Conduent incentive programs.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Conduent and Employee agree as follows:</w:t>
      </w:r>
    </w:p>
    <w:p>
      <w:pPr>
        <w:spacing w:after="0" w:line="252" w:lineRule="exact"/>
        <w:rPr>
          <w:sz w:val="20"/>
          <w:szCs w:val="20"/>
          <w:color w:val="auto"/>
        </w:rPr>
      </w:pPr>
    </w:p>
    <w:p>
      <w:pPr>
        <w:jc w:val="both"/>
        <w:ind w:left="340" w:right="60" w:hanging="332"/>
        <w:spacing w:after="0" w:line="276" w:lineRule="auto"/>
        <w:tabs>
          <w:tab w:leader="none" w:pos="328" w:val="left"/>
        </w:tabs>
        <w:numPr>
          <w:ilvl w:val="0"/>
          <w:numId w:val="150"/>
        </w:numPr>
        <w:rPr>
          <w:rFonts w:ascii="Arial" w:cs="Arial" w:eastAsia="Arial" w:hAnsi="Arial"/>
          <w:sz w:val="18"/>
          <w:szCs w:val="18"/>
          <w:color w:val="auto"/>
        </w:rPr>
      </w:pPr>
      <w:r>
        <w:rPr>
          <w:rFonts w:ascii="Arial" w:cs="Arial" w:eastAsia="Arial" w:hAnsi="Arial"/>
          <w:sz w:val="18"/>
          <w:szCs w:val="18"/>
          <w:b w:val="1"/>
          <w:bCs w:val="1"/>
          <w:u w:val="single" w:color="auto"/>
          <w:color w:val="auto"/>
        </w:rPr>
        <w:t>Non-Competition</w:t>
      </w:r>
      <w:r>
        <w:rPr>
          <w:rFonts w:ascii="Arial" w:cs="Arial" w:eastAsia="Arial" w:hAnsi="Arial"/>
          <w:sz w:val="18"/>
          <w:szCs w:val="18"/>
          <w:color w:val="auto"/>
        </w:rPr>
        <w:t>. (a) During the Non-Compete Period, Employee will not, directly or indirectly, own (beneficially or otherwise), manage,</w:t>
      </w:r>
      <w:r>
        <w:rPr>
          <w:rFonts w:ascii="Arial" w:cs="Arial" w:eastAsia="Arial" w:hAnsi="Arial"/>
          <w:sz w:val="18"/>
          <w:szCs w:val="18"/>
          <w:b w:val="1"/>
          <w:bCs w:val="1"/>
          <w:color w:val="auto"/>
        </w:rPr>
        <w:t xml:space="preserve"> </w:t>
      </w:r>
      <w:r>
        <w:rPr>
          <w:rFonts w:ascii="Arial" w:cs="Arial" w:eastAsia="Arial" w:hAnsi="Arial"/>
          <w:sz w:val="18"/>
          <w:szCs w:val="18"/>
          <w:color w:val="auto"/>
        </w:rPr>
        <w:t>operate, or render any services for (including, but not limited to, as an employee, proprietor, partner, agent, contractor, or consultant) any Entity that is engaged in any Competitive Activity in the Geographical Area.</w:t>
      </w:r>
    </w:p>
    <w:p>
      <w:pPr>
        <w:spacing w:after="0" w:line="203" w:lineRule="exact"/>
        <w:rPr>
          <w:rFonts w:ascii="Arial" w:cs="Arial" w:eastAsia="Arial" w:hAnsi="Arial"/>
          <w:sz w:val="18"/>
          <w:szCs w:val="18"/>
          <w:color w:val="auto"/>
        </w:rPr>
      </w:pPr>
    </w:p>
    <w:p>
      <w:pPr>
        <w:ind w:left="800" w:hanging="468"/>
        <w:spacing w:after="0"/>
        <w:tabs>
          <w:tab w:leader="none" w:pos="80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For purposes of this Agreement, the following terms will have the meaning set forth below:</w:t>
      </w:r>
    </w:p>
    <w:p>
      <w:pPr>
        <w:spacing w:after="0" w:line="265" w:lineRule="exact"/>
        <w:rPr>
          <w:rFonts w:ascii="Arial" w:cs="Arial" w:eastAsia="Arial" w:hAnsi="Arial"/>
          <w:sz w:val="18"/>
          <w:szCs w:val="18"/>
          <w:color w:val="auto"/>
        </w:rPr>
      </w:pPr>
    </w:p>
    <w:p>
      <w:pPr>
        <w:jc w:val="both"/>
        <w:ind w:left="1300" w:hanging="46"/>
        <w:spacing w:after="0" w:line="267" w:lineRule="auto"/>
        <w:tabs>
          <w:tab w:leader="none" w:pos="1751" w:val="left"/>
        </w:tabs>
        <w:numPr>
          <w:ilvl w:val="2"/>
          <w:numId w:val="150"/>
        </w:numPr>
        <w:rPr>
          <w:rFonts w:ascii="Arial" w:cs="Arial" w:eastAsia="Arial" w:hAnsi="Arial"/>
          <w:sz w:val="18"/>
          <w:szCs w:val="18"/>
          <w:color w:val="auto"/>
        </w:rPr>
      </w:pPr>
      <w:r>
        <w:rPr>
          <w:rFonts w:ascii="Arial" w:cs="Arial" w:eastAsia="Arial" w:hAnsi="Arial"/>
          <w:sz w:val="18"/>
          <w:szCs w:val="18"/>
          <w:color w:val="auto"/>
        </w:rPr>
        <w:t>“Non-Compete Period” means during Employee’s employment and for twelve (12) months following the Employment Cessation Date, provided, however, that the Non-Compete Period shall be shortened to end six (6) months following the Employment Cessation Date in either of the following two (2) situations: (A) immediately prior to the Employment Cessation Date, Employee’s employment job grade is C10 or lower and Employee has fully complied with each of the provisions of this Agreement, or (B) Employee’s termination is due specifically to a reduction in force and Employee has fully complied with each of the provisions of this Agreement.</w:t>
      </w:r>
    </w:p>
    <w:p>
      <w:pPr>
        <w:spacing w:after="0" w:line="211" w:lineRule="exact"/>
        <w:rPr>
          <w:sz w:val="20"/>
          <w:szCs w:val="20"/>
          <w:color w:val="auto"/>
        </w:rPr>
      </w:pPr>
    </w:p>
    <w:p>
      <w:pPr>
        <w:ind w:left="1300" w:firstLine="6"/>
        <w:spacing w:after="0" w:line="287" w:lineRule="auto"/>
        <w:tabs>
          <w:tab w:leader="none" w:pos="1909" w:val="left"/>
        </w:tabs>
        <w:numPr>
          <w:ilvl w:val="2"/>
          <w:numId w:val="151"/>
        </w:numPr>
        <w:rPr>
          <w:rFonts w:ascii="Arial" w:cs="Arial" w:eastAsia="Arial" w:hAnsi="Arial"/>
          <w:sz w:val="18"/>
          <w:szCs w:val="18"/>
          <w:color w:val="auto"/>
        </w:rPr>
      </w:pPr>
      <w:r>
        <w:rPr>
          <w:rFonts w:ascii="Arial" w:cs="Arial" w:eastAsia="Arial" w:hAnsi="Arial"/>
          <w:sz w:val="18"/>
          <w:szCs w:val="18"/>
          <w:color w:val="auto"/>
        </w:rPr>
        <w:t>“Employment Cessation Date” means the earlier of Employee’s last day of active employment with Conduent or Employee’s termination date as reflected in Conduent’s records.</w:t>
      </w:r>
    </w:p>
    <w:p>
      <w:pPr>
        <w:spacing w:after="0" w:line="193" w:lineRule="exact"/>
        <w:rPr>
          <w:rFonts w:ascii="Arial" w:cs="Arial" w:eastAsia="Arial" w:hAnsi="Arial"/>
          <w:sz w:val="18"/>
          <w:szCs w:val="18"/>
          <w:color w:val="auto"/>
        </w:rPr>
      </w:pPr>
    </w:p>
    <w:p>
      <w:pPr>
        <w:ind w:left="1300" w:hanging="81"/>
        <w:spacing w:after="0" w:line="303" w:lineRule="auto"/>
        <w:tabs>
          <w:tab w:leader="none" w:pos="1754" w:val="left"/>
        </w:tabs>
        <w:numPr>
          <w:ilvl w:val="1"/>
          <w:numId w:val="152"/>
        </w:numPr>
        <w:rPr>
          <w:rFonts w:ascii="Arial" w:cs="Arial" w:eastAsia="Arial" w:hAnsi="Arial"/>
          <w:sz w:val="18"/>
          <w:szCs w:val="18"/>
          <w:color w:val="auto"/>
        </w:rPr>
      </w:pPr>
      <w:r>
        <w:rPr>
          <w:rFonts w:ascii="Arial" w:cs="Arial" w:eastAsia="Arial" w:hAnsi="Arial"/>
          <w:sz w:val="18"/>
          <w:szCs w:val="18"/>
          <w:color w:val="auto"/>
        </w:rPr>
        <w:t>“Entity” means an individual, partnership, corporation, association, limited liability company, joint stock company, trust, joint venture, unincorporated organization or any other entity.</w:t>
      </w:r>
    </w:p>
    <w:p>
      <w:pPr>
        <w:spacing w:after="0" w:line="165" w:lineRule="exact"/>
        <w:rPr>
          <w:rFonts w:ascii="Arial" w:cs="Arial" w:eastAsia="Arial" w:hAnsi="Arial"/>
          <w:sz w:val="18"/>
          <w:szCs w:val="18"/>
          <w:color w:val="auto"/>
        </w:rPr>
      </w:pPr>
    </w:p>
    <w:p>
      <w:pPr>
        <w:jc w:val="both"/>
        <w:ind w:left="1300" w:hanging="107"/>
        <w:spacing w:after="0" w:line="284" w:lineRule="auto"/>
        <w:tabs>
          <w:tab w:leader="none" w:pos="165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“Competitive Activity” means offering, selling or providing any product or service that competes with a product or service that Conduent offers, sells, or provides at any time during the twenty-four (24) months before the Employee’s Employment Cessation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B-1</w:t>
      </w:r>
    </w:p>
    <w:p>
      <w:pPr>
        <w:sectPr>
          <w:pgSz w:w="11900" w:h="16838" w:orient="portrait"/>
          <w:cols w:equalWidth="0" w:num="1">
            <w:col w:w="11240"/>
          </w:cols>
          <w:pgMar w:left="320" w:top="1336" w:right="339" w:bottom="1440" w:gutter="0" w:footer="0" w:header="0"/>
        </w:sectPr>
      </w:pPr>
    </w:p>
    <w:bookmarkStart w:id="125" w:name="page126"/>
    <w:bookmarkEnd w:id="125"/>
    <w:p>
      <w:pPr>
        <w:ind w:left="1300" w:hanging="833"/>
        <w:spacing w:after="0" w:line="303" w:lineRule="auto"/>
        <w:tabs>
          <w:tab w:leader="none" w:pos="903" w:val="left"/>
        </w:tabs>
        <w:numPr>
          <w:ilvl w:val="0"/>
          <w:numId w:val="154"/>
        </w:numPr>
        <w:rPr>
          <w:rFonts w:ascii="Arial" w:cs="Arial" w:eastAsia="Arial" w:hAnsi="Arial"/>
          <w:sz w:val="18"/>
          <w:szCs w:val="18"/>
          <w:color w:val="auto"/>
        </w:rPr>
      </w:pPr>
      <w:r>
        <w:rPr>
          <w:rFonts w:ascii="Arial" w:cs="Arial" w:eastAsia="Arial" w:hAnsi="Arial"/>
          <w:sz w:val="18"/>
          <w:szCs w:val="18"/>
          <w:color w:val="auto"/>
        </w:rPr>
        <w:t>“Geographical Area” means the United States of America and any other country in which the Employee had responsibility for the business activity of Conduent in the twelve (12) months preceding the Employment Cessation Date.</w:t>
      </w:r>
    </w:p>
    <w:p>
      <w:pPr>
        <w:spacing w:after="0" w:line="16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Nothing in this Section 1 prohibits Employee from being or becoming an owner of less than five percent (5%) of the outstanding stock of any company listed on a national securities exchange or actively traded on in the over the counter market, so long as the Employee has no direct or indirect participation in any business of such company that offers any product or service that competes with any product or service offered by Conduent.</w:t>
      </w:r>
    </w:p>
    <w:p>
      <w:pPr>
        <w:spacing w:after="0" w:line="3" w:lineRule="exact"/>
        <w:rPr>
          <w:sz w:val="20"/>
          <w:szCs w:val="20"/>
          <w:color w:val="auto"/>
        </w:rPr>
      </w:pPr>
    </w:p>
    <w:p>
      <w:pPr>
        <w:jc w:val="both"/>
        <w:ind w:left="340" w:hanging="332"/>
        <w:spacing w:after="0" w:line="265" w:lineRule="auto"/>
        <w:tabs>
          <w:tab w:leader="none" w:pos="328" w:val="left"/>
        </w:tabs>
        <w:numPr>
          <w:ilvl w:val="0"/>
          <w:numId w:val="155"/>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 of Customers</w:t>
      </w:r>
      <w:r>
        <w:rPr>
          <w:rFonts w:ascii="Arial" w:cs="Arial" w:eastAsia="Arial" w:hAnsi="Arial"/>
          <w:sz w:val="18"/>
          <w:szCs w:val="18"/>
          <w:color w:val="auto"/>
        </w:rPr>
        <w:t>. During the term of Employee’s employment and for a period of twelve (12) months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Cessation date (“Non-Solicit Period”), Employee will not, directly or indirectly, solicit, service, handle, or accept business from any customer or potential customer of Conduent, or solicit, induce or encourage any customer or potential customer to terminate or reduce the level of business it does with Conduent. This covenant shall only apply to (i) customers of Conduent with whom Employee had contact or for whom Employee was responsible, in whole or part, for providing (or assisting or supervising the performance of) services or products on behalf of Conduent during the last twelve (12) months of Employee’s active employment with Conduent, and (ii) those prospective customers of Conduent with whom Employee had contact or solicited business on behalf of Conduent during the last twelve (12) months of Employee’s active employment,</w:t>
      </w:r>
    </w:p>
    <w:p>
      <w:pPr>
        <w:spacing w:after="0" w:line="268" w:lineRule="exact"/>
        <w:rPr>
          <w:rFonts w:ascii="Arial" w:cs="Arial" w:eastAsia="Arial" w:hAnsi="Arial"/>
          <w:sz w:val="18"/>
          <w:szCs w:val="18"/>
          <w:color w:val="auto"/>
        </w:rPr>
      </w:pPr>
    </w:p>
    <w:p>
      <w:pPr>
        <w:ind w:left="340" w:hanging="332"/>
        <w:spacing w:after="0" w:line="303" w:lineRule="auto"/>
        <w:tabs>
          <w:tab w:leader="none" w:pos="328" w:val="left"/>
        </w:tabs>
        <w:numPr>
          <w:ilvl w:val="0"/>
          <w:numId w:val="155"/>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 of Employees</w:t>
      </w:r>
      <w:r>
        <w:rPr>
          <w:rFonts w:ascii="Arial" w:cs="Arial" w:eastAsia="Arial" w:hAnsi="Arial"/>
          <w:sz w:val="18"/>
          <w:szCs w:val="18"/>
          <w:color w:val="auto"/>
        </w:rPr>
        <w:t>. During the Non-Solicit Period, as defined above, Employee will not, directly or indirectly, recruit, solicit,</w:t>
      </w:r>
      <w:r>
        <w:rPr>
          <w:rFonts w:ascii="Arial" w:cs="Arial" w:eastAsia="Arial" w:hAnsi="Arial"/>
          <w:sz w:val="18"/>
          <w:szCs w:val="18"/>
          <w:b w:val="1"/>
          <w:bCs w:val="1"/>
          <w:color w:val="auto"/>
        </w:rPr>
        <w:t xml:space="preserve"> </w:t>
      </w:r>
      <w:r>
        <w:rPr>
          <w:rFonts w:ascii="Arial" w:cs="Arial" w:eastAsia="Arial" w:hAnsi="Arial"/>
          <w:sz w:val="18"/>
          <w:szCs w:val="18"/>
          <w:color w:val="auto"/>
        </w:rPr>
        <w:t>induce, encourage or assist any employee of Conduent to leave such employee’s employment with Conduent.</w:t>
      </w:r>
    </w:p>
    <w:p>
      <w:pPr>
        <w:spacing w:after="0" w:line="152" w:lineRule="exact"/>
        <w:rPr>
          <w:rFonts w:ascii="Arial" w:cs="Arial" w:eastAsia="Arial" w:hAnsi="Arial"/>
          <w:sz w:val="18"/>
          <w:szCs w:val="18"/>
          <w:color w:val="auto"/>
        </w:rPr>
      </w:pPr>
    </w:p>
    <w:p>
      <w:pPr>
        <w:jc w:val="both"/>
        <w:ind w:left="340" w:hanging="332"/>
        <w:spacing w:after="0" w:line="255" w:lineRule="auto"/>
        <w:tabs>
          <w:tab w:leader="none" w:pos="328" w:val="left"/>
        </w:tabs>
        <w:numPr>
          <w:ilvl w:val="0"/>
          <w:numId w:val="155"/>
        </w:numPr>
        <w:rPr>
          <w:rFonts w:ascii="Arial" w:cs="Arial" w:eastAsia="Arial" w:hAnsi="Arial"/>
          <w:sz w:val="18"/>
          <w:szCs w:val="18"/>
          <w:color w:val="auto"/>
        </w:rPr>
      </w:pPr>
      <w:r>
        <w:rPr>
          <w:rFonts w:ascii="Arial" w:cs="Arial" w:eastAsia="Arial" w:hAnsi="Arial"/>
          <w:sz w:val="18"/>
          <w:szCs w:val="18"/>
          <w:b w:val="1"/>
          <w:bCs w:val="1"/>
          <w:u w:val="single" w:color="auto"/>
          <w:color w:val="auto"/>
        </w:rPr>
        <w:t>Non-Disparagement</w:t>
      </w:r>
      <w:r>
        <w:rPr>
          <w:rFonts w:ascii="Arial" w:cs="Arial" w:eastAsia="Arial" w:hAnsi="Arial"/>
          <w:sz w:val="18"/>
          <w:szCs w:val="18"/>
          <w:color w:val="auto"/>
        </w:rPr>
        <w:t>. During the Non-Compete Period, Employee agrees that Employee will not, directly or indirectly, in any capacity or</w:t>
      </w:r>
      <w:r>
        <w:rPr>
          <w:rFonts w:ascii="Arial" w:cs="Arial" w:eastAsia="Arial" w:hAnsi="Arial"/>
          <w:sz w:val="18"/>
          <w:szCs w:val="18"/>
          <w:b w:val="1"/>
          <w:bCs w:val="1"/>
          <w:color w:val="auto"/>
        </w:rPr>
        <w:t xml:space="preserve"> </w:t>
      </w:r>
      <w:r>
        <w:rPr>
          <w:rFonts w:ascii="Arial" w:cs="Arial" w:eastAsia="Arial" w:hAnsi="Arial"/>
          <w:sz w:val="18"/>
          <w:szCs w:val="18"/>
          <w:color w:val="auto"/>
        </w:rPr>
        <w:t>manner, publicly make, express, transmit, speak, write, verbalize or otherwise communicate in any way (or cause, further, assist, solicit, encourage, support or participate in any of the foregoing), any remark, comment, message, information, declaration, communication or other statement of any kind, whether verbal or in writing, electronically transmitted or otherwise, with respect to the Company, or any of its respective directors, officers or employees, (collectively “Company Parties”), which would malign, harm, disparage, defame or damage the reputation or good name of any of the Company Parties; provided, that this Section 4 shall not restrict Employee from disclosing any information to Employee’s attorneys or in response to a lawful subpoena or court order requiring disclosure of information or otherwise responding in any legal proceeding or legal or regulatory process or in connection with initiating any legal proceeding.</w:t>
      </w:r>
    </w:p>
    <w:p>
      <w:pPr>
        <w:spacing w:after="0" w:line="279" w:lineRule="exact"/>
        <w:rPr>
          <w:rFonts w:ascii="Arial" w:cs="Arial" w:eastAsia="Arial" w:hAnsi="Arial"/>
          <w:sz w:val="18"/>
          <w:szCs w:val="18"/>
          <w:color w:val="auto"/>
        </w:rPr>
      </w:pPr>
    </w:p>
    <w:p>
      <w:pPr>
        <w:jc w:val="both"/>
        <w:ind w:left="340" w:hanging="332"/>
        <w:spacing w:after="0" w:line="273" w:lineRule="auto"/>
        <w:tabs>
          <w:tab w:leader="none" w:pos="328" w:val="left"/>
        </w:tabs>
        <w:numPr>
          <w:ilvl w:val="0"/>
          <w:numId w:val="155"/>
        </w:numPr>
        <w:rPr>
          <w:rFonts w:ascii="Arial" w:cs="Arial" w:eastAsia="Arial" w:hAnsi="Arial"/>
          <w:sz w:val="18"/>
          <w:szCs w:val="18"/>
          <w:color w:val="auto"/>
        </w:rPr>
      </w:pPr>
      <w:r>
        <w:rPr>
          <w:rFonts w:ascii="Arial" w:cs="Arial" w:eastAsia="Arial" w:hAnsi="Arial"/>
          <w:sz w:val="18"/>
          <w:szCs w:val="18"/>
          <w:b w:val="1"/>
          <w:bCs w:val="1"/>
          <w:u w:val="single" w:color="auto"/>
          <w:color w:val="auto"/>
        </w:rPr>
        <w:t>At-Will Employment</w:t>
      </w:r>
      <w:r>
        <w:rPr>
          <w:rFonts w:ascii="Arial" w:cs="Arial" w:eastAsia="Arial" w:hAnsi="Arial"/>
          <w:sz w:val="18"/>
          <w:szCs w:val="18"/>
          <w:color w:val="auto"/>
        </w:rPr>
        <w:t>. Employee and Conduent agree and acknowledge that Employee’s employment with Conduent is at-will and that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does not obligate Conduent to employ Employee for a predetermined period of time. Employee has the right to terminate Employee’s employment at any time for any reason, and Conduent has the same right. The post-employment obligations of this Agreement shall survive the termination of Employee’s employment with Conduent.</w:t>
      </w:r>
    </w:p>
    <w:p>
      <w:pPr>
        <w:spacing w:after="0" w:line="259" w:lineRule="exact"/>
        <w:rPr>
          <w:rFonts w:ascii="Arial" w:cs="Arial" w:eastAsia="Arial" w:hAnsi="Arial"/>
          <w:sz w:val="18"/>
          <w:szCs w:val="18"/>
          <w:color w:val="auto"/>
        </w:rPr>
      </w:pPr>
    </w:p>
    <w:p>
      <w:pPr>
        <w:jc w:val="both"/>
        <w:ind w:left="340" w:hanging="332"/>
        <w:spacing w:after="0" w:line="273" w:lineRule="auto"/>
        <w:tabs>
          <w:tab w:leader="none" w:pos="328" w:val="left"/>
        </w:tabs>
        <w:numPr>
          <w:ilvl w:val="0"/>
          <w:numId w:val="155"/>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Certain Other Obligations</w:t>
      </w:r>
      <w:r>
        <w:rPr>
          <w:rFonts w:ascii="Arial" w:cs="Arial" w:eastAsia="Arial" w:hAnsi="Arial"/>
          <w:sz w:val="18"/>
          <w:szCs w:val="18"/>
          <w:color w:val="auto"/>
        </w:rPr>
        <w:t>. Employee and Conduent agree that any prior agreement between Employee and Conduent</w:t>
      </w:r>
      <w:r>
        <w:rPr>
          <w:rFonts w:ascii="Arial" w:cs="Arial" w:eastAsia="Arial" w:hAnsi="Arial"/>
          <w:sz w:val="18"/>
          <w:szCs w:val="18"/>
          <w:b w:val="1"/>
          <w:bCs w:val="1"/>
          <w:color w:val="auto"/>
        </w:rPr>
        <w:t xml:space="preserve"> </w:t>
      </w:r>
      <w:r>
        <w:rPr>
          <w:rFonts w:ascii="Arial" w:cs="Arial" w:eastAsia="Arial" w:hAnsi="Arial"/>
          <w:sz w:val="18"/>
          <w:szCs w:val="18"/>
          <w:color w:val="auto"/>
        </w:rPr>
        <w:t>containing a non-compete obligation, a non-solicitation of customers obligation or a non-solicitation of employees obligation is hereby terminated and Employee shall only be subject to this Agreement with respect to such matters. Except as provided by the preceding sentence, all other terms of all agreements between Employee and Conduent shall remain in full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B-2</w:t>
      </w:r>
    </w:p>
    <w:p>
      <w:pPr>
        <w:sectPr>
          <w:pgSz w:w="11900" w:h="16838" w:orient="portrait"/>
          <w:cols w:equalWidth="0" w:num="1">
            <w:col w:w="11240"/>
          </w:cols>
          <w:pgMar w:left="320" w:top="1093" w:right="339" w:bottom="1440" w:gutter="0" w:footer="0" w:header="0"/>
        </w:sectPr>
      </w:pPr>
    </w:p>
    <w:bookmarkStart w:id="126" w:name="page127"/>
    <w:bookmarkEnd w:id="126"/>
    <w:p>
      <w:pPr>
        <w:jc w:val="both"/>
        <w:ind w:left="340" w:hanging="332"/>
        <w:spacing w:after="0" w:line="267" w:lineRule="auto"/>
        <w:tabs>
          <w:tab w:leader="none" w:pos="328" w:val="left"/>
        </w:tabs>
        <w:numPr>
          <w:ilvl w:val="0"/>
          <w:numId w:val="156"/>
        </w:numPr>
        <w:rPr>
          <w:rFonts w:ascii="Arial" w:cs="Arial" w:eastAsia="Arial" w:hAnsi="Arial"/>
          <w:sz w:val="18"/>
          <w:szCs w:val="18"/>
          <w:color w:val="auto"/>
        </w:rPr>
      </w:pPr>
      <w:r>
        <w:rPr>
          <w:rFonts w:ascii="Arial" w:cs="Arial" w:eastAsia="Arial" w:hAnsi="Arial"/>
          <w:sz w:val="18"/>
          <w:szCs w:val="18"/>
          <w:b w:val="1"/>
          <w:bCs w:val="1"/>
          <w:u w:val="single" w:color="auto"/>
          <w:color w:val="auto"/>
        </w:rPr>
        <w:t>Equitable Relief</w:t>
      </w:r>
      <w:r>
        <w:rPr>
          <w:rFonts w:ascii="Arial" w:cs="Arial" w:eastAsia="Arial" w:hAnsi="Arial"/>
          <w:sz w:val="18"/>
          <w:szCs w:val="18"/>
          <w:color w:val="auto"/>
          <w:highlight w:val="white"/>
        </w:rPr>
        <w:t>. Employee and Conduent agree that, in the event of breach of this Agreement by Employee, Conduent would be</w:t>
      </w:r>
      <w:r>
        <w:rPr>
          <w:rFonts w:ascii="Arial" w:cs="Arial" w:eastAsia="Arial" w:hAnsi="Arial"/>
          <w:sz w:val="18"/>
          <w:szCs w:val="18"/>
          <w:b w:val="1"/>
          <w:bCs w:val="1"/>
          <w:color w:val="auto"/>
        </w:rPr>
        <w:t xml:space="preserve"> </w:t>
      </w:r>
      <w:r>
        <w:rPr>
          <w:rFonts w:ascii="Arial" w:cs="Arial" w:eastAsia="Arial" w:hAnsi="Arial"/>
          <w:sz w:val="18"/>
          <w:szCs w:val="18"/>
          <w:color w:val="auto"/>
        </w:rPr>
        <w:t>irreparably harmed but the amount of damages to Conduent would be difficult to ascertain. Conduent and Employee agree that in the event of such breach, Conduent shall have the right to an injunction or other equitable relief and to all other appropriate legal remedies, including damages. In the event any lawsuit is brought to enforce any of the provisions of this Agreement, the prevailing party shall be entitled to recover its reasonable attorneys’ fees and costs from the other party.</w:t>
      </w:r>
    </w:p>
    <w:p>
      <w:pPr>
        <w:spacing w:after="0" w:line="279" w:lineRule="exact"/>
        <w:rPr>
          <w:rFonts w:ascii="Arial" w:cs="Arial" w:eastAsia="Arial" w:hAnsi="Arial"/>
          <w:sz w:val="18"/>
          <w:szCs w:val="18"/>
          <w:color w:val="auto"/>
        </w:rPr>
      </w:pPr>
    </w:p>
    <w:p>
      <w:pPr>
        <w:jc w:val="both"/>
        <w:ind w:left="340" w:hanging="332"/>
        <w:spacing w:after="0" w:line="273" w:lineRule="auto"/>
        <w:tabs>
          <w:tab w:leader="none" w:pos="328" w:val="left"/>
        </w:tabs>
        <w:numPr>
          <w:ilvl w:val="0"/>
          <w:numId w:val="156"/>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highlight w:val="white"/>
        </w:rPr>
        <w:t>. This Agreement shall be governed by and construed in accordance with the laws of the State of Delaware,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conflict of law principles. Employee and Conduent agree that any claims or suits arising out of or relating to this Agreement shall be commenced and maintained in the state or federal courts located in Delaware, and Employee hereby submits to the jurisdiction and venue of any such court.</w:t>
      </w:r>
    </w:p>
    <w:p>
      <w:pPr>
        <w:spacing w:after="0" w:line="259" w:lineRule="exact"/>
        <w:rPr>
          <w:rFonts w:ascii="Arial" w:cs="Arial" w:eastAsia="Arial" w:hAnsi="Arial"/>
          <w:sz w:val="18"/>
          <w:szCs w:val="18"/>
          <w:color w:val="auto"/>
        </w:rPr>
      </w:pPr>
    </w:p>
    <w:p>
      <w:pPr>
        <w:jc w:val="both"/>
        <w:ind w:left="340" w:hanging="332"/>
        <w:spacing w:after="0" w:line="273" w:lineRule="auto"/>
        <w:tabs>
          <w:tab w:leader="none" w:pos="328" w:val="left"/>
        </w:tabs>
        <w:numPr>
          <w:ilvl w:val="0"/>
          <w:numId w:val="156"/>
        </w:numPr>
        <w:rPr>
          <w:rFonts w:ascii="Arial" w:cs="Arial" w:eastAsia="Arial" w:hAnsi="Arial"/>
          <w:sz w:val="18"/>
          <w:szCs w:val="18"/>
          <w:color w:val="auto"/>
        </w:rPr>
      </w:pPr>
      <w:r>
        <w:rPr>
          <w:rFonts w:ascii="Arial" w:cs="Arial" w:eastAsia="Arial" w:hAnsi="Arial"/>
          <w:sz w:val="18"/>
          <w:szCs w:val="18"/>
          <w:b w:val="1"/>
          <w:bCs w:val="1"/>
          <w:u w:val="single" w:color="auto"/>
          <w:color w:val="auto"/>
        </w:rPr>
        <w:t>Enforceability</w:t>
      </w:r>
      <w:r>
        <w:rPr>
          <w:rFonts w:ascii="Arial" w:cs="Arial" w:eastAsia="Arial" w:hAnsi="Arial"/>
          <w:sz w:val="18"/>
          <w:szCs w:val="18"/>
          <w:color w:val="auto"/>
          <w:highlight w:val="white"/>
        </w:rPr>
        <w:t>. In the event that any of the provisions of this Agreement is deemed unenforceable or to exceed the protections afforded</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employers under applicable law, then such provision(s) shall be deleted and/or revised to provide Conduent the maximum protections permitted by applicable law and still be valid and enforceable, and all remaining provisions of this Agreement shall remain in full force and effect.</w:t>
      </w:r>
    </w:p>
    <w:p>
      <w:pPr>
        <w:spacing w:after="0" w:line="259" w:lineRule="exact"/>
        <w:rPr>
          <w:rFonts w:ascii="Arial" w:cs="Arial" w:eastAsia="Arial" w:hAnsi="Arial"/>
          <w:sz w:val="18"/>
          <w:szCs w:val="18"/>
          <w:color w:val="auto"/>
        </w:rPr>
      </w:pPr>
    </w:p>
    <w:p>
      <w:pPr>
        <w:ind w:left="340" w:hanging="332"/>
        <w:spacing w:after="0" w:line="303" w:lineRule="auto"/>
        <w:tabs>
          <w:tab w:leader="none" w:pos="333" w:val="left"/>
        </w:tabs>
        <w:numPr>
          <w:ilvl w:val="0"/>
          <w:numId w:val="156"/>
        </w:numPr>
        <w:rPr>
          <w:rFonts w:ascii="Arial" w:cs="Arial" w:eastAsia="Arial" w:hAnsi="Arial"/>
          <w:sz w:val="18"/>
          <w:szCs w:val="18"/>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Employee acknowledges that Employee had the opportunity to review this Agreement with an attorney of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own choosing and that Employee carefully reviewed the terms of this Agreement before knowingly and voluntarily executing it.</w:t>
      </w:r>
    </w:p>
    <w:p>
      <w:pPr>
        <w:spacing w:after="0" w:line="233" w:lineRule="exact"/>
        <w:rPr>
          <w:rFonts w:ascii="Arial" w:cs="Arial" w:eastAsia="Arial" w:hAnsi="Arial"/>
          <w:sz w:val="18"/>
          <w:szCs w:val="18"/>
          <w:color w:val="auto"/>
        </w:rPr>
      </w:pPr>
    </w:p>
    <w:p>
      <w:pPr>
        <w:jc w:val="both"/>
        <w:ind w:left="340" w:hanging="332"/>
        <w:spacing w:after="0" w:line="276" w:lineRule="auto"/>
        <w:tabs>
          <w:tab w:leader="none" w:pos="320" w:val="left"/>
        </w:tabs>
        <w:numPr>
          <w:ilvl w:val="0"/>
          <w:numId w:val="156"/>
        </w:numPr>
        <w:rPr>
          <w:rFonts w:ascii="Arial" w:cs="Arial" w:eastAsia="Arial" w:hAnsi="Arial"/>
          <w:sz w:val="18"/>
          <w:szCs w:val="18"/>
          <w:color w:val="auto"/>
        </w:rPr>
      </w:pPr>
      <w:r>
        <w:rPr>
          <w:rFonts w:ascii="Arial" w:cs="Arial" w:eastAsia="Arial" w:hAnsi="Arial"/>
          <w:sz w:val="18"/>
          <w:szCs w:val="18"/>
          <w:b w:val="1"/>
          <w:bCs w:val="1"/>
          <w:u w:val="single" w:color="auto"/>
          <w:color w:val="auto"/>
        </w:rPr>
        <w:t>No Waiver</w:t>
      </w:r>
      <w:r>
        <w:rPr>
          <w:rFonts w:ascii="Arial" w:cs="Arial" w:eastAsia="Arial" w:hAnsi="Arial"/>
          <w:sz w:val="18"/>
          <w:szCs w:val="18"/>
          <w:color w:val="auto"/>
          <w:highlight w:val="white"/>
        </w:rPr>
        <w:t>. Any failure by Conduent to exercise any of its rights under this Agreement in the event of any breach of the Agreement by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shall not be construed as a waiver of any such breach, nor act to prevent Conduent from requiring strict compliance with the terms of this Agreement.</w:t>
      </w:r>
    </w:p>
    <w:p>
      <w:pPr>
        <w:spacing w:after="0" w:line="271" w:lineRule="exact"/>
        <w:rPr>
          <w:rFonts w:ascii="Arial" w:cs="Arial" w:eastAsia="Arial" w:hAnsi="Arial"/>
          <w:sz w:val="18"/>
          <w:szCs w:val="18"/>
          <w:color w:val="auto"/>
        </w:rPr>
      </w:pPr>
    </w:p>
    <w:p>
      <w:pPr>
        <w:jc w:val="both"/>
        <w:ind w:left="340" w:hanging="332"/>
        <w:spacing w:after="0" w:line="267" w:lineRule="auto"/>
        <w:tabs>
          <w:tab w:leader="none" w:pos="333" w:val="left"/>
        </w:tabs>
        <w:numPr>
          <w:ilvl w:val="0"/>
          <w:numId w:val="156"/>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 This Agreement shall be assignable to and shall inure to the benefit of Conduent’s successors and assigns, including, but</w:t>
      </w:r>
      <w:r>
        <w:rPr>
          <w:rFonts w:ascii="Arial" w:cs="Arial" w:eastAsia="Arial" w:hAnsi="Arial"/>
          <w:sz w:val="18"/>
          <w:szCs w:val="18"/>
          <w:b w:val="1"/>
          <w:bCs w:val="1"/>
          <w:color w:val="auto"/>
        </w:rPr>
        <w:t xml:space="preserve"> </w:t>
      </w:r>
      <w:r>
        <w:rPr>
          <w:rFonts w:ascii="Arial" w:cs="Arial" w:eastAsia="Arial" w:hAnsi="Arial"/>
          <w:sz w:val="18"/>
          <w:szCs w:val="18"/>
          <w:color w:val="auto"/>
        </w:rPr>
        <w:t>not limited to, subsidiaries and/or successors through mergers, name change, consolidation or sale of the majority of Conduent’s stock or assets and shall be binding upon Employee. Employee shall not have the right to assign the Employee’s rights or obligations under this Agreement. The covenants contained in this Agreement shall survive termination of Employee’s employment regardless of who causes the termination of employment or the reason for the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B-3</w:t>
      </w:r>
    </w:p>
    <w:p>
      <w:pPr>
        <w:sectPr>
          <w:pgSz w:w="11900" w:h="16838" w:orient="portrait"/>
          <w:cols w:equalWidth="0" w:num="1">
            <w:col w:w="11240"/>
          </w:cols>
          <w:pgMar w:left="320" w:top="1403"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Exhibit C</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TO PERFORMANCE RESTRICTED STOCK UNIT AWARD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 CONDUENT INCORPORATED 2021 PERFORMANCE INCENTIVE PLAN</w:t>
      </w: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terms of the Plan and the Agreement, the PRSUs are subject to the following additional terms and conditions (the "</w:t>
      </w:r>
      <w:r>
        <w:rPr>
          <w:rFonts w:ascii="Arial" w:cs="Arial" w:eastAsia="Arial" w:hAnsi="Arial"/>
          <w:sz w:val="18"/>
          <w:szCs w:val="18"/>
          <w:b w:val="1"/>
          <w:bCs w:val="1"/>
          <w:i w:val="1"/>
          <w:iCs w:val="1"/>
          <w:color w:val="auto"/>
        </w:rPr>
        <w:t>Appendix</w:t>
      </w:r>
      <w:r>
        <w:rPr>
          <w:rFonts w:ascii="Arial" w:cs="Arial" w:eastAsia="Arial" w:hAnsi="Arial"/>
          <w:sz w:val="18"/>
          <w:szCs w:val="18"/>
          <w:color w:val="auto"/>
        </w:rPr>
        <w:t xml:space="preserve">"). </w:t>
      </w:r>
      <w:r>
        <w:rPr>
          <w:rFonts w:ascii="Arial" w:cs="Arial" w:eastAsia="Arial" w:hAnsi="Arial"/>
          <w:sz w:val="18"/>
          <w:szCs w:val="18"/>
          <w:b w:val="1"/>
          <w:bCs w:val="1"/>
          <w:color w:val="auto"/>
        </w:rPr>
        <w:t>The information reflected in this Appendix is based on the securities, exchange control and other laws in effect in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respective countries as of February 2025. </w:t>
      </w:r>
      <w:r>
        <w:rPr>
          <w:rFonts w:ascii="Arial" w:cs="Arial" w:eastAsia="Arial" w:hAnsi="Arial"/>
          <w:sz w:val="18"/>
          <w:szCs w:val="18"/>
          <w:color w:val="auto"/>
        </w:rPr>
        <w:t>All capitalized terms as contained in this Appendix shall have the same meaning as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and the Agreement. Pursuant to Section 28 of the Agreement, if the Employee transfers residence and/or employment to or otherwise becomes subject to the local laws, rules or regulations of another country reflected in an Appendix at the time of transfer, the additional terms and conditions for such country will apply to the Employee to the extent the Company determines, in its sole discretion, that the application of such terms and conditions is necessary or advisable in order to comply with local law, rules and regulations, or to facilitate the operation and administration of the award and the Plan (or the Company may establish alternative terms and conditions as may be necessary or advisable to accommodate the Employee's transfer).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European Union ("EU") / European Economic Area ("EEA") / Switzerland and the United Kingdom*</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If the Employee resides and/or the Employee is employed in the EU / EEA, Switzerland or the United Kingdom the following provision replaces Section 25 of the Agreement:</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is located at 100 CAMPUS DRIVE, FLORHAM PARK, NJ, 07932 and grants PRSUs under the Plan to employees of the Company and its affiliates and subsidiaries in its sole discretion. The Employee should review the following information about the Company's data processing practices.</w:t>
      </w:r>
    </w:p>
    <w:p>
      <w:pPr>
        <w:spacing w:after="0" w:line="171" w:lineRule="exact"/>
        <w:rPr>
          <w:sz w:val="20"/>
          <w:szCs w:val="20"/>
          <w:color w:val="auto"/>
        </w:rPr>
      </w:pPr>
    </w:p>
    <w:p>
      <w:pPr>
        <w:jc w:val="both"/>
        <w:ind w:left="660" w:hanging="652"/>
        <w:spacing w:after="0" w:line="253" w:lineRule="auto"/>
        <w:tabs>
          <w:tab w:leader="none" w:pos="65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Data Collection, Processing and Usage</w:t>
      </w:r>
      <w:r>
        <w:rPr>
          <w:rFonts w:ascii="Arial" w:cs="Arial" w:eastAsia="Arial" w:hAnsi="Arial"/>
          <w:sz w:val="18"/>
          <w:szCs w:val="18"/>
          <w:color w:val="auto"/>
        </w:rPr>
        <w:t>. Pursuant to applicable data protection laws, the Employee is hereby notified that the Company collects, processes, and uses certain personally-identifiable information about the Employee; specifically, including the Employee’s name, home address, email address and telephone number, date of birth, social insurance / passport number or other identification number (e.g. resident registration number), salary, citizenship, job title, any shares of Common Stock or directorships held in the Company, and details of all PRSUs or any other equity compensation awards granted, canceled, exercised, vested, or outstanding in the Employee’s favor, which the Company receives from the Employee or the Employer ("Personal Information"). In granting the PRSUs under the Plan, the Company will collect the Employee’s Personal Information for purposes of allocating shares of Common Stock and implementing, administering and managing the Plan. The Company’s legal basis for collecting, processing and using the Employee's Personal Information will be the Company's necessity to execute its contractual obligations under this Agreement and to comply with its legal obligations. The Employee’s refusal to provide personal data may affect the Employee’s ability to participate in the Plan. As such, by participating in the Plan, the Employee voluntarily acknowledges the collection, processing and use, of the Employee’s Personal Information as described herein.</w:t>
      </w:r>
    </w:p>
    <w:p>
      <w:pPr>
        <w:spacing w:after="0" w:line="189" w:lineRule="exact"/>
        <w:rPr>
          <w:rFonts w:ascii="Arial" w:cs="Arial" w:eastAsia="Arial" w:hAnsi="Arial"/>
          <w:sz w:val="18"/>
          <w:szCs w:val="18"/>
          <w:color w:val="auto"/>
        </w:rPr>
      </w:pPr>
    </w:p>
    <w:p>
      <w:pPr>
        <w:jc w:val="both"/>
        <w:ind w:left="660" w:hanging="652"/>
        <w:spacing w:after="0" w:line="256" w:lineRule="auto"/>
        <w:tabs>
          <w:tab w:leader="none" w:pos="65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Stock Plan Administration Service Provider</w:t>
      </w:r>
      <w:r>
        <w:rPr>
          <w:rFonts w:ascii="Arial" w:cs="Arial" w:eastAsia="Arial" w:hAnsi="Arial"/>
          <w:sz w:val="18"/>
          <w:szCs w:val="18"/>
          <w:color w:val="auto"/>
        </w:rPr>
        <w:t>. The Company transfers participant data to Morgan Stanley Smith Barney LLC and its affiliates, an independent service provider based in the United States, which assists the Company with the implementation, administration and management of the Plan (the “Stock Plan Administrator”). In the future, the Company may select a different Stock Plan Administrator and share the Employee’s Personal Information with another company that serves in a similar manner, including but not limited to, the Company's outside legal counsel and/or the Company's auditor. The Stock Plan Administrator will open an account for the Employee to receive and trade shares of Common Stock acquired under the Plan. The Employee will be asked to agree on separate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 - 1</w:t>
      </w:r>
    </w:p>
    <w:p>
      <w:pPr>
        <w:sectPr>
          <w:pgSz w:w="11900" w:h="16838" w:orient="portrait"/>
          <w:cols w:equalWidth="0" w:num="1">
            <w:col w:w="11240"/>
          </w:cols>
          <w:pgMar w:left="320" w:top="1403" w:right="339" w:bottom="1440" w:gutter="0" w:footer="0" w:header="0"/>
        </w:sectPr>
      </w:pPr>
    </w:p>
    <w:bookmarkStart w:id="128" w:name="page129"/>
    <w:bookmarkEnd w:id="128"/>
    <w:p>
      <w:pPr>
        <w:ind w:left="660"/>
        <w:spacing w:after="0" w:line="287" w:lineRule="auto"/>
        <w:rPr>
          <w:sz w:val="20"/>
          <w:szCs w:val="20"/>
          <w:color w:val="auto"/>
        </w:rPr>
      </w:pPr>
      <w:r>
        <w:rPr>
          <w:rFonts w:ascii="Arial" w:cs="Arial" w:eastAsia="Arial" w:hAnsi="Arial"/>
          <w:sz w:val="18"/>
          <w:szCs w:val="18"/>
          <w:color w:val="auto"/>
        </w:rPr>
        <w:t>terms and data processing practices with the Stock Plan Administrator, which is a condition to the Employee’s ability to participate in the Plan.</w:t>
      </w:r>
    </w:p>
    <w:p>
      <w:pPr>
        <w:spacing w:after="0" w:line="153" w:lineRule="exact"/>
        <w:rPr>
          <w:sz w:val="20"/>
          <w:szCs w:val="20"/>
          <w:color w:val="auto"/>
        </w:rPr>
      </w:pPr>
    </w:p>
    <w:p>
      <w:pPr>
        <w:jc w:val="both"/>
        <w:ind w:left="660" w:hanging="652"/>
        <w:spacing w:after="0" w:line="262" w:lineRule="auto"/>
        <w:tabs>
          <w:tab w:leader="none" w:pos="654"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International Data Transfers</w:t>
      </w:r>
      <w:r>
        <w:rPr>
          <w:rFonts w:ascii="Arial" w:cs="Arial" w:eastAsia="Arial" w:hAnsi="Arial"/>
          <w:sz w:val="18"/>
          <w:szCs w:val="18"/>
          <w:color w:val="auto"/>
        </w:rPr>
        <w:t>. The Company and the Stock Plan Administrator are based in the United States. The Company can only meet its contractual obligations to the Employee if the Employee’s Personal Information is transferred to the United States. The Company’s legal basis for the transfer of the Employee’s Personal Information to the United States is to satisfy its contractual obligations under the terms of this Agreement and/or its use of the standard data protection clauses adopted by the EU Commission.</w:t>
      </w:r>
    </w:p>
    <w:p>
      <w:pPr>
        <w:spacing w:after="0" w:line="176" w:lineRule="exact"/>
        <w:rPr>
          <w:rFonts w:ascii="Arial" w:cs="Arial" w:eastAsia="Arial" w:hAnsi="Arial"/>
          <w:sz w:val="18"/>
          <w:szCs w:val="18"/>
          <w:color w:val="auto"/>
        </w:rPr>
      </w:pPr>
    </w:p>
    <w:p>
      <w:pPr>
        <w:jc w:val="both"/>
        <w:ind w:left="660" w:hanging="652"/>
        <w:spacing w:after="0" w:line="259" w:lineRule="auto"/>
        <w:tabs>
          <w:tab w:leader="none" w:pos="65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Data Retention</w:t>
      </w:r>
      <w:r>
        <w:rPr>
          <w:rFonts w:ascii="Arial" w:cs="Arial" w:eastAsia="Arial" w:hAnsi="Arial"/>
          <w:sz w:val="18"/>
          <w:szCs w:val="18"/>
          <w:color w:val="auto"/>
        </w:rPr>
        <w:t>. The Company will use the Employee’s Personal Information only as long as is necessary to implement, administer and manage the Employee’s participation in the Plan or as required to comply with legal or regulatory obligations, including under tax and securities laws. When the Company no longer needs the Employee’s Personal Information, the Company will remove it from its systems. If the Company keeps the Employee’s data longer, it would be to satisfy legal or regulatory obligations and the Company’s legal basis would be for compliance with relevant laws or regulations.</w:t>
      </w:r>
    </w:p>
    <w:p>
      <w:pPr>
        <w:spacing w:after="0" w:line="179" w:lineRule="exact"/>
        <w:rPr>
          <w:rFonts w:ascii="Arial" w:cs="Arial" w:eastAsia="Arial" w:hAnsi="Arial"/>
          <w:sz w:val="18"/>
          <w:szCs w:val="18"/>
          <w:color w:val="auto"/>
        </w:rPr>
      </w:pPr>
    </w:p>
    <w:p>
      <w:pPr>
        <w:jc w:val="both"/>
        <w:ind w:left="660" w:hanging="652"/>
        <w:spacing w:after="0" w:line="256" w:lineRule="auto"/>
        <w:tabs>
          <w:tab w:leader="none" w:pos="65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Data Subjects Rights</w:t>
      </w:r>
      <w:r>
        <w:rPr>
          <w:rFonts w:ascii="Arial" w:cs="Arial" w:eastAsia="Arial" w:hAnsi="Arial"/>
          <w:sz w:val="18"/>
          <w:szCs w:val="18"/>
          <w:color w:val="auto"/>
        </w:rPr>
        <w:t>. The Employee may have a number of rights under data privacy laws in the Employee’s country of residence (and country of employment, if different). For example, the Employee’s rights may include the right to (i) request access or copies of personal data the Company processes pursuant to this Agreement, (ii) request rectification of incorrect data, (iii) request deletion of data, (iv) request restrictions on processing, (v) lodge complaints with competent authorities in the Employee’s country of residence (and country of employment, if different), and/or (vi) request a list with the names and addresses of any potential recipients of the Employee’s Personal Information. To receive clarification regarding the Employee’s rights or to exercise the Employee's rights, the Employee should contact the Employee's local human resources department.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BRAZIL</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Labor Law Acknowledgment</w:t>
      </w:r>
      <w:r>
        <w:rPr>
          <w:rFonts w:ascii="Arial" w:cs="Arial" w:eastAsia="Arial" w:hAnsi="Arial"/>
          <w:sz w:val="18"/>
          <w:szCs w:val="18"/>
          <w:color w:val="auto"/>
        </w:rPr>
        <w:t>. By accepting the PRSUs, the Employee acknowledges and agrees, for all legal purposes, that (a) the benefits provided under the Agreement and the Plan are the result of commercial transactions unrelated to the Employee's employment; (b) the Agreement and the Plan are not a part of the terms and conditions of the Employee's employment; and (c) the income from the PRSUs, if any, is not part of the Employee's remuneration from employment.</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By accepting the PRSUs, the Employee acknowledges and agrees to comply with applicable Brazilian laws and to pay any and all applicable taxes associated with the vesting of the PRSUs, the issuance and/or sale of shares of Common Stock acquired under the Plan and the receipt of any dividends.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If the Employee is resident or domiciled in Brazil, the Employee will be required to submit an annual declaration of assets and rights held outside of Brazil to the Central Bank of Brazil if the aggregate value of such assets and rights is greater than US$1 million as of December 31 of each year. If the aggregate value exceeds US$100 million as of the end of each quarter, a declaration must be submitted quarterly. Assets and rights that must be reported include shares of Common Stock acquired under the Plan. The Employee should consult with the Employee's personal advisor(s) regarding any personal legal, regulatory or foreign exchange obligations the Employee may have in connection with the Employee's participation in the Plan.</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Tax on Financial Transaction (IOF)</w:t>
      </w:r>
      <w:r>
        <w:rPr>
          <w:rFonts w:ascii="Arial" w:cs="Arial" w:eastAsia="Arial" w:hAnsi="Arial"/>
          <w:sz w:val="18"/>
          <w:szCs w:val="18"/>
          <w:color w:val="auto"/>
        </w:rPr>
        <w:t>. Repatriation of funds (</w:t>
      </w:r>
      <w:r>
        <w:rPr>
          <w:rFonts w:ascii="Arial" w:cs="Arial" w:eastAsia="Arial" w:hAnsi="Arial"/>
          <w:sz w:val="18"/>
          <w:szCs w:val="18"/>
          <w:i w:val="1"/>
          <w:iCs w:val="1"/>
          <w:color w:val="auto"/>
        </w:rPr>
        <w:t>e.g.</w:t>
      </w:r>
      <w:r>
        <w:rPr>
          <w:rFonts w:ascii="Arial" w:cs="Arial" w:eastAsia="Arial" w:hAnsi="Arial"/>
          <w:sz w:val="18"/>
          <w:szCs w:val="18"/>
          <w:color w:val="auto"/>
        </w:rPr>
        <w:t>, the proceeds from the sale of shares of Common Stock) into Brazil and the conversion of USD into BRL associated with such fund transfers may be subject to the Tax on Financial Transactions. It is the Employee's responsibility to comply with any applicable Tax on Financial Transactions arising from the Employee's participation in the Plan. The Employee should consult with the Employee's personal tax advisor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 - 2</w:t>
      </w:r>
    </w:p>
    <w:p>
      <w:pPr>
        <w:sectPr>
          <w:pgSz w:w="11900" w:h="16838" w:orient="portrait"/>
          <w:cols w:equalWidth="0" w:num="1">
            <w:col w:w="11240"/>
          </w:cols>
          <w:pgMar w:left="320" w:top="1093"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highlight w:val="lightGray"/>
        </w:rPr>
        <w:t>CANADA</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u w:val="single" w:color="auto"/>
          <w:color w:val="auto"/>
        </w:rPr>
        <w:t>Settlement in Shares</w:t>
      </w:r>
      <w:r>
        <w:rPr>
          <w:rFonts w:ascii="Arial" w:cs="Arial" w:eastAsia="Arial" w:hAnsi="Arial"/>
          <w:sz w:val="18"/>
          <w:szCs w:val="18"/>
          <w:color w:val="auto"/>
        </w:rPr>
        <w:t>. Notwithstanding anything to the contrary in the Agreement or the Plan, the PRSUs shall be settled only in shares of Common Stock (and may not be settled in cash).</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The following supplements Section 8(a)(iv) of the Agreement as well as any other section required to give effect to the same:</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event of the Employee's termination of employment and/or service relationship for any reason (other than by reason of death, Disability or Good Reason), either by the Employee or by the Employer, with or without cause, the Employee's rights to vest or to continue to vest in the PRSUs and receive shares of Common Stock under the Plan, if any, will terminate as of the actual Termination Date. For this purpose, the "Termination Date" shall mean the date that the Employee is no longer actively providing services to the Company, the Employer or any affiliate (regardless of the reason for such termination and whether or not later found to be invalid or in breach of labor laws in the jurisdiction where the Employee provides services or the terms of the Employee's employment or other service agreement, if any), and shall not include or be extended by any period following such day during which the Employee is in receipt of or eligible to receive any notice of termination, pay in lieu of notice of termination, severance pay or any other payments or damages, whether arising under statute, contract or at common law.</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Notwithstanding the foregoing, if applicable employment standards legislation explicitly requires continued entitlement to vesting during a statutory notice period, the Employee's right to vest in the PRSUs under the Plan, if any, will terminate effective as of the last day of the Employee's minimum statutory notice period, but the Employee will not earn or be entitled to pro-rated vesting if the vesting date falls after the end of the Employee's statutory notice period, nor will the Employee be entitled to any compensation for lost vesting.</w:t>
      </w:r>
    </w:p>
    <w:p>
      <w:pPr>
        <w:spacing w:after="0" w:line="17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The Employee is permitted to sell shares of Common Stock acquired under the Plan through the designated broker appointed under the Plan, if any, provided that the sale of shares of Common Stock takes place outside Canada through the facilities of a stock exchange on which the shares are listed (</w:t>
      </w:r>
      <w:r>
        <w:rPr>
          <w:rFonts w:ascii="Arial" w:cs="Arial" w:eastAsia="Arial" w:hAnsi="Arial"/>
          <w:sz w:val="18"/>
          <w:szCs w:val="18"/>
          <w:i w:val="1"/>
          <w:iCs w:val="1"/>
          <w:color w:val="auto"/>
        </w:rPr>
        <w:t>i.e.</w:t>
      </w:r>
      <w:r>
        <w:rPr>
          <w:rFonts w:ascii="Arial" w:cs="Arial" w:eastAsia="Arial" w:hAnsi="Arial"/>
          <w:sz w:val="18"/>
          <w:szCs w:val="18"/>
          <w:color w:val="auto"/>
        </w:rPr>
        <w:t>, the Nasdaq).</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Specified foreign property, including the PRSUs, shares of Common Stock acquired under the Plan, and other rights to receive shares of a non-Canadian company held by a Canadian resident generally must be reported annually on a Form T1135 (Foreign Income Verification Statement) if the total cost of the foreign property exceeds C$ 100,000 at any time during the year. Thus, the unvested portion of the PRSUs must be reported – generally at a nil cost – if the C$100,000 cost threshold is exceeded because the Employee holds other specified foreign property. When shares of Common Stock are acquired, their cost generally is the adjusted cost base (“ACB”) of the shares of Common Stock. The ACB ordinarily will equal the fair market value of the shares of Common Stock at the time of acquisition, but if the Employee owns other shares of Common Stock, the ACB may need to be averaged with the ACB of the other shares of Common Stock. The Employee should consult with the Employee's personal advisor(s) regarding any personal foreign asset/foreign account tax obligations the Employee may have in connection with the Employee's participation in the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French Language Documents</w:t>
      </w:r>
      <w:r>
        <w:rPr>
          <w:rFonts w:ascii="Arial" w:cs="Arial" w:eastAsia="Arial" w:hAnsi="Arial"/>
          <w:sz w:val="18"/>
          <w:szCs w:val="18"/>
          <w:color w:val="auto"/>
        </w:rPr>
        <w:t>. The following provision will apply if the Employee is a resident of Quebec: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French translation of this Agreement and certain other documents related to the PRSUs will be made available to the Employee as soon as reasonably practicable. The Employee understands that, from time to time, additional information related to the PRSUs may be provided in English and such information may not be immediately available in French. However, upon request, the Company will provide a translation of such information into French as soon as reasonably practicable. Notwithstanding anything to the contrary in the Agreement, and unless the Employee indicates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 - 3</w:t>
      </w:r>
    </w:p>
    <w:p>
      <w:pPr>
        <w:sectPr>
          <w:pgSz w:w="11900" w:h="16838" w:orient="portrait"/>
          <w:cols w:equalWidth="0" w:num="1">
            <w:col w:w="11240"/>
          </w:cols>
          <w:pgMar w:left="320" w:top="1093" w:right="339" w:bottom="1440" w:gutter="0" w:footer="0" w:header="0"/>
        </w:sectPr>
      </w:pPr>
    </w:p>
    <w:bookmarkStart w:id="130" w:name="page131"/>
    <w:bookmarkEnd w:id="130"/>
    <w:p>
      <w:pPr>
        <w:jc w:val="both"/>
        <w:ind w:right="20"/>
        <w:spacing w:after="0" w:line="287" w:lineRule="auto"/>
        <w:rPr>
          <w:sz w:val="20"/>
          <w:szCs w:val="20"/>
          <w:color w:val="auto"/>
        </w:rPr>
      </w:pPr>
      <w:r>
        <w:rPr>
          <w:rFonts w:ascii="Arial" w:cs="Arial" w:eastAsia="Arial" w:hAnsi="Arial"/>
          <w:sz w:val="18"/>
          <w:szCs w:val="18"/>
          <w:color w:val="auto"/>
        </w:rPr>
        <w:t>otherwise, the French translation of this Agreement and certain other documents related to the PRSUs will govern the Employee's participation in the Plan.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FRANCE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Type of Grant.</w:t>
      </w:r>
      <w:r>
        <w:rPr>
          <w:rFonts w:ascii="Arial" w:cs="Arial" w:eastAsia="Arial" w:hAnsi="Arial"/>
          <w:sz w:val="18"/>
          <w:szCs w:val="18"/>
          <w:color w:val="auto"/>
        </w:rPr>
        <w:t xml:space="preserve"> The PRSUs granted under the Agreement are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intended to be tax-qualified PRSUs under local tax regulations in France.</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highlight w:val="white"/>
        </w:rPr>
        <w:t>. The value of any cash or securities imported to or exported from France without the use of a financial</w:t>
      </w:r>
      <w:r>
        <w:rPr>
          <w:rFonts w:ascii="Arial" w:cs="Arial" w:eastAsia="Arial" w:hAnsi="Arial"/>
          <w:sz w:val="18"/>
          <w:szCs w:val="18"/>
          <w:color w:val="auto"/>
        </w:rPr>
        <w:t xml:space="preserve"> institution must be reported to the customs and excise authorities when the value of such cash or securities is equal to or greater than a certain amount (currently €10,000). The Employee should consult with the Employee's personal advisor(s) regarding any personal legal, regulatory or foreign exchange obligations the Employee may have in connection with the Employee's participation in the Plan.</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French residents must report annually any shares and bank accounts held outside France, including the accounts that were opened, used and/or closed during the tax year, to the French tax authorities, on an annual basis on a special Form N° 3916, together with the Employee's personal income tax return. Failure to report triggers a significant penalty. The Employee should consult with the Employee's personal advisor(s) regarding any personal foreign asset/foreign account tax obligations the Employee may have in connection with the Employee's participation in the Plan.</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Use of English Language</w:t>
      </w:r>
      <w:r>
        <w:rPr>
          <w:rFonts w:ascii="Arial" w:cs="Arial" w:eastAsia="Arial" w:hAnsi="Arial"/>
          <w:sz w:val="18"/>
          <w:szCs w:val="18"/>
          <w:color w:val="auto"/>
        </w:rPr>
        <w:t xml:space="preserve">. By accepting the PRSUs, the Employee acknowledges and agrees that it is the Employee's wish that the </w:t>
      </w:r>
      <w:r>
        <w:rPr>
          <w:rFonts w:ascii="Arial" w:cs="Arial" w:eastAsia="Arial" w:hAnsi="Arial"/>
          <w:sz w:val="18"/>
          <w:szCs w:val="18"/>
          <w:b w:val="1"/>
          <w:bCs w:val="1"/>
          <w:color w:val="auto"/>
        </w:rPr>
        <w:t>Agreement</w:t>
      </w:r>
      <w:r>
        <w:rPr>
          <w:rFonts w:ascii="Arial" w:cs="Arial" w:eastAsia="Arial" w:hAnsi="Arial"/>
          <w:sz w:val="18"/>
          <w:szCs w:val="18"/>
          <w:color w:val="auto"/>
        </w:rPr>
        <w:t>, this</w:t>
      </w:r>
      <w:r>
        <w:rPr>
          <w:rFonts w:ascii="Arial" w:cs="Arial" w:eastAsia="Arial" w:hAnsi="Arial"/>
          <w:sz w:val="18"/>
          <w:szCs w:val="18"/>
          <w:b w:val="1"/>
          <w:bCs w:val="1"/>
          <w:color w:val="auto"/>
        </w:rPr>
        <w:t xml:space="preserve"> Appendix</w:t>
      </w:r>
      <w:r>
        <w:rPr>
          <w:rFonts w:ascii="Arial" w:cs="Arial" w:eastAsia="Arial" w:hAnsi="Arial"/>
          <w:sz w:val="18"/>
          <w:szCs w:val="18"/>
          <w:color w:val="auto"/>
        </w:rPr>
        <w:t>, as well as all other documents, notices and legal proceedings entered into, given or instituted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PRSUs, either directly or indirectly, be drawn up in English.</w:t>
      </w:r>
    </w:p>
    <w:p>
      <w:pPr>
        <w:spacing w:after="0" w:line="17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u w:val="single" w:color="auto"/>
          <w:color w:val="auto"/>
        </w:rPr>
        <w:t>Langue anglaise</w:t>
      </w:r>
      <w:r>
        <w:rPr>
          <w:rFonts w:ascii="Arial" w:cs="Arial" w:eastAsia="Arial" w:hAnsi="Arial"/>
          <w:sz w:val="18"/>
          <w:szCs w:val="18"/>
          <w:i w:val="1"/>
          <w:iCs w:val="1"/>
          <w:color w:val="auto"/>
        </w:rPr>
        <w:t>. En acceptant l'allocation de vos PRSUs, vous reconnaissez et acceptez avoir souhaité que le Termes et Conditions, le présent avenant, ainsi que tous autres documents exécutés, avis donnés et procédures judiciaires intentées, relatifs, directement ou indirectement, à l'allocation de vos PRSUs, soient rédigés en anglais.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GERMANY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xml:space="preserve"> Cross-border payments in excess of EUR 50,000 must be reported to the German Federal Bank (</w:t>
      </w:r>
      <w:r>
        <w:rPr>
          <w:rFonts w:ascii="Arial" w:cs="Arial" w:eastAsia="Arial" w:hAnsi="Arial"/>
          <w:sz w:val="18"/>
          <w:szCs w:val="18"/>
          <w:i w:val="1"/>
          <w:iCs w:val="1"/>
          <w:color w:val="auto"/>
        </w:rPr>
        <w:t>Bundesbank</w:t>
      </w:r>
      <w:r>
        <w:rPr>
          <w:rFonts w:ascii="Arial" w:cs="Arial" w:eastAsia="Arial" w:hAnsi="Arial"/>
          <w:sz w:val="18"/>
          <w:szCs w:val="18"/>
          <w:color w:val="auto"/>
        </w:rPr>
        <w:t>). If the Employee receives a cross-border payment in excess of this amount (e.g., proceeds from the sale of shares of Common Stock acquired under the Plan) and/or if the Company withholds or sells shares of Common Stock with a value in excess of EUR 50,000 for any Tax-Related Items, the Employee must report the payment and/or the value of the shares received and/or sold or withheld to the Bundesbank, either electronically using the “General Statistics Reporting Portal” (“</w:t>
      </w:r>
      <w:r>
        <w:rPr>
          <w:rFonts w:ascii="Arial" w:cs="Arial" w:eastAsia="Arial" w:hAnsi="Arial"/>
          <w:sz w:val="18"/>
          <w:szCs w:val="18"/>
          <w:i w:val="1"/>
          <w:iCs w:val="1"/>
          <w:color w:val="auto"/>
        </w:rPr>
        <w:t>Allgemeines Meldeportal Statistik</w:t>
      </w:r>
      <w:r>
        <w:rPr>
          <w:rFonts w:ascii="Arial" w:cs="Arial" w:eastAsia="Arial" w:hAnsi="Arial"/>
          <w:sz w:val="18"/>
          <w:szCs w:val="18"/>
          <w:color w:val="auto"/>
        </w:rPr>
        <w:t>”) available on the Bundesbank website (</w:t>
      </w:r>
      <w:r>
        <w:rPr>
          <w:rFonts w:ascii="Arial" w:cs="Arial" w:eastAsia="Arial" w:hAnsi="Arial"/>
          <w:sz w:val="18"/>
          <w:szCs w:val="18"/>
          <w:u w:val="single" w:color="auto"/>
          <w:color w:val="auto"/>
        </w:rPr>
        <w:t>www.bundesbank.de</w:t>
      </w:r>
      <w:r>
        <w:rPr>
          <w:rFonts w:ascii="Arial" w:cs="Arial" w:eastAsia="Arial" w:hAnsi="Arial"/>
          <w:sz w:val="18"/>
          <w:szCs w:val="18"/>
          <w:color w:val="auto"/>
        </w:rPr>
        <w:t>) or via such other method (e.g., by email or telephone) as is permitted or required by Bundesbank. The report must be submitted monthly or within other such timing as is permitted or required by Bundesbank. The Employee should consult with the Employee’s personal advisor(s) regarding any personal legal, regulatory or foreign exchange obligations the Employee may have in connection with the Employee’s participation in the Plan.</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German residents must notify their local tax office of the acquisition of shares of Common Stock when they file their personal income tax returns for the relevant year if the value of the shares of Common Stock acquired exceeds €150,000 or in the unlikely event that the resident holds shares of Common Stock exceeding 10% of the Company’s total shares of Common Stock outstanding. However, if the shares of Common Stock are listed on a recognized U.S. stock exchange and the Employee owns less than 1% of the total shares of Common Stock, this requirement will not apply even if shares of Common Stock with a value exceeding €150,000 are acquired. The Employee should consult with the Employee's personal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 - 4</w:t>
      </w:r>
    </w:p>
    <w:p>
      <w:pPr>
        <w:sectPr>
          <w:pgSz w:w="11900" w:h="16838" w:orient="portrait"/>
          <w:cols w:equalWidth="0" w:num="1">
            <w:col w:w="11240"/>
          </w:cols>
          <w:pgMar w:left="320" w:top="1093" w:right="339" w:bottom="1440" w:gutter="0" w:footer="0" w:header="0"/>
        </w:sectPr>
      </w:pPr>
    </w:p>
    <w:bookmarkStart w:id="131" w:name="page132"/>
    <w:bookmarkEnd w:id="131"/>
    <w:p>
      <w:pPr>
        <w:jc w:val="both"/>
        <w:ind w:right="20"/>
        <w:spacing w:after="0" w:line="287" w:lineRule="auto"/>
        <w:rPr>
          <w:sz w:val="20"/>
          <w:szCs w:val="20"/>
          <w:color w:val="auto"/>
        </w:rPr>
      </w:pPr>
      <w:r>
        <w:rPr>
          <w:rFonts w:ascii="Arial" w:cs="Arial" w:eastAsia="Arial" w:hAnsi="Arial"/>
          <w:sz w:val="18"/>
          <w:szCs w:val="18"/>
          <w:color w:val="auto"/>
        </w:rPr>
        <w:t>advisor(s) regarding any personal foreign asset/foreign account tax obligations the Employee may have in connection with the Employee's participation in the Plan.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GUATEMALA</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Consent to Receive Information in English</w:t>
      </w:r>
      <w:r>
        <w:rPr>
          <w:rFonts w:ascii="Arial" w:cs="Arial" w:eastAsia="Arial" w:hAnsi="Arial"/>
          <w:sz w:val="18"/>
          <w:szCs w:val="18"/>
          <w:color w:val="auto"/>
        </w:rPr>
        <w:t>. By participating in the Plan, the Employee acknowledges that have reviewed Section 19 of this Agreement and are sufficiently proficient in English, or, alternatively, the Employee will seek appropriate assistance, to understand the terms and conditions in this Agreement.</w:t>
      </w:r>
    </w:p>
    <w:p>
      <w:pPr>
        <w:spacing w:after="0" w:line="173" w:lineRule="exact"/>
        <w:rPr>
          <w:sz w:val="20"/>
          <w:szCs w:val="20"/>
          <w:color w:val="auto"/>
        </w:rPr>
      </w:pPr>
    </w:p>
    <w:p>
      <w:pPr>
        <w:jc w:val="both"/>
        <w:spacing w:after="0" w:line="285" w:lineRule="auto"/>
        <w:rPr>
          <w:sz w:val="20"/>
          <w:szCs w:val="20"/>
          <w:color w:val="auto"/>
        </w:rPr>
      </w:pPr>
      <w:r>
        <w:rPr>
          <w:rFonts w:ascii="Arial" w:cs="Arial" w:eastAsia="Arial" w:hAnsi="Arial"/>
          <w:sz w:val="18"/>
          <w:szCs w:val="18"/>
          <w:i w:val="1"/>
          <w:iCs w:val="1"/>
          <w:u w:val="single" w:color="auto"/>
          <w:color w:val="auto"/>
        </w:rPr>
        <w:t>Consentimiento a Recibir Información en Ingles</w:t>
      </w:r>
      <w:r>
        <w:rPr>
          <w:rFonts w:ascii="Arial" w:cs="Arial" w:eastAsia="Arial" w:hAnsi="Arial"/>
          <w:sz w:val="18"/>
          <w:szCs w:val="18"/>
          <w:i w:val="1"/>
          <w:iCs w:val="1"/>
          <w:color w:val="auto"/>
        </w:rPr>
        <w:t>. Al participar en el Plan, usted reconoce que ha revisado la Sección 15 del Convenio y que usted domina inglés, o, en el alternativo, usted buscará la asistencia necesaria para entender los términos y las condiciones del Convenio.</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INDIA</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Repatriation Requirements</w:t>
      </w:r>
      <w:r>
        <w:rPr>
          <w:rFonts w:ascii="Arial" w:cs="Arial" w:eastAsia="Arial" w:hAnsi="Arial"/>
          <w:sz w:val="18"/>
          <w:szCs w:val="18"/>
          <w:color w:val="auto"/>
        </w:rPr>
        <w:t>. The Employee expressly agrees to repatriate all sale proceeds and dividends attributable to shares of Common Stock acquired under the Plan in accordance with local foreign exchange rules and regulations. Neither the Company, the Employer or any of the Company's subsidiaries shall be liable for any fines or penalties resulting from the Employee's failure to comply with applicable laws, rules or regulations.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The Employee is required to declare the Employee's foreign bank accounts and any foreign financial assets (including shares of Common Stock acquired under the Plan held outside India) in the Employee's annual tax return. The Employee should consult with the Employee's personal advisor(s) regarding any personal foreign asset/foreign account tax obligations the Employee may have in connection with the Employee's participation in the Plan.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ITALY</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Acknowledgement of Nature of Award Notice</w:t>
      </w:r>
      <w:r>
        <w:rPr>
          <w:rFonts w:ascii="Arial" w:cs="Arial" w:eastAsia="Arial" w:hAnsi="Arial"/>
          <w:sz w:val="18"/>
          <w:szCs w:val="18"/>
          <w:color w:val="auto"/>
        </w:rPr>
        <w:t>. In accepting the PRSUs, the Employee acknowledges that (a) the Employee has received a copy of the Plan, the Agreement and this Appendix; (b) the Employee has reviewed the applicable documents in their entirety and fully understand the contents thereof; and (c) the Employee accepts all provisions of the Plan, the Agreement and this Appendix.</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Italian residents who, at any time during the fiscal year, hold foreign financial assets (including cash and shares of Common Stock)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 The Employee should consult with the Employee's personal advisor(s) regarding any personal foreign asset/foreign account tax obligations the Employee may have in connection with the Employee's participation in the Plan.</w:t>
      </w:r>
    </w:p>
    <w:p>
      <w:pPr>
        <w:spacing w:after="0" w:line="18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u w:val="single" w:color="auto"/>
          <w:color w:val="auto"/>
        </w:rPr>
        <w:t>Foreign Asset Tax</w:t>
      </w:r>
      <w:r>
        <w:rPr>
          <w:rFonts w:ascii="Arial" w:cs="Arial" w:eastAsia="Arial" w:hAnsi="Arial"/>
          <w:sz w:val="18"/>
          <w:szCs w:val="18"/>
          <w:color w:val="auto"/>
        </w:rPr>
        <w:t>. The value of any shares of Common Stock (and other financial assets) held outside Italy by individuals resident of Italy may be subject to a foreign asset tax. The taxable amount will be the fair market value of the financial assets (e.g., shares of Common Stock) assessed at the end of the calendar year. The value of financial assets held abroad must be reported in Form RM of the annual return. The Employee should consult the Employee's personal tax advisor for additional information on the foreign asset tax.</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JAMAICA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 country-specific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 - 5</w:t>
      </w:r>
    </w:p>
    <w:p>
      <w:pPr>
        <w:sectPr>
          <w:pgSz w:w="11900" w:h="16838" w:orient="portrait"/>
          <w:cols w:equalWidth="0" w:num="1">
            <w:col w:w="11240"/>
          </w:cols>
          <w:pgMar w:left="320" w:top="1093"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highlight w:val="lightGray"/>
        </w:rPr>
        <w:t>MEXICO</w:t>
      </w:r>
    </w:p>
    <w:p>
      <w:pPr>
        <w:spacing w:after="0" w:line="3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u w:val="single" w:color="auto"/>
          <w:color w:val="auto"/>
        </w:rPr>
        <w:t>Commercial Relationship</w:t>
      </w:r>
      <w:r>
        <w:rPr>
          <w:rFonts w:ascii="Times New Roman" w:cs="Times New Roman" w:eastAsia="Times New Roman" w:hAnsi="Times New Roman"/>
          <w:sz w:val="18"/>
          <w:szCs w:val="18"/>
          <w:color w:val="auto"/>
        </w:rPr>
        <w:t>. The Employee expressly recognizes that the Employee’s participation in the Plan and the Company’s grant of the PRSUs does not constitute an employment relationship between the Employee and the Company. The Employee has been granted the PRSUs as a consequence of the commercial relationship between the Company and the subsidiary in Mexico that employs the Employee (“Conduent-Mexico”) and Conduent-Mexico is the Employee’s sole employer. Based on the foregoing, the Employee expressly recognizes that (a) the Plan and the benefits the Employee may derive from the Employee's participation in the Plan do not establish any rights between the Employee and Conduent-Mexico, (b) the Plan and the benefits the Employee may derive from the Employee's participation in the Plan are not part of the employment conditions and/or benefits provided by Conduent-Mexico, and (c) any modification or amendments of the Plan by the Company, or a termination of the Plan by the Company shall not constitute a change or impairment of the terms and conditions of the Employee’s employment with Conduent-Mexico.</w:t>
      </w:r>
    </w:p>
    <w:p>
      <w:pPr>
        <w:spacing w:after="0" w:line="21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Employee further understands that the Employee’s participation in the Plan is as a result of a unilateral and discretionary decision of the Company; therefore, subject to the terms of the Plan, the Company reserves the absolute right to amend and/or discontinue the Employee’s participation at any time without any liability to the Employee.</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Finally, the Employee hereby declares that the Employee does not reserve to the Employee any action or right to bring any claim against the Company for any compensation or damages regarding any provision of the Plan or the benefits derived under the Plan, and the Employee therefore grants a full and broad release to the Company, its subsidiaries, affiliates, branches, representation offices, its shareholders, officers, agents or legal representatives with respect to any claim that may arise.</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Extraordinary Item of Compensation</w:t>
      </w:r>
      <w:r>
        <w:rPr>
          <w:rFonts w:ascii="Arial" w:cs="Arial" w:eastAsia="Arial" w:hAnsi="Arial"/>
          <w:sz w:val="18"/>
          <w:szCs w:val="18"/>
          <w:color w:val="auto"/>
        </w:rPr>
        <w:t>. The Employee expressly recognizes and acknowledges that the Employee’s participation in the Plan is a result of the discretionary and unilateral decision of the Company, as well as the Employee’s free and voluntary decision to participate in the Plan in accordance with the terms and conditions of the Plan, the Agreement and this Appendix. As such, the Employee acknowledges and agrees that the Company may, in its sole discretion, amend and/or discontinue the Employee’s participation in the Plan at any time and without liability. The value of the PRSUs is an extraordinary item of compensation outside the scope of the Employee’s employment contract, if any. The PRSUs are not part of the Employee’s regular or expected compensation for purposes of calculating any severance, resignation, redundancy, end of service payments, bonuses, long-service awards, pension or retirement benefits, or any similar payments, which are the exclusive obligations of Conduent-Mexico.</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The PRSUs and any shares of Common Stock acquired under the Plan have not been registered with the National Register of Securities maintained by the Mexican National Banking and Securities Commission and cannot be offered or sold publicly in Mexico. In addition, the Plan, the Agreement and any other document relating to the PRSUs may not be publicly distributed in Mexico. These materials are addressed to the Employee because of the Employee’s existing relationship with the Company or one of the Companies subsidiaries or affiliates,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the Company or one of its subsidiaries or affiliates made in accordance with the provisions of the Mexican Securities Market Law, and any rights under such offering shall not be assigned or transferred.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NETHERLANDS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 country-specific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PERU</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Nature of the Grant</w:t>
      </w:r>
      <w:r>
        <w:rPr>
          <w:rFonts w:ascii="Arial" w:cs="Arial" w:eastAsia="Arial" w:hAnsi="Arial"/>
          <w:sz w:val="18"/>
          <w:szCs w:val="18"/>
          <w:color w:val="auto"/>
        </w:rPr>
        <w:t>. The following provision supplements Section 11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 - 6</w:t>
      </w:r>
    </w:p>
    <w:p>
      <w:pPr>
        <w:sectPr>
          <w:pgSz w:w="11900" w:h="16838" w:orient="portrait"/>
          <w:cols w:equalWidth="0" w:num="1">
            <w:col w:w="11240"/>
          </w:cols>
          <w:pgMar w:left="320" w:top="1093" w:right="339" w:bottom="1440" w:gutter="0" w:footer="0" w:header="0"/>
        </w:sectPr>
      </w:pPr>
    </w:p>
    <w:bookmarkStart w:id="133" w:name="page134"/>
    <w:bookmarkEnd w:id="133"/>
    <w:p>
      <w:pPr>
        <w:jc w:val="both"/>
        <w:spacing w:after="0" w:line="287" w:lineRule="auto"/>
        <w:rPr>
          <w:sz w:val="20"/>
          <w:szCs w:val="20"/>
          <w:color w:val="auto"/>
        </w:rPr>
      </w:pPr>
      <w:r>
        <w:rPr>
          <w:rFonts w:ascii="Arial" w:cs="Arial" w:eastAsia="Arial" w:hAnsi="Arial"/>
          <w:sz w:val="18"/>
          <w:szCs w:val="18"/>
          <w:color w:val="auto"/>
        </w:rPr>
        <w:t xml:space="preserve">The PRSU is being granted </w:t>
      </w:r>
      <w:r>
        <w:rPr>
          <w:rFonts w:ascii="Arial" w:cs="Arial" w:eastAsia="Arial" w:hAnsi="Arial"/>
          <w:sz w:val="18"/>
          <w:szCs w:val="18"/>
          <w:i w:val="1"/>
          <w:iCs w:val="1"/>
          <w:color w:val="auto"/>
        </w:rPr>
        <w:t>ex gratia</w:t>
      </w:r>
      <w:r>
        <w:rPr>
          <w:rFonts w:ascii="Arial" w:cs="Arial" w:eastAsia="Arial" w:hAnsi="Arial"/>
          <w:sz w:val="18"/>
          <w:szCs w:val="18"/>
          <w:color w:val="auto"/>
        </w:rPr>
        <w:t xml:space="preserve"> to the Employee by the Company as an incentive to reward the Employee for the Employee's contributions to the Company.</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xml:space="preserve">. The grant of the PRSUs under the Plan is considered a private offering in Peru and accordingly, is not subject to registration in Peru. For more information concerning the grant of the PRSUs, please refer to the Plan, the Agreement, and any other grant documents made available to the Employee by the Company. For more information regarding the Company, please refer to the Company's most recent annual report on Form 10-K and quarterly report on Form 10-Q available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as well as on the Company's website at </w:t>
      </w:r>
      <w:r>
        <w:rPr>
          <w:rFonts w:ascii="Arial" w:cs="Arial" w:eastAsia="Arial" w:hAnsi="Arial"/>
          <w:sz w:val="18"/>
          <w:szCs w:val="18"/>
          <w:u w:val="single" w:color="auto"/>
          <w:color w:val="auto"/>
        </w:rPr>
        <w:t>https://www.conduent.com/</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ROMANIA</w:t>
      </w:r>
    </w:p>
    <w:p>
      <w:pPr>
        <w:spacing w:after="0" w:line="22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u w:val="single" w:color="auto"/>
          <w:color w:val="auto"/>
        </w:rPr>
        <w:t>English Language</w:t>
      </w:r>
      <w:r>
        <w:rPr>
          <w:rFonts w:ascii="Times New Roman" w:cs="Times New Roman" w:eastAsia="Times New Roman" w:hAnsi="Times New Roman"/>
          <w:sz w:val="18"/>
          <w:szCs w:val="18"/>
          <w:color w:val="auto"/>
        </w:rPr>
        <w:t>. The Employee hereby expressly agrees that the Agreement, the Plan as well as all documents, notices and proceedings entered into, relating directly or indirectly hereto, be drawn up or communicated only in the English language.</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Angajatul consimte în mod expres prin prezentul ca acest Contract, Plan precum şi orice alte documente, notificări, înştiinţări legate direct sau indirect de acest Contract să fie redactate sau efectuate doar în limba engleză.</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The Employee is not required to seek special authorization from the National Bank of Romania in order to open or maintain a foreign bank account. However, if the Employee remits foreign currency into Romania (</w:t>
      </w:r>
      <w:r>
        <w:rPr>
          <w:rFonts w:ascii="Arial" w:cs="Arial" w:eastAsia="Arial" w:hAnsi="Arial"/>
          <w:sz w:val="18"/>
          <w:szCs w:val="18"/>
          <w:i w:val="1"/>
          <w:iCs w:val="1"/>
          <w:color w:val="auto"/>
        </w:rPr>
        <w:t>e.g.</w:t>
      </w:r>
      <w:r>
        <w:rPr>
          <w:rFonts w:ascii="Arial" w:cs="Arial" w:eastAsia="Arial" w:hAnsi="Arial"/>
          <w:sz w:val="18"/>
          <w:szCs w:val="18"/>
          <w:color w:val="auto"/>
        </w:rPr>
        <w:t>, proceeds from the sale of shares of Common Stock), the Employee may be required to provide the Romanian bank through which the foreign currency is transferred with appropriate documentation. The Employee should consult with the Employee’s personal advisor(s) regarding any personal legal, regulatory or foreign exchange obligations the Employee may have in connection with the Employee’s participation in the Plan.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SWITZERLAND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The PRSUs are not intended to be publicly offered in or from Switzerland. Neither this document nor any other materials relating to the PRSUs (1) constitutes a prospectus according to articles 35 et seq. of the Swiss Federal Act on Financial Services (“FinSA”), (2) may be publicly distributed or otherwise made publicly available in Switzerland to any person other than an employee of the Company, or (3) have been or will be filed with, approved or supervised by any Swiss reviewing body according to article 51 FinSA or any Swiss regulatory authority (in particular, the Swiss Financial Market Supervisory Authority).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UNITED KINGDOM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 The following provision supplements Section 10 (Responsibility for Taxes) of the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Without limitation to Section 10 of the Agreement, the Employee agrees to be liable for any Tax-Related Items and hereby covenants to pay any such Tax-Related Items, as and when requested by the Company or the Employer or by HMRC (or any other tax authority or any other relevant authority). The Employee agrees to indemnify and keep indemnified the Company and the Employer against any Tax-Related Items that they are required to pay or withhold or have paid or will pay to HM Revenue &amp; Customs (“HMRC”) (or any other tax authority or any other relevant authority) on the Employee’s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 - 7</w:t>
      </w:r>
    </w:p>
    <w:p>
      <w:pPr>
        <w:sectPr>
          <w:pgSz w:w="11900" w:h="16838" w:orient="portrait"/>
          <w:cols w:equalWidth="0" w:num="1">
            <w:col w:w="11240"/>
          </w:cols>
          <w:pgMar w:left="320" w:top="1201" w:right="339" w:bottom="1440" w:gutter="0" w:footer="0" w:header="0"/>
        </w:sectPr>
      </w:pPr>
    </w:p>
    <w:bookmarkStart w:id="134" w:name="page135"/>
    <w:bookmarkEnd w:id="134"/>
    <w:p>
      <w:pPr>
        <w:jc w:val="both"/>
        <w:spacing w:after="0" w:line="255" w:lineRule="auto"/>
        <w:rPr>
          <w:sz w:val="20"/>
          <w:szCs w:val="20"/>
          <w:color w:val="auto"/>
        </w:rPr>
      </w:pPr>
      <w:r>
        <w:rPr>
          <w:rFonts w:ascii="Arial" w:cs="Arial" w:eastAsia="Arial" w:hAnsi="Arial"/>
          <w:sz w:val="18"/>
          <w:szCs w:val="18"/>
          <w:color w:val="auto"/>
        </w:rPr>
        <w:t>Notwithstanding the foregoing, if the Employee is an executive officer or director (as within the meaning of Section 13(k) of the Exchange Act), the Employee understands that the Employee may not be able to indemnify the Company for the amount of any Tax-Related Items not collected from or paid by the Employee, in case the indemnification could be considered to be a loan. In this case, the Tax-Related Items not collected or paid may constitute a benefit to the Employee on which additional income tax and National Insurance Contributions (“NICs”) may be payable. The Employee acknowledges that the Employee will be personally responsible for reporting and paying any income tax due on this additional benefit directly to the HMRC under the self-assessment regime and for paying the Company or the Employer, as applicable, for the value of any employee NICs due on this additional benefit, which may also be recovered from the Employee by any of the means referred to in Section 10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 - 8</w:t>
      </w:r>
    </w:p>
    <w:p>
      <w:pPr>
        <w:sectPr>
          <w:pgSz w:w="11900" w:h="16838" w:orient="portrait"/>
          <w:cols w:equalWidth="0" w:num="1">
            <w:col w:w="11240"/>
          </w:cols>
          <w:pgMar w:left="320" w:top="1201"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1269BC"/>
        </w:rPr>
        <w:t>EXHIBIT 31(a)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CEO 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Clifford Skelton, certify that:</w:t>
      </w:r>
    </w:p>
    <w:p>
      <w:pPr>
        <w:spacing w:after="0" w:line="117" w:lineRule="exact"/>
        <w:rPr>
          <w:sz w:val="20"/>
          <w:szCs w:val="20"/>
          <w:color w:val="auto"/>
        </w:rPr>
      </w:pPr>
    </w:p>
    <w:p>
      <w:pPr>
        <w:ind w:left="640" w:hanging="632"/>
        <w:spacing w:after="0"/>
        <w:tabs>
          <w:tab w:leader="none" w:pos="6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Conduent Incorporated;</w:t>
      </w:r>
    </w:p>
    <w:p>
      <w:pPr>
        <w:spacing w:after="0" w:line="117"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15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644"/>
        <w:spacing w:after="0" w:line="268" w:lineRule="auto"/>
        <w:tabs>
          <w:tab w:leader="none" w:pos="1294" w:val="left"/>
        </w:tabs>
        <w:numPr>
          <w:ilvl w:val="1"/>
          <w:numId w:val="1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644"/>
        <w:spacing w:after="0" w:line="268" w:lineRule="auto"/>
        <w:tabs>
          <w:tab w:leader="none" w:pos="129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May 7, 2025</w:t>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18859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Clifford Skelton</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1269BC"/>
        </w:rPr>
        <w:t>EXHIBIT 31(b)</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CFO 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Giles Goodburn, certify that:</w:t>
      </w:r>
    </w:p>
    <w:p>
      <w:pPr>
        <w:spacing w:after="0" w:line="198" w:lineRule="exact"/>
        <w:rPr>
          <w:sz w:val="20"/>
          <w:szCs w:val="20"/>
          <w:color w:val="auto"/>
        </w:rPr>
      </w:pPr>
    </w:p>
    <w:p>
      <w:pPr>
        <w:ind w:left="640" w:hanging="632"/>
        <w:spacing w:after="0"/>
        <w:tabs>
          <w:tab w:leader="none" w:pos="6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Conduent Incorporated;</w:t>
      </w:r>
    </w:p>
    <w:p>
      <w:pPr>
        <w:spacing w:after="0" w:line="117"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644"/>
        <w:spacing w:after="0" w:line="268" w:lineRule="auto"/>
        <w:tabs>
          <w:tab w:leader="none" w:pos="1294" w:val="left"/>
        </w:tabs>
        <w:numPr>
          <w:ilvl w:val="1"/>
          <w:numId w:val="1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644"/>
        <w:spacing w:after="0" w:line="268" w:lineRule="auto"/>
        <w:tabs>
          <w:tab w:leader="none" w:pos="129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May 7, 2025</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GILES GOODBURN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8632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Giles Goodburn</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240"/>
          </w:cols>
          <w:pgMar w:left="320" w:top="121"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1269BC"/>
        </w:rPr>
        <w:t>EXHIBIT 32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CERTIFICATION OF CEO AND CFO PURSUANT TO 18 U.S.C. § 1350,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AS ADOPTED PURSUANT TO § 906 OF THE SARBANES-OXLEY ACT OF 2002</w:t>
      </w:r>
    </w:p>
    <w:p>
      <w:pPr>
        <w:spacing w:after="0" w:line="15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connection with the Quarterly Report on Form 10-Q of Conduent Incorporated, a New York corporation (the “Company”), for the quarter ended March 31, 2025, as filed with the Securities and Exchange Commission on the date hereof (the “Report”), Clifford Skelton, Chief Executive Officer of the Company, and Giles Goodburn, Chief Financial Officer of the Company, each hereby certifies, pursuant to 18 U.S.C. § 1350, as adopted pursuant to § 906 of the Sarbanes-Oxley Act of 2002, to the best of his/her knowledge, that:</w:t>
      </w:r>
    </w:p>
    <w:p>
      <w:pPr>
        <w:spacing w:after="0" w:line="149" w:lineRule="exact"/>
        <w:rPr>
          <w:sz w:val="20"/>
          <w:szCs w:val="20"/>
          <w:color w:val="auto"/>
        </w:rPr>
      </w:pPr>
    </w:p>
    <w:p>
      <w:pPr>
        <w:ind w:left="320" w:hanging="312"/>
        <w:spacing w:after="0"/>
        <w:tabs>
          <w:tab w:leader="none" w:pos="3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 w:lineRule="exact"/>
        <w:rPr>
          <w:rFonts w:ascii="Arial" w:cs="Arial" w:eastAsia="Arial" w:hAnsi="Arial"/>
          <w:sz w:val="18"/>
          <w:szCs w:val="18"/>
          <w:color w:val="auto"/>
        </w:rPr>
      </w:pPr>
    </w:p>
    <w:p>
      <w:pPr>
        <w:ind w:left="340" w:right="340" w:hanging="332"/>
        <w:spacing w:after="0" w:line="266" w:lineRule="auto"/>
        <w:tabs>
          <w:tab w:leader="none" w:pos="33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wp:posOffset>
            </wp:positionV>
            <wp:extent cx="23831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Clifford Skelton</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Chief Executive Officer</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May 7, 2025</w:t>
      </w:r>
    </w:p>
    <w:p>
      <w:pPr>
        <w:spacing w:after="0" w:line="200" w:lineRule="exact"/>
        <w:rPr>
          <w:sz w:val="20"/>
          <w:szCs w:val="20"/>
          <w:color w:val="auto"/>
        </w:rPr>
      </w:pPr>
    </w:p>
    <w:p>
      <w:pPr>
        <w:spacing w:after="0" w:line="3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GILES GOODBURN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wp:posOffset>
            </wp:positionV>
            <wp:extent cx="23831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Giles Goodburn</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Chief Financial Officer</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May 7, 2025</w:t>
      </w:r>
    </w:p>
    <w:p>
      <w:pPr>
        <w:spacing w:after="0" w:line="34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This certification accompanies this Report pursuant to § 906 of the Sarbanes-Oxley Act of 2002 and shall not, except to the extent required by the Sarbanes-Oxley Act of 2002, be deemed filed by the Company for purposes of § 18 of the Securities Exchange Act of 1934, as amended.</w:t>
      </w:r>
    </w:p>
    <w:p>
      <w:pPr>
        <w:spacing w:after="0" w:line="11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 signed original of this written statement required by § 906 has been provided to Conduent Incorporated and will be retained by Conduent Incorporated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B6DF70"/>
    <w:multiLevelType w:val="hybridMultilevel"/>
    <w:lvl w:ilvl="0">
      <w:lvlJc w:val="left"/>
      <w:lvlText w:val="☒"/>
      <w:numFmt w:val="bullet"/>
      <w:start w:val="1"/>
    </w:lvl>
  </w:abstractNum>
  <w:abstractNum w:abstractNumId="1">
    <w:nsid w:val="6A5EE64"/>
    <w:multiLevelType w:val="hybridMultilevel"/>
    <w:lvl w:ilvl="0">
      <w:lvlJc w:val="left"/>
      <w:lvlText w:val="☐"/>
      <w:numFmt w:val="bullet"/>
      <w:start w:val="1"/>
    </w:lvl>
  </w:abstractNum>
  <w:abstractNum w:abstractNumId="2">
    <w:nsid w:val="14330624"/>
    <w:multiLevelType w:val="hybridMultilevel"/>
    <w:lvl w:ilvl="0">
      <w:lvlJc w:val="left"/>
      <w:lvlText w:val="(%1)"/>
      <w:numFmt w:val="decimal"/>
      <w:start w:val="1"/>
    </w:lvl>
  </w:abstractNum>
  <w:abstractNum w:abstractNumId="3">
    <w:nsid w:val="7FFFCA11"/>
    <w:multiLevelType w:val="hybridMultilevel"/>
    <w:lvl w:ilvl="0">
      <w:lvlJc w:val="left"/>
      <w:lvlText w:val="(%1)"/>
      <w:numFmt w:val="decimal"/>
      <w:start w:val="1"/>
    </w:lvl>
  </w:abstractNum>
  <w:abstractNum w:abstractNumId="4">
    <w:nsid w:val="1A27709E"/>
    <w:multiLevelType w:val="hybridMultilevel"/>
    <w:lvl w:ilvl="0">
      <w:lvlJc w:val="left"/>
      <w:lvlText w:val="(%1)"/>
      <w:numFmt w:val="decimal"/>
      <w:start w:val="1"/>
    </w:lvl>
  </w:abstractNum>
  <w:abstractNum w:abstractNumId="5">
    <w:nsid w:val="71EA1109"/>
    <w:multiLevelType w:val="hybridMultilevel"/>
    <w:lvl w:ilvl="0">
      <w:lvlJc w:val="left"/>
      <w:lvlText w:val="(%1)"/>
      <w:numFmt w:val="decimal"/>
      <w:start w:val="1"/>
    </w:lvl>
  </w:abstractNum>
  <w:abstractNum w:abstractNumId="6">
    <w:nsid w:val="100F59DC"/>
    <w:multiLevelType w:val="hybridMultilevel"/>
    <w:lvl w:ilvl="0">
      <w:lvlJc w:val="left"/>
      <w:lvlText w:val="•"/>
      <w:numFmt w:val="bullet"/>
      <w:start w:val="1"/>
    </w:lvl>
  </w:abstractNum>
  <w:abstractNum w:abstractNumId="7">
    <w:nsid w:val="7FB7E0AA"/>
    <w:multiLevelType w:val="hybridMultilevel"/>
    <w:lvl w:ilvl="0">
      <w:lvlJc w:val="left"/>
      <w:lvlText w:val="(%1)"/>
      <w:numFmt w:val="decimal"/>
      <w:start w:val="1"/>
    </w:lvl>
  </w:abstractNum>
  <w:abstractNum w:abstractNumId="8">
    <w:nsid w:val="6EB5BD4"/>
    <w:multiLevelType w:val="hybridMultilevel"/>
    <w:lvl w:ilvl="0">
      <w:lvlJc w:val="left"/>
      <w:lvlText w:val="(%1)"/>
      <w:numFmt w:val="decimal"/>
      <w:start w:val="1"/>
    </w:lvl>
  </w:abstractNum>
  <w:abstractNum w:abstractNumId="9">
    <w:nsid w:val="6F6DD9AC"/>
    <w:multiLevelType w:val="hybridMultilevel"/>
    <w:lvl w:ilvl="0">
      <w:lvlJc w:val="left"/>
      <w:lvlText w:val="(%1)"/>
      <w:numFmt w:val="decimal"/>
      <w:start w:val="1"/>
    </w:lvl>
  </w:abstractNum>
  <w:abstractNum w:abstractNumId="10">
    <w:nsid w:val="94211F2"/>
    <w:multiLevelType w:val="hybridMultilevel"/>
    <w:lvl w:ilvl="0">
      <w:lvlJc w:val="left"/>
      <w:lvlText w:val="•"/>
      <w:numFmt w:val="bullet"/>
      <w:start w:val="1"/>
    </w:lvl>
  </w:abstractNum>
  <w:abstractNum w:abstractNumId="11">
    <w:nsid w:val="885E1B"/>
    <w:multiLevelType w:val="hybridMultilevel"/>
    <w:lvl w:ilvl="0">
      <w:lvlJc w:val="left"/>
      <w:lvlText w:val="•"/>
      <w:numFmt w:val="bullet"/>
      <w:start w:val="1"/>
    </w:lvl>
  </w:abstractNum>
  <w:abstractNum w:abstractNumId="12">
    <w:nsid w:val="76272110"/>
    <w:multiLevelType w:val="hybridMultilevel"/>
    <w:lvl w:ilvl="0">
      <w:lvlJc w:val="left"/>
      <w:lvlText w:val="•"/>
      <w:numFmt w:val="bullet"/>
      <w:start w:val="1"/>
    </w:lvl>
  </w:abstractNum>
  <w:abstractNum w:abstractNumId="13">
    <w:nsid w:val="4C04A8AF"/>
    <w:multiLevelType w:val="hybridMultilevel"/>
    <w:lvl w:ilvl="0">
      <w:lvlJc w:val="left"/>
      <w:lvlText w:val="•"/>
      <w:numFmt w:val="bullet"/>
      <w:start w:val="1"/>
    </w:lvl>
  </w:abstractNum>
  <w:abstractNum w:abstractNumId="14">
    <w:nsid w:val="1716703B"/>
    <w:multiLevelType w:val="hybridMultilevel"/>
    <w:lvl w:ilvl="0">
      <w:lvlJc w:val="left"/>
      <w:lvlText w:val="(%1)"/>
      <w:numFmt w:val="decimal"/>
      <w:start w:val="1"/>
    </w:lvl>
  </w:abstractNum>
  <w:abstractNum w:abstractNumId="15">
    <w:nsid w:val="14E17E33"/>
    <w:multiLevelType w:val="hybridMultilevel"/>
    <w:lvl w:ilvl="0">
      <w:lvlJc w:val="left"/>
      <w:lvlText w:val="•"/>
      <w:numFmt w:val="bullet"/>
      <w:start w:val="1"/>
    </w:lvl>
  </w:abstractNum>
  <w:abstractNum w:abstractNumId="16">
    <w:nsid w:val="3222E7CD"/>
    <w:multiLevelType w:val="hybridMultilevel"/>
    <w:lvl w:ilvl="0">
      <w:lvlJc w:val="left"/>
      <w:lvlText w:val="•"/>
      <w:numFmt w:val="bullet"/>
      <w:start w:val="1"/>
    </w:lvl>
  </w:abstractNum>
  <w:abstractNum w:abstractNumId="17">
    <w:nsid w:val="74DE0EE3"/>
    <w:multiLevelType w:val="hybridMultilevel"/>
    <w:lvl w:ilvl="0">
      <w:lvlJc w:val="left"/>
      <w:lvlText w:val="(%1)"/>
      <w:numFmt w:val="lowerLetter"/>
      <w:start w:val="1"/>
    </w:lvl>
  </w:abstractNum>
  <w:abstractNum w:abstractNumId="18">
    <w:nsid w:val="68EBC550"/>
    <w:multiLevelType w:val="hybridMultilevel"/>
    <w:lvl w:ilvl="0">
      <w:lvlJc w:val="left"/>
      <w:lvlText w:val="(%1)"/>
      <w:numFmt w:val="lowerLetter"/>
      <w:start w:val="2"/>
    </w:lvl>
  </w:abstractNum>
  <w:abstractNum w:abstractNumId="19">
    <w:nsid w:val="2DF6D648"/>
    <w:multiLevelType w:val="hybridMultilevel"/>
    <w:lvl w:ilvl="0">
      <w:lvlJc w:val="left"/>
      <w:lvlText w:val="(%1)"/>
      <w:numFmt w:val="lowerLetter"/>
      <w:start w:val="1"/>
    </w:lvl>
  </w:abstractNum>
  <w:abstractNum w:abstractNumId="20">
    <w:nsid w:val="46B7D447"/>
    <w:multiLevelType w:val="hybridMultilevel"/>
    <w:lvl w:ilvl="0">
      <w:lvlJc w:val="left"/>
      <w:lvlText w:val="(%1)"/>
      <w:numFmt w:val="lowerLetter"/>
      <w:start w:val="2"/>
    </w:lvl>
  </w:abstractNum>
  <w:abstractNum w:abstractNumId="21">
    <w:nsid w:val="4A2AC315"/>
    <w:multiLevelType w:val="hybridMultilevel"/>
    <w:lvl w:ilvl="0">
      <w:lvlJc w:val="left"/>
      <w:lvlText w:val="%1"/>
      <w:numFmt w:val="decimal"/>
      <w:start w:val="101"/>
    </w:lvl>
  </w:abstractNum>
  <w:abstractNum w:abstractNumId="22">
    <w:nsid w:val="39EE015C"/>
    <w:multiLevelType w:val="hybridMultilevel"/>
    <w:lvl w:ilvl="0">
      <w:lvlJc w:val="left"/>
      <w:lvlText w:val="%1"/>
      <w:numFmt w:val="decimal"/>
      <w:start w:val="104"/>
    </w:lvl>
  </w:abstractNum>
  <w:abstractNum w:abstractNumId="23">
    <w:nsid w:val="57FC4FBB"/>
    <w:multiLevelType w:val="hybridMultilevel"/>
    <w:lvl w:ilvl="0">
      <w:lvlJc w:val="left"/>
      <w:lvlText w:val="*"/>
      <w:numFmt w:val="bullet"/>
      <w:start w:val="1"/>
    </w:lvl>
  </w:abstractNum>
  <w:abstractNum w:abstractNumId="24">
    <w:nsid w:val="CC1016F"/>
    <w:multiLevelType w:val="hybridMultilevel"/>
    <w:lvl w:ilvl="0">
      <w:lvlJc w:val="left"/>
      <w:lvlText w:val="•"/>
      <w:numFmt w:val="bullet"/>
      <w:start w:val="1"/>
    </w:lvl>
  </w:abstractNum>
  <w:abstractNum w:abstractNumId="25">
    <w:nsid w:val="43F18422"/>
    <w:multiLevelType w:val="hybridMultilevel"/>
    <w:lvl w:ilvl="0">
      <w:lvlJc w:val="left"/>
      <w:lvlText w:val="%1."/>
      <w:numFmt w:val="decimal"/>
      <w:start w:val="2"/>
    </w:lvl>
  </w:abstractNum>
  <w:abstractNum w:abstractNumId="26">
    <w:nsid w:val="60EF0119"/>
    <w:multiLevelType w:val="hybridMultilevel"/>
    <w:lvl w:ilvl="0">
      <w:lvlJc w:val="left"/>
      <w:lvlText w:val="%1."/>
      <w:numFmt w:val="decimal"/>
      <w:start w:val="1"/>
    </w:lvl>
  </w:abstractNum>
  <w:abstractNum w:abstractNumId="27">
    <w:nsid w:val="26F324BA"/>
    <w:multiLevelType w:val="hybridMultilevel"/>
    <w:lvl w:ilvl="0">
      <w:lvlJc w:val="left"/>
      <w:lvlText w:val="%1."/>
      <w:numFmt w:val="decimal"/>
      <w:start w:val="2"/>
    </w:lvl>
  </w:abstractNum>
  <w:abstractNum w:abstractNumId="28">
    <w:nsid w:val="7F01579B"/>
    <w:multiLevelType w:val="hybridMultilevel"/>
    <w:lvl w:ilvl="0">
      <w:lvlJc w:val="left"/>
      <w:lvlText w:val="%1."/>
      <w:numFmt w:val="decimal"/>
      <w:start w:val="4"/>
    </w:lvl>
  </w:abstractNum>
  <w:abstractNum w:abstractNumId="29">
    <w:nsid w:val="49DA307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0">
    <w:nsid w:val="7055A5F5"/>
    <w:multiLevelType w:val="hybridMultilevel"/>
    <w:lvl w:ilvl="0">
      <w:lvlJc w:val="left"/>
      <w:lvlText w:val="(%1)"/>
      <w:numFmt w:val="lowerRoman"/>
      <w:start w:val="3"/>
    </w:lvl>
  </w:abstractNum>
  <w:abstractNum w:abstractNumId="31">
    <w:nsid w:val="5FB8370B"/>
    <w:multiLevelType w:val="hybridMultilevel"/>
    <w:lvl w:ilvl="0">
      <w:lvlJc w:val="left"/>
      <w:lvlText w:val="%1"/>
      <w:numFmt w:val="lowerLetter"/>
      <w:start w:val="1"/>
    </w:lvl>
    <w:lvl w:ilvl="1">
      <w:lvlJc w:val="left"/>
      <w:lvlText w:val="(%2)"/>
      <w:numFmt w:val="lowerRoman"/>
      <w:start w:val="7"/>
    </w:lvl>
  </w:abstractNum>
  <w:abstractNum w:abstractNumId="32">
    <w:nsid w:val="50801EE1"/>
    <w:multiLevelType w:val="hybridMultilevel"/>
    <w:lvl w:ilvl="0">
      <w:lvlJc w:val="left"/>
      <w:lvlText w:val="(%1)"/>
      <w:numFmt w:val="lowerLetter"/>
      <w:start w:val="2"/>
    </w:lvl>
    <w:lvl w:ilvl="1">
      <w:lvlJc w:val="left"/>
      <w:lvlText w:val="%2"/>
      <w:numFmt w:val="lowerRoman"/>
      <w:start w:val="1"/>
    </w:lvl>
  </w:abstractNum>
  <w:abstractNum w:abstractNumId="33">
    <w:nsid w:val="488AC1A"/>
    <w:multiLevelType w:val="hybridMultilevel"/>
    <w:lvl w:ilvl="0">
      <w:lvlJc w:val="left"/>
      <w:lvlText w:val="(%1)"/>
      <w:numFmt w:val="lowerRoman"/>
      <w:start w:val="1"/>
    </w:lvl>
  </w:abstractNum>
  <w:abstractNum w:abstractNumId="34">
    <w:nsid w:val="5FB8011C"/>
    <w:multiLevelType w:val="hybridMultilevel"/>
    <w:lvl w:ilvl="0">
      <w:lvlJc w:val="left"/>
      <w:lvlText w:val="(%1)"/>
      <w:numFmt w:val="lowerLetter"/>
      <w:start w:val="1"/>
    </w:lvl>
  </w:abstractNum>
  <w:abstractNum w:abstractNumId="35">
    <w:nsid w:val="6AA78F7F"/>
    <w:multiLevelType w:val="hybridMultilevel"/>
    <w:lvl w:ilvl="0">
      <w:lvlJc w:val="left"/>
      <w:lvlText w:val="(%1)"/>
      <w:numFmt w:val="lowerLetter"/>
      <w:start w:val="3"/>
    </w:lvl>
  </w:abstractNum>
  <w:abstractNum w:abstractNumId="36">
    <w:nsid w:val="7672BD23"/>
    <w:multiLevelType w:val="hybridMultilevel"/>
    <w:lvl w:ilvl="0">
      <w:lvlJc w:val="left"/>
      <w:lvlText w:val="%1."/>
      <w:numFmt w:val="decimal"/>
      <w:start w:val="9"/>
    </w:lvl>
    <w:lvl w:ilvl="1">
      <w:lvlJc w:val="left"/>
      <w:lvlText w:val="(%2)"/>
      <w:numFmt w:val="lowerLetter"/>
      <w:start w:val="1"/>
    </w:lvl>
  </w:abstractNum>
  <w:abstractNum w:abstractNumId="37">
    <w:nsid w:val="6FC75AF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38">
    <w:nsid w:val="6A5F7029"/>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39">
    <w:nsid w:val="7D5E18F8"/>
    <w:multiLevelType w:val="hybridMultilevel"/>
    <w:lvl w:ilvl="0">
      <w:lvlJc w:val="left"/>
      <w:lvlText w:val="%1."/>
      <w:numFmt w:val="decimal"/>
      <w:start w:val="12"/>
    </w:lvl>
  </w:abstractNum>
  <w:abstractNum w:abstractNumId="40">
    <w:nsid w:val="5F3534A4"/>
    <w:multiLevelType w:val="hybridMultilevel"/>
    <w:lvl w:ilvl="0">
      <w:lvlJc w:val="left"/>
      <w:lvlText w:val="%1."/>
      <w:numFmt w:val="decimal"/>
      <w:start w:val="17"/>
    </w:lvl>
    <w:lvl w:ilvl="1">
      <w:lvlJc w:val="left"/>
      <w:lvlText w:val="(%2)"/>
      <w:numFmt w:val="lowerLetter"/>
      <w:start w:val="1"/>
    </w:lvl>
  </w:abstractNum>
  <w:abstractNum w:abstractNumId="41">
    <w:nsid w:val="73A1821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42">
    <w:nsid w:val="7DE67713"/>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43">
    <w:nsid w:val="555C55B5"/>
    <w:multiLevelType w:val="hybridMultilevel"/>
    <w:lvl w:ilvl="0">
      <w:lvlJc w:val="left"/>
      <w:lvlText w:val="%1."/>
      <w:numFmt w:val="decimal"/>
      <w:start w:val="18"/>
    </w:lvl>
    <w:lvl w:ilvl="1">
      <w:lvlJc w:val="left"/>
      <w:lvlText w:val="%2"/>
      <w:numFmt w:val="lowerLetter"/>
      <w:start w:val="1"/>
    </w:lvl>
    <w:lvl w:ilvl="2">
      <w:lvlJc w:val="left"/>
      <w:lvlText w:val="%3"/>
      <w:numFmt w:val="lowerLetter"/>
      <w:start w:val="1"/>
    </w:lvl>
  </w:abstractNum>
  <w:abstractNum w:abstractNumId="44">
    <w:nsid w:val="3FA62ACA"/>
    <w:multiLevelType w:val="hybridMultilevel"/>
    <w:lvl w:ilvl="0">
      <w:lvlJc w:val="left"/>
      <w:lvlText w:val="%1."/>
      <w:numFmt w:val="decimal"/>
      <w:start w:val="19"/>
    </w:lvl>
  </w:abstractNum>
  <w:abstractNum w:abstractNumId="45">
    <w:nsid w:val="14FCE74E"/>
    <w:multiLevelType w:val="hybridMultilevel"/>
    <w:lvl w:ilvl="0">
      <w:lvlJc w:val="left"/>
      <w:lvlText w:val="(%1)"/>
      <w:numFmt w:val="lowerLetter"/>
      <w:start w:val="2"/>
    </w:lvl>
  </w:abstractNum>
  <w:abstractNum w:abstractNumId="46">
    <w:nsid w:val="6A3DD3E8"/>
    <w:multiLevelType w:val="hybridMultilevel"/>
    <w:lvl w:ilvl="0">
      <w:lvlJc w:val="left"/>
      <w:lvlText w:val="%1."/>
      <w:numFmt w:val="decimal"/>
      <w:start w:val="25"/>
    </w:lvl>
    <w:lvl w:ilvl="1">
      <w:lvlJc w:val="left"/>
      <w:lvlText w:val="(%2)"/>
      <w:numFmt w:val="lowerLetter"/>
      <w:start w:val="1"/>
    </w:lvl>
  </w:abstractNum>
  <w:abstractNum w:abstractNumId="47">
    <w:nsid w:val="71C91298"/>
    <w:multiLevelType w:val="hybridMultilevel"/>
    <w:lvl w:ilvl="0">
      <w:lvlJc w:val="left"/>
      <w:lvlText w:val="(%1)"/>
      <w:numFmt w:val="lowerLetter"/>
      <w:start w:val="2"/>
    </w:lvl>
  </w:abstractNum>
  <w:abstractNum w:abstractNumId="48">
    <w:nsid w:val="9DAF632"/>
    <w:multiLevelType w:val="hybridMultilevel"/>
    <w:lvl w:ilvl="0">
      <w:lvlJc w:val="left"/>
      <w:lvlText w:val="(%1)"/>
      <w:numFmt w:val="lowerLetter"/>
      <w:start w:val="5"/>
    </w:lvl>
  </w:abstractNum>
  <w:abstractNum w:abstractNumId="49">
    <w:nsid w:val="53299938"/>
    <w:multiLevelType w:val="hybridMultilevel"/>
    <w:lvl w:ilvl="0">
      <w:lvlJc w:val="left"/>
      <w:lvlText w:val="%1"/>
      <w:numFmt w:val="decimal"/>
      <w:start w:val="1"/>
    </w:lvl>
    <w:lvl w:ilvl="1">
      <w:lvlJc w:val="left"/>
      <w:lvlText w:val="(%2)"/>
      <w:numFmt w:val="lowerLetter"/>
      <w:start w:val="6"/>
    </w:lvl>
  </w:abstractNum>
  <w:abstractNum w:abstractNumId="50">
    <w:nsid w:val="1FBFE8E0"/>
    <w:multiLevelType w:val="hybridMultilevel"/>
    <w:lvl w:ilvl="0">
      <w:lvlJc w:val="left"/>
      <w:lvlText w:val="%1."/>
      <w:numFmt w:val="decimal"/>
      <w:start w:val="26"/>
    </w:lvl>
    <w:lvl w:ilvl="1">
      <w:lvlJc w:val="left"/>
      <w:lvlText w:val="%2"/>
      <w:numFmt w:val="lowerLetter"/>
      <w:start w:val="1"/>
    </w:lvl>
  </w:abstractNum>
  <w:abstractNum w:abstractNumId="51">
    <w:nsid w:val="5092CA79"/>
    <w:multiLevelType w:val="hybridMultilevel"/>
    <w:lvl w:ilvl="0">
      <w:lvlJc w:val="left"/>
      <w:lvlText w:val="%1."/>
      <w:numFmt w:val="decimal"/>
      <w:start w:val="30"/>
    </w:lvl>
  </w:abstractNum>
  <w:abstractNum w:abstractNumId="52">
    <w:nsid w:val="1D545C4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lowerLetter"/>
      <w:start w:val="35"/>
    </w:lvl>
  </w:abstractNum>
  <w:abstractNum w:abstractNumId="53">
    <w:nsid w:val="59ADEA3D"/>
    <w:multiLevelType w:val="hybridMultilevel"/>
    <w:lvl w:ilvl="0">
      <w:lvlJc w:val="left"/>
      <w:lvlText w:val="%1"/>
      <w:numFmt w:val="lowerRoman"/>
      <w:start w:val="1"/>
    </w:lvl>
    <w:lvl w:ilvl="1">
      <w:lvlJc w:val="left"/>
      <w:lvlText w:val="(%2)"/>
      <w:numFmt w:val="lowerRoman"/>
      <w:start w:val="3"/>
    </w:lvl>
  </w:abstractNum>
  <w:abstractNum w:abstractNumId="54">
    <w:nsid w:val="288F1A34"/>
    <w:multiLevelType w:val="hybridMultilevel"/>
    <w:lvl w:ilvl="0">
      <w:lvlJc w:val="left"/>
      <w:lvlText w:val="(%1)"/>
      <w:numFmt w:val="lowerRoman"/>
      <w:start w:val="4"/>
    </w:lvl>
    <w:lvl w:ilvl="1">
      <w:lvlJc w:val="left"/>
      <w:lvlText w:val="%2"/>
      <w:numFmt w:val="lowerRoman"/>
      <w:start w:val="1"/>
    </w:lvl>
  </w:abstractNum>
  <w:abstractNum w:abstractNumId="55">
    <w:nsid w:val="2A155DBC"/>
    <w:multiLevelType w:val="hybridMultilevel"/>
    <w:lvl w:ilvl="0">
      <w:lvlJc w:val="left"/>
      <w:lvlText w:val="(%1)"/>
      <w:numFmt w:val="lowerRoman"/>
      <w:start w:val="5"/>
    </w:lvl>
  </w:abstractNum>
  <w:abstractNum w:abstractNumId="56">
    <w:nsid w:val="1D9F6E5F"/>
    <w:multiLevelType w:val="hybridMultilevel"/>
    <w:lvl w:ilvl="0">
      <w:lvlJc w:val="left"/>
      <w:lvlText w:val="%1."/>
      <w:numFmt w:val="decimal"/>
      <w:start w:val="2"/>
    </w:lvl>
  </w:abstractNum>
  <w:abstractNum w:abstractNumId="57">
    <w:nsid w:val="97E1B4E"/>
    <w:multiLevelType w:val="hybridMultilevel"/>
    <w:lvl w:ilvl="0">
      <w:lvlJc w:val="left"/>
      <w:lvlText w:val="%1."/>
      <w:numFmt w:val="decimal"/>
      <w:start w:val="7"/>
    </w:lvl>
  </w:abstractNum>
  <w:abstractNum w:abstractNumId="58">
    <w:nsid w:val="51088277"/>
    <w:multiLevelType w:val="hybridMultilevel"/>
    <w:lvl w:ilvl="0">
      <w:lvlJc w:val="left"/>
      <w:lvlText w:val="(%1)"/>
      <w:numFmt w:val="lowerLetter"/>
      <w:start w:val="1"/>
    </w:lvl>
  </w:abstractNum>
  <w:abstractNum w:abstractNumId="59">
    <w:nsid w:val="1CA0C5FA"/>
    <w:multiLevelType w:val="hybridMultilevel"/>
    <w:lvl w:ilvl="0">
      <w:lvlJc w:val="left"/>
      <w:lvlText w:val="(%1)"/>
      <w:numFmt w:val="lowerLetter"/>
      <w:start w:val="3"/>
    </w:lvl>
  </w:abstractNum>
  <w:abstractNum w:abstractNumId="60">
    <w:nsid w:val="53584BCB"/>
    <w:multiLevelType w:val="hybridMultilevel"/>
    <w:lvl w:ilvl="0">
      <w:lvlJc w:val="left"/>
      <w:lvlText w:val="%1."/>
      <w:numFmt w:val="decimal"/>
      <w:start w:val="1"/>
    </w:lvl>
  </w:abstractNum>
  <w:abstractNum w:abstractNumId="61">
    <w:nsid w:val="415E286C"/>
    <w:multiLevelType w:val="hybridMultilevel"/>
    <w:lvl w:ilvl="0">
      <w:lvlJc w:val="left"/>
      <w:lvlText w:val="%1."/>
      <w:numFmt w:val="decimal"/>
      <w:start w:val="2"/>
    </w:lvl>
  </w:abstractNum>
  <w:abstractNum w:abstractNumId="62">
    <w:nsid w:val="7C58FD05"/>
    <w:multiLevelType w:val="hybridMultilevel"/>
    <w:lvl w:ilvl="0">
      <w:lvlJc w:val="left"/>
      <w:lvlText w:val="%1."/>
      <w:numFmt w:val="decimal"/>
      <w:start w:val="4"/>
    </w:lvl>
  </w:abstractNum>
  <w:abstractNum w:abstractNumId="63">
    <w:nsid w:val="23D86AA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4">
    <w:nsid w:val="45E6D486"/>
    <w:multiLevelType w:val="hybridMultilevel"/>
    <w:lvl w:ilvl="0">
      <w:lvlJc w:val="left"/>
      <w:lvlText w:val="%1"/>
      <w:numFmt w:val="lowerLetter"/>
      <w:start w:val="1"/>
    </w:lvl>
    <w:lvl w:ilvl="1">
      <w:lvlJc w:val="left"/>
      <w:lvlText w:val="(%2)"/>
      <w:numFmt w:val="lowerRoman"/>
      <w:start w:val="3"/>
    </w:lvl>
  </w:abstractNum>
  <w:abstractNum w:abstractNumId="65">
    <w:nsid w:val="5C10FE21"/>
    <w:multiLevelType w:val="hybridMultilevel"/>
    <w:lvl w:ilvl="0">
      <w:lvlJc w:val="left"/>
      <w:lvlText w:val="(%1)"/>
      <w:numFmt w:val="lowerLetter"/>
      <w:start w:val="2"/>
    </w:lvl>
    <w:lvl w:ilvl="1">
      <w:lvlJc w:val="left"/>
      <w:lvlText w:val="%2"/>
      <w:numFmt w:val="lowerRoman"/>
      <w:start w:val="1"/>
    </w:lvl>
  </w:abstractNum>
  <w:abstractNum w:abstractNumId="66">
    <w:nsid w:val="E7FFA2B"/>
    <w:multiLevelType w:val="hybridMultilevel"/>
    <w:lvl w:ilvl="0">
      <w:lvlJc w:val="left"/>
      <w:lvlText w:val="(%1)"/>
      <w:numFmt w:val="lowerRoman"/>
      <w:start w:val="2"/>
    </w:lvl>
  </w:abstractNum>
  <w:abstractNum w:abstractNumId="67">
    <w:nsid w:val="3C5991AA"/>
    <w:multiLevelType w:val="hybridMultilevel"/>
    <w:lvl w:ilvl="0">
      <w:lvlJc w:val="left"/>
      <w:lvlText w:val="(%1)"/>
      <w:numFmt w:val="lowerLetter"/>
      <w:start w:val="1"/>
    </w:lvl>
  </w:abstractNum>
  <w:abstractNum w:abstractNumId="68">
    <w:nsid w:val="4BD8591A"/>
    <w:multiLevelType w:val="hybridMultilevel"/>
    <w:lvl w:ilvl="0">
      <w:lvlJc w:val="left"/>
      <w:lvlText w:val="(%1)"/>
      <w:numFmt w:val="lowerLetter"/>
      <w:start w:val="4"/>
    </w:lvl>
  </w:abstractNum>
  <w:abstractNum w:abstractNumId="69">
    <w:nsid w:val="78DF6A55"/>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70">
    <w:nsid w:val="39B7AAA2"/>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71">
    <w:nsid w:val="2B0D8DBE"/>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72">
    <w:nsid w:val="6C80EC70"/>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2"/>
    </w:lvl>
  </w:abstractNum>
  <w:abstractNum w:abstractNumId="73">
    <w:nsid w:val="379E21B5"/>
    <w:multiLevelType w:val="hybridMultilevel"/>
    <w:lvl w:ilvl="0">
      <w:lvlJc w:val="left"/>
      <w:lvlText w:val="%1"/>
      <w:numFmt w:val="decimal"/>
      <w:start w:val="1"/>
    </w:lvl>
    <w:lvl w:ilvl="1">
      <w:lvlJc w:val="left"/>
      <w:lvlText w:val="(%2)"/>
      <w:numFmt w:val="lowerLetter"/>
      <w:start w:val="6"/>
    </w:lvl>
  </w:abstractNum>
  <w:abstractNum w:abstractNumId="74">
    <w:nsid w:val="69E373"/>
    <w:multiLevelType w:val="hybridMultilevel"/>
    <w:lvl w:ilvl="0">
      <w:lvlJc w:val="left"/>
      <w:lvlText w:val="%1."/>
      <w:numFmt w:val="decimal"/>
      <w:start w:val="12"/>
    </w:lvl>
    <w:lvl w:ilvl="1">
      <w:lvlJc w:val="left"/>
      <w:lvlText w:val="%2"/>
      <w:numFmt w:val="lowerLetter"/>
      <w:start w:val="1"/>
    </w:lvl>
  </w:abstractNum>
  <w:abstractNum w:abstractNumId="75">
    <w:nsid w:val="2C27173B"/>
    <w:multiLevelType w:val="hybridMultilevel"/>
    <w:lvl w:ilvl="0">
      <w:lvlJc w:val="left"/>
      <w:lvlText w:val="%1."/>
      <w:numFmt w:val="decimal"/>
      <w:start w:val="16"/>
    </w:lvl>
  </w:abstractNum>
  <w:abstractNum w:abstractNumId="76">
    <w:nsid w:val="4C9B0904"/>
    <w:multiLevelType w:val="hybridMultilevel"/>
    <w:lvl w:ilvl="0">
      <w:lvlJc w:val="left"/>
      <w:lvlText w:val="%1."/>
      <w:numFmt w:val="decimal"/>
      <w:start w:val="17"/>
    </w:lvl>
    <w:lvl w:ilvl="1">
      <w:lvlJc w:val="left"/>
      <w:lvlText w:val="(%2)"/>
      <w:numFmt w:val="lowerLetter"/>
      <w:start w:val="1"/>
    </w:lvl>
  </w:abstractNum>
  <w:abstractNum w:abstractNumId="77">
    <w:nsid w:val="6AA7B75C"/>
    <w:multiLevelType w:val="hybridMultilevel"/>
    <w:lvl w:ilvl="0">
      <w:lvlJc w:val="left"/>
      <w:lvlText w:val="%1."/>
      <w:numFmt w:val="decimal"/>
      <w:start w:val="19"/>
    </w:lvl>
  </w:abstractNum>
  <w:abstractNum w:abstractNumId="78">
    <w:nsid w:val="1DF029D3"/>
    <w:multiLevelType w:val="hybridMultilevel"/>
    <w:lvl w:ilvl="0">
      <w:lvlJc w:val="left"/>
      <w:lvlText w:val="(%1)"/>
      <w:numFmt w:val="lowerLetter"/>
      <w:start w:val="2"/>
    </w:lvl>
  </w:abstractNum>
  <w:abstractNum w:abstractNumId="79">
    <w:nsid w:val="5675FF36"/>
    <w:multiLevelType w:val="hybridMultilevel"/>
    <w:lvl w:ilvl="0">
      <w:lvlJc w:val="left"/>
      <w:lvlText w:val="%1."/>
      <w:numFmt w:val="decimal"/>
      <w:start w:val="25"/>
    </w:lvl>
    <w:lvl w:ilvl="1">
      <w:lvlJc w:val="left"/>
      <w:lvlText w:val="(%2)"/>
      <w:numFmt w:val="lowerLetter"/>
      <w:start w:val="1"/>
    </w:lvl>
  </w:abstractNum>
  <w:abstractNum w:abstractNumId="80">
    <w:nsid w:val="3DD15094"/>
    <w:multiLevelType w:val="hybridMultilevel"/>
    <w:lvl w:ilvl="0">
      <w:lvlJc w:val="left"/>
      <w:lvlText w:val="%1"/>
      <w:numFmt w:val="decimal"/>
      <w:start w:val="1"/>
    </w:lvl>
    <w:lvl w:ilvl="1">
      <w:lvlJc w:val="left"/>
      <w:lvlText w:val="(%2)"/>
      <w:numFmt w:val="lowerLetter"/>
      <w:start w:val="6"/>
    </w:lvl>
  </w:abstractNum>
  <w:abstractNum w:abstractNumId="81">
    <w:nsid w:val="3DB012B3"/>
    <w:multiLevelType w:val="hybridMultilevel"/>
    <w:lvl w:ilvl="0">
      <w:lvlJc w:val="left"/>
      <w:lvlText w:val="%1."/>
      <w:numFmt w:val="decimal"/>
      <w:start w:val="26"/>
    </w:lvl>
    <w:lvl w:ilvl="1">
      <w:lvlJc w:val="left"/>
      <w:lvlText w:val="%2"/>
      <w:numFmt w:val="lowerLetter"/>
      <w:start w:val="1"/>
    </w:lvl>
  </w:abstractNum>
  <w:abstractNum w:abstractNumId="82">
    <w:nsid w:val="2708C9AF"/>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abstractNum>
  <w:abstractNum w:abstractNumId="83">
    <w:nsid w:val="5B25ACE2"/>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2"/>
    </w:lvl>
  </w:abstractNum>
  <w:abstractNum w:abstractNumId="84">
    <w:nsid w:val="175DFCF0"/>
    <w:multiLevelType w:val="hybridMultilevel"/>
    <w:lvl w:ilvl="0">
      <w:lvlJc w:val="left"/>
      <w:lvlText w:val="%1"/>
      <w:numFmt w:val="lowerRoman"/>
      <w:start w:val="1"/>
    </w:lvl>
    <w:lvl w:ilvl="1">
      <w:lvlJc w:val="left"/>
      <w:lvlText w:val="(%2)"/>
      <w:numFmt w:val="lowerRoman"/>
      <w:start w:val="3"/>
    </w:lvl>
    <w:lvl w:ilvl="2">
      <w:lvlJc w:val="left"/>
      <w:lvlText w:val="%3"/>
      <w:numFmt w:val="lowerRoman"/>
      <w:start w:val="1"/>
    </w:lvl>
  </w:abstractNum>
  <w:abstractNum w:abstractNumId="85">
    <w:nsid w:val="4F97E3E4"/>
    <w:multiLevelType w:val="hybridMultilevel"/>
    <w:lvl w:ilvl="0">
      <w:lvlJc w:val="left"/>
      <w:lvlText w:val="(%1)"/>
      <w:numFmt w:val="lowerRoman"/>
      <w:start w:val="4"/>
    </w:lvl>
    <w:lvl w:ilvl="1">
      <w:lvlJc w:val="left"/>
      <w:lvlText w:val="%2"/>
      <w:numFmt w:val="lowerRoman"/>
      <w:start w:val="1"/>
    </w:lvl>
    <w:lvl w:ilvl="2">
      <w:lvlJc w:val="left"/>
      <w:lvlText w:val="%3"/>
      <w:numFmt w:val="lowerRoman"/>
      <w:start w:val="1"/>
    </w:lvl>
  </w:abstractNum>
  <w:abstractNum w:abstractNumId="86">
    <w:nsid w:val="53B0A9E"/>
    <w:multiLevelType w:val="hybridMultilevel"/>
    <w:lvl w:ilvl="0">
      <w:lvlJc w:val="left"/>
      <w:lvlText w:val="(%1)"/>
      <w:numFmt w:val="lowerRoman"/>
      <w:start w:val="5"/>
    </w:lvl>
  </w:abstractNum>
  <w:abstractNum w:abstractNumId="87">
    <w:nsid w:val="34FD6B4F"/>
    <w:multiLevelType w:val="hybridMultilevel"/>
    <w:lvl w:ilvl="0">
      <w:lvlJc w:val="left"/>
      <w:lvlText w:val="%1."/>
      <w:numFmt w:val="decimal"/>
      <w:start w:val="2"/>
    </w:lvl>
  </w:abstractNum>
  <w:abstractNum w:abstractNumId="88">
    <w:nsid w:val="5915FF32"/>
    <w:multiLevelType w:val="hybridMultilevel"/>
    <w:lvl w:ilvl="0">
      <w:lvlJc w:val="left"/>
      <w:lvlText w:val="%1."/>
      <w:numFmt w:val="decimal"/>
      <w:start w:val="7"/>
    </w:lvl>
  </w:abstractNum>
  <w:abstractNum w:abstractNumId="89">
    <w:nsid w:val="56438D15"/>
    <w:multiLevelType w:val="hybridMultilevel"/>
    <w:lvl w:ilvl="0">
      <w:lvlJc w:val="left"/>
      <w:lvlText w:val="(%1)"/>
      <w:numFmt w:val="lowerLetter"/>
      <w:start w:val="1"/>
    </w:lvl>
  </w:abstractNum>
  <w:abstractNum w:abstractNumId="90">
    <w:nsid w:val="519E3149"/>
    <w:multiLevelType w:val="hybridMultilevel"/>
    <w:lvl w:ilvl="0">
      <w:lvlJc w:val="left"/>
      <w:lvlText w:val="(%1)"/>
      <w:numFmt w:val="lowerLetter"/>
      <w:start w:val="3"/>
    </w:lvl>
  </w:abstractNum>
  <w:abstractNum w:abstractNumId="91">
    <w:nsid w:val="2C6E4AFD"/>
    <w:multiLevelType w:val="hybridMultilevel"/>
    <w:lvl w:ilvl="0">
      <w:lvlJc w:val="left"/>
      <w:lvlText w:val="%1."/>
      <w:numFmt w:val="decimal"/>
      <w:start w:val="1"/>
    </w:lvl>
  </w:abstractNum>
  <w:abstractNum w:abstractNumId="92">
    <w:nsid w:val="17A1B582"/>
    <w:multiLevelType w:val="hybridMultilevel"/>
    <w:lvl w:ilvl="0">
      <w:lvlJc w:val="left"/>
      <w:lvlText w:val="%1."/>
      <w:numFmt w:val="decimal"/>
      <w:start w:val="2"/>
    </w:lvl>
  </w:abstractNum>
  <w:abstractNum w:abstractNumId="93">
    <w:nsid w:val="4DF72E4E"/>
    <w:multiLevelType w:val="hybridMultilevel"/>
    <w:lvl w:ilvl="0">
      <w:lvlJc w:val="left"/>
      <w:lvlText w:val="%1."/>
      <w:numFmt w:val="decimal"/>
      <w:start w:val="4"/>
    </w:lvl>
  </w:abstractNum>
  <w:abstractNum w:abstractNumId="94">
    <w:nsid w:val="5046B5A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95">
    <w:nsid w:val="5D888A08"/>
    <w:multiLevelType w:val="hybridMultilevel"/>
    <w:lvl w:ilvl="0">
      <w:lvlJc w:val="left"/>
      <w:lvlText w:val="(%1)"/>
      <w:numFmt w:val="decimal"/>
      <w:start w:val="2"/>
    </w:lvl>
  </w:abstractNum>
  <w:abstractNum w:abstractNumId="96">
    <w:nsid w:val="2A082C70"/>
    <w:multiLevelType w:val="hybridMultilevel"/>
    <w:lvl w:ilvl="0">
      <w:lvlJc w:val="left"/>
      <w:lvlText w:val="(%1)"/>
      <w:numFmt w:val="lowerRoman"/>
      <w:start w:val="3"/>
    </w:lvl>
  </w:abstractNum>
  <w:abstractNum w:abstractNumId="97">
    <w:nsid w:val="5EC6AFD4"/>
    <w:multiLevelType w:val="hybridMultilevel"/>
    <w:lvl w:ilvl="0">
      <w:lvlJc w:val="left"/>
      <w:lvlText w:val="(%1)"/>
      <w:numFmt w:val="lowerLetter"/>
      <w:start w:val="2"/>
    </w:lvl>
    <w:lvl w:ilvl="1">
      <w:lvlJc w:val="left"/>
      <w:lvlText w:val="(%2)"/>
      <w:numFmt w:val="lowerLetter"/>
      <w:start w:val="35"/>
    </w:lvl>
  </w:abstractNum>
  <w:abstractNum w:abstractNumId="98">
    <w:nsid w:val="19E21BB2"/>
    <w:multiLevelType w:val="hybridMultilevel"/>
    <w:lvl w:ilvl="0">
      <w:lvlJc w:val="left"/>
      <w:lvlText w:val="(%1)"/>
      <w:numFmt w:val="lowerLetter"/>
      <w:start w:val="1"/>
    </w:lvl>
  </w:abstractNum>
  <w:abstractNum w:abstractNumId="99">
    <w:nsid w:val="75E0858A"/>
    <w:multiLevelType w:val="hybridMultilevel"/>
    <w:lvl w:ilvl="0">
      <w:lvlJc w:val="left"/>
      <w:lvlText w:val="(%1)"/>
      <w:numFmt w:val="lowerLetter"/>
      <w:start w:val="3"/>
    </w:lvl>
  </w:abstractNum>
  <w:abstractNum w:abstractNumId="100">
    <w:nsid w:val="57A61A29"/>
    <w:multiLevelType w:val="hybridMultilevel"/>
    <w:lvl w:ilvl="0">
      <w:lvlJc w:val="left"/>
      <w:lvlText w:val="%1."/>
      <w:numFmt w:val="decimal"/>
      <w:start w:val="9"/>
    </w:lvl>
    <w:lvl w:ilvl="1">
      <w:lvlJc w:val="left"/>
      <w:lvlText w:val="(%2)"/>
      <w:numFmt w:val="lowerLetter"/>
      <w:start w:val="1"/>
    </w:lvl>
  </w:abstractNum>
  <w:abstractNum w:abstractNumId="101">
    <w:nsid w:val="5399C654"/>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02">
    <w:nsid w:val="20EE1348"/>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103">
    <w:nsid w:val="4427069A"/>
    <w:multiLevelType w:val="hybridMultilevel"/>
    <w:lvl w:ilvl="0">
      <w:lvlJc w:val="left"/>
      <w:lvlText w:val="(%1)"/>
      <w:numFmt w:val="lowerLetter"/>
      <w:start w:val="8"/>
    </w:lvl>
  </w:abstractNum>
  <w:abstractNum w:abstractNumId="104">
    <w:nsid w:val="B37E80A"/>
    <w:multiLevelType w:val="hybridMultilevel"/>
    <w:lvl w:ilvl="0">
      <w:lvlJc w:val="left"/>
      <w:lvlText w:val="%1."/>
      <w:numFmt w:val="decimal"/>
      <w:start w:val="12"/>
    </w:lvl>
  </w:abstractNum>
  <w:abstractNum w:abstractNumId="105">
    <w:nsid w:val="2157F6BC"/>
    <w:multiLevelType w:val="hybridMultilevel"/>
    <w:lvl w:ilvl="0">
      <w:lvlJc w:val="left"/>
      <w:lvlText w:val="%1."/>
      <w:numFmt w:val="decimal"/>
      <w:start w:val="17"/>
    </w:lvl>
    <w:lvl w:ilvl="1">
      <w:lvlJc w:val="left"/>
      <w:lvlText w:val="(%2)"/>
      <w:numFmt w:val="lowerLetter"/>
      <w:start w:val="1"/>
    </w:lvl>
  </w:abstractNum>
  <w:abstractNum w:abstractNumId="106">
    <w:nsid w:val="704E1DD5"/>
    <w:multiLevelType w:val="hybridMultilevel"/>
    <w:lvl w:ilvl="0">
      <w:lvlJc w:val="left"/>
      <w:lvlText w:val="%1."/>
      <w:numFmt w:val="decimal"/>
      <w:start w:val="19"/>
    </w:lvl>
  </w:abstractNum>
  <w:abstractNum w:abstractNumId="107">
    <w:nsid w:val="57D2F10E"/>
    <w:multiLevelType w:val="hybridMultilevel"/>
    <w:lvl w:ilvl="0">
      <w:lvlJc w:val="left"/>
      <w:lvlText w:val="(%1)"/>
      <w:numFmt w:val="lowerLetter"/>
      <w:start w:val="2"/>
    </w:lvl>
  </w:abstractNum>
  <w:abstractNum w:abstractNumId="108">
    <w:nsid w:val="BFFAE18"/>
    <w:multiLevelType w:val="hybridMultilevel"/>
    <w:lvl w:ilvl="0">
      <w:lvlJc w:val="left"/>
      <w:lvlText w:val="%1."/>
      <w:numFmt w:val="decimal"/>
      <w:start w:val="25"/>
    </w:lvl>
    <w:lvl w:ilvl="1">
      <w:lvlJc w:val="left"/>
      <w:lvlText w:val="(%2)"/>
      <w:numFmt w:val="lowerLetter"/>
      <w:start w:val="1"/>
    </w:lvl>
  </w:abstractNum>
  <w:abstractNum w:abstractNumId="109">
    <w:nsid w:val="E3E47A8"/>
    <w:multiLevelType w:val="hybridMultilevel"/>
    <w:lvl w:ilvl="0">
      <w:lvlJc w:val="left"/>
      <w:lvlText w:val="(%1)"/>
      <w:numFmt w:val="lowerLetter"/>
      <w:start w:val="2"/>
    </w:lvl>
  </w:abstractNum>
  <w:abstractNum w:abstractNumId="110">
    <w:nsid w:val="2E48F044"/>
    <w:multiLevelType w:val="hybridMultilevel"/>
    <w:lvl w:ilvl="0">
      <w:lvlJc w:val="left"/>
      <w:lvlText w:val="(%1)"/>
      <w:numFmt w:val="lowerLetter"/>
      <w:start w:val="5"/>
    </w:lvl>
  </w:abstractNum>
  <w:abstractNum w:abstractNumId="111">
    <w:nsid w:val="49D0FEAC"/>
    <w:multiLevelType w:val="hybridMultilevel"/>
    <w:lvl w:ilvl="0">
      <w:lvlJc w:val="left"/>
      <w:lvlText w:val="%1"/>
      <w:numFmt w:val="decimal"/>
      <w:start w:val="1"/>
    </w:lvl>
    <w:lvl w:ilvl="1">
      <w:lvlJc w:val="left"/>
      <w:lvlText w:val="(%2)"/>
      <w:numFmt w:val="lowerLetter"/>
      <w:start w:val="6"/>
    </w:lvl>
  </w:abstractNum>
  <w:abstractNum w:abstractNumId="112">
    <w:nsid w:val="4BEE5A5B"/>
    <w:multiLevelType w:val="hybridMultilevel"/>
    <w:lvl w:ilvl="0">
      <w:lvlJc w:val="left"/>
      <w:lvlText w:val="%1."/>
      <w:numFmt w:val="decimal"/>
      <w:start w:val="26"/>
    </w:lvl>
    <w:lvl w:ilvl="1">
      <w:lvlJc w:val="left"/>
      <w:lvlText w:val="%2"/>
      <w:numFmt w:val="lowerLetter"/>
      <w:start w:val="1"/>
    </w:lvl>
  </w:abstractNum>
  <w:abstractNum w:abstractNumId="113">
    <w:nsid w:val="5551B9F3"/>
    <w:multiLevelType w:val="hybridMultilevel"/>
    <w:lvl w:ilvl="0">
      <w:lvlJc w:val="left"/>
      <w:lvlText w:val="%1."/>
      <w:numFmt w:val="decimal"/>
      <w:start w:val="30"/>
    </w:lvl>
  </w:abstractNum>
  <w:abstractNum w:abstractNumId="114">
    <w:nsid w:val="24F6AB8E"/>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abstractNum>
  <w:abstractNum w:abstractNumId="115">
    <w:nsid w:val="634C574C"/>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2"/>
    </w:lvl>
  </w:abstractNum>
  <w:abstractNum w:abstractNumId="116">
    <w:nsid w:val="24E99DD7"/>
    <w:multiLevelType w:val="hybridMultilevel"/>
    <w:lvl w:ilvl="0">
      <w:lvlJc w:val="left"/>
      <w:lvlText w:val="%1"/>
      <w:numFmt w:val="lowerRoman"/>
      <w:start w:val="1"/>
    </w:lvl>
    <w:lvl w:ilvl="1">
      <w:lvlJc w:val="left"/>
      <w:lvlText w:val="(%2)"/>
      <w:numFmt w:val="lowerRoman"/>
      <w:start w:val="3"/>
    </w:lvl>
    <w:lvl w:ilvl="2">
      <w:lvlJc w:val="left"/>
      <w:lvlText w:val="%3"/>
      <w:numFmt w:val="lowerRoman"/>
      <w:start w:val="1"/>
    </w:lvl>
  </w:abstractNum>
  <w:abstractNum w:abstractNumId="117">
    <w:nsid w:val="2A31B62D"/>
    <w:multiLevelType w:val="hybridMultilevel"/>
    <w:lvl w:ilvl="0">
      <w:lvlJc w:val="left"/>
      <w:lvlText w:val="(%1)"/>
      <w:numFmt w:val="lowerRoman"/>
      <w:start w:val="4"/>
    </w:lvl>
    <w:lvl w:ilvl="1">
      <w:lvlJc w:val="left"/>
      <w:lvlText w:val="%2"/>
      <w:numFmt w:val="lowerRoman"/>
      <w:start w:val="1"/>
    </w:lvl>
    <w:lvl w:ilvl="2">
      <w:lvlJc w:val="left"/>
      <w:lvlText w:val="%3"/>
      <w:numFmt w:val="lowerRoman"/>
      <w:start w:val="1"/>
    </w:lvl>
  </w:abstractNum>
  <w:abstractNum w:abstractNumId="118">
    <w:nsid w:val="1849C29B"/>
    <w:multiLevelType w:val="hybridMultilevel"/>
    <w:lvl w:ilvl="0">
      <w:lvlJc w:val="left"/>
      <w:lvlText w:val="(%1)"/>
      <w:numFmt w:val="lowerRoman"/>
      <w:start w:val="5"/>
    </w:lvl>
  </w:abstractNum>
  <w:abstractNum w:abstractNumId="119">
    <w:nsid w:val="7DFF9D09"/>
    <w:multiLevelType w:val="hybridMultilevel"/>
    <w:lvl w:ilvl="0">
      <w:lvlJc w:val="left"/>
      <w:lvlText w:val="%1."/>
      <w:numFmt w:val="decimal"/>
      <w:start w:val="2"/>
    </w:lvl>
  </w:abstractNum>
  <w:abstractNum w:abstractNumId="120">
    <w:nsid w:val="754342"/>
    <w:multiLevelType w:val="hybridMultilevel"/>
    <w:lvl w:ilvl="0">
      <w:lvlJc w:val="left"/>
      <w:lvlText w:val="%1."/>
      <w:numFmt w:val="decimal"/>
      <w:start w:val="7"/>
    </w:lvl>
  </w:abstractNum>
  <w:abstractNum w:abstractNumId="121">
    <w:nsid w:val="69E7F3E5"/>
    <w:multiLevelType w:val="hybridMultilevel"/>
    <w:lvl w:ilvl="0">
      <w:lvlJc w:val="left"/>
      <w:lvlText w:val="(%1)"/>
      <w:numFmt w:val="lowerLetter"/>
      <w:start w:val="1"/>
    </w:lvl>
  </w:abstractNum>
  <w:abstractNum w:abstractNumId="122">
    <w:nsid w:val="2A6DE806"/>
    <w:multiLevelType w:val="hybridMultilevel"/>
    <w:lvl w:ilvl="0">
      <w:lvlJc w:val="left"/>
      <w:lvlText w:val="(%1)"/>
      <w:numFmt w:val="lowerLetter"/>
      <w:start w:val="3"/>
    </w:lvl>
  </w:abstractNum>
  <w:abstractNum w:abstractNumId="123">
    <w:nsid w:val="1816F8C4"/>
    <w:multiLevelType w:val="hybridMultilevel"/>
    <w:lvl w:ilvl="0">
      <w:lvlJc w:val="left"/>
      <w:lvlText w:val="%1."/>
      <w:numFmt w:val="decimal"/>
      <w:start w:val="1"/>
    </w:lvl>
  </w:abstractNum>
  <w:abstractNum w:abstractNumId="124">
    <w:nsid w:val="37DF2233"/>
    <w:multiLevelType w:val="hybridMultilevel"/>
    <w:lvl w:ilvl="0">
      <w:lvlJc w:val="left"/>
      <w:lvlText w:val="%1."/>
      <w:numFmt w:val="decimal"/>
      <w:start w:val="2"/>
    </w:lvl>
  </w:abstractNum>
  <w:abstractNum w:abstractNumId="125">
    <w:nsid w:val="7AB49DAF"/>
    <w:multiLevelType w:val="hybridMultilevel"/>
    <w:lvl w:ilvl="0">
      <w:lvlJc w:val="left"/>
      <w:lvlText w:val="%1."/>
      <w:numFmt w:val="decimal"/>
      <w:start w:val="4"/>
    </w:lvl>
  </w:abstractNum>
  <w:abstractNum w:abstractNumId="126">
    <w:nsid w:val="759F82C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27">
    <w:nsid w:val="61E74EA3"/>
    <w:multiLevelType w:val="hybridMultilevel"/>
    <w:lvl w:ilvl="0">
      <w:lvlJc w:val="left"/>
      <w:lvlText w:val="%1"/>
      <w:numFmt w:val="lowerLetter"/>
      <w:start w:val="1"/>
    </w:lvl>
    <w:lvl w:ilvl="1">
      <w:lvlJc w:val="left"/>
      <w:lvlText w:val="(%2)"/>
      <w:numFmt w:val="lowerRoman"/>
      <w:start w:val="3"/>
    </w:lvl>
  </w:abstractNum>
  <w:abstractNum w:abstractNumId="128">
    <w:nsid w:val="597B4D84"/>
    <w:multiLevelType w:val="hybridMultilevel"/>
    <w:lvl w:ilvl="0">
      <w:lvlJc w:val="left"/>
      <w:lvlText w:val="(%1)"/>
      <w:numFmt w:val="lowerLetter"/>
      <w:start w:val="2"/>
    </w:lvl>
    <w:lvl w:ilvl="1">
      <w:lvlJc w:val="left"/>
      <w:lvlText w:val="%2"/>
      <w:numFmt w:val="lowerRoman"/>
      <w:start w:val="1"/>
    </w:lvl>
  </w:abstractNum>
  <w:abstractNum w:abstractNumId="129">
    <w:nsid w:val="F819E7F"/>
    <w:multiLevelType w:val="hybridMultilevel"/>
    <w:lvl w:ilvl="0">
      <w:lvlJc w:val="left"/>
      <w:lvlText w:val="(%1)"/>
      <w:numFmt w:val="lowerRoman"/>
      <w:start w:val="2"/>
    </w:lvl>
  </w:abstractNum>
  <w:abstractNum w:abstractNumId="130">
    <w:nsid w:val="57C7D42D"/>
    <w:multiLevelType w:val="hybridMultilevel"/>
    <w:lvl w:ilvl="0">
      <w:lvlJc w:val="left"/>
      <w:lvlText w:val="(%1)"/>
      <w:numFmt w:val="lowerLetter"/>
      <w:start w:val="1"/>
    </w:lvl>
  </w:abstractNum>
  <w:abstractNum w:abstractNumId="131">
    <w:nsid w:val="312167AD"/>
    <w:multiLevelType w:val="hybridMultilevel"/>
    <w:lvl w:ilvl="0">
      <w:lvlJc w:val="left"/>
      <w:lvlText w:val="(%1)"/>
      <w:numFmt w:val="lowerLetter"/>
      <w:start w:val="4"/>
    </w:lvl>
  </w:abstractNum>
  <w:abstractNum w:abstractNumId="132">
    <w:nsid w:val="631B64D4"/>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33">
    <w:nsid w:val="78B5E776"/>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134">
    <w:nsid w:val="75486E47"/>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35">
    <w:nsid w:val="6E534CDE"/>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136">
    <w:nsid w:val="1A0DDE32"/>
    <w:multiLevelType w:val="hybridMultilevel"/>
    <w:lvl w:ilvl="0">
      <w:lvlJc w:val="left"/>
      <w:lvlText w:val="%1"/>
      <w:numFmt w:val="decimal"/>
      <w:start w:val="1"/>
    </w:lvl>
    <w:lvl w:ilvl="1">
      <w:lvlJc w:val="left"/>
      <w:lvlText w:val="(%2)"/>
      <w:numFmt w:val="lowerLetter"/>
      <w:start w:val="6"/>
    </w:lvl>
  </w:abstractNum>
  <w:abstractNum w:abstractNumId="137">
    <w:nsid w:val="65968C1C"/>
    <w:multiLevelType w:val="hybridMultilevel"/>
    <w:lvl w:ilvl="0">
      <w:lvlJc w:val="left"/>
      <w:lvlText w:val="%1."/>
      <w:numFmt w:val="decimal"/>
      <w:start w:val="12"/>
    </w:lvl>
    <w:lvl w:ilvl="1">
      <w:lvlJc w:val="left"/>
      <w:lvlText w:val="%2"/>
      <w:numFmt w:val="lowerLetter"/>
      <w:start w:val="1"/>
    </w:lvl>
  </w:abstractNum>
  <w:abstractNum w:abstractNumId="138">
    <w:nsid w:val="46263DEC"/>
    <w:multiLevelType w:val="hybridMultilevel"/>
    <w:lvl w:ilvl="0">
      <w:lvlJc w:val="left"/>
      <w:lvlText w:val="%1."/>
      <w:numFmt w:val="decimal"/>
      <w:start w:val="16"/>
    </w:lvl>
  </w:abstractNum>
  <w:abstractNum w:abstractNumId="139">
    <w:nsid w:val="260D8C4A"/>
    <w:multiLevelType w:val="hybridMultilevel"/>
    <w:lvl w:ilvl="0">
      <w:lvlJc w:val="left"/>
      <w:lvlText w:val="%1."/>
      <w:numFmt w:val="decimal"/>
      <w:start w:val="17"/>
    </w:lvl>
    <w:lvl w:ilvl="1">
      <w:lvlJc w:val="left"/>
      <w:lvlText w:val="(%2)"/>
      <w:numFmt w:val="lowerLetter"/>
      <w:start w:val="1"/>
    </w:lvl>
  </w:abstractNum>
  <w:abstractNum w:abstractNumId="140">
    <w:nsid w:val="73D4D3C4"/>
    <w:multiLevelType w:val="hybridMultilevel"/>
    <w:lvl w:ilvl="0">
      <w:lvlJc w:val="left"/>
      <w:lvlText w:val="%1."/>
      <w:numFmt w:val="decimal"/>
      <w:start w:val="19"/>
    </w:lvl>
  </w:abstractNum>
  <w:abstractNum w:abstractNumId="141">
    <w:nsid w:val="746F2E30"/>
    <w:multiLevelType w:val="hybridMultilevel"/>
    <w:lvl w:ilvl="0">
      <w:lvlJc w:val="left"/>
      <w:lvlText w:val="(%1)"/>
      <w:numFmt w:val="lowerLetter"/>
      <w:start w:val="2"/>
    </w:lvl>
  </w:abstractNum>
  <w:abstractNum w:abstractNumId="142">
    <w:nsid w:val="6FDE8AF6"/>
    <w:multiLevelType w:val="hybridMultilevel"/>
    <w:lvl w:ilvl="0">
      <w:lvlJc w:val="left"/>
      <w:lvlText w:val="%1."/>
      <w:numFmt w:val="decimal"/>
      <w:start w:val="25"/>
    </w:lvl>
    <w:lvl w:ilvl="1">
      <w:lvlJc w:val="left"/>
      <w:lvlText w:val="(%2)"/>
      <w:numFmt w:val="lowerLetter"/>
      <w:start w:val="1"/>
    </w:lvl>
  </w:abstractNum>
  <w:abstractNum w:abstractNumId="143">
    <w:nsid w:val="3FC32E20"/>
    <w:multiLevelType w:val="hybridMultilevel"/>
    <w:lvl w:ilvl="0">
      <w:lvlJc w:val="left"/>
      <w:lvlText w:val="(%1)"/>
      <w:numFmt w:val="lowerLetter"/>
      <w:start w:val="2"/>
    </w:lvl>
  </w:abstractNum>
  <w:abstractNum w:abstractNumId="144">
    <w:nsid w:val="49C0E823"/>
    <w:multiLevelType w:val="hybridMultilevel"/>
    <w:lvl w:ilvl="0">
      <w:lvlJc w:val="left"/>
      <w:lvlText w:val="%1"/>
      <w:numFmt w:val="decimal"/>
      <w:start w:val="1"/>
    </w:lvl>
    <w:lvl w:ilvl="1">
      <w:lvlJc w:val="left"/>
      <w:lvlText w:val="(%2)"/>
      <w:numFmt w:val="lowerLetter"/>
      <w:start w:val="6"/>
    </w:lvl>
  </w:abstractNum>
  <w:abstractNum w:abstractNumId="145">
    <w:nsid w:val="14D53685"/>
    <w:multiLevelType w:val="hybridMultilevel"/>
    <w:lvl w:ilvl="0">
      <w:lvlJc w:val="left"/>
      <w:lvlText w:val="%1."/>
      <w:numFmt w:val="decimal"/>
      <w:start w:val="26"/>
    </w:lvl>
    <w:lvl w:ilvl="1">
      <w:lvlJc w:val="left"/>
      <w:lvlText w:val="%2"/>
      <w:numFmt w:val="lowerLetter"/>
      <w:start w:val="1"/>
    </w:lvl>
  </w:abstractNum>
  <w:abstractNum w:abstractNumId="146">
    <w:nsid w:val="230F856C"/>
    <w:multiLevelType w:val="hybridMultilevel"/>
    <w:lvl w:ilvl="0">
      <w:lvlJc w:val="left"/>
      <w:lvlText w:val="•"/>
      <w:numFmt w:val="bullet"/>
      <w:start w:val="1"/>
    </w:lvl>
  </w:abstractNum>
  <w:abstractNum w:abstractNumId="147">
    <w:nsid w:val="6EAA85FB"/>
    <w:multiLevelType w:val="hybridMultilevel"/>
    <w:lvl w:ilvl="0">
      <w:lvlJc w:val="left"/>
      <w:lvlText w:val="•"/>
      <w:numFmt w:val="bullet"/>
      <w:start w:val="1"/>
    </w:lvl>
  </w:abstractNum>
  <w:abstractNum w:abstractNumId="148">
    <w:nsid w:val="3F06ECB2"/>
    <w:multiLevelType w:val="hybridMultilevel"/>
    <w:lvl w:ilvl="0">
      <w:lvlJc w:val="left"/>
      <w:lvlText w:val="•"/>
      <w:numFmt w:val="bullet"/>
      <w:start w:val="1"/>
    </w:lvl>
  </w:abstractNum>
  <w:abstractNum w:abstractNumId="149">
    <w:nsid w:val="3B594807"/>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abstractNum>
  <w:abstractNum w:abstractNumId="150">
    <w:nsid w:val="6CAA2304"/>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2"/>
    </w:lvl>
  </w:abstractNum>
  <w:abstractNum w:abstractNumId="151">
    <w:nsid w:val="3F7C2FF4"/>
    <w:multiLevelType w:val="hybridMultilevel"/>
    <w:lvl w:ilvl="0">
      <w:lvlJc w:val="left"/>
      <w:lvlText w:val="%1"/>
      <w:numFmt w:val="lowerRoman"/>
      <w:start w:val="1"/>
    </w:lvl>
    <w:lvl w:ilvl="1">
      <w:lvlJc w:val="left"/>
      <w:lvlText w:val="(%2)"/>
      <w:numFmt w:val="lowerRoman"/>
      <w:start w:val="3"/>
    </w:lvl>
    <w:lvl w:ilvl="2">
      <w:lvlJc w:val="left"/>
      <w:lvlText w:val="%3"/>
      <w:numFmt w:val="lowerRoman"/>
      <w:start w:val="1"/>
    </w:lvl>
  </w:abstractNum>
  <w:abstractNum w:abstractNumId="152">
    <w:nsid w:val="25413BEC"/>
    <w:multiLevelType w:val="hybridMultilevel"/>
    <w:lvl w:ilvl="0">
      <w:lvlJc w:val="left"/>
      <w:lvlText w:val="(%1)"/>
      <w:numFmt w:val="lowerRoman"/>
      <w:start w:val="4"/>
    </w:lvl>
    <w:lvl w:ilvl="1">
      <w:lvlJc w:val="left"/>
      <w:lvlText w:val="%2"/>
      <w:numFmt w:val="lowerRoman"/>
      <w:start w:val="1"/>
    </w:lvl>
    <w:lvl w:ilvl="2">
      <w:lvlJc w:val="left"/>
      <w:lvlText w:val="%3"/>
      <w:numFmt w:val="lowerRoman"/>
      <w:start w:val="1"/>
    </w:lvl>
  </w:abstractNum>
  <w:abstractNum w:abstractNumId="153">
    <w:nsid w:val="17180B0B"/>
    <w:multiLevelType w:val="hybridMultilevel"/>
    <w:lvl w:ilvl="0">
      <w:lvlJc w:val="left"/>
      <w:lvlText w:val="(%1)"/>
      <w:numFmt w:val="lowerRoman"/>
      <w:start w:val="5"/>
    </w:lvl>
  </w:abstractNum>
  <w:abstractNum w:abstractNumId="154">
    <w:nsid w:val="579328B9"/>
    <w:multiLevelType w:val="hybridMultilevel"/>
    <w:lvl w:ilvl="0">
      <w:lvlJc w:val="left"/>
      <w:lvlText w:val="%1."/>
      <w:numFmt w:val="decimal"/>
      <w:start w:val="2"/>
    </w:lvl>
  </w:abstractNum>
  <w:abstractNum w:abstractNumId="155">
    <w:nsid w:val="5D205E20"/>
    <w:multiLevelType w:val="hybridMultilevel"/>
    <w:lvl w:ilvl="0">
      <w:lvlJc w:val="left"/>
      <w:lvlText w:val="%1."/>
      <w:numFmt w:val="decimal"/>
      <w:start w:val="7"/>
    </w:lvl>
  </w:abstractNum>
  <w:abstractNum w:abstractNumId="156">
    <w:nsid w:val="11CCA8BA"/>
    <w:multiLevelType w:val="hybridMultilevel"/>
    <w:lvl w:ilvl="0">
      <w:lvlJc w:val="left"/>
      <w:lvlText w:val="(%1)"/>
      <w:numFmt w:val="lowerLetter"/>
      <w:start w:val="1"/>
    </w:lvl>
  </w:abstractNum>
  <w:abstractNum w:abstractNumId="157">
    <w:nsid w:val="4D32AB86"/>
    <w:multiLevelType w:val="hybridMultilevel"/>
    <w:lvl w:ilvl="0">
      <w:lvlJc w:val="left"/>
      <w:lvlText w:val="(%1)"/>
      <w:numFmt w:val="lowerLetter"/>
      <w:start w:val="3"/>
    </w:lvl>
  </w:abstractNum>
  <w:abstractNum w:abstractNumId="158">
    <w:nsid w:val="3F07ACC3"/>
    <w:multiLevelType w:val="hybridMultilevel"/>
    <w:lvl w:ilvl="0">
      <w:lvlJc w:val="left"/>
      <w:lvlText w:val="%1."/>
      <w:numFmt w:val="decimal"/>
      <w:start w:val="1"/>
    </w:lvl>
    <w:lvl w:ilvl="1">
      <w:lvlJc w:val="left"/>
      <w:lvlText w:val="(%2)"/>
      <w:numFmt w:val="lowerLetter"/>
      <w:start w:val="1"/>
    </w:lvl>
  </w:abstractNum>
  <w:abstractNum w:abstractNumId="159">
    <w:nsid w:val="6B47F63E"/>
    <w:multiLevelType w:val="hybridMultilevel"/>
    <w:lvl w:ilvl="0">
      <w:lvlJc w:val="left"/>
      <w:lvlText w:val="%1."/>
      <w:numFmt w:val="decimal"/>
      <w:start w:val="1"/>
    </w:lvl>
    <w:lvl w:ilvl="1">
      <w:lvlJc w:val="left"/>
      <w:lvlText w:val="(%2)"/>
      <w:numFmt w:val="lowerLetter"/>
      <w:start w:val="1"/>
    </w:lvl>
  </w:abstractNum>
  <w:abstractNum w:abstractNumId="160">
    <w:nsid w:val="5CB44A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jpeg"/><Relationship Id="rId54" Type="http://schemas.openxmlformats.org/officeDocument/2006/relationships/image" Target="media/image43.jpeg"/><Relationship Id="rId55" Type="http://schemas.openxmlformats.org/officeDocument/2006/relationships/image" Target="media/image44.jpeg"/><Relationship Id="rId56" Type="http://schemas.openxmlformats.org/officeDocument/2006/relationships/image" Target="media/image45.jpeg"/><Relationship Id="rId57" Type="http://schemas.openxmlformats.org/officeDocument/2006/relationships/image" Target="media/image46.png"/><Relationship Id="rId58" Type="http://schemas.openxmlformats.org/officeDocument/2006/relationships/image" Target="media/image47.jpeg"/><Relationship Id="rId59" Type="http://schemas.openxmlformats.org/officeDocument/2006/relationships/image" Target="media/image48.png"/><Relationship Id="rId60" Type="http://schemas.openxmlformats.org/officeDocument/2006/relationships/image" Target="media/image49.jpeg"/><Relationship Id="rId61" Type="http://schemas.openxmlformats.org/officeDocument/2006/relationships/image" Target="media/image50.png"/><Relationship Id="rId62" Type="http://schemas.openxmlformats.org/officeDocument/2006/relationships/image" Target="media/image51.jpe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46" Type="http://schemas.openxmlformats.org/officeDocument/2006/relationships/hyperlink" Target="https://www.sec.gov/Archives/edgar/data/1677703/000167770323000054/ex21-assetpurchaseagreement.htm" TargetMode="External"/><Relationship Id="rId47" Type="http://schemas.openxmlformats.org/officeDocument/2006/relationships/hyperlink" Target="https://www.sec.gov/Archives/edgar/data/1677703/000167770324000116/exhibit22-projectbeijingxf.htm" TargetMode="External"/><Relationship Id="rId48" Type="http://schemas.openxmlformats.org/officeDocument/2006/relationships/hyperlink" Target="https://www.sec.gov/Archives/edgar/data/1677703/000119312516803247/d275811dex31.htm" TargetMode="External"/><Relationship Id="rId49" Type="http://schemas.openxmlformats.org/officeDocument/2006/relationships/hyperlink" Target="https://www.sec.gov/Archives/edgar/data/1677703/000167770323000065/cndt-ex32amendedbyx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2025-05-07T07:13:59Z</dcterms:created>
  <dcterms:modified xsi:type="dcterms:W3CDTF">2025-05-07T07:13:59Z</dcterms:modified>
</cp:coreProperties>
</file>