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39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ind w:left="4280"/>
        <w:spacing w:after="0"/>
        <w:rPr>
          <w:sz w:val="20"/>
          <w:szCs w:val="20"/>
          <w:color w:val="auto"/>
        </w:rPr>
      </w:pPr>
      <w:r>
        <w:rPr>
          <w:rFonts w:ascii="Times New Roman" w:cs="Times New Roman" w:eastAsia="Times New Roman" w:hAnsi="Times New Roman"/>
          <w:sz w:val="11"/>
          <w:szCs w:val="11"/>
          <w:color w:val="auto"/>
        </w:rPr>
        <w:t>_________________________________________________</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37"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1"/>
          <w:szCs w:val="11"/>
          <w:color w:val="auto"/>
        </w:rPr>
        <w:t>_________________________________________________</w:t>
      </w:r>
    </w:p>
    <w:p>
      <w:pPr>
        <w:spacing w:after="0" w:line="1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32" w:lineRule="exact"/>
        <w:rPr>
          <w:sz w:val="24"/>
          <w:szCs w:val="24"/>
          <w:color w:val="auto"/>
        </w:rPr>
      </w:pPr>
    </w:p>
    <w:p>
      <w:pPr>
        <w:ind w:left="400" w:hanging="277"/>
        <w:spacing w:after="0"/>
        <w:tabs>
          <w:tab w:leader="none" w:pos="400" w:val="left"/>
        </w:tabs>
        <w:numPr>
          <w:ilvl w:val="0"/>
          <w:numId w:val="1"/>
        </w:numPr>
        <w:rPr>
          <w:rFonts w:ascii="MS PGothic" w:cs="MS PGothic" w:eastAsia="MS PGothic" w:hAnsi="MS PGothic"/>
          <w:sz w:val="17"/>
          <w:szCs w:val="17"/>
          <w:color w:val="auto"/>
        </w:rPr>
      </w:pPr>
      <w:r>
        <w:rPr>
          <w:rFonts w:ascii="Arial" w:cs="Arial" w:eastAsia="Arial" w:hAnsi="Arial"/>
          <w:sz w:val="14"/>
          <w:szCs w:val="14"/>
          <w:b w:val="1"/>
          <w:bCs w:val="1"/>
          <w:color w:val="auto"/>
        </w:rPr>
        <w:t>ANNUAL REPORT PURSUANT TO SECTION 13 OR 15(d) OF THE SECURITIES EXCHANGE ACT OF 1934</w:t>
      </w:r>
    </w:p>
    <w:p>
      <w:pPr>
        <w:spacing w:after="0" w:line="168" w:lineRule="exact"/>
        <w:rPr>
          <w:sz w:val="24"/>
          <w:szCs w:val="24"/>
          <w:color w:val="auto"/>
        </w:rPr>
      </w:pPr>
    </w:p>
    <w:p>
      <w:pPr>
        <w:ind w:left="4400"/>
        <w:spacing w:after="0"/>
        <w:rPr>
          <w:sz w:val="20"/>
          <w:szCs w:val="20"/>
          <w:color w:val="auto"/>
        </w:rPr>
      </w:pPr>
      <w:r>
        <w:rPr>
          <w:rFonts w:ascii="Arial" w:cs="Arial" w:eastAsia="Arial" w:hAnsi="Arial"/>
          <w:sz w:val="14"/>
          <w:szCs w:val="14"/>
          <w:b w:val="1"/>
          <w:bCs w:val="1"/>
          <w:color w:val="auto"/>
        </w:rPr>
        <w:t>For the fiscal year ended: December 31, 2023</w:t>
      </w:r>
    </w:p>
    <w:p>
      <w:pPr>
        <w:spacing w:after="0" w:line="37" w:lineRule="exact"/>
        <w:rPr>
          <w:sz w:val="24"/>
          <w:szCs w:val="24"/>
          <w:color w:val="auto"/>
        </w:rPr>
      </w:pPr>
    </w:p>
    <w:p>
      <w:pPr>
        <w:ind w:left="360" w:hanging="263"/>
        <w:spacing w:after="0"/>
        <w:tabs>
          <w:tab w:leader="none" w:pos="360" w:val="left"/>
        </w:tabs>
        <w:numPr>
          <w:ilvl w:val="0"/>
          <w:numId w:val="2"/>
        </w:numPr>
        <w:rPr>
          <w:rFonts w:ascii="MS PGothic" w:cs="MS PGothic" w:eastAsia="MS PGothic" w:hAnsi="MS PGothic"/>
          <w:sz w:val="17"/>
          <w:szCs w:val="17"/>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58" w:lineRule="exact"/>
        <w:rPr>
          <w:sz w:val="24"/>
          <w:szCs w:val="24"/>
          <w:color w:val="auto"/>
        </w:rPr>
      </w:pPr>
    </w:p>
    <w:p>
      <w:pPr>
        <w:ind w:left="4180"/>
        <w:spacing w:after="0"/>
        <w:rPr>
          <w:sz w:val="20"/>
          <w:szCs w:val="20"/>
          <w:color w:val="auto"/>
        </w:rPr>
      </w:pPr>
      <w:r>
        <w:rPr>
          <w:rFonts w:ascii="Arial" w:cs="Arial" w:eastAsia="Arial" w:hAnsi="Arial"/>
          <w:sz w:val="14"/>
          <w:szCs w:val="14"/>
          <w:b w:val="1"/>
          <w:bCs w:val="1"/>
          <w:color w:val="auto"/>
        </w:rPr>
        <w:t>For the transition period from: _______ to: _______</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001-37817</w:t>
      </w:r>
    </w:p>
    <w:p>
      <w:pPr>
        <w:spacing w:after="0" w:line="34"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color w:val="auto"/>
        </w:rPr>
        <w:t>_________________________________________________</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CONDUENT INCORPORATED</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(Exact Name of Registrant as specified in its charter)</w:t>
      </w:r>
    </w:p>
    <w:p>
      <w:pPr>
        <w:spacing w:after="0" w:line="9"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1"/>
          <w:szCs w:val="11"/>
          <w:color w:val="auto"/>
        </w:rPr>
        <w:t>_________________________________________________</w:t>
      </w:r>
    </w:p>
    <w:p>
      <w:pPr>
        <w:sectPr>
          <w:pgSz w:w="11900" w:h="16838" w:orient="portrait"/>
          <w:cols w:equalWidth="0" w:num="1">
            <w:col w:w="11280"/>
          </w:cols>
          <w:pgMar w:left="300" w:top="239" w:right="319" w:bottom="1440" w:gutter="0" w:footer="0" w:header="0"/>
        </w:sectPr>
      </w:pPr>
    </w:p>
    <w:p>
      <w:pPr>
        <w:spacing w:after="0" w:line="43" w:lineRule="exact"/>
        <w:rPr>
          <w:sz w:val="24"/>
          <w:szCs w:val="24"/>
          <w:color w:val="auto"/>
        </w:rPr>
      </w:pPr>
    </w:p>
    <w:p>
      <w:pPr>
        <w:ind w:left="3720"/>
        <w:spacing w:after="0"/>
        <w:rPr>
          <w:sz w:val="20"/>
          <w:szCs w:val="20"/>
          <w:color w:val="auto"/>
        </w:rPr>
      </w:pPr>
      <w:r>
        <w:rPr>
          <w:rFonts w:ascii="Arial" w:cs="Arial" w:eastAsia="Arial" w:hAnsi="Arial"/>
          <w:sz w:val="13"/>
          <w:szCs w:val="13"/>
          <w:b w:val="1"/>
          <w:bCs w:val="1"/>
          <w:color w:val="auto"/>
        </w:rPr>
        <w:t>New York</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81-2983623</w:t>
      </w:r>
    </w:p>
    <w:p>
      <w:pPr>
        <w:spacing w:after="0" w:line="42" w:lineRule="exact"/>
        <w:rPr>
          <w:sz w:val="24"/>
          <w:szCs w:val="24"/>
          <w:color w:val="auto"/>
        </w:rPr>
      </w:pPr>
    </w:p>
    <w:p>
      <w:pPr>
        <w:sectPr>
          <w:pgSz w:w="11900" w:h="16838" w:orient="portrait"/>
          <w:cols w:equalWidth="0" w:num="2">
            <w:col w:w="8380" w:space="720"/>
            <w:col w:w="2180"/>
          </w:cols>
          <w:pgMar w:left="300" w:top="239" w:right="319" w:bottom="1440" w:gutter="0" w:footer="0" w:header="0"/>
          <w:type w:val="continuous"/>
        </w:sectPr>
      </w:pPr>
    </w:p>
    <w:p>
      <w:pPr>
        <w:ind w:left="2600"/>
        <w:spacing w:after="0"/>
        <w:rPr>
          <w:sz w:val="20"/>
          <w:szCs w:val="20"/>
          <w:color w:val="auto"/>
        </w:rPr>
      </w:pPr>
      <w:r>
        <w:rPr>
          <w:rFonts w:ascii="Arial" w:cs="Arial" w:eastAsia="Arial" w:hAnsi="Arial"/>
          <w:sz w:val="11"/>
          <w:szCs w:val="1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(IRS Employer Identification No.)</w:t>
      </w:r>
    </w:p>
    <w:p>
      <w:pPr>
        <w:spacing w:after="0" w:line="15" w:lineRule="exact"/>
        <w:rPr>
          <w:sz w:val="24"/>
          <w:szCs w:val="24"/>
          <w:color w:val="auto"/>
        </w:rPr>
      </w:pPr>
    </w:p>
    <w:p>
      <w:pPr>
        <w:sectPr>
          <w:pgSz w:w="11900" w:h="16838" w:orient="portrait"/>
          <w:cols w:equalWidth="0" w:num="2">
            <w:col w:w="7940" w:space="720"/>
            <w:col w:w="2620"/>
          </w:cols>
          <w:pgMar w:left="300" w:top="239" w:right="319" w:bottom="1440" w:gutter="0" w:footer="0" w:header="0"/>
          <w:type w:val="continuous"/>
        </w:sectPr>
      </w:pPr>
    </w:p>
    <w:p>
      <w:pPr>
        <w:ind w:left="1900"/>
        <w:spacing w:after="0"/>
        <w:rPr>
          <w:sz w:val="20"/>
          <w:szCs w:val="20"/>
          <w:color w:val="auto"/>
        </w:rPr>
      </w:pPr>
      <w:r>
        <w:rPr>
          <w:rFonts w:ascii="Arial" w:cs="Arial" w:eastAsia="Arial" w:hAnsi="Arial"/>
          <w:sz w:val="13"/>
          <w:szCs w:val="13"/>
          <w:b w:val="1"/>
          <w:bCs w:val="1"/>
          <w:color w:val="auto"/>
        </w:rPr>
        <w:t>100 Campus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Florham Park,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New Jersey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07932</w:t>
      </w:r>
    </w:p>
    <w:p>
      <w:pPr>
        <w:spacing w:after="0" w:line="42" w:lineRule="exact"/>
        <w:rPr>
          <w:sz w:val="24"/>
          <w:szCs w:val="24"/>
          <w:color w:val="auto"/>
        </w:rPr>
      </w:pPr>
    </w:p>
    <w:p>
      <w:pPr>
        <w:sectPr>
          <w:pgSz w:w="11900" w:h="16838" w:orient="portrait"/>
          <w:cols w:equalWidth="0" w:num="5">
            <w:col w:w="3140" w:space="480"/>
            <w:col w:w="940" w:space="720"/>
            <w:col w:w="920" w:space="440"/>
            <w:col w:w="1920" w:space="720"/>
            <w:col w:w="2000"/>
          </w:cols>
          <w:pgMar w:left="300" w:top="239" w:right="319" w:bottom="1440" w:gutter="0" w:footer="0" w:header="0"/>
          <w:type w:val="continuous"/>
        </w:sectPr>
      </w:pPr>
    </w:p>
    <w:p>
      <w:pPr>
        <w:jc w:val="center"/>
        <w:ind w:left="900"/>
        <w:spacing w:after="0"/>
        <w:rPr>
          <w:sz w:val="20"/>
          <w:szCs w:val="20"/>
          <w:color w:val="auto"/>
        </w:rPr>
      </w:pPr>
      <w:r>
        <w:rPr>
          <w:rFonts w:ascii="Arial" w:cs="Arial" w:eastAsia="Arial" w:hAnsi="Arial"/>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(Zip Code)</w:t>
      </w:r>
    </w:p>
    <w:p>
      <w:pPr>
        <w:spacing w:after="0" w:line="211" w:lineRule="exact"/>
        <w:rPr>
          <w:sz w:val="24"/>
          <w:szCs w:val="24"/>
          <w:color w:val="auto"/>
        </w:rPr>
      </w:pPr>
    </w:p>
    <w:p>
      <w:pPr>
        <w:sectPr>
          <w:pgSz w:w="11900" w:h="16838" w:orient="portrait"/>
          <w:cols w:equalWidth="0" w:num="2">
            <w:col w:w="8480" w:space="720"/>
            <w:col w:w="2080"/>
          </w:cols>
          <w:pgMar w:left="300" w:top="239" w:right="319" w:bottom="1440" w:gutter="0" w:footer="0" w:header="0"/>
          <w:type w:val="continuous"/>
        </w:sect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(844) 663-2638</w:t>
      </w:r>
    </w:p>
    <w:p>
      <w:pPr>
        <w:spacing w:after="0" w:line="24" w:lineRule="exact"/>
        <w:rPr>
          <w:sz w:val="24"/>
          <w:szCs w:val="24"/>
          <w:color w:val="auto"/>
        </w:rPr>
      </w:pPr>
    </w:p>
    <w:p>
      <w:pPr>
        <w:ind w:left="4240"/>
        <w:spacing w:after="0"/>
        <w:rPr>
          <w:sz w:val="20"/>
          <w:szCs w:val="20"/>
          <w:color w:val="auto"/>
        </w:rPr>
      </w:pPr>
      <w:r>
        <w:rPr>
          <w:rFonts w:ascii="Arial" w:cs="Arial" w:eastAsia="Arial" w:hAnsi="Arial"/>
          <w:sz w:val="11"/>
          <w:szCs w:val="11"/>
          <w:b w:val="1"/>
          <w:bCs w:val="1"/>
          <w:color w:val="auto"/>
        </w:rPr>
        <w:t>(Registrant’s telephone number, including area code)</w:t>
      </w:r>
    </w:p>
    <w:p>
      <w:pPr>
        <w:ind w:left="4260"/>
        <w:spacing w:after="0"/>
        <w:rPr>
          <w:sz w:val="20"/>
          <w:szCs w:val="20"/>
          <w:color w:val="auto"/>
        </w:rPr>
      </w:pPr>
      <w:r>
        <w:rPr>
          <w:rFonts w:ascii="Times New Roman" w:cs="Times New Roman" w:eastAsia="Times New Roman" w:hAnsi="Times New Roman"/>
          <w:sz w:val="11"/>
          <w:szCs w:val="11"/>
          <w:color w:val="auto"/>
        </w:rPr>
        <w:t>_________________________________________________</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Securities registered pursuant to Section 12(b) of the Act:</w:t>
      </w:r>
    </w:p>
    <w:p>
      <w:pPr>
        <w:sectPr>
          <w:pgSz w:w="11900" w:h="16838" w:orient="portrait"/>
          <w:cols w:equalWidth="0" w:num="1">
            <w:col w:w="11280"/>
          </w:cols>
          <w:pgMar w:left="300" w:top="239" w:right="319" w:bottom="1440" w:gutter="0" w:footer="0" w:header="0"/>
          <w:type w:val="continuous"/>
        </w:sectPr>
      </w:pPr>
    </w:p>
    <w:p>
      <w:pPr>
        <w:spacing w:after="0" w:line="55" w:lineRule="exact"/>
        <w:rPr>
          <w:sz w:val="24"/>
          <w:szCs w:val="24"/>
          <w:color w:val="auto"/>
        </w:rPr>
      </w:pPr>
    </w:p>
    <w:p>
      <w:pPr>
        <w:ind w:left="1360"/>
        <w:spacing w:after="0"/>
        <w:rPr>
          <w:sz w:val="20"/>
          <w:szCs w:val="20"/>
          <w:color w:val="auto"/>
        </w:rPr>
      </w:pPr>
      <w:r>
        <w:rPr>
          <w:rFonts w:ascii="Arial" w:cs="Arial" w:eastAsia="Arial" w:hAnsi="Arial"/>
          <w:sz w:val="11"/>
          <w:szCs w:val="11"/>
          <w:color w:val="auto"/>
        </w:rPr>
        <w:t>Title of each class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1"/>
          <w:szCs w:val="11"/>
          <w:color w:val="auto"/>
        </w:rPr>
        <w:t>Trading Symbol(s)</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Arial" w:cs="Arial" w:eastAsia="Arial" w:hAnsi="Arial"/>
          <w:sz w:val="11"/>
          <w:szCs w:val="11"/>
          <w:color w:val="auto"/>
        </w:rPr>
        <w:t>Name of each exchange on which registered</w:t>
      </w:r>
    </w:p>
    <w:p>
      <w:pPr>
        <w:spacing w:after="0" w:line="21" w:lineRule="exact"/>
        <w:rPr>
          <w:sz w:val="24"/>
          <w:szCs w:val="24"/>
          <w:color w:val="auto"/>
        </w:rPr>
      </w:pPr>
    </w:p>
    <w:p>
      <w:pPr>
        <w:sectPr>
          <w:pgSz w:w="11900" w:h="16838" w:orient="portrait"/>
          <w:cols w:equalWidth="0" w:num="3">
            <w:col w:w="3520" w:space="720"/>
            <w:col w:w="2480" w:space="720"/>
            <w:col w:w="3840"/>
          </w:cols>
          <w:pgMar w:left="300" w:top="239" w:right="319" w:bottom="1440" w:gutter="0" w:footer="0" w:header="0"/>
          <w:type w:val="continuous"/>
        </w:sectPr>
      </w:pPr>
    </w:p>
    <w:p>
      <w:pPr>
        <w:ind w:left="760"/>
        <w:spacing w:after="0"/>
        <w:rPr>
          <w:sz w:val="20"/>
          <w:szCs w:val="20"/>
          <w:color w:val="auto"/>
        </w:rPr>
      </w:pPr>
      <w:r>
        <w:rPr>
          <w:rFonts w:ascii="Arial" w:cs="Arial" w:eastAsia="Arial" w:hAnsi="Arial"/>
          <w:sz w:val="13"/>
          <w:szCs w:val="13"/>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CNDT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NASDAQ Global Select Market</w:t>
      </w:r>
    </w:p>
    <w:p>
      <w:pPr>
        <w:spacing w:after="0" w:line="146" w:lineRule="exact"/>
        <w:rPr>
          <w:sz w:val="24"/>
          <w:szCs w:val="24"/>
          <w:color w:val="auto"/>
        </w:rPr>
      </w:pPr>
    </w:p>
    <w:p>
      <w:pPr>
        <w:sectPr>
          <w:pgSz w:w="11900" w:h="16838" w:orient="portrait"/>
          <w:cols w:equalWidth="0" w:num="3">
            <w:col w:w="3780" w:space="720"/>
            <w:col w:w="2300" w:space="720"/>
            <w:col w:w="3760"/>
          </w:cols>
          <w:pgMar w:left="300" w:top="239" w:right="319"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color w:val="auto"/>
        </w:rPr>
        <w:t>Securities registered pursuant to Section 12(g) of the Act: None</w:t>
      </w:r>
    </w:p>
    <w:p>
      <w:pPr>
        <w:spacing w:after="0" w:line="22"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1"/>
          <w:szCs w:val="11"/>
          <w:color w:val="auto"/>
        </w:rPr>
        <w:t>_________________________________________________</w:t>
      </w:r>
    </w:p>
    <w:p>
      <w:pPr>
        <w:spacing w:after="0" w:line="84" w:lineRule="exact"/>
        <w:rPr>
          <w:sz w:val="24"/>
          <w:szCs w:val="24"/>
          <w:color w:val="auto"/>
        </w:rPr>
      </w:pPr>
    </w:p>
    <w:p>
      <w:pPr>
        <w:ind w:left="120" w:right="3060"/>
        <w:spacing w:after="0" w:line="376" w:lineRule="auto"/>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Wingdings" w:cs="Wingdings" w:eastAsia="Wingdings" w:hAnsi="Wingdings"/>
          <w:sz w:val="13"/>
          <w:szCs w:val="13"/>
          <w:b w:val="1"/>
          <w:bCs w:val="1"/>
          <w:color w:val="auto"/>
        </w:rPr>
        <w:t>x</w:t>
      </w:r>
      <w:r>
        <w:rPr>
          <w:rFonts w:ascii="Arial" w:cs="Arial" w:eastAsia="Arial" w:hAnsi="Arial"/>
          <w:sz w:val="13"/>
          <w:szCs w:val="13"/>
          <w:color w:val="auto"/>
        </w:rPr>
        <w:t xml:space="preserve"> No </w:t>
      </w:r>
      <w:r>
        <w:rPr>
          <w:rFonts w:ascii="Wingdings" w:cs="Wingdings" w:eastAsia="Wingdings" w:hAnsi="Wingdings"/>
          <w:sz w:val="13"/>
          <w:szCs w:val="13"/>
          <w:b w:val="1"/>
          <w:bCs w:val="1"/>
          <w:color w:val="auto"/>
        </w:rPr>
        <w:t>o</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Wingdings" w:cs="Wingdings" w:eastAsia="Wingdings" w:hAnsi="Wingdings"/>
          <w:sz w:val="13"/>
          <w:szCs w:val="13"/>
          <w:b w:val="1"/>
          <w:bCs w:val="1"/>
          <w:color w:val="auto"/>
        </w:rPr>
        <w:t>o</w:t>
      </w:r>
      <w:r>
        <w:rPr>
          <w:rFonts w:ascii="Arial" w:cs="Arial" w:eastAsia="Arial" w:hAnsi="Arial"/>
          <w:sz w:val="13"/>
          <w:szCs w:val="13"/>
          <w:color w:val="auto"/>
        </w:rPr>
        <w:t xml:space="preserve"> No </w:t>
      </w:r>
      <w:r>
        <w:rPr>
          <w:rFonts w:ascii="Wingdings" w:cs="Wingdings" w:eastAsia="Wingdings" w:hAnsi="Wingdings"/>
          <w:sz w:val="13"/>
          <w:szCs w:val="13"/>
          <w:b w:val="1"/>
          <w:bCs w:val="1"/>
          <w:color w:val="auto"/>
        </w:rPr>
        <w:t>x</w:t>
      </w:r>
    </w:p>
    <w:p>
      <w:pPr>
        <w:ind w:firstLine="125"/>
        <w:spacing w:after="0" w:line="282" w:lineRule="auto"/>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38" w:lineRule="exact"/>
        <w:rPr>
          <w:sz w:val="24"/>
          <w:szCs w:val="24"/>
          <w:color w:val="auto"/>
        </w:rPr>
      </w:pPr>
    </w:p>
    <w:p>
      <w:pPr>
        <w:ind w:firstLine="125"/>
        <w:spacing w:after="0" w:line="282" w:lineRule="auto"/>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Arial" w:cs="Arial" w:eastAsia="Arial" w:hAnsi="Arial"/>
          <w:sz w:val="14"/>
          <w:szCs w:val="14"/>
          <w:color w:val="auto"/>
        </w:rPr>
        <w:t xml:space="preserve"> No </w:t>
      </w:r>
      <w:r>
        <w:rPr>
          <w:rFonts w:ascii="Wingdings" w:cs="Wingdings" w:eastAsia="Wingdings" w:hAnsi="Wingdings"/>
          <w:sz w:val="14"/>
          <w:szCs w:val="14"/>
          <w:b w:val="1"/>
          <w:bCs w:val="1"/>
          <w:color w:val="auto"/>
        </w:rPr>
        <w:t>o</w:t>
      </w:r>
    </w:p>
    <w:p>
      <w:pPr>
        <w:spacing w:after="0" w:line="38" w:lineRule="exact"/>
        <w:rPr>
          <w:sz w:val="24"/>
          <w:szCs w:val="24"/>
          <w:color w:val="auto"/>
        </w:rPr>
      </w:pPr>
    </w:p>
    <w:p>
      <w:pPr>
        <w:ind w:left="120"/>
        <w:spacing w:after="0"/>
        <w:rPr>
          <w:sz w:val="20"/>
          <w:szCs w:val="20"/>
          <w:color w:val="auto"/>
        </w:rPr>
      </w:pPr>
      <w:r>
        <w:rPr>
          <w:rFonts w:ascii="Arial" w:cs="Arial" w:eastAsia="Arial" w:hAnsi="Arial"/>
          <w:sz w:val="13"/>
          <w:szCs w:val="13"/>
          <w:color w:val="auto"/>
        </w:rPr>
        <w:t>Indicate by a check mark whether the registrant is a large accelerated filer, an accelerated filer, a non-accelerated filer, a smaller reporting company or an emerging growth company.</w:t>
      </w:r>
    </w:p>
    <w:p>
      <w:pPr>
        <w:spacing w:after="0" w:line="31" w:lineRule="exact"/>
        <w:rPr>
          <w:sz w:val="24"/>
          <w:szCs w:val="24"/>
          <w:color w:val="auto"/>
        </w:rPr>
      </w:pPr>
    </w:p>
    <w:p>
      <w:pPr>
        <w:spacing w:after="0"/>
        <w:tabs>
          <w:tab w:leader="none" w:pos="340" w:val="left"/>
          <w:tab w:leader="none" w:pos="1080" w:val="left"/>
          <w:tab w:leader="none" w:pos="1320" w:val="left"/>
          <w:tab w:leader="none" w:pos="1780" w:val="left"/>
          <w:tab w:leader="none" w:pos="2620" w:val="left"/>
          <w:tab w:leader="none" w:pos="3020" w:val="left"/>
          <w:tab w:leader="none" w:pos="3900" w:val="left"/>
          <w:tab w:leader="none" w:pos="4320" w:val="left"/>
          <w:tab w:leader="none" w:pos="4920" w:val="left"/>
          <w:tab w:leader="none" w:pos="5600" w:val="left"/>
          <w:tab w:leader="none" w:pos="6320" w:val="left"/>
          <w:tab w:leader="none" w:pos="6660" w:val="left"/>
          <w:tab w:leader="none" w:pos="7400" w:val="left"/>
          <w:tab w:leader="none" w:pos="7940" w:val="left"/>
          <w:tab w:leader="none" w:pos="8660" w:val="left"/>
          <w:tab w:leader="none" w:pos="8880" w:val="left"/>
          <w:tab w:leader="none" w:pos="9280" w:val="left"/>
          <w:tab w:leader="none" w:pos="9760" w:val="left"/>
          <w:tab w:leader="none" w:pos="9980" w:val="left"/>
          <w:tab w:leader="none" w:pos="10280" w:val="left"/>
          <w:tab w:leader="none" w:pos="11020" w:val="left"/>
        </w:tabs>
        <w:rPr>
          <w:sz w:val="20"/>
          <w:szCs w:val="20"/>
          <w:color w:val="auto"/>
        </w:rPr>
      </w:pPr>
      <w:r>
        <w:rPr>
          <w:rFonts w:ascii="Arial" w:cs="Arial" w:eastAsia="Arial" w:hAnsi="Arial"/>
          <w:sz w:val="14"/>
          <w:szCs w:val="14"/>
          <w:color w:val="auto"/>
        </w:rPr>
        <w:t>See</w:t>
        <w:tab/>
        <w:t>definitions</w:t>
        <w:tab/>
        <w:t>of</w:t>
        <w:tab/>
        <w:t>“large</w:t>
        <w:tab/>
        <w:t>accelerated</w:t>
        <w:tab/>
        <w:t>filer,”</w:t>
        <w:tab/>
        <w:t>“accelerated</w:t>
        <w:tab/>
        <w:t>filer,”</w:t>
        <w:tab/>
        <w:t>“smaller</w:t>
        <w:tab/>
        <w:t>reporting</w:t>
        <w:tab/>
        <w:t>company”</w:t>
        <w:tab/>
        <w:t>and</w:t>
        <w:tab/>
        <w:t>"emerging</w:t>
        <w:tab/>
        <w:t>growth</w:t>
        <w:tab/>
        <w:t>company"</w:t>
        <w:tab/>
        <w:t>in</w:t>
        <w:tab/>
        <w:t>Rule</w:t>
        <w:tab/>
        <w:t>12b-2</w:t>
        <w:tab/>
        <w:t>of</w:t>
        <w:tab/>
        <w:t>the</w:t>
        <w:tab/>
        <w:t>Exchange</w:t>
      </w:r>
      <w:r>
        <w:rPr>
          <w:sz w:val="20"/>
          <w:szCs w:val="20"/>
          <w:color w:val="auto"/>
        </w:rPr>
        <w:tab/>
      </w:r>
      <w:r>
        <w:rPr>
          <w:rFonts w:ascii="Arial" w:cs="Arial" w:eastAsia="Arial" w:hAnsi="Arial"/>
          <w:sz w:val="13"/>
          <w:szCs w:val="13"/>
          <w:color w:val="auto"/>
        </w:rPr>
        <w:t>Act.</w:t>
      </w:r>
    </w:p>
    <w:p>
      <w:pPr>
        <w:spacing w:after="0" w:line="9" w:lineRule="exact"/>
        <w:rPr>
          <w:sz w:val="24"/>
          <w:szCs w:val="24"/>
          <w:color w:val="auto"/>
        </w:rPr>
      </w:pPr>
    </w:p>
    <w:p>
      <w:pPr>
        <w:ind w:left="400"/>
        <w:spacing w:after="0" w:line="141" w:lineRule="exact"/>
        <w:tabs>
          <w:tab w:leader="none" w:pos="2000" w:val="left"/>
          <w:tab w:leader="none" w:pos="2560" w:val="left"/>
          <w:tab w:leader="none" w:pos="3780" w:val="left"/>
          <w:tab w:leader="none" w:pos="4400" w:val="left"/>
          <w:tab w:leader="none" w:pos="5920" w:val="left"/>
          <w:tab w:leader="none" w:pos="6580" w:val="left"/>
          <w:tab w:leader="none" w:pos="8360" w:val="left"/>
          <w:tab w:leader="none" w:pos="9080" w:val="left"/>
          <w:tab w:leader="none" w:pos="11000" w:val="left"/>
        </w:tabs>
        <w:rPr>
          <w:sz w:val="20"/>
          <w:szCs w:val="20"/>
          <w:color w:val="auto"/>
        </w:rPr>
      </w:pPr>
      <w:r>
        <w:rPr>
          <w:rFonts w:ascii="Arial" w:cs="Arial" w:eastAsia="Arial" w:hAnsi="Arial"/>
          <w:sz w:val="11"/>
          <w:szCs w:val="11"/>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1"/>
          <w:szCs w:val="11"/>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1"/>
          <w:szCs w:val="11"/>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1"/>
          <w:szCs w:val="11"/>
          <w:color w:val="auto"/>
        </w:rPr>
        <w:t>Small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1"/>
          <w:szCs w:val="11"/>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268" w:lineRule="exact"/>
        <w:rPr>
          <w:sz w:val="24"/>
          <w:szCs w:val="24"/>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106680</wp:posOffset>
            </wp:positionV>
            <wp:extent cx="718883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239" w:right="319" w:bottom="1440" w:gutter="0" w:footer="0" w:header="0"/>
          <w:type w:val="continuous"/>
        </w:sectPr>
      </w:pPr>
    </w:p>
    <w:bookmarkStart w:id="1" w:name="page2"/>
    <w:bookmarkEnd w:id="1"/>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43" w:lineRule="exact"/>
        <w:rPr>
          <w:sz w:val="20"/>
          <w:szCs w:val="20"/>
          <w:color w:val="auto"/>
        </w:rPr>
      </w:pPr>
    </w:p>
    <w:p>
      <w:pPr>
        <w:ind w:right="600" w:firstLine="125"/>
        <w:spacing w:after="0" w:line="282"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38" w:lineRule="exact"/>
        <w:rPr>
          <w:sz w:val="20"/>
          <w:szCs w:val="20"/>
          <w:color w:val="auto"/>
        </w:rPr>
      </w:pPr>
    </w:p>
    <w:p>
      <w:pPr>
        <w:ind w:right="120" w:firstLine="125"/>
        <w:spacing w:after="0" w:line="18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46" w:lineRule="exact"/>
        <w:rPr>
          <w:sz w:val="20"/>
          <w:szCs w:val="20"/>
          <w:color w:val="auto"/>
        </w:rPr>
      </w:pPr>
    </w:p>
    <w:p>
      <w:pPr>
        <w:ind w:right="100" w:firstLine="125"/>
        <w:spacing w:after="0" w:line="282" w:lineRule="auto"/>
        <w:rPr>
          <w:sz w:val="20"/>
          <w:szCs w:val="20"/>
          <w:color w:val="auto"/>
        </w:rPr>
      </w:pPr>
      <w:r>
        <w:rPr>
          <w:rFonts w:ascii="Arial" w:cs="Arial" w:eastAsia="Arial" w:hAnsi="Arial"/>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4"/>
          <w:szCs w:val="14"/>
          <w:b w:val="1"/>
          <w:bCs w:val="1"/>
          <w:color w:val="auto"/>
        </w:rPr>
        <w:t>o</w:t>
      </w:r>
    </w:p>
    <w:p>
      <w:pPr>
        <w:spacing w:after="0" w:line="38" w:lineRule="exact"/>
        <w:rPr>
          <w:sz w:val="20"/>
          <w:szCs w:val="20"/>
          <w:color w:val="auto"/>
        </w:rPr>
      </w:pPr>
    </w:p>
    <w:p>
      <w:pPr>
        <w:ind w:right="20" w:firstLine="125"/>
        <w:spacing w:after="0" w:line="282" w:lineRule="auto"/>
        <w:rPr>
          <w:sz w:val="20"/>
          <w:szCs w:val="20"/>
          <w:color w:val="auto"/>
        </w:rPr>
      </w:pPr>
      <w:r>
        <w:rPr>
          <w:rFonts w:ascii="Arial" w:cs="Arial" w:eastAsia="Arial" w:hAnsi="Arial"/>
          <w:sz w:val="14"/>
          <w:szCs w:val="14"/>
          <w:color w:val="auto"/>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rFonts w:ascii="Wingdings" w:cs="Wingdings" w:eastAsia="Wingdings" w:hAnsi="Wingdings"/>
          <w:sz w:val="14"/>
          <w:szCs w:val="14"/>
          <w:b w:val="1"/>
          <w:bCs w:val="1"/>
          <w:color w:val="auto"/>
        </w:rPr>
        <w:t>o</w:t>
      </w:r>
    </w:p>
    <w:p>
      <w:pPr>
        <w:spacing w:after="0" w:line="7" w:lineRule="exact"/>
        <w:rPr>
          <w:sz w:val="20"/>
          <w:szCs w:val="20"/>
          <w:color w:val="auto"/>
        </w:rPr>
      </w:pPr>
    </w:p>
    <w:p>
      <w:pPr>
        <w:ind w:left="120"/>
        <w:spacing w:after="0" w:line="161" w:lineRule="exact"/>
        <w:tabs>
          <w:tab w:leader="none" w:pos="7760" w:val="left"/>
        </w:tabs>
        <w:rPr>
          <w:sz w:val="20"/>
          <w:szCs w:val="20"/>
          <w:color w:val="auto"/>
        </w:rPr>
      </w:pPr>
      <w:r>
        <w:rPr>
          <w:rFonts w:ascii="Arial" w:cs="Arial" w:eastAsia="Arial" w:hAnsi="Arial"/>
          <w:sz w:val="14"/>
          <w:szCs w:val="14"/>
          <w:color w:val="auto"/>
        </w:rPr>
        <w:t xml:space="preserve">Indicate by a check mark whether the registrant is a shell company (as defined in Rule 12b-2 of the Exchange Act). Yes </w:t>
      </w:r>
      <w:r>
        <w:rPr>
          <w:rFonts w:ascii="MS PGothic" w:cs="MS PGothic" w:eastAsia="MS PGothic" w:hAnsi="MS PGothic"/>
          <w:sz w:val="12"/>
          <w:szCs w:val="12"/>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The aggregate market value of the voting and non-voting common stock of the registrant held by non-affiliates as of June 30, 2023 was $730,085,550.</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80" w:type="dxa"/>
            <w:vAlign w:val="bottom"/>
          </w:tcPr>
          <w:p>
            <w:pPr>
              <w:jc w:val="center"/>
              <w:spacing w:after="0"/>
              <w:rPr>
                <w:sz w:val="20"/>
                <w:szCs w:val="20"/>
                <w:color w:val="auto"/>
              </w:rPr>
            </w:pPr>
            <w:r>
              <w:rPr>
                <w:rFonts w:ascii="Arial" w:cs="Arial" w:eastAsia="Arial" w:hAnsi="Arial"/>
                <w:sz w:val="14"/>
                <w:szCs w:val="14"/>
                <w:color w:val="auto"/>
              </w:rPr>
              <w:t>Indicate   the   number</w:t>
            </w:r>
          </w:p>
        </w:tc>
        <w:tc>
          <w:tcPr>
            <w:tcW w:w="3000" w:type="dxa"/>
            <w:vAlign w:val="bottom"/>
          </w:tcPr>
          <w:p>
            <w:pPr>
              <w:ind w:left="100"/>
              <w:spacing w:after="0"/>
              <w:rPr>
                <w:sz w:val="20"/>
                <w:szCs w:val="20"/>
                <w:color w:val="auto"/>
              </w:rPr>
            </w:pPr>
            <w:r>
              <w:rPr>
                <w:rFonts w:ascii="Arial" w:cs="Arial" w:eastAsia="Arial" w:hAnsi="Arial"/>
                <w:sz w:val="14"/>
                <w:szCs w:val="14"/>
                <w:color w:val="auto"/>
              </w:rPr>
              <w:t>of   shares   outstanding   of   each   of</w:t>
            </w:r>
          </w:p>
        </w:tc>
        <w:tc>
          <w:tcPr>
            <w:tcW w:w="6500" w:type="dxa"/>
            <w:vAlign w:val="bottom"/>
            <w:gridSpan w:val="4"/>
          </w:tcPr>
          <w:p>
            <w:pPr>
              <w:ind w:left="100"/>
              <w:spacing w:after="0"/>
              <w:rPr>
                <w:sz w:val="20"/>
                <w:szCs w:val="20"/>
                <w:color w:val="auto"/>
              </w:rPr>
            </w:pPr>
            <w:r>
              <w:rPr>
                <w:rFonts w:ascii="Arial" w:cs="Arial" w:eastAsia="Arial" w:hAnsi="Arial"/>
                <w:sz w:val="14"/>
                <w:szCs w:val="14"/>
                <w:color w:val="auto"/>
              </w:rPr>
              <w:t>the   Registrant's   classes   of   common   stock,   as   of   the   latest   practicable   date:</w:t>
            </w:r>
          </w:p>
        </w:tc>
      </w:tr>
      <w:tr>
        <w:trPr>
          <w:trHeight w:val="186"/>
        </w:trPr>
        <w:tc>
          <w:tcPr>
            <w:tcW w:w="17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tcPr>
          <w:p>
            <w:pPr>
              <w:ind w:left="800"/>
              <w:spacing w:after="0"/>
              <w:rPr>
                <w:sz w:val="20"/>
                <w:szCs w:val="20"/>
                <w:color w:val="auto"/>
              </w:rPr>
            </w:pPr>
            <w:r>
              <w:rPr>
                <w:rFonts w:ascii="Arial" w:cs="Arial" w:eastAsia="Arial" w:hAnsi="Arial"/>
                <w:sz w:val="13"/>
                <w:szCs w:val="13"/>
                <w:color w:val="auto"/>
              </w:rPr>
              <w:t>Class</w:t>
            </w:r>
          </w:p>
        </w:tc>
        <w:tc>
          <w:tcPr>
            <w:tcW w:w="68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Outstanding at January 31, 2024</w:t>
            </w:r>
          </w:p>
        </w:tc>
        <w:tc>
          <w:tcPr>
            <w:tcW w:w="80" w:type="dxa"/>
            <w:vAlign w:val="bottom"/>
          </w:tcPr>
          <w:p>
            <w:pPr>
              <w:spacing w:after="0"/>
              <w:rPr>
                <w:sz w:val="16"/>
                <w:szCs w:val="16"/>
                <w:color w:val="auto"/>
              </w:rPr>
            </w:pPr>
          </w:p>
        </w:tc>
      </w:tr>
      <w:tr>
        <w:trPr>
          <w:trHeight w:val="184"/>
        </w:trPr>
        <w:tc>
          <w:tcPr>
            <w:tcW w:w="1780" w:type="dxa"/>
            <w:vAlign w:val="bottom"/>
          </w:tcPr>
          <w:p>
            <w:pPr>
              <w:jc w:val="center"/>
              <w:spacing w:after="0"/>
              <w:rPr>
                <w:sz w:val="20"/>
                <w:szCs w:val="20"/>
                <w:color w:val="auto"/>
              </w:rPr>
            </w:pPr>
            <w:r>
              <w:rPr>
                <w:rFonts w:ascii="Arial" w:cs="Arial" w:eastAsia="Arial" w:hAnsi="Arial"/>
                <w:sz w:val="14"/>
                <w:szCs w:val="14"/>
                <w:color w:val="auto"/>
              </w:rPr>
              <w:t>Common Stock,</w:t>
            </w:r>
          </w:p>
        </w:tc>
        <w:tc>
          <w:tcPr>
            <w:tcW w:w="3000" w:type="dxa"/>
            <w:vAlign w:val="bottom"/>
          </w:tcPr>
          <w:p>
            <w:pPr>
              <w:ind w:left="120"/>
              <w:spacing w:after="0"/>
              <w:rPr>
                <w:sz w:val="20"/>
                <w:szCs w:val="20"/>
                <w:color w:val="auto"/>
              </w:rPr>
            </w:pPr>
            <w:r>
              <w:rPr>
                <w:rFonts w:ascii="Arial" w:cs="Arial" w:eastAsia="Arial" w:hAnsi="Arial"/>
                <w:sz w:val="14"/>
                <w:szCs w:val="14"/>
                <w:color w:val="auto"/>
              </w:rPr>
              <w:t>$0.01 par value</w:t>
            </w:r>
          </w:p>
        </w:tc>
        <w:tc>
          <w:tcPr>
            <w:tcW w:w="6420" w:type="dxa"/>
            <w:vAlign w:val="bottom"/>
            <w:gridSpan w:val="3"/>
          </w:tcPr>
          <w:p>
            <w:pPr>
              <w:jc w:val="right"/>
              <w:ind w:right="2204"/>
              <w:spacing w:after="0"/>
              <w:rPr>
                <w:sz w:val="20"/>
                <w:szCs w:val="20"/>
                <w:color w:val="auto"/>
              </w:rPr>
            </w:pPr>
            <w:r>
              <w:rPr>
                <w:rFonts w:ascii="Arial" w:cs="Arial" w:eastAsia="Arial" w:hAnsi="Arial"/>
                <w:sz w:val="13"/>
                <w:szCs w:val="13"/>
                <w:color w:val="auto"/>
              </w:rPr>
              <w:t>209,974,904</w:t>
            </w:r>
          </w:p>
        </w:tc>
        <w:tc>
          <w:tcPr>
            <w:tcW w:w="80" w:type="dxa"/>
            <w:vAlign w:val="bottom"/>
          </w:tcPr>
          <w:p>
            <w:pPr>
              <w:spacing w:after="0"/>
              <w:rPr>
                <w:sz w:val="15"/>
                <w:szCs w:val="15"/>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89" w:lineRule="exact"/>
        <w:rPr>
          <w:sz w:val="20"/>
          <w:szCs w:val="20"/>
          <w:color w:val="auto"/>
        </w:rPr>
      </w:pPr>
    </w:p>
    <w:p>
      <w:pPr>
        <w:jc w:val="both"/>
        <w:ind w:firstLine="125"/>
        <w:spacing w:after="0" w:line="282" w:lineRule="auto"/>
        <w:rPr>
          <w:sz w:val="20"/>
          <w:szCs w:val="20"/>
          <w:color w:val="auto"/>
        </w:rPr>
      </w:pPr>
      <w:r>
        <w:rPr>
          <w:rFonts w:ascii="Arial" w:cs="Arial" w:eastAsia="Arial" w:hAnsi="Arial"/>
          <w:sz w:val="14"/>
          <w:szCs w:val="14"/>
          <w:color w:val="auto"/>
        </w:rPr>
        <w:t>Part III of this Form 10-K incorporates by reference certain portions of the Registrant's Notice of 2024 Annual Meeting of Shareholders and Proxy Statement (to be filed with the Securities and Exchange Commission pursuant to Regulation 14A no later than 120 days after the close of the fiscal year covered by this report on Form 10-K).</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106680</wp:posOffset>
            </wp:positionV>
            <wp:extent cx="718883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2" w:name="page3"/>
    <w:bookmarkEnd w:id="2"/>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FORWARD-LOOKING STATEMENTS</w:t>
      </w:r>
    </w:p>
    <w:p>
      <w:pPr>
        <w:spacing w:after="0" w:line="123"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From time to time, we and our representatives may provide information, whether orally or in writing, including certain statements in this Annual Report on Form 10-K (the "Form 10-K"), and in any exhibits to this Form 10-K, which are deemed to be "forward-looking" as defined in the Private Securities Litigation Reform Act of 1995 (the "Litigation Reform Act"). These forward-looking statements and other information are based on our beliefs as well as assumptions made by us using information currently available.</w:t>
      </w:r>
    </w:p>
    <w:p>
      <w:pPr>
        <w:spacing w:after="0" w:line="92" w:lineRule="exact"/>
        <w:rPr>
          <w:sz w:val="20"/>
          <w:szCs w:val="20"/>
          <w:color w:val="auto"/>
        </w:rPr>
      </w:pPr>
    </w:p>
    <w:p>
      <w:pPr>
        <w:ind w:right="100"/>
        <w:spacing w:after="0" w:line="255" w:lineRule="auto"/>
        <w:rPr>
          <w:sz w:val="20"/>
          <w:szCs w:val="20"/>
          <w:color w:val="auto"/>
        </w:rPr>
      </w:pPr>
      <w:r>
        <w:rPr>
          <w:rFonts w:ascii="Arial" w:cs="Arial" w:eastAsia="Arial" w:hAnsi="Arial"/>
          <w:sz w:val="14"/>
          <w:szCs w:val="14"/>
          <w:color w:val="auto"/>
        </w:rPr>
        <w:t>The words “anticipate,” “believe,” “estimate,” “expect,” "plan," “intend,” “will,” "aim," “should,” "could," "forecast," "target," "may," "continue to," "endeavor," "if," "growing," "projected," "potential," "likely," "see ahead," "further," "going forward," "on the horizon" and similar expressions (including the negative and plural forms of such words and phrases), as they relate to us, are intended to identify forward-looking statements, but the absence of these words does not mean that a statement is not forward-looking. These statements reflect our current views with respect to future events and are subject to certain risks, uncertainties and assumptions, many of which are outside of our control, that could cause actual results to differ materially from those expected or implied by such forward-looking statements and could materially adversely affect our business, financial condition, results of operations, cash flows and liquidity.</w:t>
      </w:r>
    </w:p>
    <w:p>
      <w:pPr>
        <w:spacing w:after="0" w:line="99" w:lineRule="exact"/>
        <w:rPr>
          <w:sz w:val="20"/>
          <w:szCs w:val="20"/>
          <w:color w:val="auto"/>
        </w:rPr>
      </w:pPr>
    </w:p>
    <w:p>
      <w:pPr>
        <w:spacing w:after="0" w:line="250" w:lineRule="auto"/>
        <w:rPr>
          <w:sz w:val="20"/>
          <w:szCs w:val="20"/>
          <w:color w:val="auto"/>
        </w:rPr>
      </w:pPr>
      <w:r>
        <w:rPr>
          <w:rFonts w:ascii="Arial" w:cs="Arial" w:eastAsia="Arial" w:hAnsi="Arial"/>
          <w:sz w:val="14"/>
          <w:szCs w:val="14"/>
          <w:color w:val="auto"/>
        </w:rPr>
        <w:t>Important factors and uncertainties that could cause our actual results to differ materially from those in our forward-looking statements include, but are not limited to: government appropriations and termination rights contained in our government contracts; the competitiveness of the markets in which we operate and our ability to renew commercial and government contracts, including contracts awarded through competitive bidding processes; our ability to recover capital and other investments in connection with our contracts; risk and impact of geopolitical events and increasing geopolitical tensions (such as the wars in the Ukraine and Israel), macroeconomic conditions, natural disasters and other factors in a particular country or region on our workforce, customers and vendors; our reliance on third-party providers; our ability to deliver on our contractual obligations properly and on time; changes in interest in outsourced business process services; claims of infringement of third-party intellectual property rights; our ability to estimate the scope of work or the costs of performance in our contracts; the loss of key senior management and our ability to attract and retain necessary technical personnel and qualified subcontractors; our failure to develop new service offerings and protect our intellectual property rights; our ability to modernize our information technology infrastructure and consolidate data centers; expectations relating to environmental, social and governance considerations; utilization of our stock repurchase program; the failure to comply with laws relating to individually identifiable information and personal health information; the failure to comply with laws relating to processing certain financial transactions, including payment card transactions and debit or credit card transactions; breaches of our information systems or security systems or any service interruptions; our ability to comply with data security standards; developments in various contingent liabilities that are not reflected on our balance sheet, including those arising as a result of being involved in a variety of claims, lawsuits, investigations and proceedings; risks related to divestitures and acquisitions; risk and impact of potential goodwill and other asset impairments; our significant indebtedness and the terms of such indebtedness; our failure to obtain or maintain a satisfactory credit rating and financial performance; our ability to obtain adequate pricing for our services and to improve our cost structure; our ability to collect our receivables, including those for unbilled services; a decline in revenues from, or a loss of, or a reduction in business from or failure of significant clients; fluctuations in our non-recurring revenue; increases in the cost of voice and data services or significant interruptions in such services; our ability to receive dividends and other payments from our subsidiaries; and other factors that are set forth in the “Risk Factors” section, the “Legal Proceedings” section, the “Management's Discussion and Analysis of Financial Condition and Results of Operations” section and other sections of this Form 10-K, as well as in our Quarterly Reports on Form 10-Q and Current Reports on Form 8-K filed with the Securities and Exchange Commission (the "SEC"). Any forward-looking statements made by us speak only as of the date on which they are made. We are under no obligation to, and expressly disclaim any obligation to, update or alter our forward-looking statements, whether because of new information, subsequent events or otherwise, except as required by law.</w:t>
      </w:r>
    </w:p>
    <w:p>
      <w:pPr>
        <w:spacing w:after="0" w:line="200" w:lineRule="exact"/>
        <w:rPr>
          <w:sz w:val="20"/>
          <w:szCs w:val="20"/>
          <w:color w:val="auto"/>
        </w:rPr>
      </w:pPr>
    </w:p>
    <w:p>
      <w:pPr>
        <w:spacing w:after="0" w:line="258"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3" w:name="page4"/>
    <w:bookmarkEnd w:id="3"/>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CONDUENT INCORPORATED</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FORM 10-K</w:t>
      </w:r>
    </w:p>
    <w:p>
      <w:pPr>
        <w:spacing w:after="0"/>
        <w:rPr>
          <w:sz w:val="20"/>
          <w:szCs w:val="20"/>
          <w:color w:val="auto"/>
        </w:rPr>
      </w:pPr>
      <w:r>
        <w:rPr>
          <w:rFonts w:ascii="Arial" w:cs="Arial" w:eastAsia="Arial" w:hAnsi="Arial"/>
          <w:sz w:val="14"/>
          <w:szCs w:val="14"/>
          <w:b w:val="1"/>
          <w:bCs w:val="1"/>
          <w:color w:val="0066CC"/>
        </w:rPr>
        <w:t>December 31, 2023</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TABLE OF CONTENTS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1120" w:type="dxa"/>
            <w:vAlign w:val="bottom"/>
            <w:shd w:val="clear" w:color="auto" w:fill="CCEEFF"/>
          </w:tcPr>
          <w:p>
            <w:pPr>
              <w:spacing w:after="0"/>
              <w:rPr>
                <w:sz w:val="14"/>
                <w:szCs w:val="14"/>
                <w:color w:val="auto"/>
              </w:rPr>
            </w:pPr>
          </w:p>
        </w:tc>
        <w:tc>
          <w:tcPr>
            <w:tcW w:w="8560" w:type="dxa"/>
            <w:vAlign w:val="bottom"/>
            <w:shd w:val="clear" w:color="auto" w:fill="CCEEFF"/>
          </w:tcPr>
          <w:p>
            <w:pPr>
              <w:spacing w:after="0"/>
              <w:rPr>
                <w:sz w:val="14"/>
                <w:szCs w:val="14"/>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3051F2"/>
              </w:rPr>
              <w:t>Page</w:t>
            </w: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b w:val="1"/>
                <w:bCs w:val="1"/>
                <w:color w:val="3051F2"/>
              </w:rPr>
              <w:t>Part I</w:t>
            </w:r>
          </w:p>
        </w:tc>
        <w:tc>
          <w:tcPr>
            <w:tcW w:w="85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0000FF"/>
              </w:rPr>
              <w:t>Item 1.</w:t>
            </w:r>
          </w:p>
        </w:tc>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0000FF"/>
              </w:rPr>
              <w:t>Business</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0000FF"/>
              </w:rPr>
              <w:t>3</w:t>
            </w: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color w:val="0000FF"/>
              </w:rPr>
              <w:t>Item 1A.</w:t>
            </w:r>
          </w:p>
        </w:tc>
        <w:tc>
          <w:tcPr>
            <w:tcW w:w="8560" w:type="dxa"/>
            <w:vAlign w:val="bottom"/>
          </w:tcPr>
          <w:p>
            <w:pPr>
              <w:ind w:left="240"/>
              <w:spacing w:after="0"/>
              <w:rPr>
                <w:sz w:val="20"/>
                <w:szCs w:val="20"/>
                <w:color w:val="auto"/>
              </w:rPr>
            </w:pPr>
            <w:r>
              <w:rPr>
                <w:rFonts w:ascii="Arial" w:cs="Arial" w:eastAsia="Arial" w:hAnsi="Arial"/>
                <w:sz w:val="14"/>
                <w:szCs w:val="14"/>
                <w:color w:val="0000FF"/>
              </w:rPr>
              <w:t>Risk Factors</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0000FF"/>
              </w:rPr>
              <w:t>15</w:t>
            </w: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0000FF"/>
              </w:rPr>
              <w:t>Item 1B.</w:t>
            </w:r>
          </w:p>
        </w:tc>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0000FF"/>
              </w:rPr>
              <w:t>Unresolved Staff Comments</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0000FF"/>
              </w:rPr>
              <w:t>27</w:t>
            </w: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color w:val="0000FF"/>
              </w:rPr>
              <w:t>Item 1C.</w:t>
            </w:r>
          </w:p>
        </w:tc>
        <w:tc>
          <w:tcPr>
            <w:tcW w:w="8560" w:type="dxa"/>
            <w:vAlign w:val="bottom"/>
          </w:tcPr>
          <w:p>
            <w:pPr>
              <w:ind w:left="240"/>
              <w:spacing w:after="0"/>
              <w:rPr>
                <w:sz w:val="20"/>
                <w:szCs w:val="20"/>
                <w:color w:val="auto"/>
              </w:rPr>
            </w:pPr>
            <w:r>
              <w:rPr>
                <w:rFonts w:ascii="Arial" w:cs="Arial" w:eastAsia="Arial" w:hAnsi="Arial"/>
                <w:sz w:val="14"/>
                <w:szCs w:val="14"/>
                <w:color w:val="0000FF"/>
              </w:rPr>
              <w:t>Cybersecurity Matters</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0000FF"/>
              </w:rPr>
              <w:t>27</w:t>
            </w: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0000FF"/>
              </w:rPr>
              <w:t>Item 2.</w:t>
            </w:r>
          </w:p>
        </w:tc>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0000FF"/>
              </w:rPr>
              <w:t>Properties</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0000FF"/>
              </w:rPr>
              <w:t>28</w:t>
            </w: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color w:val="0000FF"/>
              </w:rPr>
              <w:t>Item 3.</w:t>
            </w:r>
          </w:p>
        </w:tc>
        <w:tc>
          <w:tcPr>
            <w:tcW w:w="8560" w:type="dxa"/>
            <w:vAlign w:val="bottom"/>
          </w:tcPr>
          <w:p>
            <w:pPr>
              <w:ind w:left="240"/>
              <w:spacing w:after="0"/>
              <w:rPr>
                <w:sz w:val="20"/>
                <w:szCs w:val="20"/>
                <w:color w:val="auto"/>
              </w:rPr>
            </w:pPr>
            <w:r>
              <w:rPr>
                <w:rFonts w:ascii="Arial" w:cs="Arial" w:eastAsia="Arial" w:hAnsi="Arial"/>
                <w:sz w:val="14"/>
                <w:szCs w:val="14"/>
                <w:color w:val="0000FF"/>
              </w:rPr>
              <w:t>Legal Proceedings</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0000FF"/>
              </w:rPr>
              <w:t>29</w:t>
            </w: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0000FF"/>
              </w:rPr>
              <w:t>Item 4.</w:t>
            </w:r>
          </w:p>
        </w:tc>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0000FF"/>
              </w:rPr>
              <w:t>Mine Safety Disclosures</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0000FF"/>
              </w:rPr>
              <w:t>29</w:t>
            </w: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b w:val="1"/>
                <w:bCs w:val="1"/>
                <w:color w:val="0000FF"/>
              </w:rPr>
              <w:t>Part II</w:t>
            </w:r>
          </w:p>
        </w:tc>
        <w:tc>
          <w:tcPr>
            <w:tcW w:w="85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0000FF"/>
              </w:rPr>
              <w:t>Item 5.</w:t>
            </w:r>
          </w:p>
        </w:tc>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0000FF"/>
              </w:rPr>
              <w:t>Market for the Registrant's Common Equity, Related Stockholder Matters and Issuer Purchases of Equity Securities</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0000FF"/>
              </w:rPr>
              <w:t>30</w:t>
            </w: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color w:val="0000FF"/>
              </w:rPr>
              <w:t>Item 6.</w:t>
            </w:r>
          </w:p>
        </w:tc>
        <w:tc>
          <w:tcPr>
            <w:tcW w:w="8560" w:type="dxa"/>
            <w:vAlign w:val="bottom"/>
          </w:tcPr>
          <w:p>
            <w:pPr>
              <w:ind w:left="240"/>
              <w:spacing w:after="0"/>
              <w:rPr>
                <w:sz w:val="20"/>
                <w:szCs w:val="20"/>
                <w:color w:val="auto"/>
              </w:rPr>
            </w:pPr>
            <w:r>
              <w:rPr>
                <w:rFonts w:ascii="Arial" w:cs="Arial" w:eastAsia="Arial" w:hAnsi="Arial"/>
                <w:sz w:val="14"/>
                <w:szCs w:val="14"/>
                <w:color w:val="0000FF"/>
              </w:rPr>
              <w:t>[RESERVED]</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0000FF"/>
              </w:rPr>
              <w:t>31</w:t>
            </w: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0000FF"/>
              </w:rPr>
              <w:t>Item 7.</w:t>
            </w:r>
          </w:p>
        </w:tc>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0000FF"/>
              </w:rPr>
              <w:t>32</w:t>
            </w: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color w:val="0000FF"/>
              </w:rPr>
              <w:t>Item 7A.</w:t>
            </w:r>
          </w:p>
        </w:tc>
        <w:tc>
          <w:tcPr>
            <w:tcW w:w="8560" w:type="dxa"/>
            <w:vAlign w:val="bottom"/>
          </w:tcPr>
          <w:p>
            <w:pPr>
              <w:ind w:left="240"/>
              <w:spacing w:after="0"/>
              <w:rPr>
                <w:sz w:val="20"/>
                <w:szCs w:val="20"/>
                <w:color w:val="auto"/>
              </w:rPr>
            </w:pPr>
            <w:r>
              <w:rPr>
                <w:rFonts w:ascii="Arial" w:cs="Arial" w:eastAsia="Arial" w:hAnsi="Arial"/>
                <w:sz w:val="14"/>
                <w:szCs w:val="14"/>
                <w:color w:val="0000FF"/>
              </w:rPr>
              <w:t>Quantitative and Qualitative Disclosures About Market Risk</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0000FF"/>
              </w:rPr>
              <w:t>48</w:t>
            </w: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0000FF"/>
              </w:rPr>
              <w:t>Item 8.</w:t>
            </w:r>
          </w:p>
        </w:tc>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0000FF"/>
              </w:rPr>
              <w:t>Financial Statements and Supplementary Data</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0000FF"/>
              </w:rPr>
              <w:t>49</w:t>
            </w: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color w:val="0000FF"/>
              </w:rPr>
              <w:t>Item 9.</w:t>
            </w:r>
          </w:p>
        </w:tc>
        <w:tc>
          <w:tcPr>
            <w:tcW w:w="8560" w:type="dxa"/>
            <w:vAlign w:val="bottom"/>
          </w:tcPr>
          <w:p>
            <w:pPr>
              <w:ind w:left="240"/>
              <w:spacing w:after="0"/>
              <w:rPr>
                <w:sz w:val="20"/>
                <w:szCs w:val="20"/>
                <w:color w:val="auto"/>
              </w:rPr>
            </w:pPr>
            <w:r>
              <w:rPr>
                <w:rFonts w:ascii="Arial" w:cs="Arial" w:eastAsia="Arial" w:hAnsi="Arial"/>
                <w:sz w:val="14"/>
                <w:szCs w:val="14"/>
                <w:color w:val="0000FF"/>
              </w:rPr>
              <w:t>Changes in and Disagreements with Accountants on Accounting and Financial Disclosure</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0000FF"/>
              </w:rPr>
              <w:t>92</w:t>
            </w: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0000FF"/>
              </w:rPr>
              <w:t>Item 9A.</w:t>
            </w:r>
          </w:p>
        </w:tc>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0000FF"/>
              </w:rPr>
              <w:t>Controls and Procedures</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0000FF"/>
              </w:rPr>
              <w:t>92</w:t>
            </w: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color w:val="0000FF"/>
              </w:rPr>
              <w:t>Item 9B.</w:t>
            </w:r>
          </w:p>
        </w:tc>
        <w:tc>
          <w:tcPr>
            <w:tcW w:w="8560" w:type="dxa"/>
            <w:vAlign w:val="bottom"/>
          </w:tcPr>
          <w:p>
            <w:pPr>
              <w:ind w:left="240"/>
              <w:spacing w:after="0"/>
              <w:rPr>
                <w:sz w:val="20"/>
                <w:szCs w:val="20"/>
                <w:color w:val="auto"/>
              </w:rPr>
            </w:pPr>
            <w:r>
              <w:rPr>
                <w:rFonts w:ascii="Arial" w:cs="Arial" w:eastAsia="Arial" w:hAnsi="Arial"/>
                <w:sz w:val="14"/>
                <w:szCs w:val="14"/>
                <w:color w:val="0000FF"/>
              </w:rPr>
              <w:t>Other Information</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0000FF"/>
              </w:rPr>
              <w:t>93</w:t>
            </w: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0000FF"/>
              </w:rPr>
              <w:t>Item 9C.</w:t>
            </w:r>
          </w:p>
        </w:tc>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0000FF"/>
              </w:rPr>
              <w:t>Disclosure Regarding Foreign Jurisdictions That Prevent Inspections</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0000FF"/>
              </w:rPr>
              <w:t>93</w:t>
            </w: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b w:val="1"/>
                <w:bCs w:val="1"/>
                <w:color w:val="0000FF"/>
              </w:rPr>
              <w:t>Part III</w:t>
            </w:r>
          </w:p>
        </w:tc>
        <w:tc>
          <w:tcPr>
            <w:tcW w:w="85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0000FF"/>
              </w:rPr>
              <w:t>Item 10.</w:t>
            </w:r>
          </w:p>
        </w:tc>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0000FF"/>
              </w:rPr>
              <w:t>Directors, Executive Officers and Corporate Governance</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0000FF"/>
              </w:rPr>
              <w:t>93</w:t>
            </w: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color w:val="0000FF"/>
              </w:rPr>
              <w:t>Item 11.</w:t>
            </w:r>
          </w:p>
        </w:tc>
        <w:tc>
          <w:tcPr>
            <w:tcW w:w="8560" w:type="dxa"/>
            <w:vAlign w:val="bottom"/>
          </w:tcPr>
          <w:p>
            <w:pPr>
              <w:ind w:left="240"/>
              <w:spacing w:after="0"/>
              <w:rPr>
                <w:sz w:val="20"/>
                <w:szCs w:val="20"/>
                <w:color w:val="auto"/>
              </w:rPr>
            </w:pPr>
            <w:r>
              <w:rPr>
                <w:rFonts w:ascii="Arial" w:cs="Arial" w:eastAsia="Arial" w:hAnsi="Arial"/>
                <w:sz w:val="14"/>
                <w:szCs w:val="14"/>
                <w:color w:val="0000FF"/>
              </w:rPr>
              <w:t>Executive Compensation</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0000FF"/>
              </w:rPr>
              <w:t>93</w:t>
            </w: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0000FF"/>
              </w:rPr>
              <w:t>Item 12.</w:t>
            </w:r>
          </w:p>
        </w:tc>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0000FF"/>
              </w:rPr>
              <w:t>Security Ownership of Certain Beneficial Owners and Management and Related Stockholder Matters</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0000FF"/>
              </w:rPr>
              <w:t>94</w:t>
            </w: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color w:val="0000FF"/>
              </w:rPr>
              <w:t>Item 13.</w:t>
            </w:r>
          </w:p>
        </w:tc>
        <w:tc>
          <w:tcPr>
            <w:tcW w:w="8560" w:type="dxa"/>
            <w:vAlign w:val="bottom"/>
          </w:tcPr>
          <w:p>
            <w:pPr>
              <w:ind w:left="240"/>
              <w:spacing w:after="0"/>
              <w:rPr>
                <w:sz w:val="20"/>
                <w:szCs w:val="20"/>
                <w:color w:val="auto"/>
              </w:rPr>
            </w:pPr>
            <w:r>
              <w:rPr>
                <w:rFonts w:ascii="Arial" w:cs="Arial" w:eastAsia="Arial" w:hAnsi="Arial"/>
                <w:sz w:val="14"/>
                <w:szCs w:val="14"/>
                <w:color w:val="0000FF"/>
              </w:rPr>
              <w:t>Certain Relationships, Related Transactions and Director Independence</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0000FF"/>
              </w:rPr>
              <w:t>94</w:t>
            </w: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0000FF"/>
              </w:rPr>
              <w:t>Item 14.</w:t>
            </w:r>
          </w:p>
        </w:tc>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0000FF"/>
              </w:rPr>
              <w:t>Principal Accountant Fees and Services</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0000FF"/>
              </w:rPr>
              <w:t>94</w:t>
            </w: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b w:val="1"/>
                <w:bCs w:val="1"/>
                <w:color w:val="0000FF"/>
              </w:rPr>
              <w:t>Part IV</w:t>
            </w:r>
          </w:p>
        </w:tc>
        <w:tc>
          <w:tcPr>
            <w:tcW w:w="8560" w:type="dxa"/>
            <w:vAlign w:val="bottom"/>
          </w:tcPr>
          <w:p>
            <w:pPr>
              <w:spacing w:after="0"/>
              <w:rPr>
                <w:sz w:val="15"/>
                <w:szCs w:val="15"/>
                <w:color w:val="auto"/>
              </w:rPr>
            </w:pPr>
          </w:p>
        </w:tc>
        <w:tc>
          <w:tcPr>
            <w:tcW w:w="1580" w:type="dxa"/>
            <w:vAlign w:val="bottom"/>
          </w:tcPr>
          <w:p>
            <w:pPr>
              <w:spacing w:after="0"/>
              <w:rPr>
                <w:sz w:val="15"/>
                <w:szCs w:val="15"/>
                <w:color w:val="auto"/>
              </w:rPr>
            </w:pP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color w:val="0000FF"/>
              </w:rPr>
              <w:t>Item 15.</w:t>
            </w:r>
          </w:p>
        </w:tc>
        <w:tc>
          <w:tcPr>
            <w:tcW w:w="8560" w:type="dxa"/>
            <w:vAlign w:val="bottom"/>
            <w:shd w:val="clear" w:color="auto" w:fill="CCEEFF"/>
          </w:tcPr>
          <w:p>
            <w:pPr>
              <w:ind w:left="240"/>
              <w:spacing w:after="0"/>
              <w:rPr>
                <w:sz w:val="20"/>
                <w:szCs w:val="20"/>
                <w:color w:val="auto"/>
              </w:rPr>
            </w:pPr>
            <w:r>
              <w:rPr>
                <w:rFonts w:ascii="Arial" w:cs="Arial" w:eastAsia="Arial" w:hAnsi="Arial"/>
                <w:sz w:val="14"/>
                <w:szCs w:val="14"/>
                <w:color w:val="0000FF"/>
              </w:rPr>
              <w:t>Exhibits and Financial Statement Schedules</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0000FF"/>
              </w:rPr>
              <w:t>94</w:t>
            </w:r>
          </w:p>
        </w:tc>
      </w:tr>
      <w:tr>
        <w:trPr>
          <w:trHeight w:val="177"/>
        </w:trPr>
        <w:tc>
          <w:tcPr>
            <w:tcW w:w="1120" w:type="dxa"/>
            <w:vAlign w:val="bottom"/>
          </w:tcPr>
          <w:p>
            <w:pPr>
              <w:ind w:left="20"/>
              <w:spacing w:after="0"/>
              <w:rPr>
                <w:sz w:val="20"/>
                <w:szCs w:val="20"/>
                <w:color w:val="auto"/>
              </w:rPr>
            </w:pPr>
            <w:r>
              <w:rPr>
                <w:rFonts w:ascii="Arial" w:cs="Arial" w:eastAsia="Arial" w:hAnsi="Arial"/>
                <w:sz w:val="14"/>
                <w:szCs w:val="14"/>
                <w:color w:val="0000FF"/>
              </w:rPr>
              <w:t>Item 16.</w:t>
            </w:r>
          </w:p>
        </w:tc>
        <w:tc>
          <w:tcPr>
            <w:tcW w:w="8560" w:type="dxa"/>
            <w:vAlign w:val="bottom"/>
          </w:tcPr>
          <w:p>
            <w:pPr>
              <w:ind w:left="240"/>
              <w:spacing w:after="0"/>
              <w:rPr>
                <w:sz w:val="20"/>
                <w:szCs w:val="20"/>
                <w:color w:val="auto"/>
              </w:rPr>
            </w:pPr>
            <w:r>
              <w:rPr>
                <w:rFonts w:ascii="Arial" w:cs="Arial" w:eastAsia="Arial" w:hAnsi="Arial"/>
                <w:sz w:val="14"/>
                <w:szCs w:val="14"/>
                <w:color w:val="0000FF"/>
              </w:rPr>
              <w:t>Form 10-K Summary</w:t>
            </w:r>
          </w:p>
        </w:tc>
        <w:tc>
          <w:tcPr>
            <w:tcW w:w="1580" w:type="dxa"/>
            <w:vAlign w:val="bottom"/>
          </w:tcPr>
          <w:p>
            <w:pPr>
              <w:jc w:val="right"/>
              <w:spacing w:after="0"/>
              <w:rPr>
                <w:sz w:val="20"/>
                <w:szCs w:val="20"/>
                <w:color w:val="auto"/>
              </w:rPr>
            </w:pPr>
            <w:r>
              <w:rPr>
                <w:rFonts w:ascii="Arial" w:cs="Arial" w:eastAsia="Arial" w:hAnsi="Arial"/>
                <w:sz w:val="14"/>
                <w:szCs w:val="14"/>
                <w:b w:val="1"/>
                <w:bCs w:val="1"/>
                <w:color w:val="0000FF"/>
              </w:rPr>
              <w:t>95</w:t>
            </w:r>
          </w:p>
        </w:tc>
      </w:tr>
      <w:tr>
        <w:trPr>
          <w:trHeight w:val="177"/>
        </w:trPr>
        <w:tc>
          <w:tcPr>
            <w:tcW w:w="1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0000FF"/>
              </w:rPr>
              <w:t>Exhibit Index</w:t>
            </w:r>
          </w:p>
        </w:tc>
        <w:tc>
          <w:tcPr>
            <w:tcW w:w="856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0000FF"/>
              </w:rPr>
              <w:t>96</w:t>
            </w:r>
          </w:p>
        </w:tc>
      </w:tr>
      <w:tr>
        <w:trPr>
          <w:trHeight w:val="192"/>
        </w:trPr>
        <w:tc>
          <w:tcPr>
            <w:tcW w:w="1120" w:type="dxa"/>
            <w:vAlign w:val="bottom"/>
          </w:tcPr>
          <w:p>
            <w:pPr>
              <w:ind w:left="20"/>
              <w:spacing w:after="0"/>
              <w:rPr>
                <w:sz w:val="20"/>
                <w:szCs w:val="20"/>
                <w:color w:val="auto"/>
              </w:rPr>
            </w:pPr>
            <w:r>
              <w:rPr>
                <w:rFonts w:ascii="Arial" w:cs="Arial" w:eastAsia="Arial" w:hAnsi="Arial"/>
                <w:sz w:val="14"/>
                <w:szCs w:val="14"/>
                <w:b w:val="1"/>
                <w:bCs w:val="1"/>
                <w:color w:val="0000FF"/>
              </w:rPr>
              <w:t>Signatures</w:t>
            </w:r>
          </w:p>
        </w:tc>
        <w:tc>
          <w:tcPr>
            <w:tcW w:w="856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4"/>
                <w:szCs w:val="14"/>
                <w:b w:val="1"/>
                <w:bCs w:val="1"/>
                <w:color w:val="0000FF"/>
              </w:rPr>
              <w:t>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4" w:name="page5"/>
    <w:bookmarkEnd w:id="4"/>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PART I</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 BUSINESS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In this Form 10-K, unless the content otherwise dictates, "Conduent", the "Company", "we" or "our" mean Conduent Incorporated and its consolidated subsidiaries.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Our Business</w:t>
      </w:r>
    </w:p>
    <w:p>
      <w:pPr>
        <w:spacing w:after="0" w:line="131" w:lineRule="exact"/>
        <w:rPr>
          <w:sz w:val="20"/>
          <w:szCs w:val="20"/>
          <w:color w:val="auto"/>
        </w:rPr>
      </w:pPr>
    </w:p>
    <w:p>
      <w:pPr>
        <w:ind w:right="200"/>
        <w:spacing w:after="0" w:line="259" w:lineRule="auto"/>
        <w:rPr>
          <w:sz w:val="20"/>
          <w:szCs w:val="20"/>
          <w:color w:val="auto"/>
        </w:rPr>
      </w:pPr>
      <w:r>
        <w:rPr>
          <w:rFonts w:ascii="Arial" w:cs="Arial" w:eastAsia="Arial" w:hAnsi="Arial"/>
          <w:sz w:val="14"/>
          <w:szCs w:val="14"/>
          <w:color w:val="auto"/>
        </w:rPr>
        <w:t>We deliver digital business solutions and services spanning the commercial, government and transportation spectrum – creating valuable outcomes for our clients and the millions of people who count on them. The Company leverages cloud computing, artificial intelligence ("AI"), machine learning, automation and advanced analytics to deliver mission-critical business process solutions. Through a dedicated global team of associates, process expertise, and advanced technologies, Conduent’s solutions and services digitally transform its clients’ operations to enhance customer experiences, improve performance, increase efficiencies and reduce costs.</w:t>
      </w:r>
    </w:p>
    <w:p>
      <w:pPr>
        <w:spacing w:after="0" w:line="97" w:lineRule="exact"/>
        <w:rPr>
          <w:sz w:val="20"/>
          <w:szCs w:val="20"/>
          <w:color w:val="auto"/>
        </w:rPr>
      </w:pPr>
    </w:p>
    <w:p>
      <w:pPr>
        <w:ind w:right="440"/>
        <w:spacing w:after="0" w:line="265" w:lineRule="auto"/>
        <w:rPr>
          <w:sz w:val="20"/>
          <w:szCs w:val="20"/>
          <w:color w:val="auto"/>
        </w:rPr>
      </w:pPr>
      <w:r>
        <w:rPr>
          <w:rFonts w:ascii="Arial" w:cs="Arial" w:eastAsia="Arial" w:hAnsi="Arial"/>
          <w:sz w:val="14"/>
          <w:szCs w:val="14"/>
          <w:color w:val="auto"/>
        </w:rPr>
        <w:t>As a pioneer in global business process outsourcing, we deliver deep expertise across a wide range of industries globally in both the commercial and public sectors. Each day, Conduent's solutions and services interact in the lives of millions of people in many ways — from safer, more seamless commutes that reduce congestion to streamlined benefits enrollment, digital payments, customer experiences and government healthcare claims.</w:t>
      </w:r>
    </w:p>
    <w:p>
      <w:pPr>
        <w:spacing w:after="0" w:line="92"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Our commercial portfolio includes leading solutions in attractive growth markets, including customer experience management, business operations, healthcare and human capital solutions. Our people, expertise and technology elevate experiences and outcomes every day. In 2023, we managed approximately 2.3 billion customer service interactions, captured and classified 5.4 billion documents, and supported millions of employees with HR services.</w:t>
      </w:r>
    </w:p>
    <w:p>
      <w:pPr>
        <w:spacing w:after="0" w:line="92"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We serve a substantial portion of the public sector, providing market-leading transportation and government offerings such as smart mobility solutions that seamlessly connect travelers and digital benefit payments that constituents depend on every day. Our transportation portfolio includes Road Usage Charging, Transit, Curbside Management and Public Safety solutions. We process nearly 13 million tolling transactions every day while helping to reduce congestion and greenhouse emissions through all-electronic tolling and other technology solutions.</w:t>
      </w:r>
    </w:p>
    <w:p>
      <w:pPr>
        <w:spacing w:after="0" w:line="97" w:lineRule="exact"/>
        <w:rPr>
          <w:sz w:val="20"/>
          <w:szCs w:val="20"/>
          <w:color w:val="auto"/>
        </w:rPr>
      </w:pPr>
    </w:p>
    <w:p>
      <w:pPr>
        <w:ind w:right="520"/>
        <w:spacing w:after="0" w:line="282" w:lineRule="auto"/>
        <w:rPr>
          <w:sz w:val="20"/>
          <w:szCs w:val="20"/>
          <w:color w:val="auto"/>
        </w:rPr>
      </w:pPr>
      <w:r>
        <w:rPr>
          <w:rFonts w:ascii="Arial" w:cs="Arial" w:eastAsia="Arial" w:hAnsi="Arial"/>
          <w:sz w:val="14"/>
          <w:szCs w:val="14"/>
          <w:color w:val="auto"/>
        </w:rPr>
        <w:t>Our government portfolio includes digital payments, child support payments, government healthcare and eligibility and enrollment solutions, helping to ensure efficient Medicaid healthcare claims processing and delivery of benefits to the most vulnerable populations.</w:t>
      </w:r>
    </w:p>
    <w:p>
      <w:pPr>
        <w:spacing w:after="0" w:line="80"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In line with our strategic initiatives, as discussed in Part II, Item 8, Note 4 – Assets/Liabilities Held for Sale and Divestitures, we have signed a definitive agreement to sell our Curbside Management and Public Safety Solutions businesses. Additionally, we have entered into a Custodial Transfer and Asset Purchase Agreement to transfer our BenefitWallet health savings account and medical savings account portfolio.</w:t>
      </w:r>
    </w:p>
    <w:p>
      <w:pPr>
        <w:spacing w:after="0" w:line="92"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With approximately 59,000 associates globally as of December 31, 2023, we are dedicated to our clients' success. Each day, our people and our digital business solutions and services serve millions of end users on behalf of our clients.</w:t>
      </w:r>
    </w:p>
    <w:p>
      <w:pPr>
        <w:spacing w:after="0" w:line="80" w:lineRule="exact"/>
        <w:rPr>
          <w:sz w:val="20"/>
          <w:szCs w:val="20"/>
          <w:color w:val="auto"/>
        </w:rPr>
      </w:pPr>
    </w:p>
    <w:p>
      <w:pPr>
        <w:ind w:right="180"/>
        <w:spacing w:after="0" w:line="282" w:lineRule="auto"/>
        <w:rPr>
          <w:sz w:val="20"/>
          <w:szCs w:val="20"/>
          <w:color w:val="auto"/>
        </w:rPr>
      </w:pPr>
      <w:r>
        <w:rPr>
          <w:rFonts w:ascii="Arial" w:cs="Arial" w:eastAsia="Arial" w:hAnsi="Arial"/>
          <w:sz w:val="14"/>
          <w:szCs w:val="14"/>
          <w:color w:val="auto"/>
        </w:rPr>
        <w:t>Of our global team, 41% is in North America with the remainder located primarily in our delivery centers in Asia Pacific, Latin America, the Caribbean, and Europe. We continue to be recognized for our commitment to fostering a culture of belonging and respect for diversity, equity and inclusion.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Our Strategic Focus</w:t>
      </w:r>
    </w:p>
    <w:p>
      <w:pPr>
        <w:spacing w:after="0" w:line="131"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Our aim is to be the technology-led business solutions partner of choice for businesses and governments globally. Through our dedicated associates, we deliver mission-critical services and solutions on behalf of businesses and governments, creating valuable outcomes for our clients and the millions of people who count on them. To achieve this, we focus on delivering outcomes across three critical dimensions: Growth, Efficiency and Quality. Our strategy is designed to deliver shareholder value by creating profitable growth, expanding operating margins, identifying process efficiencies, and employing a disciplined capital allocation strategy.</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We have identified specific execution strategies and key performance indicators across Growth, Efficiency and Quality.</w:t>
      </w:r>
    </w:p>
    <w:p>
      <w:pPr>
        <w:spacing w:after="0" w:line="200" w:lineRule="exact"/>
        <w:rPr>
          <w:sz w:val="20"/>
          <w:szCs w:val="20"/>
          <w:color w:val="auto"/>
        </w:rPr>
      </w:pPr>
    </w:p>
    <w:p>
      <w:pPr>
        <w:spacing w:after="0" w:line="28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5" w:name="page6"/>
    <w:bookmarkEnd w:id="5"/>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b w:val="1"/>
          <w:bCs w:val="1"/>
          <w:color w:val="auto"/>
        </w:rPr>
        <w:t>Growth</w:t>
      </w:r>
      <w:r>
        <w:rPr>
          <w:rFonts w:ascii="Arial" w:cs="Arial" w:eastAsia="Arial" w:hAnsi="Arial"/>
          <w:sz w:val="14"/>
          <w:szCs w:val="14"/>
          <w:color w:val="auto"/>
        </w:rPr>
        <w:t>: Our opportunity for growth stems from understanding our clients’ businesses and driving valuable outcomes for our clients to help them reduce costs, improve efficiencies and</w:t>
      </w:r>
      <w:r>
        <w:rPr>
          <w:rFonts w:ascii="Arial" w:cs="Arial" w:eastAsia="Arial" w:hAnsi="Arial"/>
          <w:sz w:val="14"/>
          <w:szCs w:val="14"/>
          <w:b w:val="1"/>
          <w:bCs w:val="1"/>
          <w:color w:val="auto"/>
        </w:rPr>
        <w:t xml:space="preserve"> </w:t>
      </w:r>
      <w:r>
        <w:rPr>
          <w:rFonts w:ascii="Arial" w:cs="Arial" w:eastAsia="Arial" w:hAnsi="Arial"/>
          <w:sz w:val="14"/>
          <w:szCs w:val="14"/>
          <w:color w:val="auto"/>
        </w:rPr>
        <w:t>elevate customer experiences. To capitalize on growth opportunities, we remain focused on several key strategies:</w:t>
      </w:r>
    </w:p>
    <w:p>
      <w:pPr>
        <w:spacing w:after="0" w:line="80" w:lineRule="exact"/>
        <w:rPr>
          <w:sz w:val="20"/>
          <w:szCs w:val="20"/>
          <w:color w:val="auto"/>
        </w:rPr>
      </w:pPr>
    </w:p>
    <w:p>
      <w:pPr>
        <w:ind w:left="500" w:right="20" w:hanging="247"/>
        <w:spacing w:after="0" w:line="259" w:lineRule="auto"/>
        <w:tabs>
          <w:tab w:leader="none" w:pos="496" w:val="left"/>
        </w:tabs>
        <w:numPr>
          <w:ilvl w:val="0"/>
          <w:numId w:val="3"/>
        </w:numPr>
        <w:rPr>
          <w:rFonts w:ascii="Arial" w:cs="Arial" w:eastAsia="Arial" w:hAnsi="Arial"/>
          <w:sz w:val="14"/>
          <w:szCs w:val="14"/>
          <w:color w:val="auto"/>
        </w:rPr>
      </w:pPr>
      <w:r>
        <w:rPr>
          <w:rFonts w:ascii="Arial" w:cs="Arial" w:eastAsia="Arial" w:hAnsi="Arial"/>
          <w:sz w:val="14"/>
          <w:szCs w:val="14"/>
          <w:b w:val="1"/>
          <w:bCs w:val="1"/>
          <w:color w:val="auto"/>
        </w:rPr>
        <w:t>Sales Performance Optimization</w:t>
      </w:r>
      <w:r>
        <w:rPr>
          <w:rFonts w:ascii="Arial" w:cs="Arial" w:eastAsia="Arial" w:hAnsi="Arial"/>
          <w:sz w:val="14"/>
          <w:szCs w:val="14"/>
          <w:color w:val="auto"/>
        </w:rPr>
        <w:t>: We continue to optimize sales training, processes and account management to strengthen client and prospect relationships to gain more</w:t>
      </w:r>
      <w:r>
        <w:rPr>
          <w:rFonts w:ascii="Arial" w:cs="Arial" w:eastAsia="Arial" w:hAnsi="Arial"/>
          <w:sz w:val="14"/>
          <w:szCs w:val="14"/>
          <w:b w:val="1"/>
          <w:bCs w:val="1"/>
          <w:color w:val="auto"/>
        </w:rPr>
        <w:t xml:space="preserve"> </w:t>
      </w:r>
      <w:r>
        <w:rPr>
          <w:rFonts w:ascii="Arial" w:cs="Arial" w:eastAsia="Arial" w:hAnsi="Arial"/>
          <w:sz w:val="14"/>
          <w:szCs w:val="14"/>
          <w:color w:val="auto"/>
        </w:rPr>
        <w:t>selling opportunities both with new clients as well as greater share of wallet with existing clients, expanding new logo sales significantly year over year including a large transportation win in Australia. Our team’s talent and dedication has resulted in Conduent serving 47 states, many of the Fortune 100 companies, and other leading companies, including:</w:t>
      </w:r>
    </w:p>
    <w:p>
      <w:pPr>
        <w:spacing w:after="0" w:line="96" w:lineRule="exact"/>
        <w:rPr>
          <w:rFonts w:ascii="Arial" w:cs="Arial" w:eastAsia="Arial" w:hAnsi="Arial"/>
          <w:sz w:val="14"/>
          <w:szCs w:val="14"/>
          <w:color w:val="auto"/>
        </w:rPr>
      </w:pPr>
    </w:p>
    <w:p>
      <w:pPr>
        <w:ind w:left="1000" w:hanging="247"/>
        <w:spacing w:after="0"/>
        <w:tabs>
          <w:tab w:leader="none" w:pos="1000" w:val="left"/>
        </w:tabs>
        <w:numPr>
          <w:ilvl w:val="1"/>
          <w:numId w:val="3"/>
        </w:numPr>
        <w:rPr>
          <w:rFonts w:ascii="Arial" w:cs="Arial" w:eastAsia="Arial" w:hAnsi="Arial"/>
          <w:sz w:val="14"/>
          <w:szCs w:val="14"/>
          <w:color w:val="auto"/>
        </w:rPr>
      </w:pPr>
      <w:r>
        <w:rPr>
          <w:rFonts w:ascii="Arial" w:cs="Arial" w:eastAsia="Arial" w:hAnsi="Arial"/>
          <w:sz w:val="14"/>
          <w:szCs w:val="14"/>
          <w:color w:val="auto"/>
        </w:rPr>
        <w:t>9 of the top 10 U.S. health insurers;</w:t>
      </w:r>
    </w:p>
    <w:p>
      <w:pPr>
        <w:spacing w:after="0" w:line="19" w:lineRule="exact"/>
        <w:rPr>
          <w:rFonts w:ascii="Arial" w:cs="Arial" w:eastAsia="Arial" w:hAnsi="Arial"/>
          <w:sz w:val="14"/>
          <w:szCs w:val="14"/>
          <w:color w:val="auto"/>
        </w:rPr>
      </w:pPr>
    </w:p>
    <w:p>
      <w:pPr>
        <w:ind w:left="1000" w:hanging="247"/>
        <w:spacing w:after="0"/>
        <w:tabs>
          <w:tab w:leader="none" w:pos="1000" w:val="left"/>
        </w:tabs>
        <w:numPr>
          <w:ilvl w:val="1"/>
          <w:numId w:val="3"/>
        </w:numPr>
        <w:rPr>
          <w:rFonts w:ascii="Arial" w:cs="Arial" w:eastAsia="Arial" w:hAnsi="Arial"/>
          <w:sz w:val="14"/>
          <w:szCs w:val="14"/>
          <w:color w:val="auto"/>
        </w:rPr>
      </w:pPr>
      <w:r>
        <w:rPr>
          <w:rFonts w:ascii="Arial" w:cs="Arial" w:eastAsia="Arial" w:hAnsi="Arial"/>
          <w:sz w:val="14"/>
          <w:szCs w:val="14"/>
          <w:color w:val="auto"/>
        </w:rPr>
        <w:t>6 of the top 10 pharma companies;</w:t>
      </w:r>
    </w:p>
    <w:p>
      <w:pPr>
        <w:spacing w:after="0" w:line="5" w:lineRule="exact"/>
        <w:rPr>
          <w:rFonts w:ascii="Arial" w:cs="Arial" w:eastAsia="Arial" w:hAnsi="Arial"/>
          <w:sz w:val="14"/>
          <w:szCs w:val="14"/>
          <w:color w:val="auto"/>
        </w:rPr>
      </w:pPr>
    </w:p>
    <w:p>
      <w:pPr>
        <w:ind w:left="1000" w:hanging="247"/>
        <w:spacing w:after="0"/>
        <w:tabs>
          <w:tab w:leader="none" w:pos="1000" w:val="left"/>
        </w:tabs>
        <w:numPr>
          <w:ilvl w:val="1"/>
          <w:numId w:val="3"/>
        </w:numPr>
        <w:rPr>
          <w:rFonts w:ascii="Arial" w:cs="Arial" w:eastAsia="Arial" w:hAnsi="Arial"/>
          <w:sz w:val="14"/>
          <w:szCs w:val="14"/>
          <w:color w:val="auto"/>
        </w:rPr>
      </w:pPr>
      <w:r>
        <w:rPr>
          <w:rFonts w:ascii="Arial" w:cs="Arial" w:eastAsia="Arial" w:hAnsi="Arial"/>
          <w:sz w:val="14"/>
          <w:szCs w:val="14"/>
          <w:color w:val="auto"/>
        </w:rPr>
        <w:t>4 of the top 5 automakers; and</w:t>
      </w:r>
    </w:p>
    <w:p>
      <w:pPr>
        <w:spacing w:after="0" w:line="5" w:lineRule="exact"/>
        <w:rPr>
          <w:rFonts w:ascii="Arial" w:cs="Arial" w:eastAsia="Arial" w:hAnsi="Arial"/>
          <w:sz w:val="14"/>
          <w:szCs w:val="14"/>
          <w:color w:val="auto"/>
        </w:rPr>
      </w:pPr>
    </w:p>
    <w:p>
      <w:pPr>
        <w:ind w:left="1000" w:hanging="247"/>
        <w:spacing w:after="0"/>
        <w:tabs>
          <w:tab w:leader="none" w:pos="1000" w:val="left"/>
        </w:tabs>
        <w:numPr>
          <w:ilvl w:val="1"/>
          <w:numId w:val="3"/>
        </w:numPr>
        <w:rPr>
          <w:rFonts w:ascii="Arial" w:cs="Arial" w:eastAsia="Arial" w:hAnsi="Arial"/>
          <w:sz w:val="14"/>
          <w:szCs w:val="14"/>
          <w:color w:val="auto"/>
        </w:rPr>
      </w:pPr>
      <w:r>
        <w:rPr>
          <w:rFonts w:ascii="Arial" w:cs="Arial" w:eastAsia="Arial" w:hAnsi="Arial"/>
          <w:sz w:val="14"/>
          <w:szCs w:val="14"/>
          <w:color w:val="auto"/>
        </w:rPr>
        <w:t>6 of the top 10 U.S. banks.</w:t>
      </w:r>
    </w:p>
    <w:p>
      <w:pPr>
        <w:spacing w:after="0" w:line="116" w:lineRule="exact"/>
        <w:rPr>
          <w:rFonts w:ascii="Arial" w:cs="Arial" w:eastAsia="Arial" w:hAnsi="Arial"/>
          <w:sz w:val="14"/>
          <w:szCs w:val="14"/>
          <w:color w:val="auto"/>
        </w:rPr>
      </w:pPr>
    </w:p>
    <w:p>
      <w:pPr>
        <w:ind w:left="500" w:right="340" w:hanging="247"/>
        <w:spacing w:after="0" w:line="322" w:lineRule="auto"/>
        <w:tabs>
          <w:tab w:leader="none" w:pos="496" w:val="left"/>
        </w:tabs>
        <w:numPr>
          <w:ilvl w:val="0"/>
          <w:numId w:val="3"/>
        </w:numPr>
        <w:rPr>
          <w:rFonts w:ascii="Arial" w:cs="Arial" w:eastAsia="Arial" w:hAnsi="Arial"/>
          <w:sz w:val="13"/>
          <w:szCs w:val="13"/>
          <w:color w:val="auto"/>
        </w:rPr>
      </w:pPr>
      <w:r>
        <w:rPr>
          <w:rFonts w:ascii="Arial" w:cs="Arial" w:eastAsia="Arial" w:hAnsi="Arial"/>
          <w:sz w:val="13"/>
          <w:szCs w:val="13"/>
          <w:b w:val="1"/>
          <w:bCs w:val="1"/>
          <w:color w:val="auto"/>
        </w:rPr>
        <w:t>Offering Development</w:t>
      </w:r>
      <w:r>
        <w:rPr>
          <w:rFonts w:ascii="Arial" w:cs="Arial" w:eastAsia="Arial" w:hAnsi="Arial"/>
          <w:sz w:val="13"/>
          <w:szCs w:val="13"/>
          <w:color w:val="auto"/>
        </w:rPr>
        <w:t>: We continue to augment our portfolio of services and solutions with innovative technology capabilities, including cloud, data analytics, automation</w:t>
      </w:r>
      <w:r>
        <w:rPr>
          <w:rFonts w:ascii="Arial" w:cs="Arial" w:eastAsia="Arial" w:hAnsi="Arial"/>
          <w:sz w:val="13"/>
          <w:szCs w:val="13"/>
          <w:b w:val="1"/>
          <w:bCs w:val="1"/>
          <w:color w:val="auto"/>
        </w:rPr>
        <w:t xml:space="preserve"> </w:t>
      </w:r>
      <w:r>
        <w:rPr>
          <w:rFonts w:ascii="Arial" w:cs="Arial" w:eastAsia="Arial" w:hAnsi="Arial"/>
          <w:sz w:val="13"/>
          <w:szCs w:val="13"/>
          <w:color w:val="auto"/>
        </w:rPr>
        <w:t>tools, AI and machine learning capabilities to create differentiated, high-value solutions for our clients and to enable greater penetration of attractive market segments.</w:t>
      </w:r>
    </w:p>
    <w:p>
      <w:pPr>
        <w:spacing w:after="0" w:line="57"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In 2023, in response to our continued commitment to quality and efficiency, our clients have renewed contracts with us and given us more business in adjacent service lines, and we’ve gained new clients. We measure success in “Growth” through revenue retention and new business signings, among other metrics.</w:t>
      </w:r>
    </w:p>
    <w:p>
      <w:pPr>
        <w:spacing w:after="0" w:line="80" w:lineRule="exact"/>
        <w:rPr>
          <w:sz w:val="20"/>
          <w:szCs w:val="20"/>
          <w:color w:val="auto"/>
        </w:rPr>
      </w:pPr>
    </w:p>
    <w:p>
      <w:pPr>
        <w:jc w:val="both"/>
        <w:ind w:right="420"/>
        <w:spacing w:after="0" w:line="265" w:lineRule="auto"/>
        <w:rPr>
          <w:sz w:val="20"/>
          <w:szCs w:val="20"/>
          <w:color w:val="auto"/>
        </w:rPr>
      </w:pPr>
      <w:r>
        <w:rPr>
          <w:rFonts w:ascii="Arial" w:cs="Arial" w:eastAsia="Arial" w:hAnsi="Arial"/>
          <w:sz w:val="14"/>
          <w:szCs w:val="14"/>
          <w:b w:val="1"/>
          <w:bCs w:val="1"/>
          <w:color w:val="auto"/>
        </w:rPr>
        <w:t>Efficiency</w:t>
      </w:r>
      <w:r>
        <w:rPr>
          <w:rFonts w:ascii="Arial" w:cs="Arial" w:eastAsia="Arial" w:hAnsi="Arial"/>
          <w:sz w:val="14"/>
          <w:szCs w:val="14"/>
          <w:color w:val="auto"/>
        </w:rPr>
        <w:t>: We continue to identify ways to reduce costs and deliver solutions more efficiently. We have simplified and standardized our operating model by removing redundant</w:t>
      </w:r>
      <w:r>
        <w:rPr>
          <w:rFonts w:ascii="Arial" w:cs="Arial" w:eastAsia="Arial" w:hAnsi="Arial"/>
          <w:sz w:val="14"/>
          <w:szCs w:val="14"/>
          <w:b w:val="1"/>
          <w:bCs w:val="1"/>
          <w:color w:val="auto"/>
        </w:rPr>
        <w:t xml:space="preserve"> </w:t>
      </w:r>
      <w:r>
        <w:rPr>
          <w:rFonts w:ascii="Arial" w:cs="Arial" w:eastAsia="Arial" w:hAnsi="Arial"/>
          <w:sz w:val="14"/>
          <w:szCs w:val="14"/>
          <w:color w:val="auto"/>
        </w:rPr>
        <w:t>management layers and applying processes that enable faster decision-making and greater transparency and accountability. In addition, we aim to achieve additional efficiencies through the following strategies:</w:t>
      </w:r>
    </w:p>
    <w:p>
      <w:pPr>
        <w:spacing w:after="0" w:line="92" w:lineRule="exact"/>
        <w:rPr>
          <w:sz w:val="20"/>
          <w:szCs w:val="20"/>
          <w:color w:val="auto"/>
        </w:rPr>
      </w:pPr>
    </w:p>
    <w:p>
      <w:pPr>
        <w:ind w:left="500" w:hanging="247"/>
        <w:spacing w:after="0" w:line="265" w:lineRule="auto"/>
        <w:tabs>
          <w:tab w:leader="none" w:pos="496"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Automation</w:t>
      </w:r>
      <w:r>
        <w:rPr>
          <w:rFonts w:ascii="Arial" w:cs="Arial" w:eastAsia="Arial" w:hAnsi="Arial"/>
          <w:sz w:val="14"/>
          <w:szCs w:val="14"/>
          <w:color w:val="auto"/>
        </w:rPr>
        <w:t>: We will continue to invest in embedding intelligent process automation and artificial intelligence into existing operations, including automated document</w:t>
      </w:r>
      <w:r>
        <w:rPr>
          <w:rFonts w:ascii="Arial" w:cs="Arial" w:eastAsia="Arial" w:hAnsi="Arial"/>
          <w:sz w:val="14"/>
          <w:szCs w:val="14"/>
          <w:b w:val="1"/>
          <w:bCs w:val="1"/>
          <w:color w:val="auto"/>
        </w:rPr>
        <w:t xml:space="preserve"> </w:t>
      </w:r>
      <w:r>
        <w:rPr>
          <w:rFonts w:ascii="Arial" w:cs="Arial" w:eastAsia="Arial" w:hAnsi="Arial"/>
          <w:sz w:val="14"/>
          <w:szCs w:val="14"/>
          <w:color w:val="auto"/>
        </w:rPr>
        <w:t>management and customer experience. Our automation tools increase productivity through advanced data extraction and handling of structured and unstructured data, improve workflow efficiency through business rules and task automation and increase operational accuracy through predictive analytics.</w:t>
      </w:r>
    </w:p>
    <w:p>
      <w:pPr>
        <w:spacing w:after="0" w:line="91" w:lineRule="exact"/>
        <w:rPr>
          <w:rFonts w:ascii="Arial" w:cs="Arial" w:eastAsia="Arial" w:hAnsi="Arial"/>
          <w:sz w:val="14"/>
          <w:szCs w:val="14"/>
          <w:color w:val="auto"/>
        </w:rPr>
      </w:pPr>
    </w:p>
    <w:p>
      <w:pPr>
        <w:ind w:left="500" w:right="140" w:hanging="247"/>
        <w:spacing w:after="0" w:line="282" w:lineRule="auto"/>
        <w:tabs>
          <w:tab w:leader="none" w:pos="496"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Technology Consolidation</w:t>
      </w:r>
      <w:r>
        <w:rPr>
          <w:rFonts w:ascii="Arial" w:cs="Arial" w:eastAsia="Arial" w:hAnsi="Arial"/>
          <w:sz w:val="14"/>
          <w:szCs w:val="14"/>
          <w:color w:val="auto"/>
        </w:rPr>
        <w:t>: We have identified and are rationalizing redundant technology systems across our lines of business. By centralizing technology systems to drive</w:t>
      </w:r>
      <w:r>
        <w:rPr>
          <w:rFonts w:ascii="Arial" w:cs="Arial" w:eastAsia="Arial" w:hAnsi="Arial"/>
          <w:sz w:val="14"/>
          <w:szCs w:val="14"/>
          <w:b w:val="1"/>
          <w:bCs w:val="1"/>
          <w:color w:val="auto"/>
        </w:rPr>
        <w:t xml:space="preserve"> </w:t>
      </w:r>
      <w:r>
        <w:rPr>
          <w:rFonts w:ascii="Arial" w:cs="Arial" w:eastAsia="Arial" w:hAnsi="Arial"/>
          <w:sz w:val="14"/>
          <w:szCs w:val="14"/>
          <w:color w:val="auto"/>
        </w:rPr>
        <w:t>economies of scale, we amplify the impact of investments, and support consistent, resilient, and stable service delivery.</w:t>
      </w:r>
    </w:p>
    <w:p>
      <w:pPr>
        <w:spacing w:after="0" w:line="80" w:lineRule="exact"/>
        <w:rPr>
          <w:rFonts w:ascii="Arial" w:cs="Arial" w:eastAsia="Arial" w:hAnsi="Arial"/>
          <w:sz w:val="14"/>
          <w:szCs w:val="14"/>
          <w:color w:val="auto"/>
        </w:rPr>
      </w:pPr>
    </w:p>
    <w:p>
      <w:pPr>
        <w:ind w:left="500" w:right="120" w:hanging="247"/>
        <w:spacing w:after="0" w:line="265" w:lineRule="auto"/>
        <w:tabs>
          <w:tab w:leader="none" w:pos="496"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Delivery Optimization</w:t>
      </w:r>
      <w:r>
        <w:rPr>
          <w:rFonts w:ascii="Arial" w:cs="Arial" w:eastAsia="Arial" w:hAnsi="Arial"/>
          <w:sz w:val="14"/>
          <w:szCs w:val="14"/>
          <w:color w:val="auto"/>
        </w:rPr>
        <w:t>: We continue to drive efficiencies by delivering common processes with a shared services model that enables economies of scale while also creating</w:t>
      </w:r>
      <w:r>
        <w:rPr>
          <w:rFonts w:ascii="Arial" w:cs="Arial" w:eastAsia="Arial" w:hAnsi="Arial"/>
          <w:sz w:val="14"/>
          <w:szCs w:val="14"/>
          <w:b w:val="1"/>
          <w:bCs w:val="1"/>
          <w:color w:val="auto"/>
        </w:rPr>
        <w:t xml:space="preserve"> </w:t>
      </w:r>
      <w:r>
        <w:rPr>
          <w:rFonts w:ascii="Arial" w:cs="Arial" w:eastAsia="Arial" w:hAnsi="Arial"/>
          <w:sz w:val="14"/>
          <w:szCs w:val="14"/>
          <w:color w:val="auto"/>
        </w:rPr>
        <w:t>more accountability for client performance. We drive progress through continuous process improvement, and capitalizing on a range of staffing models, including flexible work from home and hybrid work, and by optimizing our geographic footprint.</w:t>
      </w:r>
    </w:p>
    <w:p>
      <w:pPr>
        <w:spacing w:after="0" w:line="92" w:lineRule="exact"/>
        <w:rPr>
          <w:sz w:val="20"/>
          <w:szCs w:val="20"/>
          <w:color w:val="auto"/>
        </w:rPr>
      </w:pPr>
    </w:p>
    <w:p>
      <w:pPr>
        <w:ind w:right="220"/>
        <w:spacing w:after="0" w:line="322" w:lineRule="auto"/>
        <w:rPr>
          <w:sz w:val="20"/>
          <w:szCs w:val="20"/>
          <w:color w:val="auto"/>
        </w:rPr>
      </w:pPr>
      <w:r>
        <w:rPr>
          <w:rFonts w:ascii="Arial" w:cs="Arial" w:eastAsia="Arial" w:hAnsi="Arial"/>
          <w:sz w:val="13"/>
          <w:szCs w:val="13"/>
          <w:color w:val="auto"/>
        </w:rPr>
        <w:t>We continue to respond with agility to clients’ shifting needs and our Net Promoter Score ("NPS") has increased by nearly 30 points since becoming Conduent in 2017. We measure success in Efficiency through associate retention and adjusted earnings before interest, taxes, depreciation, and amortization ("Adjusted EBITDA") margin, among other metrics.</w:t>
      </w:r>
    </w:p>
    <w:p>
      <w:pPr>
        <w:spacing w:after="0" w:line="57" w:lineRule="exact"/>
        <w:rPr>
          <w:sz w:val="20"/>
          <w:szCs w:val="20"/>
          <w:color w:val="auto"/>
        </w:rPr>
      </w:pPr>
    </w:p>
    <w:p>
      <w:pPr>
        <w:ind w:right="380"/>
        <w:spacing w:after="0" w:line="282" w:lineRule="auto"/>
        <w:rPr>
          <w:sz w:val="20"/>
          <w:szCs w:val="20"/>
          <w:color w:val="auto"/>
        </w:rPr>
      </w:pPr>
      <w:r>
        <w:rPr>
          <w:rFonts w:ascii="Arial" w:cs="Arial" w:eastAsia="Arial" w:hAnsi="Arial"/>
          <w:sz w:val="14"/>
          <w:szCs w:val="14"/>
          <w:b w:val="1"/>
          <w:bCs w:val="1"/>
          <w:color w:val="auto"/>
        </w:rPr>
        <w:t>Quality</w:t>
      </w:r>
      <w:r>
        <w:rPr>
          <w:rFonts w:ascii="Arial" w:cs="Arial" w:eastAsia="Arial" w:hAnsi="Arial"/>
          <w:sz w:val="14"/>
          <w:szCs w:val="14"/>
          <w:color w:val="auto"/>
        </w:rPr>
        <w:t>: Our clients depend on stable, high-quality service delivery. We continue to drive progress by increasing system uptime, improving operational stability, and creating client</w:t>
      </w:r>
      <w:r>
        <w:rPr>
          <w:rFonts w:ascii="Arial" w:cs="Arial" w:eastAsia="Arial" w:hAnsi="Arial"/>
          <w:sz w:val="14"/>
          <w:szCs w:val="14"/>
          <w:b w:val="1"/>
          <w:bCs w:val="1"/>
          <w:color w:val="auto"/>
        </w:rPr>
        <w:t xml:space="preserve"> </w:t>
      </w:r>
      <w:r>
        <w:rPr>
          <w:rFonts w:ascii="Arial" w:cs="Arial" w:eastAsia="Arial" w:hAnsi="Arial"/>
          <w:sz w:val="14"/>
          <w:szCs w:val="14"/>
          <w:color w:val="auto"/>
        </w:rPr>
        <w:t>confidence and satisfaction by focusing on the following strategies:</w:t>
      </w:r>
    </w:p>
    <w:p>
      <w:pPr>
        <w:spacing w:after="0" w:line="80" w:lineRule="exact"/>
        <w:rPr>
          <w:sz w:val="20"/>
          <w:szCs w:val="20"/>
          <w:color w:val="auto"/>
        </w:rPr>
      </w:pPr>
    </w:p>
    <w:p>
      <w:pPr>
        <w:ind w:left="500" w:right="120" w:hanging="247"/>
        <w:spacing w:after="0" w:line="265" w:lineRule="auto"/>
        <w:tabs>
          <w:tab w:leader="none" w:pos="496"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Proactive, Real-time Monitoring of Applications and Service Performance</w:t>
      </w:r>
      <w:r>
        <w:rPr>
          <w:rFonts w:ascii="Arial" w:cs="Arial" w:eastAsia="Arial" w:hAnsi="Arial"/>
          <w:sz w:val="14"/>
          <w:szCs w:val="14"/>
          <w:color w:val="auto"/>
        </w:rPr>
        <w:t>: We continue to invest in artificial intelligence and machine learning technologies to proactively</w:t>
      </w:r>
      <w:r>
        <w:rPr>
          <w:rFonts w:ascii="Arial" w:cs="Arial" w:eastAsia="Arial" w:hAnsi="Arial"/>
          <w:sz w:val="14"/>
          <w:szCs w:val="14"/>
          <w:b w:val="1"/>
          <w:bCs w:val="1"/>
          <w:color w:val="auto"/>
        </w:rPr>
        <w:t xml:space="preserve"> </w:t>
      </w:r>
      <w:r>
        <w:rPr>
          <w:rFonts w:ascii="Arial" w:cs="Arial" w:eastAsia="Arial" w:hAnsi="Arial"/>
          <w:sz w:val="14"/>
          <w:szCs w:val="14"/>
          <w:color w:val="auto"/>
        </w:rPr>
        <w:t>monitor and prevent incidents. Through our state-of-the-art global IT command center in Sandy, Utah - which delivers seamless and reliable service to our global clients - we continued to increase system uptime and availability in 2023.</w:t>
      </w:r>
    </w:p>
    <w:p>
      <w:pPr>
        <w:spacing w:after="0" w:line="200" w:lineRule="exact"/>
        <w:rPr>
          <w:sz w:val="20"/>
          <w:szCs w:val="20"/>
          <w:color w:val="auto"/>
        </w:rPr>
      </w:pPr>
    </w:p>
    <w:p>
      <w:pPr>
        <w:spacing w:after="0" w:line="235"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6" w:name="page7"/>
    <w:bookmarkEnd w:id="6"/>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left="500" w:right="520" w:hanging="247"/>
        <w:spacing w:after="0" w:line="282" w:lineRule="auto"/>
        <w:tabs>
          <w:tab w:leader="none" w:pos="496"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Data Center Optimization</w:t>
      </w:r>
      <w:r>
        <w:rPr>
          <w:rFonts w:ascii="Arial" w:cs="Arial" w:eastAsia="Arial" w:hAnsi="Arial"/>
          <w:sz w:val="14"/>
          <w:szCs w:val="14"/>
          <w:color w:val="auto"/>
        </w:rPr>
        <w:t>: We have systematically consolidated the majority of our technology infrastructure leading to increased processing speeds, redundancy and</w:t>
      </w:r>
      <w:r>
        <w:rPr>
          <w:rFonts w:ascii="Arial" w:cs="Arial" w:eastAsia="Arial" w:hAnsi="Arial"/>
          <w:sz w:val="14"/>
          <w:szCs w:val="14"/>
          <w:b w:val="1"/>
          <w:bCs w:val="1"/>
          <w:color w:val="auto"/>
        </w:rPr>
        <w:t xml:space="preserve"> </w:t>
      </w:r>
      <w:r>
        <w:rPr>
          <w:rFonts w:ascii="Arial" w:cs="Arial" w:eastAsia="Arial" w:hAnsi="Arial"/>
          <w:sz w:val="14"/>
          <w:szCs w:val="14"/>
          <w:color w:val="auto"/>
        </w:rPr>
        <w:t>stability, and improved performance for our clients. We expect to complete this work in 2024.</w:t>
      </w:r>
    </w:p>
    <w:p>
      <w:pPr>
        <w:spacing w:after="0" w:line="80" w:lineRule="exact"/>
        <w:rPr>
          <w:rFonts w:ascii="Arial" w:cs="Arial" w:eastAsia="Arial" w:hAnsi="Arial"/>
          <w:sz w:val="14"/>
          <w:szCs w:val="14"/>
          <w:color w:val="auto"/>
        </w:rPr>
      </w:pPr>
    </w:p>
    <w:p>
      <w:pPr>
        <w:ind w:left="500" w:right="240" w:hanging="247"/>
        <w:spacing w:after="0" w:line="282" w:lineRule="auto"/>
        <w:tabs>
          <w:tab w:leader="none" w:pos="496"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Improve End User Experience</w:t>
      </w:r>
      <w:r>
        <w:rPr>
          <w:rFonts w:ascii="Arial" w:cs="Arial" w:eastAsia="Arial" w:hAnsi="Arial"/>
          <w:sz w:val="14"/>
          <w:szCs w:val="14"/>
          <w:color w:val="auto"/>
        </w:rPr>
        <w:t>: We are enhancing both user interfaces and user experiences across our offerings by expanding self-service tools and mobile apps, and by</w:t>
      </w:r>
      <w:r>
        <w:rPr>
          <w:rFonts w:ascii="Arial" w:cs="Arial" w:eastAsia="Arial" w:hAnsi="Arial"/>
          <w:sz w:val="14"/>
          <w:szCs w:val="14"/>
          <w:b w:val="1"/>
          <w:bCs w:val="1"/>
          <w:color w:val="auto"/>
        </w:rPr>
        <w:t xml:space="preserve"> </w:t>
      </w:r>
      <w:r>
        <w:rPr>
          <w:rFonts w:ascii="Arial" w:cs="Arial" w:eastAsia="Arial" w:hAnsi="Arial"/>
          <w:sz w:val="14"/>
          <w:szCs w:val="14"/>
          <w:color w:val="auto"/>
        </w:rPr>
        <w:t>leveraging deeper user insights through analytics.</w:t>
      </w:r>
    </w:p>
    <w:p>
      <w:pPr>
        <w:spacing w:after="0" w:line="80" w:lineRule="exact"/>
        <w:rPr>
          <w:sz w:val="20"/>
          <w:szCs w:val="20"/>
          <w:color w:val="auto"/>
        </w:rPr>
      </w:pPr>
    </w:p>
    <w:p>
      <w:pPr>
        <w:ind w:right="380"/>
        <w:spacing w:after="0" w:line="282" w:lineRule="auto"/>
        <w:rPr>
          <w:sz w:val="20"/>
          <w:szCs w:val="20"/>
          <w:color w:val="auto"/>
        </w:rPr>
      </w:pPr>
      <w:r>
        <w:rPr>
          <w:rFonts w:ascii="Arial" w:cs="Arial" w:eastAsia="Arial" w:hAnsi="Arial"/>
          <w:sz w:val="14"/>
          <w:szCs w:val="14"/>
          <w:color w:val="auto"/>
        </w:rPr>
        <w:t>Our focus on quality has resulted in continued client confidence and satisfaction which is reflected in our Net Promoter Score improvement. We measure “Quality” by service level agreement performance, system availability, technology incident rates, and client satisfaction.</w:t>
      </w:r>
    </w:p>
    <w:p>
      <w:pPr>
        <w:spacing w:after="0" w:line="80" w:lineRule="exact"/>
        <w:rPr>
          <w:sz w:val="20"/>
          <w:szCs w:val="20"/>
          <w:color w:val="auto"/>
        </w:rPr>
      </w:pPr>
    </w:p>
    <w:p>
      <w:pPr>
        <w:ind w:right="380"/>
        <w:spacing w:after="0" w:line="282" w:lineRule="auto"/>
        <w:rPr>
          <w:sz w:val="20"/>
          <w:szCs w:val="20"/>
          <w:color w:val="auto"/>
        </w:rPr>
      </w:pPr>
      <w:r>
        <w:rPr>
          <w:rFonts w:ascii="Arial" w:cs="Arial" w:eastAsia="Arial" w:hAnsi="Arial"/>
          <w:sz w:val="14"/>
          <w:szCs w:val="14"/>
          <w:b w:val="1"/>
          <w:bCs w:val="1"/>
          <w:color w:val="auto"/>
        </w:rPr>
        <w:t>Investment Strategy</w:t>
      </w:r>
      <w:r>
        <w:rPr>
          <w:rFonts w:ascii="Arial" w:cs="Arial" w:eastAsia="Arial" w:hAnsi="Arial"/>
          <w:sz w:val="14"/>
          <w:szCs w:val="14"/>
          <w:color w:val="auto"/>
        </w:rPr>
        <w:t>: We maintain a balanced and disciplined approach to capital allocation including debt repayment, shareholder returns and internal investments. Our internal</w:t>
      </w:r>
      <w:r>
        <w:rPr>
          <w:rFonts w:ascii="Arial" w:cs="Arial" w:eastAsia="Arial" w:hAnsi="Arial"/>
          <w:sz w:val="14"/>
          <w:szCs w:val="14"/>
          <w:b w:val="1"/>
          <w:bCs w:val="1"/>
          <w:color w:val="auto"/>
        </w:rPr>
        <w:t xml:space="preserve"> </w:t>
      </w:r>
      <w:r>
        <w:rPr>
          <w:rFonts w:ascii="Arial" w:cs="Arial" w:eastAsia="Arial" w:hAnsi="Arial"/>
          <w:sz w:val="14"/>
          <w:szCs w:val="14"/>
          <w:color w:val="auto"/>
        </w:rPr>
        <w:t>investments to support our business goals and client needs fall into three broad categories:</w:t>
      </w:r>
    </w:p>
    <w:p>
      <w:pPr>
        <w:spacing w:after="0" w:line="80" w:lineRule="exact"/>
        <w:rPr>
          <w:sz w:val="20"/>
          <w:szCs w:val="20"/>
          <w:color w:val="auto"/>
        </w:rPr>
      </w:pPr>
    </w:p>
    <w:p>
      <w:pPr>
        <w:ind w:left="500" w:right="80" w:hanging="247"/>
        <w:spacing w:after="0" w:line="282" w:lineRule="auto"/>
        <w:tabs>
          <w:tab w:leader="none" w:pos="496" w:val="left"/>
        </w:tabs>
        <w:numPr>
          <w:ilvl w:val="0"/>
          <w:numId w:val="7"/>
        </w:numPr>
        <w:rPr>
          <w:rFonts w:ascii="Arial" w:cs="Arial" w:eastAsia="Arial" w:hAnsi="Arial"/>
          <w:sz w:val="14"/>
          <w:szCs w:val="14"/>
          <w:color w:val="auto"/>
        </w:rPr>
      </w:pPr>
      <w:r>
        <w:rPr>
          <w:rFonts w:ascii="Arial" w:cs="Arial" w:eastAsia="Arial" w:hAnsi="Arial"/>
          <w:sz w:val="14"/>
          <w:szCs w:val="14"/>
          <w:color w:val="auto"/>
        </w:rPr>
        <w:t>Opportunities to optimize, where we have significant scale and where we believe that with process improvements, automation, and an investment into the current offerings, we can improve the end-user experience, reduce our cost of delivery, expand our margins, and further capture additional share.</w:t>
      </w:r>
    </w:p>
    <w:p>
      <w:pPr>
        <w:spacing w:after="0" w:line="80" w:lineRule="exact"/>
        <w:rPr>
          <w:rFonts w:ascii="Arial" w:cs="Arial" w:eastAsia="Arial" w:hAnsi="Arial"/>
          <w:sz w:val="14"/>
          <w:szCs w:val="14"/>
          <w:color w:val="auto"/>
        </w:rPr>
      </w:pPr>
    </w:p>
    <w:p>
      <w:pPr>
        <w:ind w:left="500" w:right="800" w:hanging="247"/>
        <w:spacing w:after="0" w:line="282" w:lineRule="auto"/>
        <w:tabs>
          <w:tab w:leader="none" w:pos="496" w:val="left"/>
        </w:tabs>
        <w:numPr>
          <w:ilvl w:val="0"/>
          <w:numId w:val="7"/>
        </w:numPr>
        <w:rPr>
          <w:rFonts w:ascii="Arial" w:cs="Arial" w:eastAsia="Arial" w:hAnsi="Arial"/>
          <w:sz w:val="14"/>
          <w:szCs w:val="14"/>
          <w:color w:val="auto"/>
        </w:rPr>
      </w:pPr>
      <w:r>
        <w:rPr>
          <w:rFonts w:ascii="Arial" w:cs="Arial" w:eastAsia="Arial" w:hAnsi="Arial"/>
          <w:sz w:val="14"/>
          <w:szCs w:val="14"/>
          <w:color w:val="auto"/>
        </w:rPr>
        <w:t>Opportunities to enhance, where we have strong client relationships, a long history of expertise in that market, and legacy technology that needs to be refreshed or modernized.</w:t>
      </w:r>
    </w:p>
    <w:p>
      <w:pPr>
        <w:spacing w:after="0" w:line="80" w:lineRule="exact"/>
        <w:rPr>
          <w:rFonts w:ascii="Arial" w:cs="Arial" w:eastAsia="Arial" w:hAnsi="Arial"/>
          <w:sz w:val="14"/>
          <w:szCs w:val="14"/>
          <w:color w:val="auto"/>
        </w:rPr>
      </w:pPr>
    </w:p>
    <w:p>
      <w:pPr>
        <w:ind w:left="500" w:right="40" w:hanging="247"/>
        <w:spacing w:after="0" w:line="265" w:lineRule="auto"/>
        <w:tabs>
          <w:tab w:leader="none" w:pos="496" w:val="left"/>
        </w:tabs>
        <w:numPr>
          <w:ilvl w:val="0"/>
          <w:numId w:val="7"/>
        </w:numPr>
        <w:rPr>
          <w:rFonts w:ascii="Arial" w:cs="Arial" w:eastAsia="Arial" w:hAnsi="Arial"/>
          <w:sz w:val="14"/>
          <w:szCs w:val="14"/>
          <w:color w:val="auto"/>
        </w:rPr>
      </w:pPr>
      <w:r>
        <w:rPr>
          <w:rFonts w:ascii="Arial" w:cs="Arial" w:eastAsia="Arial" w:hAnsi="Arial"/>
          <w:sz w:val="14"/>
          <w:szCs w:val="14"/>
          <w:color w:val="auto"/>
        </w:rPr>
        <w:t>Opportunities to expand, where we believe we can compete successfully, and we see the return on investment as more significant than in other businesses. These businesses, augmented with new capabilities and geographic expansion, and with the opportunity to be supplemented by modest acquisitions, will address market dynamics and provide additional growth opportunities.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Our Market Opportunity</w:t>
      </w:r>
    </w:p>
    <w:p>
      <w:pPr>
        <w:spacing w:after="0" w:line="131"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We operate in markets with compelling growth opportunities, including healthcare, transportation and customer experience management. We estimate our addressable market size in the global business process services industry to be $210 billion in 2023, according to third-party industry reports. Many industry analysts and advisors place us as a leader across several segments in this large, diverse, and growing market.</w:t>
      </w:r>
    </w:p>
    <w:p>
      <w:pPr>
        <w:spacing w:after="0" w:line="92"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Ongoing competitive pressures and increasing demand for further productivity gains have motivated businesses and government organizations to outsource elements of their day-to-day operations to accelerate performance and improve end-user experience. As a result, our clients have become more focused on their core businesses and the range of outsourced activities has expanded. Increasing globalization has also required many companies to optimize cost structures to retain competitiveness and business process services have become a key component of this strategy.</w:t>
      </w:r>
    </w:p>
    <w:p>
      <w:pPr>
        <w:spacing w:after="0" w:line="97" w:lineRule="exact"/>
        <w:rPr>
          <w:sz w:val="20"/>
          <w:szCs w:val="20"/>
          <w:color w:val="auto"/>
        </w:rPr>
      </w:pPr>
    </w:p>
    <w:p>
      <w:pPr>
        <w:ind w:right="500"/>
        <w:spacing w:after="0" w:line="322" w:lineRule="auto"/>
        <w:rPr>
          <w:sz w:val="20"/>
          <w:szCs w:val="20"/>
          <w:color w:val="auto"/>
        </w:rPr>
      </w:pPr>
      <w:r>
        <w:rPr>
          <w:rFonts w:ascii="Arial" w:cs="Arial" w:eastAsia="Arial" w:hAnsi="Arial"/>
          <w:sz w:val="13"/>
          <w:szCs w:val="13"/>
          <w:color w:val="auto"/>
        </w:rPr>
        <w:t>Consumers and constituents of the businesses and governments we serve are demanding the efficiency and personalization of modern digital experiences. Our digital business process solutions and services drive performance and value for both businesses and governments while providing exceptional customer experiences for their end users.</w:t>
      </w:r>
    </w:p>
    <w:p>
      <w:pPr>
        <w:spacing w:after="0" w:line="57" w:lineRule="exact"/>
        <w:rPr>
          <w:sz w:val="20"/>
          <w:szCs w:val="20"/>
          <w:color w:val="auto"/>
        </w:rPr>
      </w:pPr>
    </w:p>
    <w:p>
      <w:pPr>
        <w:ind w:right="460"/>
        <w:spacing w:after="0" w:line="282" w:lineRule="auto"/>
        <w:rPr>
          <w:sz w:val="20"/>
          <w:szCs w:val="20"/>
          <w:color w:val="auto"/>
        </w:rPr>
      </w:pPr>
      <w:r>
        <w:rPr>
          <w:rFonts w:ascii="Arial" w:cs="Arial" w:eastAsia="Arial" w:hAnsi="Arial"/>
          <w:sz w:val="14"/>
          <w:szCs w:val="14"/>
          <w:color w:val="auto"/>
        </w:rPr>
        <w:t>We have developed a strong leadership position in the markets that we operate in, with increased recognition across multiple stakeholders, as demonstrated by recognition from industry resources.</w:t>
      </w:r>
    </w:p>
    <w:p>
      <w:pPr>
        <w:spacing w:after="0" w:line="80" w:lineRule="exact"/>
        <w:rPr>
          <w:sz w:val="20"/>
          <w:szCs w:val="20"/>
          <w:color w:val="auto"/>
        </w:rPr>
      </w:pPr>
    </w:p>
    <w:p>
      <w:pPr>
        <w:ind w:left="500" w:hanging="247"/>
        <w:spacing w:after="0"/>
        <w:tabs>
          <w:tab w:leader="none" w:pos="50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Industry Analyst Accolades:</w:t>
      </w:r>
    </w:p>
    <w:p>
      <w:pPr>
        <w:spacing w:after="0" w:line="89" w:lineRule="exact"/>
        <w:rPr>
          <w:rFonts w:ascii="Arial" w:cs="Arial" w:eastAsia="Arial" w:hAnsi="Arial"/>
          <w:sz w:val="14"/>
          <w:szCs w:val="14"/>
          <w:b w:val="1"/>
          <w:bCs w:val="1"/>
          <w:color w:val="auto"/>
        </w:rPr>
      </w:pPr>
    </w:p>
    <w:p>
      <w:pPr>
        <w:ind w:left="1000" w:right="6120" w:hanging="247"/>
        <w:spacing w:after="0" w:line="278" w:lineRule="auto"/>
        <w:tabs>
          <w:tab w:leader="none" w:pos="996" w:val="left"/>
        </w:tabs>
        <w:numPr>
          <w:ilvl w:val="1"/>
          <w:numId w:val="8"/>
        </w:numPr>
        <w:rPr>
          <w:rFonts w:ascii="Arial" w:cs="Arial" w:eastAsia="Arial" w:hAnsi="Arial"/>
          <w:sz w:val="13"/>
          <w:szCs w:val="13"/>
          <w:color w:val="auto"/>
        </w:rPr>
      </w:pPr>
      <w:r>
        <w:rPr>
          <w:rFonts w:ascii="Arial" w:cs="Arial" w:eastAsia="Arial" w:hAnsi="Arial"/>
          <w:sz w:val="13"/>
          <w:szCs w:val="13"/>
          <w:color w:val="auto"/>
        </w:rPr>
        <w:t>NelsonHall Next Generation Benefits Administration NEAT – Leader (Focus Areas: Overall, Digital, H&amp;W, Marketplace and TBO)</w:t>
      </w:r>
    </w:p>
    <w:p>
      <w:pPr>
        <w:spacing w:after="0" w:line="1" w:lineRule="exact"/>
        <w:rPr>
          <w:rFonts w:ascii="Arial" w:cs="Arial" w:eastAsia="Arial" w:hAnsi="Arial"/>
          <w:sz w:val="13"/>
          <w:szCs w:val="13"/>
          <w:color w:val="auto"/>
        </w:rPr>
      </w:pPr>
    </w:p>
    <w:p>
      <w:pPr>
        <w:ind w:left="1000" w:right="4720" w:hanging="247"/>
        <w:spacing w:after="0" w:line="267" w:lineRule="auto"/>
        <w:tabs>
          <w:tab w:leader="none" w:pos="996" w:val="left"/>
        </w:tabs>
        <w:numPr>
          <w:ilvl w:val="1"/>
          <w:numId w:val="8"/>
        </w:numPr>
        <w:rPr>
          <w:rFonts w:ascii="Arial" w:cs="Arial" w:eastAsia="Arial" w:hAnsi="Arial"/>
          <w:sz w:val="13"/>
          <w:szCs w:val="13"/>
          <w:color w:val="auto"/>
        </w:rPr>
      </w:pPr>
      <w:r>
        <w:rPr>
          <w:rFonts w:ascii="Arial" w:cs="Arial" w:eastAsia="Arial" w:hAnsi="Arial"/>
          <w:sz w:val="13"/>
          <w:szCs w:val="13"/>
          <w:color w:val="auto"/>
        </w:rPr>
        <w:t>ISG Provider Lens Contact Center - Customer Experience Services US 2023 – Leader (Focus Areas: AI &amp; Analytics, Digital Operations, Social Media Services, Work from Home)</w:t>
      </w:r>
    </w:p>
    <w:p>
      <w:pPr>
        <w:ind w:left="1000" w:hanging="247"/>
        <w:spacing w:after="0"/>
        <w:tabs>
          <w:tab w:leader="none" w:pos="1000" w:val="left"/>
        </w:tabs>
        <w:numPr>
          <w:ilvl w:val="1"/>
          <w:numId w:val="8"/>
        </w:numPr>
        <w:rPr>
          <w:rFonts w:ascii="Arial" w:cs="Arial" w:eastAsia="Arial" w:hAnsi="Arial"/>
          <w:sz w:val="14"/>
          <w:szCs w:val="14"/>
          <w:color w:val="auto"/>
        </w:rPr>
      </w:pPr>
      <w:r>
        <w:rPr>
          <w:rFonts w:ascii="Arial" w:cs="Arial" w:eastAsia="Arial" w:hAnsi="Arial"/>
          <w:sz w:val="14"/>
          <w:szCs w:val="14"/>
          <w:color w:val="auto"/>
        </w:rPr>
        <w:t>ISG Provider Lens Finance and Accounting Outsourcing Services Global 2023 - Rising Star in Procure to Pay (P2P)</w:t>
      </w:r>
    </w:p>
    <w:p>
      <w:pPr>
        <w:spacing w:after="0" w:line="5" w:lineRule="exact"/>
        <w:rPr>
          <w:rFonts w:ascii="Arial" w:cs="Arial" w:eastAsia="Arial" w:hAnsi="Arial"/>
          <w:sz w:val="14"/>
          <w:szCs w:val="14"/>
          <w:color w:val="auto"/>
        </w:rPr>
      </w:pPr>
    </w:p>
    <w:p>
      <w:pPr>
        <w:ind w:left="1000" w:hanging="247"/>
        <w:spacing w:after="0"/>
        <w:tabs>
          <w:tab w:leader="none" w:pos="1000" w:val="left"/>
        </w:tabs>
        <w:numPr>
          <w:ilvl w:val="1"/>
          <w:numId w:val="8"/>
        </w:numPr>
        <w:rPr>
          <w:rFonts w:ascii="Arial" w:cs="Arial" w:eastAsia="Arial" w:hAnsi="Arial"/>
          <w:sz w:val="14"/>
          <w:szCs w:val="14"/>
          <w:color w:val="auto"/>
        </w:rPr>
      </w:pPr>
      <w:r>
        <w:rPr>
          <w:rFonts w:ascii="Arial" w:cs="Arial" w:eastAsia="Arial" w:hAnsi="Arial"/>
          <w:sz w:val="14"/>
          <w:szCs w:val="14"/>
          <w:color w:val="auto"/>
        </w:rPr>
        <w:t>Everest Group Healthcare Payer Operations PEAK Matrix Assessment 2023 – Leader</w:t>
      </w:r>
    </w:p>
    <w:p>
      <w:pPr>
        <w:spacing w:after="0" w:line="33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7" w:name="page8"/>
    <w:bookmarkEnd w:id="7"/>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left="500" w:hanging="247"/>
        <w:spacing w:after="0"/>
        <w:tabs>
          <w:tab w:leader="none" w:pos="500" w:val="left"/>
        </w:tabs>
        <w:numPr>
          <w:ilvl w:val="0"/>
          <w:numId w:val="9"/>
        </w:numPr>
        <w:rPr>
          <w:rFonts w:ascii="Arial" w:cs="Arial" w:eastAsia="Arial" w:hAnsi="Arial"/>
          <w:sz w:val="14"/>
          <w:szCs w:val="14"/>
          <w:b w:val="1"/>
          <w:bCs w:val="1"/>
          <w:color w:val="auto"/>
        </w:rPr>
      </w:pPr>
      <w:r>
        <w:rPr>
          <w:rFonts w:ascii="Arial" w:cs="Arial" w:eastAsia="Arial" w:hAnsi="Arial"/>
          <w:sz w:val="14"/>
          <w:szCs w:val="14"/>
          <w:b w:val="1"/>
          <w:bCs w:val="1"/>
          <w:color w:val="auto"/>
        </w:rPr>
        <w:t>Market Position:</w:t>
      </w:r>
    </w:p>
    <w:p>
      <w:pPr>
        <w:spacing w:after="0" w:line="89" w:lineRule="exact"/>
        <w:rPr>
          <w:rFonts w:ascii="Arial" w:cs="Arial" w:eastAsia="Arial" w:hAnsi="Arial"/>
          <w:sz w:val="14"/>
          <w:szCs w:val="14"/>
          <w:b w:val="1"/>
          <w:bCs w:val="1"/>
          <w:color w:val="auto"/>
        </w:rPr>
      </w:pPr>
    </w:p>
    <w:p>
      <w:pPr>
        <w:ind w:left="1000" w:hanging="247"/>
        <w:spacing w:after="0"/>
        <w:tabs>
          <w:tab w:leader="none" w:pos="1000" w:val="left"/>
        </w:tabs>
        <w:numPr>
          <w:ilvl w:val="1"/>
          <w:numId w:val="9"/>
        </w:numPr>
        <w:rPr>
          <w:rFonts w:ascii="Arial" w:cs="Arial" w:eastAsia="Arial" w:hAnsi="Arial"/>
          <w:sz w:val="14"/>
          <w:szCs w:val="14"/>
          <w:color w:val="auto"/>
        </w:rPr>
      </w:pPr>
      <w:r>
        <w:rPr>
          <w:rFonts w:ascii="Arial" w:cs="Arial" w:eastAsia="Arial" w:hAnsi="Arial"/>
          <w:sz w:val="14"/>
          <w:szCs w:val="14"/>
          <w:color w:val="auto"/>
        </w:rPr>
        <w:t>Everest Group BPS Top 15 2023 - #10</w:t>
      </w:r>
    </w:p>
    <w:p>
      <w:pPr>
        <w:spacing w:after="0" w:line="19" w:lineRule="exact"/>
        <w:rPr>
          <w:rFonts w:ascii="Arial" w:cs="Arial" w:eastAsia="Arial" w:hAnsi="Arial"/>
          <w:sz w:val="14"/>
          <w:szCs w:val="14"/>
          <w:color w:val="auto"/>
        </w:rPr>
      </w:pPr>
    </w:p>
    <w:p>
      <w:pPr>
        <w:ind w:left="1000" w:hanging="247"/>
        <w:spacing w:after="0"/>
        <w:tabs>
          <w:tab w:leader="none" w:pos="1000" w:val="left"/>
        </w:tabs>
        <w:numPr>
          <w:ilvl w:val="1"/>
          <w:numId w:val="9"/>
        </w:numPr>
        <w:rPr>
          <w:rFonts w:ascii="Arial" w:cs="Arial" w:eastAsia="Arial" w:hAnsi="Arial"/>
          <w:sz w:val="14"/>
          <w:szCs w:val="14"/>
          <w:color w:val="auto"/>
        </w:rPr>
      </w:pPr>
      <w:r>
        <w:rPr>
          <w:rFonts w:ascii="Arial" w:cs="Arial" w:eastAsia="Arial" w:hAnsi="Arial"/>
          <w:sz w:val="14"/>
          <w:szCs w:val="14"/>
          <w:color w:val="auto"/>
        </w:rPr>
        <w:t>Gartner Market Share IT Services 2023 - BPO, Worldwide - #11</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Segments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We organize, manage and report our business through three reportable segments:</w:t>
      </w:r>
    </w:p>
    <w:p>
      <w:pPr>
        <w:spacing w:after="0" w:line="131" w:lineRule="exact"/>
        <w:rPr>
          <w:sz w:val="20"/>
          <w:szCs w:val="20"/>
          <w:color w:val="auto"/>
        </w:rPr>
      </w:pPr>
    </w:p>
    <w:p>
      <w:pPr>
        <w:spacing w:after="0" w:line="295" w:lineRule="auto"/>
        <w:rPr>
          <w:sz w:val="20"/>
          <w:szCs w:val="20"/>
          <w:color w:val="auto"/>
        </w:rPr>
      </w:pPr>
      <w:r>
        <w:rPr>
          <w:rFonts w:ascii="Arial" w:cs="Arial" w:eastAsia="Arial" w:hAnsi="Arial"/>
          <w:sz w:val="13"/>
          <w:szCs w:val="13"/>
          <w:i w:val="1"/>
          <w:iCs w:val="1"/>
          <w:u w:val="single" w:color="auto"/>
          <w:color w:val="auto"/>
        </w:rPr>
        <w:t>Commercial:</w:t>
      </w:r>
      <w:r>
        <w:rPr>
          <w:rFonts w:ascii="Arial" w:cs="Arial" w:eastAsia="Arial" w:hAnsi="Arial"/>
          <w:sz w:val="13"/>
          <w:szCs w:val="13"/>
          <w:i w:val="1"/>
          <w:iCs w:val="1"/>
          <w:color w:val="auto"/>
        </w:rPr>
        <w:t xml:space="preserve"> </w:t>
      </w:r>
      <w:r>
        <w:rPr>
          <w:rFonts w:ascii="Arial" w:cs="Arial" w:eastAsia="Arial" w:hAnsi="Arial"/>
          <w:sz w:val="13"/>
          <w:szCs w:val="13"/>
          <w:color w:val="auto"/>
        </w:rPr>
        <w:t>Our Commercial segment provides business process services and customized solutions to clients in a variety of commercial industries. Across the Commercial segment,</w:t>
      </w:r>
      <w:r>
        <w:rPr>
          <w:rFonts w:ascii="Arial" w:cs="Arial" w:eastAsia="Arial" w:hAnsi="Arial"/>
          <w:sz w:val="13"/>
          <w:szCs w:val="13"/>
          <w:i w:val="1"/>
          <w:iCs w:val="1"/>
          <w:color w:val="auto"/>
        </w:rPr>
        <w:t xml:space="preserve"> </w:t>
      </w:r>
      <w:r>
        <w:rPr>
          <w:rFonts w:ascii="Arial" w:cs="Arial" w:eastAsia="Arial" w:hAnsi="Arial"/>
          <w:sz w:val="13"/>
          <w:szCs w:val="13"/>
          <w:color w:val="auto"/>
        </w:rPr>
        <w:t>we operate on our clients’ behalf to deliver mission-critical solutions and services to reduce costs, improve efficiencies and enable revenue growth for our clients and better experiences for their consumers and employees. Our Commercial segment is our largest segment, with segment revenue for 2023 of $1,932 million, representing 51.9% of our total revenues.</w:t>
      </w:r>
    </w:p>
    <w:p>
      <w:pPr>
        <w:spacing w:after="0" w:line="74"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i w:val="1"/>
          <w:iCs w:val="1"/>
          <w:u w:val="single" w:color="auto"/>
          <w:color w:val="auto"/>
        </w:rPr>
        <w:t>Government:</w:t>
      </w:r>
      <w:r>
        <w:rPr>
          <w:rFonts w:ascii="Arial" w:cs="Arial" w:eastAsia="Arial" w:hAnsi="Arial"/>
          <w:sz w:val="14"/>
          <w:szCs w:val="14"/>
          <w:i w:val="1"/>
          <w:iCs w:val="1"/>
          <w:color w:val="auto"/>
        </w:rPr>
        <w:t xml:space="preserve"> </w:t>
      </w:r>
      <w:r>
        <w:rPr>
          <w:rFonts w:ascii="Arial" w:cs="Arial" w:eastAsia="Arial" w:hAnsi="Arial"/>
          <w:sz w:val="14"/>
          <w:szCs w:val="14"/>
          <w:color w:val="auto"/>
        </w:rPr>
        <w:t>Our Government segment provides government-centric business process services to U.S. federal, state, local and foreign governments for public assistance, healthcare</w:t>
      </w:r>
      <w:r>
        <w:rPr>
          <w:rFonts w:ascii="Arial" w:cs="Arial" w:eastAsia="Arial" w:hAnsi="Arial"/>
          <w:sz w:val="14"/>
          <w:szCs w:val="14"/>
          <w:i w:val="1"/>
          <w:iCs w:val="1"/>
          <w:color w:val="auto"/>
        </w:rPr>
        <w:t xml:space="preserve"> </w:t>
      </w:r>
      <w:r>
        <w:rPr>
          <w:rFonts w:ascii="Arial" w:cs="Arial" w:eastAsia="Arial" w:hAnsi="Arial"/>
          <w:sz w:val="14"/>
          <w:szCs w:val="14"/>
          <w:color w:val="auto"/>
        </w:rPr>
        <w:t>programs and administration, transaction processing and payment services. Our solutions in this segment help governments respond to changing rules for eligibility and increasing citizen expectations. Our Government segment revenue for 2023 was $1,094 million, representing 29.4% of our total revenues.</w:t>
      </w:r>
    </w:p>
    <w:p>
      <w:pPr>
        <w:spacing w:after="0" w:line="92" w:lineRule="exact"/>
        <w:rPr>
          <w:sz w:val="20"/>
          <w:szCs w:val="20"/>
          <w:color w:val="auto"/>
        </w:rPr>
      </w:pPr>
    </w:p>
    <w:p>
      <w:pPr>
        <w:ind w:right="380"/>
        <w:spacing w:after="0" w:line="265" w:lineRule="auto"/>
        <w:rPr>
          <w:sz w:val="20"/>
          <w:szCs w:val="20"/>
          <w:color w:val="auto"/>
        </w:rPr>
      </w:pPr>
      <w:r>
        <w:rPr>
          <w:rFonts w:ascii="Arial" w:cs="Arial" w:eastAsia="Arial" w:hAnsi="Arial"/>
          <w:sz w:val="14"/>
          <w:szCs w:val="14"/>
          <w:i w:val="1"/>
          <w:iCs w:val="1"/>
          <w:u w:val="single" w:color="auto"/>
          <w:color w:val="auto"/>
        </w:rPr>
        <w:t>Transportation:</w:t>
      </w:r>
      <w:r>
        <w:rPr>
          <w:rFonts w:ascii="Arial" w:cs="Arial" w:eastAsia="Arial" w:hAnsi="Arial"/>
          <w:sz w:val="14"/>
          <w:szCs w:val="14"/>
          <w:i w:val="1"/>
          <w:iCs w:val="1"/>
          <w:color w:val="auto"/>
        </w:rPr>
        <w:t xml:space="preserve"> </w:t>
      </w:r>
      <w:r>
        <w:rPr>
          <w:rFonts w:ascii="Arial" w:cs="Arial" w:eastAsia="Arial" w:hAnsi="Arial"/>
          <w:sz w:val="14"/>
          <w:szCs w:val="14"/>
          <w:color w:val="auto"/>
        </w:rPr>
        <w:t>Our Transportation segment provides systems, support, and revenue-generating solutions to government transportation agency clients. We deliver mission-critical</w:t>
      </w:r>
      <w:r>
        <w:rPr>
          <w:rFonts w:ascii="Arial" w:cs="Arial" w:eastAsia="Arial" w:hAnsi="Arial"/>
          <w:sz w:val="14"/>
          <w:szCs w:val="14"/>
          <w:i w:val="1"/>
          <w:iCs w:val="1"/>
          <w:color w:val="auto"/>
        </w:rPr>
        <w:t xml:space="preserve"> </w:t>
      </w:r>
      <w:r>
        <w:rPr>
          <w:rFonts w:ascii="Arial" w:cs="Arial" w:eastAsia="Arial" w:hAnsi="Arial"/>
          <w:sz w:val="14"/>
          <w:szCs w:val="14"/>
          <w:color w:val="auto"/>
        </w:rPr>
        <w:t>public safety, mobility and digital payment solutions that streamline operations, increase revenue and reduce congestion while creating safe, seamless travel experiences for consumers while reducing impact on the environment. Transportation segment revenue for 2023 was $696 million, representing 18.7% of our total revenues.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We present segment financial information in Note 3 – Segment Reporting to our Consolidated Financial Statements included in Part II, Item 8 of this Form 10-K.</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Our Service Offerings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Commercial</w:t>
      </w:r>
    </w:p>
    <w:p>
      <w:pPr>
        <w:spacing w:after="0" w:line="129" w:lineRule="exact"/>
        <w:rPr>
          <w:sz w:val="20"/>
          <w:szCs w:val="20"/>
          <w:color w:val="auto"/>
        </w:rPr>
      </w:pPr>
    </w:p>
    <w:p>
      <w:pPr>
        <w:ind w:right="560"/>
        <w:spacing w:after="0" w:line="282" w:lineRule="auto"/>
        <w:rPr>
          <w:sz w:val="20"/>
          <w:szCs w:val="20"/>
          <w:color w:val="auto"/>
        </w:rPr>
      </w:pPr>
      <w:r>
        <w:rPr>
          <w:rFonts w:ascii="Arial" w:cs="Arial" w:eastAsia="Arial" w:hAnsi="Arial"/>
          <w:sz w:val="14"/>
          <w:szCs w:val="14"/>
          <w:color w:val="auto"/>
        </w:rPr>
        <w:t>Our technology-led solutions and services include Customer Experience Management ("CXM"), Business Operations Solutions ("BOS"), Healthcare Claims and Administration Solutions and Human Capital Solutions ("HCS").</w:t>
      </w:r>
    </w:p>
    <w:p>
      <w:pPr>
        <w:spacing w:after="0" w:line="107" w:lineRule="exact"/>
        <w:rPr>
          <w:sz w:val="20"/>
          <w:szCs w:val="20"/>
          <w:color w:val="auto"/>
        </w:rPr>
      </w:pPr>
    </w:p>
    <w:p>
      <w:pPr>
        <w:ind w:left="240" w:hanging="237"/>
        <w:spacing w:after="0"/>
        <w:tabs>
          <w:tab w:leader="none" w:pos="240" w:val="left"/>
        </w:tabs>
        <w:numPr>
          <w:ilvl w:val="0"/>
          <w:numId w:val="10"/>
        </w:numPr>
        <w:rPr>
          <w:rFonts w:ascii="Arial" w:cs="Arial" w:eastAsia="Arial" w:hAnsi="Arial"/>
          <w:sz w:val="17"/>
          <w:szCs w:val="17"/>
          <w:color w:val="auto"/>
        </w:rPr>
      </w:pPr>
      <w:r>
        <w:rPr>
          <w:rFonts w:ascii="Arial" w:cs="Arial" w:eastAsia="Arial" w:hAnsi="Arial"/>
          <w:sz w:val="14"/>
          <w:szCs w:val="14"/>
          <w:b w:val="1"/>
          <w:bCs w:val="1"/>
          <w:color w:val="auto"/>
        </w:rPr>
        <w:t>Customer Experience Management</w:t>
      </w:r>
    </w:p>
    <w:p>
      <w:pPr>
        <w:spacing w:after="0" w:line="100" w:lineRule="exact"/>
        <w:rPr>
          <w:rFonts w:ascii="Arial" w:cs="Arial" w:eastAsia="Arial" w:hAnsi="Arial"/>
          <w:sz w:val="17"/>
          <w:szCs w:val="17"/>
          <w:color w:val="auto"/>
        </w:rPr>
      </w:pPr>
    </w:p>
    <w:p>
      <w:pPr>
        <w:ind w:left="760" w:right="20" w:hanging="257"/>
        <w:spacing w:after="0" w:line="255" w:lineRule="auto"/>
        <w:tabs>
          <w:tab w:leader="none" w:pos="756" w:val="left"/>
        </w:tabs>
        <w:numPr>
          <w:ilvl w:val="1"/>
          <w:numId w:val="10"/>
        </w:numPr>
        <w:rPr>
          <w:rFonts w:ascii="Arial" w:cs="Arial" w:eastAsia="Arial" w:hAnsi="Arial"/>
          <w:sz w:val="14"/>
          <w:szCs w:val="14"/>
          <w:b w:val="1"/>
          <w:bCs w:val="1"/>
          <w:color w:val="auto"/>
        </w:rPr>
      </w:pPr>
      <w:r>
        <w:rPr>
          <w:rFonts w:ascii="Arial" w:cs="Arial" w:eastAsia="Arial" w:hAnsi="Arial"/>
          <w:sz w:val="14"/>
          <w:szCs w:val="14"/>
          <w:color w:val="auto"/>
        </w:rPr>
        <w:t>We deliver a full range of omni-channel customer contact services and customer communications, including customer care, technical support, loyalty management, and outbound and inbound sales. We create better experiences across the customer lifecycle through a variety of channels including social media, chat, email, voice and virtual agent to help customers where and how they want to engage. Through omni-channel communications, automation, and analytics, as well as labor efficiencies, we help our clients to reduce costs, enable scale and drive revenue growth and efficiencies. We serve marquee clients across multiple sectors including financial services, health and life sciences, logistics, retail, technology and telecom, travel, and hospitality sectors. The CXM business generally generates income on a per call, per agent, or per percentage of sales made basis.</w:t>
      </w:r>
    </w:p>
    <w:p>
      <w:pPr>
        <w:spacing w:after="0" w:line="98" w:lineRule="exact"/>
        <w:rPr>
          <w:rFonts w:ascii="Arial" w:cs="Arial" w:eastAsia="Arial" w:hAnsi="Arial"/>
          <w:sz w:val="14"/>
          <w:szCs w:val="14"/>
          <w:b w:val="1"/>
          <w:bCs w:val="1"/>
          <w:color w:val="auto"/>
        </w:rPr>
      </w:pPr>
    </w:p>
    <w:p>
      <w:pPr>
        <w:ind w:left="240" w:hanging="237"/>
        <w:spacing w:after="0"/>
        <w:tabs>
          <w:tab w:leader="none" w:pos="240" w:val="left"/>
        </w:tabs>
        <w:numPr>
          <w:ilvl w:val="0"/>
          <w:numId w:val="10"/>
        </w:numPr>
        <w:rPr>
          <w:rFonts w:ascii="Arial" w:cs="Arial" w:eastAsia="Arial" w:hAnsi="Arial"/>
          <w:sz w:val="14"/>
          <w:szCs w:val="14"/>
          <w:b w:val="1"/>
          <w:bCs w:val="1"/>
          <w:i w:val="1"/>
          <w:iCs w:val="1"/>
          <w:color w:val="auto"/>
        </w:rPr>
      </w:pPr>
      <w:r>
        <w:rPr>
          <w:rFonts w:ascii="Arial" w:cs="Arial" w:eastAsia="Arial" w:hAnsi="Arial"/>
          <w:sz w:val="14"/>
          <w:szCs w:val="14"/>
          <w:b w:val="1"/>
          <w:bCs w:val="1"/>
          <w:color w:val="auto"/>
        </w:rPr>
        <w:t>Business Operations Solutions</w:t>
      </w:r>
    </w:p>
    <w:p>
      <w:pPr>
        <w:spacing w:after="0" w:line="130" w:lineRule="exact"/>
        <w:rPr>
          <w:rFonts w:ascii="Arial" w:cs="Arial" w:eastAsia="Arial" w:hAnsi="Arial"/>
          <w:sz w:val="14"/>
          <w:szCs w:val="14"/>
          <w:b w:val="1"/>
          <w:bCs w:val="1"/>
          <w:i w:val="1"/>
          <w:iCs w:val="1"/>
          <w:color w:val="auto"/>
        </w:rPr>
      </w:pPr>
    </w:p>
    <w:p>
      <w:pPr>
        <w:ind w:left="760" w:right="100" w:hanging="257"/>
        <w:spacing w:after="0" w:line="255" w:lineRule="auto"/>
        <w:tabs>
          <w:tab w:leader="none" w:pos="756" w:val="left"/>
        </w:tabs>
        <w:numPr>
          <w:ilvl w:val="1"/>
          <w:numId w:val="10"/>
        </w:numPr>
        <w:rPr>
          <w:rFonts w:ascii="Arial" w:cs="Arial" w:eastAsia="Arial" w:hAnsi="Arial"/>
          <w:sz w:val="14"/>
          <w:szCs w:val="14"/>
          <w:b w:val="1"/>
          <w:bCs w:val="1"/>
          <w:color w:val="auto"/>
        </w:rPr>
      </w:pPr>
      <w:r>
        <w:rPr>
          <w:rFonts w:ascii="Arial" w:cs="Arial" w:eastAsia="Arial" w:hAnsi="Arial"/>
          <w:sz w:val="14"/>
          <w:szCs w:val="14"/>
          <w:color w:val="auto"/>
        </w:rPr>
        <w:t>In our BOS business, we help our clients transform business processes and drive efficiency, automation and scale across essential business functions. We streamline mission-critical operations through our deep industry experience, understanding of our clients’ operations and the latest technology solutions, to reduce costs, improve security, performance and accuracy and enable revenue growth, while enhancing the end-user experience. Our portfolio of solutions spans automated document and data management, payments processing, finance, accounting and procurement, and financial industry solutions. We generate revenue in a variety of ways within this business, including per item handled, time and materials, and per service such as postage, web portal hosting or data storage. Our pricing can also be based on achieving specific outcomes for services rendered.</w:t>
      </w:r>
    </w:p>
    <w:p>
      <w:pPr>
        <w:spacing w:after="0" w:line="200" w:lineRule="exact"/>
        <w:rPr>
          <w:sz w:val="20"/>
          <w:szCs w:val="20"/>
          <w:color w:val="auto"/>
        </w:rPr>
      </w:pPr>
    </w:p>
    <w:p>
      <w:pPr>
        <w:spacing w:after="0" w:line="253"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8" w:name="page9"/>
    <w:bookmarkEnd w:id="8"/>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ind w:left="240" w:hanging="237"/>
        <w:spacing w:after="0"/>
        <w:tabs>
          <w:tab w:leader="none" w:pos="240" w:val="left"/>
        </w:tabs>
        <w:numPr>
          <w:ilvl w:val="0"/>
          <w:numId w:val="11"/>
        </w:numPr>
        <w:rPr>
          <w:rFonts w:ascii="Arial" w:cs="Arial" w:eastAsia="Arial" w:hAnsi="Arial"/>
          <w:sz w:val="14"/>
          <w:szCs w:val="14"/>
          <w:b w:val="1"/>
          <w:bCs w:val="1"/>
          <w:i w:val="1"/>
          <w:iCs w:val="1"/>
          <w:color w:val="auto"/>
        </w:rPr>
      </w:pPr>
      <w:r>
        <w:rPr>
          <w:rFonts w:ascii="Arial" w:cs="Arial" w:eastAsia="Arial" w:hAnsi="Arial"/>
          <w:sz w:val="14"/>
          <w:szCs w:val="14"/>
          <w:b w:val="1"/>
          <w:bCs w:val="1"/>
          <w:color w:val="auto"/>
        </w:rPr>
        <w:t>Healthcare Claims and Administration Solutions</w:t>
      </w:r>
    </w:p>
    <w:p>
      <w:pPr>
        <w:spacing w:after="0" w:line="130" w:lineRule="exact"/>
        <w:rPr>
          <w:rFonts w:ascii="Arial" w:cs="Arial" w:eastAsia="Arial" w:hAnsi="Arial"/>
          <w:sz w:val="14"/>
          <w:szCs w:val="14"/>
          <w:b w:val="1"/>
          <w:bCs w:val="1"/>
          <w:i w:val="1"/>
          <w:iCs w:val="1"/>
          <w:color w:val="auto"/>
        </w:rPr>
      </w:pPr>
    </w:p>
    <w:p>
      <w:pPr>
        <w:ind w:left="760" w:right="40" w:hanging="257"/>
        <w:spacing w:after="0" w:line="253" w:lineRule="auto"/>
        <w:tabs>
          <w:tab w:leader="none" w:pos="756" w:val="left"/>
        </w:tabs>
        <w:numPr>
          <w:ilvl w:val="1"/>
          <w:numId w:val="11"/>
        </w:numPr>
        <w:rPr>
          <w:rFonts w:ascii="Arial" w:cs="Arial" w:eastAsia="Arial" w:hAnsi="Arial"/>
          <w:sz w:val="14"/>
          <w:szCs w:val="14"/>
          <w:b w:val="1"/>
          <w:bCs w:val="1"/>
          <w:color w:val="auto"/>
        </w:rPr>
      </w:pPr>
      <w:r>
        <w:rPr>
          <w:rFonts w:ascii="Arial" w:cs="Arial" w:eastAsia="Arial" w:hAnsi="Arial"/>
          <w:sz w:val="14"/>
          <w:szCs w:val="14"/>
          <w:color w:val="auto"/>
        </w:rPr>
        <w:t>On behalf of the healthcare and casualty insurance industries, we deliver administration, clinical support, bill review and medical management solutions across the health ecosystem to reduce costs, increase compliance and enhance utilization, while improving health outcomes and experiences for members and patients. Our solutions span: trials, sales, access, and adherence for pharmaceutical clients; medical bill review, claims processing, care integration, subrogation and payment integrity solutions for managed care companies; and workers compensation medical bill review, intake mailroom/data capture and medical management services for claims payers and third-party administrators. Through our solutions provided to pharmaceutical clients, we generate revenue either based on a per employee, per transaction basis or a per resource per hour basis. Through our workers compensation and medical bill review services, we generate revenue on a per click and outcome basis. Through our medical bill review, claims processing, and payment integrity solutions provided to managed care companies, we generate revenue on a per member per month basis for use of our platform, as a percentage of what we collect for the provider, or a monthly or annual fee.</w:t>
      </w:r>
    </w:p>
    <w:p>
      <w:pPr>
        <w:spacing w:after="0" w:line="100" w:lineRule="exact"/>
        <w:rPr>
          <w:rFonts w:ascii="Arial" w:cs="Arial" w:eastAsia="Arial" w:hAnsi="Arial"/>
          <w:sz w:val="14"/>
          <w:szCs w:val="14"/>
          <w:b w:val="1"/>
          <w:bCs w:val="1"/>
          <w:color w:val="auto"/>
        </w:rPr>
      </w:pPr>
    </w:p>
    <w:p>
      <w:pPr>
        <w:ind w:left="240" w:hanging="237"/>
        <w:spacing w:after="0"/>
        <w:tabs>
          <w:tab w:leader="none" w:pos="240" w:val="left"/>
        </w:tabs>
        <w:numPr>
          <w:ilvl w:val="0"/>
          <w:numId w:val="11"/>
        </w:numPr>
        <w:rPr>
          <w:rFonts w:ascii="Arial" w:cs="Arial" w:eastAsia="Arial" w:hAnsi="Arial"/>
          <w:sz w:val="14"/>
          <w:szCs w:val="14"/>
          <w:b w:val="1"/>
          <w:bCs w:val="1"/>
          <w:color w:val="auto"/>
        </w:rPr>
      </w:pPr>
      <w:r>
        <w:rPr>
          <w:rFonts w:ascii="Arial" w:cs="Arial" w:eastAsia="Arial" w:hAnsi="Arial"/>
          <w:sz w:val="14"/>
          <w:szCs w:val="14"/>
          <w:b w:val="1"/>
          <w:bCs w:val="1"/>
          <w:color w:val="auto"/>
        </w:rPr>
        <w:t>Human Capital Solutions</w:t>
      </w:r>
    </w:p>
    <w:p>
      <w:pPr>
        <w:spacing w:after="0" w:line="130" w:lineRule="exact"/>
        <w:rPr>
          <w:rFonts w:ascii="Arial" w:cs="Arial" w:eastAsia="Arial" w:hAnsi="Arial"/>
          <w:sz w:val="14"/>
          <w:szCs w:val="14"/>
          <w:b w:val="1"/>
          <w:bCs w:val="1"/>
          <w:color w:val="auto"/>
        </w:rPr>
      </w:pPr>
    </w:p>
    <w:p>
      <w:pPr>
        <w:ind w:left="760" w:hanging="257"/>
        <w:spacing w:after="0" w:line="255" w:lineRule="auto"/>
        <w:tabs>
          <w:tab w:leader="none" w:pos="756" w:val="left"/>
        </w:tabs>
        <w:numPr>
          <w:ilvl w:val="1"/>
          <w:numId w:val="11"/>
        </w:numPr>
        <w:rPr>
          <w:rFonts w:ascii="Arial" w:cs="Arial" w:eastAsia="Arial" w:hAnsi="Arial"/>
          <w:sz w:val="14"/>
          <w:szCs w:val="14"/>
          <w:b w:val="1"/>
          <w:bCs w:val="1"/>
          <w:color w:val="auto"/>
        </w:rPr>
      </w:pPr>
      <w:r>
        <w:rPr>
          <w:rFonts w:ascii="Arial" w:cs="Arial" w:eastAsia="Arial" w:hAnsi="Arial"/>
          <w:sz w:val="14"/>
          <w:szCs w:val="14"/>
          <w:color w:val="auto"/>
        </w:rPr>
        <w:t>We provide services to support our clients' employees at all stages of their employment from on-boarding through retirement. Our solutions span Benefits Administration Solutions, Human Resources ("HR") and Payroll Solutions, Health Savings Accounts Solutions and Learning Solutions. On behalf of global organizations and governments, we deliver mission-critical, technology-led HR services and solutions that improve business processes across the employee journey to maximize business performance, while increasing employee satisfaction, engagement, and overall well-being. These solutions help empower millions of employees and span health, benefits, payroll, onboarding and learning administration, annual enrollment, wealth and retirement, HR, talent, and workforce management. Depending on the solution, we generate revenue in a variety of ways.</w:t>
      </w:r>
    </w:p>
    <w:p>
      <w:pPr>
        <w:spacing w:after="0" w:line="98" w:lineRule="exact"/>
        <w:rPr>
          <w:rFonts w:ascii="Arial" w:cs="Arial" w:eastAsia="Arial" w:hAnsi="Arial"/>
          <w:sz w:val="14"/>
          <w:szCs w:val="14"/>
          <w:b w:val="1"/>
          <w:bCs w:val="1"/>
          <w:color w:val="auto"/>
        </w:rPr>
      </w:pPr>
    </w:p>
    <w:p>
      <w:pPr>
        <w:ind w:left="760" w:right="20" w:hanging="257"/>
        <w:spacing w:after="0" w:line="256" w:lineRule="auto"/>
        <w:tabs>
          <w:tab w:leader="none" w:pos="756" w:val="left"/>
        </w:tabs>
        <w:numPr>
          <w:ilvl w:val="1"/>
          <w:numId w:val="11"/>
        </w:numPr>
        <w:rPr>
          <w:rFonts w:ascii="Arial" w:cs="Arial" w:eastAsia="Arial" w:hAnsi="Arial"/>
          <w:sz w:val="14"/>
          <w:szCs w:val="14"/>
          <w:b w:val="1"/>
          <w:bCs w:val="1"/>
          <w:color w:val="auto"/>
        </w:rPr>
      </w:pPr>
      <w:r>
        <w:rPr>
          <w:rFonts w:ascii="Arial" w:cs="Arial" w:eastAsia="Arial" w:hAnsi="Arial"/>
          <w:sz w:val="14"/>
          <w:szCs w:val="14"/>
          <w:color w:val="auto"/>
        </w:rPr>
        <w:t>Within our Benefits Solutions, we principally generate revenue based on the number of employees and retirees we support, as well as transactions generated by client life events such as qualified domestic relations orders, Consolidated Omnibus Budget Reconciliation Act ("COBRA") and Affordable Care Act ("ACA") administration, which are charged on a per transaction basis. Within our HR and Payroll Solutions, we generate revenue principally per client’s employee per period (month / year) pricing, with tiers to address periodic variations in client employee headcount. Within our Learning Solutions, we generate revenue principally by transaction-based pricing per unit of production along with fixed monthly governance fees.</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Government</w:t>
      </w:r>
    </w:p>
    <w:p>
      <w:pPr>
        <w:spacing w:after="0" w:line="160"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Our Government solutions and services include Government Healthcare Solutions and Government Service Solutions that streamline delivery of government benefits and programs to constituents and families in need.</w:t>
      </w:r>
    </w:p>
    <w:p>
      <w:pPr>
        <w:spacing w:after="0" w:line="80" w:lineRule="exact"/>
        <w:rPr>
          <w:sz w:val="20"/>
          <w:szCs w:val="20"/>
          <w:color w:val="auto"/>
        </w:rPr>
      </w:pPr>
    </w:p>
    <w:p>
      <w:pPr>
        <w:ind w:left="240" w:hanging="237"/>
        <w:spacing w:after="0"/>
        <w:tabs>
          <w:tab w:leader="none" w:pos="240" w:val="left"/>
        </w:tabs>
        <w:numPr>
          <w:ilvl w:val="0"/>
          <w:numId w:val="12"/>
        </w:numPr>
        <w:rPr>
          <w:rFonts w:ascii="Arial" w:cs="Arial" w:eastAsia="Arial" w:hAnsi="Arial"/>
          <w:sz w:val="14"/>
          <w:szCs w:val="14"/>
          <w:b w:val="1"/>
          <w:bCs w:val="1"/>
          <w:color w:val="auto"/>
        </w:rPr>
      </w:pPr>
      <w:r>
        <w:rPr>
          <w:rFonts w:ascii="Arial" w:cs="Arial" w:eastAsia="Arial" w:hAnsi="Arial"/>
          <w:sz w:val="14"/>
          <w:szCs w:val="14"/>
          <w:b w:val="1"/>
          <w:bCs w:val="1"/>
          <w:color w:val="auto"/>
        </w:rPr>
        <w:t>Government Healthcare Solutions</w:t>
      </w:r>
    </w:p>
    <w:p>
      <w:pPr>
        <w:spacing w:after="0" w:line="130" w:lineRule="exact"/>
        <w:rPr>
          <w:rFonts w:ascii="Arial" w:cs="Arial" w:eastAsia="Arial" w:hAnsi="Arial"/>
          <w:sz w:val="14"/>
          <w:szCs w:val="14"/>
          <w:b w:val="1"/>
          <w:bCs w:val="1"/>
          <w:color w:val="auto"/>
        </w:rPr>
      </w:pPr>
    </w:p>
    <w:p>
      <w:pPr>
        <w:ind w:left="760" w:right="20" w:hanging="257"/>
        <w:spacing w:after="0" w:line="252" w:lineRule="auto"/>
        <w:tabs>
          <w:tab w:leader="none" w:pos="756" w:val="left"/>
        </w:tabs>
        <w:numPr>
          <w:ilvl w:val="1"/>
          <w:numId w:val="12"/>
        </w:numPr>
        <w:rPr>
          <w:rFonts w:ascii="Arial" w:cs="Arial" w:eastAsia="Arial" w:hAnsi="Arial"/>
          <w:sz w:val="14"/>
          <w:szCs w:val="14"/>
          <w:color w:val="auto"/>
        </w:rPr>
      </w:pPr>
      <w:r>
        <w:rPr>
          <w:rFonts w:ascii="Arial" w:cs="Arial" w:eastAsia="Arial" w:hAnsi="Arial"/>
          <w:sz w:val="14"/>
          <w:szCs w:val="14"/>
          <w:color w:val="auto"/>
        </w:rPr>
        <w:t>We provide mission-critical program administration solutions for government healthcare programs with a range of innovative solutions such as Medicaid management, provider services, Medicaid business intelligence, pharmacy benefits management, eligibility and enrollment support, customer contact services, application processing, premium billing, and case management solutions. In 2023 alone, we processed 562 million claims. Our cloud-based Medicaid Suite is a modular software as a service ("SaaS") solution for state Medicaid agencies to transform from a legacy Medicaid Management Information System ("MMIS") to a digital, interoperable, and scalable Medicaid Enterprise System. Our case management solutions provide disease surveillance and outbreak management to make it easier to monitor, report and protect the health of communities globally. Both U.S. and international governments depend on our disease surveillance and outbreak case management solution to track public health metrics, including COVID-19, vitals, and birth defects, provide contact tracing and understand outbreak dynamics. These solutions help states, counties, and countries optimize their costs by streamlining access to care and improving patient health outcomes through population health management, while helping families in need by improving beneficiary support. Within the Government</w:t>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9" w:name="page10"/>
    <w:bookmarkEnd w:id="9"/>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left="760"/>
        <w:spacing w:after="0"/>
        <w:rPr>
          <w:sz w:val="20"/>
          <w:szCs w:val="20"/>
          <w:color w:val="auto"/>
        </w:rPr>
      </w:pPr>
      <w:r>
        <w:rPr>
          <w:rFonts w:ascii="Arial" w:cs="Arial" w:eastAsia="Arial" w:hAnsi="Arial"/>
          <w:sz w:val="14"/>
          <w:szCs w:val="14"/>
          <w:color w:val="auto"/>
        </w:rPr>
        <w:t>Healthcare Solutions business, our revenue is primarily fixed fee or variable price based on a per call, per interaction or per member basis.</w:t>
      </w:r>
    </w:p>
    <w:p>
      <w:pPr>
        <w:spacing w:after="0" w:line="131" w:lineRule="exact"/>
        <w:rPr>
          <w:sz w:val="20"/>
          <w:szCs w:val="20"/>
          <w:color w:val="auto"/>
        </w:rPr>
      </w:pPr>
    </w:p>
    <w:p>
      <w:pPr>
        <w:ind w:left="240" w:hanging="237"/>
        <w:spacing w:after="0"/>
        <w:tabs>
          <w:tab w:leader="none" w:pos="240" w:val="left"/>
        </w:tabs>
        <w:numPr>
          <w:ilvl w:val="0"/>
          <w:numId w:val="13"/>
        </w:numPr>
        <w:rPr>
          <w:rFonts w:ascii="Arial" w:cs="Arial" w:eastAsia="Arial" w:hAnsi="Arial"/>
          <w:sz w:val="14"/>
          <w:szCs w:val="14"/>
          <w:b w:val="1"/>
          <w:bCs w:val="1"/>
          <w:color w:val="auto"/>
        </w:rPr>
      </w:pPr>
      <w:r>
        <w:rPr>
          <w:rFonts w:ascii="Arial" w:cs="Arial" w:eastAsia="Arial" w:hAnsi="Arial"/>
          <w:sz w:val="14"/>
          <w:szCs w:val="14"/>
          <w:b w:val="1"/>
          <w:bCs w:val="1"/>
          <w:color w:val="auto"/>
        </w:rPr>
        <w:t>Government Service Solutions</w:t>
      </w:r>
    </w:p>
    <w:p>
      <w:pPr>
        <w:spacing w:after="0" w:line="130" w:lineRule="exact"/>
        <w:rPr>
          <w:rFonts w:ascii="Arial" w:cs="Arial" w:eastAsia="Arial" w:hAnsi="Arial"/>
          <w:sz w:val="14"/>
          <w:szCs w:val="14"/>
          <w:b w:val="1"/>
          <w:bCs w:val="1"/>
          <w:color w:val="auto"/>
        </w:rPr>
      </w:pPr>
    </w:p>
    <w:p>
      <w:pPr>
        <w:ind w:left="760" w:hanging="257"/>
        <w:spacing w:after="0" w:line="256" w:lineRule="auto"/>
        <w:tabs>
          <w:tab w:leader="none" w:pos="756" w:val="left"/>
        </w:tabs>
        <w:numPr>
          <w:ilvl w:val="1"/>
          <w:numId w:val="13"/>
        </w:numPr>
        <w:rPr>
          <w:rFonts w:ascii="Arial" w:cs="Arial" w:eastAsia="Arial" w:hAnsi="Arial"/>
          <w:sz w:val="14"/>
          <w:szCs w:val="14"/>
          <w:b w:val="1"/>
          <w:bCs w:val="1"/>
          <w:color w:val="auto"/>
        </w:rPr>
      </w:pPr>
      <w:r>
        <w:rPr>
          <w:rFonts w:ascii="Arial" w:cs="Arial" w:eastAsia="Arial" w:hAnsi="Arial"/>
          <w:sz w:val="14"/>
          <w:szCs w:val="14"/>
          <w:color w:val="auto"/>
        </w:rPr>
        <w:t>With $99 billion disbursed annually, we are a leader in government payment disbursements for federally sponsored programs including Supplemental Nutrition Assistance Program ("SNAP"), formerly known as food stamps, and Women, Infant and Children ("WIC") as well as government-initiated cash disbursements such as child support and Unemployment Insurance ("UI"). We deliver electronic payments for government services in 37 states, including 24 Electronic Benefit Transfer ("EBT") programs, 13 EBT for WIC programs and 7 Electronic Child Care programs. In our closed-loop payments solution, we generate revenue based on the number of cases or number of card holders. Within our open-loop payments solution, we generate revenue based on interchange fees and spending on cards as a percentage of transactions.</w:t>
      </w:r>
    </w:p>
    <w:p>
      <w:pPr>
        <w:spacing w:after="0" w:line="99" w:lineRule="exact"/>
        <w:rPr>
          <w:rFonts w:ascii="Arial" w:cs="Arial" w:eastAsia="Arial" w:hAnsi="Arial"/>
          <w:sz w:val="14"/>
          <w:szCs w:val="14"/>
          <w:b w:val="1"/>
          <w:bCs w:val="1"/>
          <w:color w:val="auto"/>
        </w:rPr>
      </w:pPr>
    </w:p>
    <w:p>
      <w:pPr>
        <w:jc w:val="both"/>
        <w:ind w:left="760" w:right="320" w:hanging="257"/>
        <w:spacing w:after="0" w:line="265" w:lineRule="auto"/>
        <w:tabs>
          <w:tab w:leader="none" w:pos="756" w:val="left"/>
        </w:tabs>
        <w:numPr>
          <w:ilvl w:val="1"/>
          <w:numId w:val="13"/>
        </w:numPr>
        <w:rPr>
          <w:rFonts w:ascii="Arial" w:cs="Arial" w:eastAsia="Arial" w:hAnsi="Arial"/>
          <w:sz w:val="14"/>
          <w:szCs w:val="14"/>
          <w:b w:val="1"/>
          <w:bCs w:val="1"/>
          <w:color w:val="auto"/>
        </w:rPr>
      </w:pPr>
      <w:r>
        <w:rPr>
          <w:rFonts w:ascii="Arial" w:cs="Arial" w:eastAsia="Arial" w:hAnsi="Arial"/>
          <w:sz w:val="14"/>
          <w:szCs w:val="14"/>
          <w:color w:val="auto"/>
        </w:rPr>
        <w:t>We also offer a broad set of child support services predominately to State Disbursement Units ("SDUs"), including processing and distributing payments, child support payment cards, childcare credentialing, and case management, among others, to help states comply with federal standards. Within child support solutions, the way we generate revenue varies by state, but it is generally either per financial transaction, per call, fixed price, or for development of systems.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auto"/>
        </w:rPr>
        <w:t>Transportation</w:t>
      </w:r>
    </w:p>
    <w:p>
      <w:pPr>
        <w:spacing w:after="0" w:line="129" w:lineRule="exact"/>
        <w:rPr>
          <w:sz w:val="20"/>
          <w:szCs w:val="20"/>
          <w:color w:val="auto"/>
        </w:rPr>
      </w:pPr>
    </w:p>
    <w:p>
      <w:pPr>
        <w:ind w:right="380"/>
        <w:spacing w:after="0" w:line="259" w:lineRule="auto"/>
        <w:rPr>
          <w:sz w:val="20"/>
          <w:szCs w:val="20"/>
          <w:color w:val="auto"/>
        </w:rPr>
      </w:pPr>
      <w:r>
        <w:rPr>
          <w:rFonts w:ascii="Arial" w:cs="Arial" w:eastAsia="Arial" w:hAnsi="Arial"/>
          <w:sz w:val="14"/>
          <w:szCs w:val="14"/>
          <w:color w:val="auto"/>
        </w:rPr>
        <w:t>On behalf of government agencies and transportation authorities around the world, we deliver solutions serving toll and fare collection, mobility and digital payments, violation and citation management, and photo enforcement that help streamline operations and increase revenue. With an expanded focus on sustainability and enhancing the quality of life for citizens and communities around the world, our solutions help reduce congestion and greenhouse emissions, enhance public safety, and create seamless travel experiences for consumers throughout transportation ecosystems.</w:t>
      </w:r>
    </w:p>
    <w:p>
      <w:pPr>
        <w:spacing w:after="0" w:line="97" w:lineRule="exact"/>
        <w:rPr>
          <w:sz w:val="20"/>
          <w:szCs w:val="20"/>
          <w:color w:val="auto"/>
        </w:rPr>
      </w:pPr>
    </w:p>
    <w:p>
      <w:pPr>
        <w:ind w:left="240" w:hanging="237"/>
        <w:spacing w:after="0"/>
        <w:tabs>
          <w:tab w:leader="none" w:pos="240" w:val="left"/>
        </w:tabs>
        <w:numPr>
          <w:ilvl w:val="0"/>
          <w:numId w:val="14"/>
        </w:numPr>
        <w:rPr>
          <w:rFonts w:ascii="Arial" w:cs="Arial" w:eastAsia="Arial" w:hAnsi="Arial"/>
          <w:sz w:val="14"/>
          <w:szCs w:val="14"/>
          <w:b w:val="1"/>
          <w:bCs w:val="1"/>
          <w:color w:val="auto"/>
        </w:rPr>
      </w:pPr>
      <w:r>
        <w:rPr>
          <w:rFonts w:ascii="Arial" w:cs="Arial" w:eastAsia="Arial" w:hAnsi="Arial"/>
          <w:sz w:val="14"/>
          <w:szCs w:val="14"/>
          <w:b w:val="1"/>
          <w:bCs w:val="1"/>
          <w:color w:val="auto"/>
        </w:rPr>
        <w:t>Road Usage Charging and Management Solutions</w:t>
      </w:r>
    </w:p>
    <w:p>
      <w:pPr>
        <w:spacing w:after="0" w:line="130" w:lineRule="exact"/>
        <w:rPr>
          <w:rFonts w:ascii="Arial" w:cs="Arial" w:eastAsia="Arial" w:hAnsi="Arial"/>
          <w:sz w:val="14"/>
          <w:szCs w:val="14"/>
          <w:b w:val="1"/>
          <w:bCs w:val="1"/>
          <w:color w:val="auto"/>
        </w:rPr>
      </w:pPr>
    </w:p>
    <w:p>
      <w:pPr>
        <w:ind w:left="760" w:right="20" w:hanging="257"/>
        <w:spacing w:after="0" w:line="259" w:lineRule="auto"/>
        <w:tabs>
          <w:tab w:leader="none" w:pos="756" w:val="left"/>
        </w:tabs>
        <w:numPr>
          <w:ilvl w:val="1"/>
          <w:numId w:val="14"/>
        </w:numPr>
        <w:rPr>
          <w:rFonts w:ascii="Arial" w:cs="Arial" w:eastAsia="Arial" w:hAnsi="Arial"/>
          <w:sz w:val="14"/>
          <w:szCs w:val="14"/>
          <w:color w:val="auto"/>
        </w:rPr>
      </w:pPr>
      <w:r>
        <w:rPr>
          <w:rFonts w:ascii="Arial" w:cs="Arial" w:eastAsia="Arial" w:hAnsi="Arial"/>
          <w:sz w:val="14"/>
          <w:szCs w:val="14"/>
          <w:color w:val="auto"/>
        </w:rPr>
        <w:t>Our electronic tolling, urban congestion management and mileage-based user solutions help our clients get travelers to where they need to go while generating revenue for infrastructure improvements. Our solutions include vehicle passenger detection systems, electronic toll collection, automated license plate recognition and congestion management solutions. We generate revenue based on a combination of fixed fee and transaction-based pricing. The transaction-based component can be per account per month, per notice mailed, per active account, per violations fees received, or per image-based transaction.</w:t>
      </w:r>
    </w:p>
    <w:p>
      <w:pPr>
        <w:spacing w:after="0" w:line="124" w:lineRule="exact"/>
        <w:rPr>
          <w:rFonts w:ascii="Arial" w:cs="Arial" w:eastAsia="Arial" w:hAnsi="Arial"/>
          <w:sz w:val="14"/>
          <w:szCs w:val="14"/>
          <w:color w:val="auto"/>
        </w:rPr>
      </w:pPr>
    </w:p>
    <w:p>
      <w:pPr>
        <w:ind w:left="240" w:hanging="237"/>
        <w:spacing w:after="0"/>
        <w:tabs>
          <w:tab w:leader="none" w:pos="240" w:val="left"/>
        </w:tabs>
        <w:numPr>
          <w:ilvl w:val="0"/>
          <w:numId w:val="14"/>
        </w:numPr>
        <w:rPr>
          <w:rFonts w:ascii="Arial" w:cs="Arial" w:eastAsia="Arial" w:hAnsi="Arial"/>
          <w:sz w:val="17"/>
          <w:szCs w:val="17"/>
          <w:b w:val="1"/>
          <w:bCs w:val="1"/>
          <w:color w:val="auto"/>
        </w:rPr>
      </w:pPr>
      <w:r>
        <w:rPr>
          <w:rFonts w:ascii="Arial" w:cs="Arial" w:eastAsia="Arial" w:hAnsi="Arial"/>
          <w:sz w:val="14"/>
          <w:szCs w:val="14"/>
          <w:b w:val="1"/>
          <w:bCs w:val="1"/>
          <w:color w:val="auto"/>
        </w:rPr>
        <w:t>Transit Solutions</w:t>
      </w:r>
    </w:p>
    <w:p>
      <w:pPr>
        <w:spacing w:after="0" w:line="100" w:lineRule="exact"/>
        <w:rPr>
          <w:rFonts w:ascii="Arial" w:cs="Arial" w:eastAsia="Arial" w:hAnsi="Arial"/>
          <w:sz w:val="17"/>
          <w:szCs w:val="17"/>
          <w:b w:val="1"/>
          <w:bCs w:val="1"/>
          <w:color w:val="auto"/>
        </w:rPr>
      </w:pPr>
    </w:p>
    <w:p>
      <w:pPr>
        <w:ind w:left="760" w:right="160" w:hanging="257"/>
        <w:spacing w:after="0" w:line="259" w:lineRule="auto"/>
        <w:tabs>
          <w:tab w:leader="none" w:pos="756" w:val="left"/>
        </w:tabs>
        <w:numPr>
          <w:ilvl w:val="1"/>
          <w:numId w:val="14"/>
        </w:numPr>
        <w:rPr>
          <w:rFonts w:ascii="Arial" w:cs="Arial" w:eastAsia="Arial" w:hAnsi="Arial"/>
          <w:sz w:val="14"/>
          <w:szCs w:val="14"/>
          <w:b w:val="1"/>
          <w:bCs w:val="1"/>
          <w:color w:val="auto"/>
        </w:rPr>
      </w:pPr>
      <w:r>
        <w:rPr>
          <w:rFonts w:ascii="Arial" w:cs="Arial" w:eastAsia="Arial" w:hAnsi="Arial"/>
          <w:sz w:val="14"/>
          <w:szCs w:val="14"/>
          <w:color w:val="auto"/>
        </w:rPr>
        <w:t>For train, bus, subway, metro and other transit travelers, we help make journeys more personalized and convenient while increasing fare collection for authorities and agencies. We combine fare collection and intelligent mobility to provide clients with the added efficiency of a single point of management for all transit solutions. Within transit, we primarily generate revenue via implementation of end projects (hardware and software, maintenance services, repair and sale of spare parts), and the building and operation of fare collection systems.</w:t>
      </w:r>
    </w:p>
    <w:p>
      <w:pPr>
        <w:spacing w:after="0" w:line="96" w:lineRule="exact"/>
        <w:rPr>
          <w:rFonts w:ascii="Arial" w:cs="Arial" w:eastAsia="Arial" w:hAnsi="Arial"/>
          <w:sz w:val="14"/>
          <w:szCs w:val="14"/>
          <w:b w:val="1"/>
          <w:bCs w:val="1"/>
          <w:color w:val="auto"/>
        </w:rPr>
      </w:pPr>
    </w:p>
    <w:p>
      <w:pPr>
        <w:ind w:left="240" w:hanging="237"/>
        <w:spacing w:after="0"/>
        <w:tabs>
          <w:tab w:leader="none" w:pos="240" w:val="left"/>
        </w:tabs>
        <w:numPr>
          <w:ilvl w:val="0"/>
          <w:numId w:val="14"/>
        </w:numPr>
        <w:rPr>
          <w:rFonts w:ascii="Arial" w:cs="Arial" w:eastAsia="Arial" w:hAnsi="Arial"/>
          <w:sz w:val="14"/>
          <w:szCs w:val="14"/>
          <w:b w:val="1"/>
          <w:bCs w:val="1"/>
          <w:color w:val="auto"/>
        </w:rPr>
      </w:pPr>
      <w:r>
        <w:rPr>
          <w:rFonts w:ascii="Arial" w:cs="Arial" w:eastAsia="Arial" w:hAnsi="Arial"/>
          <w:sz w:val="14"/>
          <w:szCs w:val="14"/>
          <w:b w:val="1"/>
          <w:bCs w:val="1"/>
          <w:color w:val="auto"/>
        </w:rPr>
        <w:t>Curbside Management Solutions</w:t>
      </w:r>
    </w:p>
    <w:p>
      <w:pPr>
        <w:spacing w:after="0" w:line="130" w:lineRule="exact"/>
        <w:rPr>
          <w:rFonts w:ascii="Arial" w:cs="Arial" w:eastAsia="Arial" w:hAnsi="Arial"/>
          <w:sz w:val="14"/>
          <w:szCs w:val="14"/>
          <w:b w:val="1"/>
          <w:bCs w:val="1"/>
          <w:color w:val="auto"/>
        </w:rPr>
      </w:pPr>
    </w:p>
    <w:p>
      <w:pPr>
        <w:ind w:left="760" w:right="20" w:hanging="257"/>
        <w:spacing w:after="0" w:line="265" w:lineRule="auto"/>
        <w:tabs>
          <w:tab w:leader="none" w:pos="756" w:val="left"/>
        </w:tabs>
        <w:numPr>
          <w:ilvl w:val="1"/>
          <w:numId w:val="14"/>
        </w:numPr>
        <w:rPr>
          <w:rFonts w:ascii="Arial" w:cs="Arial" w:eastAsia="Arial" w:hAnsi="Arial"/>
          <w:sz w:val="14"/>
          <w:szCs w:val="14"/>
          <w:b w:val="1"/>
          <w:bCs w:val="1"/>
          <w:color w:val="auto"/>
        </w:rPr>
      </w:pPr>
      <w:r>
        <w:rPr>
          <w:rFonts w:ascii="Arial" w:cs="Arial" w:eastAsia="Arial" w:hAnsi="Arial"/>
          <w:sz w:val="14"/>
          <w:szCs w:val="14"/>
          <w:color w:val="auto"/>
        </w:rPr>
        <w:t>We deliver intelligent curbside management systems that simplify parking programs and deliver convenient and hassle-free experiences for drivers. Our curbside solutions include citation and permit administration, parking enforcement, and curbside demand management. We generate revenue based on violations issued, payment processing transactions, collections activities or through a fixed fee for our services.</w:t>
      </w:r>
    </w:p>
    <w:p>
      <w:pPr>
        <w:spacing w:after="0" w:line="91" w:lineRule="exact"/>
        <w:rPr>
          <w:rFonts w:ascii="Arial" w:cs="Arial" w:eastAsia="Arial" w:hAnsi="Arial"/>
          <w:sz w:val="14"/>
          <w:szCs w:val="14"/>
          <w:b w:val="1"/>
          <w:bCs w:val="1"/>
          <w:color w:val="auto"/>
        </w:rPr>
      </w:pPr>
    </w:p>
    <w:p>
      <w:pPr>
        <w:ind w:left="240" w:hanging="237"/>
        <w:spacing w:after="0"/>
        <w:tabs>
          <w:tab w:leader="none" w:pos="240" w:val="left"/>
        </w:tabs>
        <w:numPr>
          <w:ilvl w:val="0"/>
          <w:numId w:val="14"/>
        </w:numPr>
        <w:rPr>
          <w:rFonts w:ascii="Arial" w:cs="Arial" w:eastAsia="Arial" w:hAnsi="Arial"/>
          <w:sz w:val="14"/>
          <w:szCs w:val="14"/>
          <w:b w:val="1"/>
          <w:bCs w:val="1"/>
          <w:color w:val="auto"/>
        </w:rPr>
      </w:pPr>
      <w:r>
        <w:rPr>
          <w:rFonts w:ascii="Arial" w:cs="Arial" w:eastAsia="Arial" w:hAnsi="Arial"/>
          <w:sz w:val="14"/>
          <w:szCs w:val="14"/>
          <w:b w:val="1"/>
          <w:bCs w:val="1"/>
          <w:color w:val="auto"/>
        </w:rPr>
        <w:t>Public Safety Solutions</w:t>
      </w:r>
    </w:p>
    <w:p>
      <w:pPr>
        <w:spacing w:after="0" w:line="130" w:lineRule="exact"/>
        <w:rPr>
          <w:rFonts w:ascii="Arial" w:cs="Arial" w:eastAsia="Arial" w:hAnsi="Arial"/>
          <w:sz w:val="14"/>
          <w:szCs w:val="14"/>
          <w:b w:val="1"/>
          <w:bCs w:val="1"/>
          <w:color w:val="auto"/>
        </w:rPr>
      </w:pPr>
    </w:p>
    <w:p>
      <w:pPr>
        <w:ind w:left="760" w:right="20" w:hanging="257"/>
        <w:spacing w:after="0" w:line="282" w:lineRule="auto"/>
        <w:tabs>
          <w:tab w:leader="none" w:pos="756" w:val="left"/>
        </w:tabs>
        <w:numPr>
          <w:ilvl w:val="1"/>
          <w:numId w:val="14"/>
        </w:numPr>
        <w:rPr>
          <w:rFonts w:ascii="Arial" w:cs="Arial" w:eastAsia="Arial" w:hAnsi="Arial"/>
          <w:sz w:val="14"/>
          <w:szCs w:val="14"/>
          <w:b w:val="1"/>
          <w:bCs w:val="1"/>
          <w:color w:val="auto"/>
        </w:rPr>
      </w:pPr>
      <w:r>
        <w:rPr>
          <w:rFonts w:ascii="Arial" w:cs="Arial" w:eastAsia="Arial" w:hAnsi="Arial"/>
          <w:sz w:val="14"/>
          <w:szCs w:val="14"/>
          <w:color w:val="auto"/>
        </w:rPr>
        <w:t>Public safety is a priority in every community, especially as budgets shrink and populations grow. We provide data analytics, automated photo enforcement and other public safety solutions to make streets</w:t>
      </w:r>
    </w:p>
    <w:p>
      <w:pPr>
        <w:spacing w:after="0" w:line="200" w:lineRule="exact"/>
        <w:rPr>
          <w:sz w:val="20"/>
          <w:szCs w:val="20"/>
          <w:color w:val="auto"/>
        </w:rPr>
      </w:pPr>
    </w:p>
    <w:p>
      <w:pPr>
        <w:spacing w:after="0" w:line="23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10" w:name="page11"/>
    <w:bookmarkEnd w:id="10"/>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left="760" w:right="40"/>
        <w:spacing w:after="0" w:line="282" w:lineRule="auto"/>
        <w:rPr>
          <w:sz w:val="20"/>
          <w:szCs w:val="20"/>
          <w:color w:val="auto"/>
        </w:rPr>
      </w:pPr>
      <w:r>
        <w:rPr>
          <w:rFonts w:ascii="Arial" w:cs="Arial" w:eastAsia="Arial" w:hAnsi="Arial"/>
          <w:sz w:val="14"/>
          <w:szCs w:val="14"/>
          <w:color w:val="auto"/>
        </w:rPr>
        <w:t>and communities safer. Our photo enforcement systems include red light, fixed and mobile speed, school bus, work zone, school zone, bus lane, high occupancy and other enforcement systems. The majority of our contracts within this business are fixed fee based on the number of enforced locations.</w:t>
      </w:r>
    </w:p>
    <w:p>
      <w:pPr>
        <w:spacing w:after="0" w:line="80" w:lineRule="exact"/>
        <w:rPr>
          <w:sz w:val="20"/>
          <w:szCs w:val="20"/>
          <w:color w:val="auto"/>
        </w:rPr>
      </w:pPr>
    </w:p>
    <w:p>
      <w:pPr>
        <w:ind w:left="240" w:hanging="237"/>
        <w:spacing w:after="0"/>
        <w:tabs>
          <w:tab w:leader="none" w:pos="240" w:val="left"/>
        </w:tabs>
        <w:numPr>
          <w:ilvl w:val="0"/>
          <w:numId w:val="15"/>
        </w:numPr>
        <w:rPr>
          <w:rFonts w:ascii="Arial" w:cs="Arial" w:eastAsia="Arial" w:hAnsi="Arial"/>
          <w:sz w:val="14"/>
          <w:szCs w:val="14"/>
          <w:b w:val="1"/>
          <w:bCs w:val="1"/>
          <w:i w:val="1"/>
          <w:iCs w:val="1"/>
          <w:color w:val="auto"/>
        </w:rPr>
      </w:pPr>
      <w:r>
        <w:rPr>
          <w:rFonts w:ascii="Arial" w:cs="Arial" w:eastAsia="Arial" w:hAnsi="Arial"/>
          <w:sz w:val="14"/>
          <w:szCs w:val="14"/>
          <w:b w:val="1"/>
          <w:bCs w:val="1"/>
          <w:color w:val="auto"/>
        </w:rPr>
        <w:t>Commercial Vehicles</w:t>
      </w:r>
    </w:p>
    <w:p>
      <w:pPr>
        <w:spacing w:after="0" w:line="130" w:lineRule="exact"/>
        <w:rPr>
          <w:rFonts w:ascii="Arial" w:cs="Arial" w:eastAsia="Arial" w:hAnsi="Arial"/>
          <w:sz w:val="14"/>
          <w:szCs w:val="14"/>
          <w:b w:val="1"/>
          <w:bCs w:val="1"/>
          <w:i w:val="1"/>
          <w:iCs w:val="1"/>
          <w:color w:val="auto"/>
        </w:rPr>
      </w:pPr>
    </w:p>
    <w:p>
      <w:pPr>
        <w:ind w:left="740" w:hanging="237"/>
        <w:spacing w:after="0"/>
        <w:tabs>
          <w:tab w:leader="none" w:pos="740" w:val="left"/>
        </w:tabs>
        <w:numPr>
          <w:ilvl w:val="1"/>
          <w:numId w:val="15"/>
        </w:numPr>
        <w:rPr>
          <w:rFonts w:ascii="Arial" w:cs="Arial" w:eastAsia="Arial" w:hAnsi="Arial"/>
          <w:sz w:val="14"/>
          <w:szCs w:val="14"/>
          <w:b w:val="1"/>
          <w:bCs w:val="1"/>
          <w:color w:val="auto"/>
        </w:rPr>
      </w:pPr>
      <w:r>
        <w:rPr>
          <w:rFonts w:ascii="Arial" w:cs="Arial" w:eastAsia="Arial" w:hAnsi="Arial"/>
          <w:sz w:val="14"/>
          <w:szCs w:val="14"/>
          <w:color w:val="auto"/>
        </w:rPr>
        <w:t>We provide computer-aided dispatch/automatic vehicle location technology to help clients manage their fleet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Our Competitive Strengths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We possess competitive strengths that distinguish us from our competitors, including:</w:t>
      </w:r>
    </w:p>
    <w:p>
      <w:pPr>
        <w:spacing w:after="0" w:line="131"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b w:val="1"/>
          <w:bCs w:val="1"/>
          <w:i w:val="1"/>
          <w:iCs w:val="1"/>
          <w:color w:val="auto"/>
        </w:rPr>
        <w:t xml:space="preserve">Leadership in attractive growth markets: </w:t>
      </w:r>
      <w:r>
        <w:rPr>
          <w:rFonts w:ascii="Arial" w:cs="Arial" w:eastAsia="Arial" w:hAnsi="Arial"/>
          <w:sz w:val="14"/>
          <w:szCs w:val="14"/>
          <w:color w:val="auto"/>
        </w:rPr>
        <w:t>We are a leader in business process solutions that deliver exceptional outcomes for our clients at an unparalleled scale. Our clients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continue to outsource key business processes to improve efficiencies and to accelerate performance and digital transformation. Additionally, clients are moving beyond services for back-office functions to drive customer satisfaction and loyalty. The increase in globalization and cost competition continues to accelerate, forcing companies to seek ways to stay ahead of the competition. These factors, along with clients and their customers demanding more personalized, seamless, and secure solutions, are collectively driving the ongoing shift to next-generation solutions and services. Through our portfolio of digital business solutions and services, we have reached significant scale in our interactions including:</w:t>
      </w:r>
    </w:p>
    <w:p>
      <w:pPr>
        <w:spacing w:after="0" w:line="100" w:lineRule="exact"/>
        <w:rPr>
          <w:sz w:val="20"/>
          <w:szCs w:val="20"/>
          <w:color w:val="auto"/>
        </w:rPr>
      </w:pPr>
    </w:p>
    <w:p>
      <w:pPr>
        <w:ind w:left="260" w:right="160" w:hanging="257"/>
        <w:spacing w:after="0" w:line="256" w:lineRule="auto"/>
        <w:tabs>
          <w:tab w:leader="none" w:pos="256" w:val="left"/>
        </w:tabs>
        <w:numPr>
          <w:ilvl w:val="0"/>
          <w:numId w:val="16"/>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Healthcare: </w:t>
      </w:r>
      <w:r>
        <w:rPr>
          <w:rFonts w:ascii="Arial" w:cs="Arial" w:eastAsia="Arial" w:hAnsi="Arial"/>
          <w:sz w:val="14"/>
          <w:szCs w:val="14"/>
          <w:color w:val="auto"/>
        </w:rPr>
        <w:t>U.S. healthcare spending is expected to increase slightly as a percentage of GDP (from 18.3% of GDP in 2021 to 19.6% in 2031) and is projected to grow at an</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average rate of 5.4% per year between 2022-2031. We are widely recognized by industry analysts as a leader in healthcare payer operations, serving 9 of the top 10 U.S. health plans and providing administrative and mission-critical program administration solutions for government healthcare programs in 35 states, the District of Columbia, and a federal program (U.S. Department of Labor), which includes nearly 119 million recipients supported. Conduent’s healthcare capabilities have been recognized by NelsonHall and Everest Group.</w:t>
      </w:r>
    </w:p>
    <w:p>
      <w:pPr>
        <w:spacing w:after="0" w:line="99" w:lineRule="exact"/>
        <w:rPr>
          <w:rFonts w:ascii="Arial" w:cs="Arial" w:eastAsia="Arial" w:hAnsi="Arial"/>
          <w:sz w:val="14"/>
          <w:szCs w:val="14"/>
          <w:color w:val="auto"/>
        </w:rPr>
      </w:pPr>
    </w:p>
    <w:p>
      <w:pPr>
        <w:ind w:left="260" w:right="400" w:hanging="257"/>
        <w:spacing w:after="0" w:line="265" w:lineRule="auto"/>
        <w:tabs>
          <w:tab w:leader="none" w:pos="256" w:val="left"/>
        </w:tabs>
        <w:numPr>
          <w:ilvl w:val="0"/>
          <w:numId w:val="1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Transportation: </w:t>
      </w:r>
      <w:r>
        <w:rPr>
          <w:rFonts w:ascii="Arial" w:cs="Arial" w:eastAsia="Arial" w:hAnsi="Arial"/>
          <w:sz w:val="14"/>
          <w:szCs w:val="14"/>
          <w:color w:val="auto"/>
        </w:rPr>
        <w:t>Traffic congestion continues to increase due to urbanization and changing global demographics. As a result, optimized transportation systems are becoming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critical to increase efficiency while maintaining strict safety requirements. Electronic toll collection and public transit represent key growth drivers as governments at all levels increasingly focus on transportation infrastructure.</w:t>
      </w:r>
    </w:p>
    <w:p>
      <w:pPr>
        <w:spacing w:after="0" w:line="91" w:lineRule="exact"/>
        <w:rPr>
          <w:rFonts w:ascii="Arial" w:cs="Arial" w:eastAsia="Arial" w:hAnsi="Arial"/>
          <w:sz w:val="14"/>
          <w:szCs w:val="14"/>
          <w:b w:val="1"/>
          <w:bCs w:val="1"/>
          <w:i w:val="1"/>
          <w:iCs w:val="1"/>
          <w:color w:val="auto"/>
        </w:rPr>
      </w:pPr>
    </w:p>
    <w:p>
      <w:pPr>
        <w:ind w:left="260" w:right="160" w:hanging="257"/>
        <w:spacing w:after="0" w:line="282" w:lineRule="auto"/>
        <w:tabs>
          <w:tab w:leader="none" w:pos="256" w:val="left"/>
        </w:tabs>
        <w:numPr>
          <w:ilvl w:val="0"/>
          <w:numId w:val="16"/>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Business Operations Solutions: </w:t>
      </w:r>
      <w:r>
        <w:rPr>
          <w:rFonts w:ascii="Arial" w:cs="Arial" w:eastAsia="Arial" w:hAnsi="Arial"/>
          <w:sz w:val="14"/>
          <w:szCs w:val="14"/>
          <w:color w:val="auto"/>
        </w:rPr>
        <w:t>We provide high volume print and mail services, enrollment processing and personalized and targeted marketing and communications to large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corporations and are a leading provider in this market with more than 5.4 billion documents captured, indexed and classified annually.</w:t>
      </w:r>
    </w:p>
    <w:p>
      <w:pPr>
        <w:spacing w:after="0" w:line="80" w:lineRule="exact"/>
        <w:rPr>
          <w:sz w:val="20"/>
          <w:szCs w:val="20"/>
          <w:color w:val="auto"/>
        </w:rPr>
      </w:pPr>
    </w:p>
    <w:p>
      <w:pPr>
        <w:ind w:right="80"/>
        <w:spacing w:after="0" w:line="256" w:lineRule="auto"/>
        <w:rPr>
          <w:sz w:val="20"/>
          <w:szCs w:val="20"/>
          <w:color w:val="auto"/>
        </w:rPr>
      </w:pPr>
      <w:r>
        <w:rPr>
          <w:rFonts w:ascii="Arial" w:cs="Arial" w:eastAsia="Arial" w:hAnsi="Arial"/>
          <w:sz w:val="14"/>
          <w:szCs w:val="14"/>
          <w:b w:val="1"/>
          <w:bCs w:val="1"/>
          <w:i w:val="1"/>
          <w:iCs w:val="1"/>
          <w:color w:val="auto"/>
        </w:rPr>
        <w:t xml:space="preserve">Global delivery expertise: </w:t>
      </w:r>
      <w:r>
        <w:rPr>
          <w:rFonts w:ascii="Arial" w:cs="Arial" w:eastAsia="Arial" w:hAnsi="Arial"/>
          <w:sz w:val="14"/>
          <w:szCs w:val="14"/>
          <w:color w:val="auto"/>
        </w:rPr>
        <w:t>Our scale and global delivery capabilities enable us to deliver our proprietary technology and differentiated service offerings seamlessly to clients around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the world. We have operations in 26 countries including India, the Philippines, Jamaica, Guatemala, Mexico, Romania, the United Kingdom and several locations within the United States, providing our customers the option for "onshore", "nearshore" or "offshore" outsourced business process services. This global delivery model allows us to leverage lower-cost production locations, consistent methodologies and processes, time zone advantages and business continuity plans. As of December 31, 2023, 47% of our employees were located in high-cost countries and 53% were located in low-cost countries.</w:t>
      </w:r>
    </w:p>
    <w:p>
      <w:pPr>
        <w:spacing w:after="0" w:line="100" w:lineRule="exact"/>
        <w:rPr>
          <w:sz w:val="20"/>
          <w:szCs w:val="20"/>
          <w:color w:val="auto"/>
        </w:rPr>
      </w:pPr>
    </w:p>
    <w:p>
      <w:pPr>
        <w:ind w:right="200"/>
        <w:spacing w:after="0" w:line="259" w:lineRule="auto"/>
        <w:rPr>
          <w:sz w:val="20"/>
          <w:szCs w:val="20"/>
          <w:color w:val="auto"/>
        </w:rPr>
      </w:pPr>
      <w:r>
        <w:rPr>
          <w:rFonts w:ascii="Arial" w:cs="Arial" w:eastAsia="Arial" w:hAnsi="Arial"/>
          <w:sz w:val="14"/>
          <w:szCs w:val="14"/>
          <w:b w:val="1"/>
          <w:bCs w:val="1"/>
          <w:i w:val="1"/>
          <w:iCs w:val="1"/>
          <w:color w:val="auto"/>
        </w:rPr>
        <w:t xml:space="preserve">Differentiated technology-led suite of multi-industry solutions: </w:t>
      </w:r>
      <w:r>
        <w:rPr>
          <w:rFonts w:ascii="Arial" w:cs="Arial" w:eastAsia="Arial" w:hAnsi="Arial"/>
          <w:sz w:val="14"/>
          <w:szCs w:val="14"/>
          <w:color w:val="auto"/>
        </w:rPr>
        <w:t>Through dedicated people, process expertise and technology, such as analytics and automation, Conduent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solutions and services create value for our clients by creating efficiencies, improving experiences, reducing costs and enabling revenue growth while better serving millions of end customers that depend on us. We deliver performance by optimizing processes to be more efficient, flexible and secure. We deliver value by driving valuable outcomes and reducing costs at scale. We enhance the customer experience by improving experiences, engagement and loyalty of end users.</w:t>
      </w:r>
    </w:p>
    <w:p>
      <w:pPr>
        <w:spacing w:after="0" w:line="97"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b w:val="1"/>
          <w:bCs w:val="1"/>
          <w:i w:val="1"/>
          <w:iCs w:val="1"/>
          <w:color w:val="auto"/>
        </w:rPr>
        <w:t xml:space="preserve">Recurring revenue model supported by a loyal, diverse client base: </w:t>
      </w:r>
      <w:r>
        <w:rPr>
          <w:rFonts w:ascii="Arial" w:cs="Arial" w:eastAsia="Arial" w:hAnsi="Arial"/>
          <w:sz w:val="14"/>
          <w:szCs w:val="14"/>
          <w:color w:val="auto"/>
        </w:rPr>
        <w:t>We have a broad and diverse base of clients across geographies and industries, including many Fortune 100</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companies, midsize businesses and governmental entities. Our clients are increasingly satisfied as evidenced by our NPS that has increased by nearly 30 points since becoming Conduent in 2017. Our close client relationships and successful client execution support our stable recurring revenue model and high renewal rates.</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11" w:name="page12"/>
    <w:bookmarkEnd w:id="11"/>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Competition</w:t>
      </w:r>
    </w:p>
    <w:p>
      <w:pPr>
        <w:spacing w:after="0" w:line="131"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Although we encounter competition in all areas of our portfolio, we are a leader in many categories. We compete based on technology, performance, quality, reliability, reputation, price, and customer service and support. We consider our "onshore", “near shore” and “offshore” delivery capabilities to be a competitive advantage. Our competitors range from large international companies to relatively small firms. Many of our competitors specialize in certain areas but none compete across all the same segments in our total portfolio. Our competitors include:</w:t>
      </w:r>
    </w:p>
    <w:p>
      <w:pPr>
        <w:spacing w:after="0" w:line="97" w:lineRule="exact"/>
        <w:rPr>
          <w:sz w:val="20"/>
          <w:szCs w:val="20"/>
          <w:color w:val="auto"/>
        </w:rPr>
      </w:pPr>
    </w:p>
    <w:p>
      <w:pPr>
        <w:ind w:left="240" w:hanging="237"/>
        <w:spacing w:after="0"/>
        <w:tabs>
          <w:tab w:leader="none" w:pos="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Large multinational service providers such as Accenture, Cognizant, TTEC and Teleperformance;</w:t>
      </w:r>
    </w:p>
    <w:p>
      <w:pPr>
        <w:spacing w:after="0" w:line="89" w:lineRule="exact"/>
        <w:rPr>
          <w:rFonts w:ascii="Arial" w:cs="Arial" w:eastAsia="Arial" w:hAnsi="Arial"/>
          <w:sz w:val="14"/>
          <w:szCs w:val="14"/>
          <w:color w:val="auto"/>
        </w:rPr>
      </w:pPr>
    </w:p>
    <w:p>
      <w:pPr>
        <w:ind w:left="240" w:hanging="237"/>
        <w:spacing w:after="0"/>
        <w:tabs>
          <w:tab w:leader="none" w:pos="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Traditional business process outsourcing companies such as Genpact, Wipro and EXL Services;</w:t>
      </w:r>
    </w:p>
    <w:p>
      <w:pPr>
        <w:spacing w:after="0" w:line="89" w:lineRule="exact"/>
        <w:rPr>
          <w:rFonts w:ascii="Arial" w:cs="Arial" w:eastAsia="Arial" w:hAnsi="Arial"/>
          <w:sz w:val="14"/>
          <w:szCs w:val="14"/>
          <w:color w:val="auto"/>
        </w:rPr>
      </w:pPr>
    </w:p>
    <w:p>
      <w:pPr>
        <w:ind w:left="240" w:hanging="237"/>
        <w:spacing w:after="0"/>
        <w:tabs>
          <w:tab w:leader="none" w:pos="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Human resource, payroll processing and human capital management providers such as Alight and Willis Towers Watson;</w:t>
      </w:r>
    </w:p>
    <w:p>
      <w:pPr>
        <w:spacing w:after="0" w:line="89" w:lineRule="exact"/>
        <w:rPr>
          <w:rFonts w:ascii="Arial" w:cs="Arial" w:eastAsia="Arial" w:hAnsi="Arial"/>
          <w:sz w:val="14"/>
          <w:szCs w:val="14"/>
          <w:color w:val="auto"/>
        </w:rPr>
      </w:pPr>
    </w:p>
    <w:p>
      <w:pPr>
        <w:ind w:left="240" w:hanging="237"/>
        <w:spacing w:after="0"/>
        <w:tabs>
          <w:tab w:leader="none" w:pos="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Healthcare-focused IT and service solutions providers such as Gainwell, Optum and Maximus;</w:t>
      </w:r>
    </w:p>
    <w:p>
      <w:pPr>
        <w:spacing w:after="0" w:line="89" w:lineRule="exact"/>
        <w:rPr>
          <w:rFonts w:ascii="Arial" w:cs="Arial" w:eastAsia="Arial" w:hAnsi="Arial"/>
          <w:sz w:val="14"/>
          <w:szCs w:val="14"/>
          <w:color w:val="auto"/>
        </w:rPr>
      </w:pPr>
    </w:p>
    <w:p>
      <w:pPr>
        <w:ind w:left="240" w:hanging="237"/>
        <w:spacing w:after="0"/>
        <w:tabs>
          <w:tab w:leader="none" w:pos="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U.S. Federal-focused government services providers such as Leidos;</w:t>
      </w:r>
    </w:p>
    <w:p>
      <w:pPr>
        <w:spacing w:after="0" w:line="89" w:lineRule="exact"/>
        <w:rPr>
          <w:rFonts w:ascii="Arial" w:cs="Arial" w:eastAsia="Arial" w:hAnsi="Arial"/>
          <w:sz w:val="14"/>
          <w:szCs w:val="14"/>
          <w:color w:val="auto"/>
        </w:rPr>
      </w:pPr>
    </w:p>
    <w:p>
      <w:pPr>
        <w:ind w:left="240" w:hanging="237"/>
        <w:spacing w:after="0"/>
        <w:tabs>
          <w:tab w:leader="none" w:pos="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Transportation multi-nationals such as TransCore, Thales, Cubic and Verra Mobility; and</w:t>
      </w:r>
    </w:p>
    <w:p>
      <w:pPr>
        <w:spacing w:after="0" w:line="89" w:lineRule="exact"/>
        <w:rPr>
          <w:rFonts w:ascii="Arial" w:cs="Arial" w:eastAsia="Arial" w:hAnsi="Arial"/>
          <w:sz w:val="14"/>
          <w:szCs w:val="14"/>
          <w:color w:val="auto"/>
        </w:rPr>
      </w:pPr>
    </w:p>
    <w:p>
      <w:pPr>
        <w:ind w:left="240" w:hanging="237"/>
        <w:spacing w:after="0"/>
        <w:tabs>
          <w:tab w:leader="none" w:pos="2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Smaller, niche business processing service providers and in-house departments that perform functions that could be outsourced.</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Sales and Marketing</w:t>
      </w:r>
    </w:p>
    <w:p>
      <w:pPr>
        <w:spacing w:after="0" w:line="131" w:lineRule="exact"/>
        <w:rPr>
          <w:sz w:val="20"/>
          <w:szCs w:val="20"/>
          <w:color w:val="auto"/>
        </w:rPr>
      </w:pPr>
    </w:p>
    <w:p>
      <w:pPr>
        <w:jc w:val="both"/>
        <w:ind w:right="100"/>
        <w:spacing w:after="0" w:line="265" w:lineRule="auto"/>
        <w:rPr>
          <w:sz w:val="20"/>
          <w:szCs w:val="20"/>
          <w:color w:val="auto"/>
        </w:rPr>
      </w:pPr>
      <w:r>
        <w:rPr>
          <w:rFonts w:ascii="Arial" w:cs="Arial" w:eastAsia="Arial" w:hAnsi="Arial"/>
          <w:sz w:val="14"/>
          <w:szCs w:val="14"/>
          <w:color w:val="auto"/>
        </w:rPr>
        <w:t>We market and sell our business process solutions and services to both potential and existing clients through our global sales and business development teams. Additionally, we have dedicated “solution architects” who work with clients to better understand their business requirements and tailor our standard solutions to meet their unique needs. Our clients include small and large commercial businesses across many industries, as well as public sector agencies and enterprises.</w:t>
      </w:r>
    </w:p>
    <w:p>
      <w:pPr>
        <w:spacing w:after="0" w:line="92"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Our solutions help solve clients' business issues and help them achieve their desired business outcomes. We leverage our broad portfolio of offerings and dedicated team of associates to package solutions that exactly meet clients’ needs, while taking a disciplined approach to pricing and contracting. Our sales efforts typically involve extended selling cycles where our deep domain and industry expertise is critical to winning new business. We maintain strong relationships with our clients from initial engagement to implementation and on-going service delivery.</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Intellectual Property</w:t>
      </w:r>
    </w:p>
    <w:p>
      <w:pPr>
        <w:spacing w:after="0" w:line="131" w:lineRule="exact"/>
        <w:rPr>
          <w:sz w:val="20"/>
          <w:szCs w:val="20"/>
          <w:color w:val="auto"/>
        </w:rPr>
      </w:pPr>
    </w:p>
    <w:p>
      <w:pPr>
        <w:ind w:right="80"/>
        <w:spacing w:after="0" w:line="256" w:lineRule="auto"/>
        <w:rPr>
          <w:sz w:val="20"/>
          <w:szCs w:val="20"/>
          <w:color w:val="auto"/>
        </w:rPr>
      </w:pPr>
      <w:r>
        <w:rPr>
          <w:rFonts w:ascii="Arial" w:cs="Arial" w:eastAsia="Arial" w:hAnsi="Arial"/>
          <w:sz w:val="14"/>
          <w:szCs w:val="14"/>
          <w:color w:val="auto"/>
        </w:rPr>
        <w:t>Generally, our policy is to seek patent protection for those inventions likely to be incorporated into our products and services or where obtaining such proprietary rights will improve our competitive position. As of December 31, 2023, we own approximately 631 U.S. patents and have 7 pending applications. Our patent portfolio evolves as new patents are awarded to us and as older patents expire. These patents expire at various dates, generally 20 years from their original filing dates. While we believe that our portfolio of patents and applications has value, in general, no single patent is essential to our business or to any individual segment of our business. In addition, any of our proprietary rights could be challenged, invalidated, or circumvented, or may not provide significant competitive advantages.</w:t>
      </w:r>
    </w:p>
    <w:p>
      <w:pPr>
        <w:spacing w:after="0" w:line="100" w:lineRule="exact"/>
        <w:rPr>
          <w:sz w:val="20"/>
          <w:szCs w:val="20"/>
          <w:color w:val="auto"/>
        </w:rPr>
      </w:pPr>
    </w:p>
    <w:p>
      <w:pPr>
        <w:ind w:right="120"/>
        <w:spacing w:after="0" w:line="265" w:lineRule="auto"/>
        <w:rPr>
          <w:sz w:val="20"/>
          <w:szCs w:val="20"/>
          <w:color w:val="auto"/>
        </w:rPr>
      </w:pPr>
      <w:r>
        <w:rPr>
          <w:rFonts w:ascii="Arial" w:cs="Arial" w:eastAsia="Arial" w:hAnsi="Arial"/>
          <w:sz w:val="14"/>
          <w:szCs w:val="14"/>
          <w:color w:val="auto"/>
        </w:rPr>
        <w:t>Our business relies on software provided, to an approximately equal extent, by both internal development and external sourcing to deliver our services. With respect to internally developed software, we claim copyright on all such software, registering works which may be accessible to third parties. In addition, we rely on maintaining source code confidentiality to assure our market competitiveness. With respect to externally sourced software, we rely on contracts assuring our continued access for our business usage.</w:t>
      </w:r>
    </w:p>
    <w:p>
      <w:pPr>
        <w:spacing w:after="0" w:line="92" w:lineRule="exact"/>
        <w:rPr>
          <w:sz w:val="20"/>
          <w:szCs w:val="20"/>
          <w:color w:val="auto"/>
        </w:rPr>
      </w:pPr>
    </w:p>
    <w:p>
      <w:pPr>
        <w:ind w:right="220"/>
        <w:spacing w:after="0" w:line="265" w:lineRule="auto"/>
        <w:rPr>
          <w:sz w:val="20"/>
          <w:szCs w:val="20"/>
          <w:color w:val="auto"/>
        </w:rPr>
      </w:pPr>
      <w:r>
        <w:rPr>
          <w:rFonts w:ascii="Arial" w:cs="Arial" w:eastAsia="Arial" w:hAnsi="Arial"/>
          <w:sz w:val="14"/>
          <w:szCs w:val="14"/>
          <w:color w:val="auto"/>
        </w:rPr>
        <w:t>In the United States, we own 55 registered trademarks, with two pending, reflecting the many businesses we participate in. These trademarks may have a perpetual life, subject to renewal every 10 years and may be subject to cancellation or invalidation based on certain use requirements and third-party challenges, or on other grounds. We vigorously enforce and protect our trademarks.</w:t>
      </w:r>
    </w:p>
    <w:p>
      <w:pPr>
        <w:spacing w:after="0" w:line="200" w:lineRule="exact"/>
        <w:rPr>
          <w:sz w:val="20"/>
          <w:szCs w:val="20"/>
          <w:color w:val="auto"/>
        </w:rPr>
      </w:pPr>
    </w:p>
    <w:p>
      <w:pPr>
        <w:spacing w:after="0" w:line="235"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12" w:name="page13"/>
    <w:bookmarkEnd w:id="12"/>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People and Culture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Headcount</w:t>
      </w:r>
    </w:p>
    <w:p>
      <w:pPr>
        <w:spacing w:after="0" w:line="131"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The skills, expertise, and experience of our talented and diverse global workforce allow us to deliver mission-critical services and solutions that drive exceptional client outcomes. As of December 31, 2023, we had approximately 59,000 associates in 26 countries working towards a common vision and purpose, with 41% located in North America and the remainder located primarily in Asia Pacific, Latin America and the Caribbean, and Europe. Our three reportable segments, Commercial, Government and Transportation, house most of our associates with approximately 42,000, 5,000 and 4,000 associates,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Conduent Diversity, Equity &amp; Inclusion ("DE&amp;I")</w:t>
      </w:r>
    </w:p>
    <w:p>
      <w:pPr>
        <w:spacing w:after="0" w:line="131" w:lineRule="exact"/>
        <w:rPr>
          <w:sz w:val="20"/>
          <w:szCs w:val="20"/>
          <w:color w:val="auto"/>
        </w:rPr>
      </w:pPr>
    </w:p>
    <w:p>
      <w:pPr>
        <w:jc w:val="both"/>
        <w:ind w:right="20"/>
        <w:spacing w:after="0" w:line="265" w:lineRule="auto"/>
        <w:rPr>
          <w:sz w:val="20"/>
          <w:szCs w:val="20"/>
          <w:color w:val="auto"/>
        </w:rPr>
      </w:pPr>
      <w:r>
        <w:rPr>
          <w:rFonts w:ascii="Arial" w:cs="Arial" w:eastAsia="Arial" w:hAnsi="Arial"/>
          <w:sz w:val="14"/>
          <w:szCs w:val="14"/>
          <w:color w:val="auto"/>
        </w:rPr>
        <w:t>At Conduent, we work to build a culture where individuality is noticed and valued, and associates feel like they belong and can bring their authentic selves to work. We’re on a journey to create an equitable and inclusive workplace where everyone, regardless of their differences, has an equal opportunity to thrive, do work that fulfills them, and contribute their strengths. This commitment is essential to our business strategy, fuels our work for clients, and carries forward to their millions of end-users who interact with us every day. </w:t>
      </w:r>
    </w:p>
    <w:p>
      <w:pPr>
        <w:spacing w:after="0" w:line="92" w:lineRule="exact"/>
        <w:rPr>
          <w:sz w:val="20"/>
          <w:szCs w:val="20"/>
          <w:color w:val="auto"/>
        </w:rPr>
      </w:pPr>
    </w:p>
    <w:p>
      <w:pPr>
        <w:jc w:val="both"/>
        <w:ind w:right="20"/>
        <w:spacing w:after="0" w:line="282" w:lineRule="auto"/>
        <w:rPr>
          <w:sz w:val="20"/>
          <w:szCs w:val="20"/>
          <w:color w:val="auto"/>
        </w:rPr>
      </w:pPr>
      <w:r>
        <w:rPr>
          <w:rFonts w:ascii="Arial" w:cs="Arial" w:eastAsia="Arial" w:hAnsi="Arial"/>
          <w:sz w:val="14"/>
          <w:szCs w:val="14"/>
          <w:color w:val="auto"/>
        </w:rPr>
        <w:t>Within our One Team, One Mission culture, diversity makes us stronger. Our three DE&amp;I strategic pillars to Enrich Diversity, Elevate Equity, and Empower Inclusion provide focus for our annual priorities and initiatives. </w:t>
      </w:r>
    </w:p>
    <w:p>
      <w:pPr>
        <w:spacing w:after="0" w:line="80"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Our eight Employee Impact Groups ("EIGs") play a vital role in creating an environment of belonging and inclusion through year-round activities that advance culture and professional development, create a sense of community, and impact business outcomes. As part of our focus on DE&amp;I awareness and education in 2023, we delivered extensive training on "inclusive leadership" and hosted panel discussions with our leadership team members on a range of DE&amp;I topics.</w:t>
      </w:r>
    </w:p>
    <w:p>
      <w:pPr>
        <w:spacing w:after="0" w:line="92"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We continue to advance our efforts towards embedding DE&amp;I in our talent management and recruiting practices and are proud to have received several global and regional workplace culture and diversity awards, including:</w:t>
      </w:r>
    </w:p>
    <w:p>
      <w:pPr>
        <w:spacing w:after="0" w:line="38" w:lineRule="exact"/>
        <w:rPr>
          <w:sz w:val="20"/>
          <w:szCs w:val="20"/>
          <w:color w:val="auto"/>
        </w:rPr>
      </w:pPr>
    </w:p>
    <w:p>
      <w:pPr>
        <w:ind w:left="500" w:hanging="247"/>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Top 100 Global Most Loved Workplaces (Newsweek: 2023) </w:t>
      </w:r>
    </w:p>
    <w:p>
      <w:pPr>
        <w:spacing w:after="0" w:line="89" w:lineRule="exact"/>
        <w:rPr>
          <w:rFonts w:ascii="Arial" w:cs="Arial" w:eastAsia="Arial" w:hAnsi="Arial"/>
          <w:sz w:val="14"/>
          <w:szCs w:val="14"/>
          <w:color w:val="auto"/>
        </w:rPr>
      </w:pPr>
    </w:p>
    <w:p>
      <w:pPr>
        <w:ind w:left="500" w:hanging="247"/>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Most Loved Workplaces in America (Newsweek: 2023) </w:t>
      </w:r>
    </w:p>
    <w:p>
      <w:pPr>
        <w:spacing w:after="0" w:line="89" w:lineRule="exact"/>
        <w:rPr>
          <w:rFonts w:ascii="Arial" w:cs="Arial" w:eastAsia="Arial" w:hAnsi="Arial"/>
          <w:sz w:val="14"/>
          <w:szCs w:val="14"/>
          <w:color w:val="auto"/>
        </w:rPr>
      </w:pPr>
    </w:p>
    <w:p>
      <w:pPr>
        <w:ind w:left="500" w:hanging="247"/>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America’s Best 500 Employers for Diversity (Forbes: 2023, 2022, 2021) </w:t>
      </w:r>
    </w:p>
    <w:p>
      <w:pPr>
        <w:spacing w:after="0" w:line="89" w:lineRule="exact"/>
        <w:rPr>
          <w:rFonts w:ascii="Arial" w:cs="Arial" w:eastAsia="Arial" w:hAnsi="Arial"/>
          <w:sz w:val="14"/>
          <w:szCs w:val="14"/>
          <w:color w:val="auto"/>
        </w:rPr>
      </w:pPr>
    </w:p>
    <w:p>
      <w:pPr>
        <w:ind w:left="500" w:hanging="247"/>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Corporate Equality Index top ranking (Human Rights Campaign: 2023, 2022) </w:t>
      </w:r>
    </w:p>
    <w:p>
      <w:pPr>
        <w:spacing w:after="0" w:line="89" w:lineRule="exact"/>
        <w:rPr>
          <w:rFonts w:ascii="Arial" w:cs="Arial" w:eastAsia="Arial" w:hAnsi="Arial"/>
          <w:sz w:val="14"/>
          <w:szCs w:val="14"/>
          <w:color w:val="auto"/>
        </w:rPr>
      </w:pPr>
    </w:p>
    <w:p>
      <w:pPr>
        <w:ind w:left="500" w:hanging="247"/>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Top Employer for LGBT+ Inclusion in India (IWEI: 2023, 2022) </w:t>
      </w:r>
    </w:p>
    <w:p>
      <w:pPr>
        <w:spacing w:after="0" w:line="89" w:lineRule="exact"/>
        <w:rPr>
          <w:rFonts w:ascii="Arial" w:cs="Arial" w:eastAsia="Arial" w:hAnsi="Arial"/>
          <w:sz w:val="14"/>
          <w:szCs w:val="14"/>
          <w:color w:val="auto"/>
        </w:rPr>
      </w:pPr>
    </w:p>
    <w:p>
      <w:pPr>
        <w:ind w:left="500" w:hanging="247"/>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LGBTQ+ Best Places to Work in Mexico (Human Rights Campaign Equidad MX: 2023,2022) </w:t>
      </w:r>
    </w:p>
    <w:p>
      <w:pPr>
        <w:spacing w:after="0" w:line="89" w:lineRule="exact"/>
        <w:rPr>
          <w:rFonts w:ascii="Arial" w:cs="Arial" w:eastAsia="Arial" w:hAnsi="Arial"/>
          <w:sz w:val="14"/>
          <w:szCs w:val="14"/>
          <w:color w:val="auto"/>
        </w:rPr>
      </w:pPr>
    </w:p>
    <w:p>
      <w:pPr>
        <w:ind w:left="500" w:hanging="247"/>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Best Place to Work for Disability Inclusion (Disability Equality Index: 2023) </w:t>
      </w:r>
    </w:p>
    <w:p>
      <w:pPr>
        <w:spacing w:after="0" w:line="89" w:lineRule="exact"/>
        <w:rPr>
          <w:rFonts w:ascii="Arial" w:cs="Arial" w:eastAsia="Arial" w:hAnsi="Arial"/>
          <w:sz w:val="14"/>
          <w:szCs w:val="14"/>
          <w:color w:val="auto"/>
        </w:rPr>
      </w:pPr>
    </w:p>
    <w:p>
      <w:pPr>
        <w:ind w:left="500" w:hanging="247"/>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Best for Vets Employers (Military Times: 2023) </w:t>
      </w:r>
    </w:p>
    <w:p>
      <w:pPr>
        <w:spacing w:after="0" w:line="89" w:lineRule="exact"/>
        <w:rPr>
          <w:rFonts w:ascii="Arial" w:cs="Arial" w:eastAsia="Arial" w:hAnsi="Arial"/>
          <w:sz w:val="14"/>
          <w:szCs w:val="14"/>
          <w:color w:val="auto"/>
        </w:rPr>
      </w:pPr>
    </w:p>
    <w:p>
      <w:pPr>
        <w:ind w:left="500" w:hanging="247"/>
        <w:spacing w:after="0"/>
        <w:tabs>
          <w:tab w:leader="none" w:pos="500" w:val="left"/>
        </w:tabs>
        <w:numPr>
          <w:ilvl w:val="0"/>
          <w:numId w:val="18"/>
        </w:numPr>
        <w:rPr>
          <w:rFonts w:ascii="Arial" w:cs="Arial" w:eastAsia="Arial" w:hAnsi="Arial"/>
          <w:sz w:val="14"/>
          <w:szCs w:val="14"/>
          <w:color w:val="auto"/>
        </w:rPr>
      </w:pPr>
      <w:r>
        <w:rPr>
          <w:rFonts w:ascii="Arial" w:cs="Arial" w:eastAsia="Arial" w:hAnsi="Arial"/>
          <w:sz w:val="14"/>
          <w:szCs w:val="14"/>
          <w:color w:val="auto"/>
        </w:rPr>
        <w:t>ERS Silver Award (Armed Forces Covenant: 2023) </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 Learning and Development</w:t>
      </w:r>
    </w:p>
    <w:p>
      <w:pPr>
        <w:spacing w:after="0" w:line="131" w:lineRule="exact"/>
        <w:rPr>
          <w:sz w:val="20"/>
          <w:szCs w:val="20"/>
          <w:color w:val="auto"/>
        </w:rPr>
      </w:pPr>
    </w:p>
    <w:p>
      <w:pPr>
        <w:ind w:right="80"/>
        <w:spacing w:after="0" w:line="275" w:lineRule="auto"/>
        <w:rPr>
          <w:sz w:val="20"/>
          <w:szCs w:val="20"/>
          <w:color w:val="auto"/>
        </w:rPr>
      </w:pPr>
      <w:r>
        <w:rPr>
          <w:rFonts w:ascii="Arial" w:cs="Arial" w:eastAsia="Arial" w:hAnsi="Arial"/>
          <w:sz w:val="13"/>
          <w:szCs w:val="13"/>
          <w:color w:val="auto"/>
        </w:rPr>
        <w:t>As a services company, we believe our associates are our most important asset, which is why we invest in associate growth and development programs. We are focused on building a workplace where our people can do their best work and have access to the learning tools and resources they need to excel in their role, stay competitive and grow their skill set. We offer our associates modern, digital world-class learning platforms that help them learn anywhere, anytime on a wide range of topics including technology, professional and business-related themes. We continue to invest in new, cutting-edge learning platforms to elevate their learning experience. As a result, we have been successful in building a culture of continuous learning, with employees taking charge of their learning and development. In addition to our digital platforms, employees are also provided job-specific technical training when they are onboarded and during their professional journey as required. Furthermore, we launched a new, blended learning and development program for people managers in 2023. Our learning platforms are widely utilized with about 2 million learning assets completed in 2023 and have great learning effectiveness scores for satisfaction, skill improvement and on the job practical application. We also ensure that our associates complete regulatory and compliance training on topics required based on their role and geography.</w:t>
      </w:r>
    </w:p>
    <w:p>
      <w:pPr>
        <w:spacing w:after="0" w:line="200" w:lineRule="exact"/>
        <w:rPr>
          <w:sz w:val="20"/>
          <w:szCs w:val="20"/>
          <w:color w:val="auto"/>
        </w:rPr>
      </w:pPr>
    </w:p>
    <w:p>
      <w:pPr>
        <w:spacing w:after="0" w:line="23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13" w:name="page14"/>
    <w:bookmarkEnd w:id="13"/>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Associate Engagement</w:t>
      </w:r>
    </w:p>
    <w:p>
      <w:pPr>
        <w:spacing w:after="0" w:line="131" w:lineRule="exact"/>
        <w:rPr>
          <w:sz w:val="20"/>
          <w:szCs w:val="20"/>
          <w:color w:val="auto"/>
        </w:rPr>
      </w:pPr>
    </w:p>
    <w:p>
      <w:pPr>
        <w:ind w:right="120"/>
        <w:spacing w:after="0" w:line="255" w:lineRule="auto"/>
        <w:rPr>
          <w:sz w:val="20"/>
          <w:szCs w:val="20"/>
          <w:color w:val="auto"/>
        </w:rPr>
      </w:pPr>
      <w:r>
        <w:rPr>
          <w:rFonts w:ascii="Arial" w:cs="Arial" w:eastAsia="Arial" w:hAnsi="Arial"/>
          <w:sz w:val="14"/>
          <w:szCs w:val="14"/>
          <w:color w:val="auto"/>
        </w:rPr>
        <w:t>We continuously gather associate feedback through multiple touchpoints throughout the year and leverage that feedback to both inform our talent strategy and enhance our associate experience. These touchpoints include both external recognition surveys as well as feedback gathered through internal pulse surveys, exit surveys, and our internal social platform used for open and transparent communications. In 2023, Conduent was recognized among Newsweek’s Top 100 Global Most Loved Workplaces. This recognition was based largely on direct feedback gathered from our associates indicating a strong "emotional connection" between associates and our Company. We also continuously monitor our rankings and feedback from current associates on review sites such as Comparably. In 2023 our year-over-year Comparably scores held steady, with our overall culture score in the top 10% of similar sized companies, and love of team, challenging work, and flexibility to do remote work cited among the positives.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Corporate Ethics</w:t>
      </w:r>
    </w:p>
    <w:p>
      <w:pPr>
        <w:spacing w:after="0" w:line="131" w:lineRule="exact"/>
        <w:rPr>
          <w:sz w:val="20"/>
          <w:szCs w:val="20"/>
          <w:color w:val="auto"/>
        </w:rPr>
      </w:pPr>
    </w:p>
    <w:p>
      <w:pPr>
        <w:jc w:val="both"/>
        <w:ind w:right="340"/>
        <w:spacing w:after="0" w:line="322" w:lineRule="auto"/>
        <w:rPr>
          <w:sz w:val="20"/>
          <w:szCs w:val="20"/>
          <w:color w:val="auto"/>
        </w:rPr>
      </w:pPr>
      <w:r>
        <w:rPr>
          <w:rFonts w:ascii="Arial" w:cs="Arial" w:eastAsia="Arial" w:hAnsi="Arial"/>
          <w:sz w:val="13"/>
          <w:szCs w:val="13"/>
          <w:color w:val="auto"/>
        </w:rPr>
        <w:t>We operate according to our Ethics and Compliance Program, which is focused on sustaining an ethical culture and is designed to meet general governance and specific industry, regulatory, and legal requirements. The Ethics and Compliance Program is based on our core values, including personal accountability, and overseen by Conduent’s Ethics Office.</w:t>
      </w:r>
    </w:p>
    <w:p>
      <w:pPr>
        <w:spacing w:after="0" w:line="57" w:lineRule="exact"/>
        <w:rPr>
          <w:sz w:val="20"/>
          <w:szCs w:val="20"/>
          <w:color w:val="auto"/>
        </w:rPr>
      </w:pPr>
    </w:p>
    <w:p>
      <w:pPr>
        <w:jc w:val="both"/>
        <w:ind w:right="120"/>
        <w:spacing w:after="0" w:line="265" w:lineRule="auto"/>
        <w:rPr>
          <w:sz w:val="20"/>
          <w:szCs w:val="20"/>
          <w:color w:val="auto"/>
        </w:rPr>
      </w:pPr>
      <w:r>
        <w:rPr>
          <w:rFonts w:ascii="Arial" w:cs="Arial" w:eastAsia="Arial" w:hAnsi="Arial"/>
          <w:sz w:val="14"/>
          <w:szCs w:val="14"/>
          <w:color w:val="auto"/>
        </w:rPr>
        <w:t>Conduent’s Code of Business Conduct is the foundation of our Ethics and Compliance Program. Our Code of Business Conduct embodies and reinforces Conduent’s commitment to the highest standards of integrity and sets forth our expectations for ethical leadership, job performance, and compliance with the Code of Business Conduct and Company policies. It is designed to help associates recognize ethics and compliance issues before they arise and to deal appropriately with issues that occur.</w:t>
      </w:r>
    </w:p>
    <w:p>
      <w:pPr>
        <w:spacing w:after="0" w:line="92"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Conduent Finance Employees are additionally required to act in accordance with our supplemental Finance Code of Conduct. Our associates are required to complete annual business ethics training. Conduent’s Ethics Office periodically solicits associate input to gauge our ethical culture and help identify areas for continuing improvements.</w:t>
      </w:r>
    </w:p>
    <w:p>
      <w:pPr>
        <w:spacing w:after="0" w:line="80" w:lineRule="exact"/>
        <w:rPr>
          <w:sz w:val="20"/>
          <w:szCs w:val="20"/>
          <w:color w:val="auto"/>
        </w:rPr>
      </w:pPr>
    </w:p>
    <w:p>
      <w:pPr>
        <w:ind w:right="80"/>
        <w:spacing w:after="0" w:line="278" w:lineRule="auto"/>
        <w:rPr>
          <w:sz w:val="20"/>
          <w:szCs w:val="20"/>
          <w:color w:val="auto"/>
        </w:rPr>
      </w:pPr>
      <w:r>
        <w:rPr>
          <w:rFonts w:ascii="Arial" w:cs="Arial" w:eastAsia="Arial" w:hAnsi="Arial"/>
          <w:sz w:val="13"/>
          <w:szCs w:val="13"/>
          <w:color w:val="auto"/>
        </w:rPr>
        <w:t xml:space="preserve">Our directors must act in accordance with our Code of Business Conduct and Ethics for Members of the Board; our principal executive officer and principal financial and accounting officer, among others, must act in accordance with our Finance Code of Conduct; and all of our executives and employees must act in accordance with our Code of Business Conduct. Each of these codes of conduct can be accessed through our website at </w:t>
      </w:r>
      <w:r>
        <w:rPr>
          <w:rFonts w:ascii="Arial" w:cs="Arial" w:eastAsia="Arial" w:hAnsi="Arial"/>
          <w:sz w:val="13"/>
          <w:szCs w:val="13"/>
          <w:color w:val="0563C1"/>
        </w:rPr>
        <w:t>www.conduent.com/corporate-governance</w:t>
      </w:r>
      <w:r>
        <w:rPr>
          <w:rFonts w:ascii="Arial" w:cs="Arial" w:eastAsia="Arial" w:hAnsi="Arial"/>
          <w:sz w:val="13"/>
          <w:szCs w:val="13"/>
          <w:color w:val="auto"/>
        </w:rPr>
        <w:t>. They are also available to any shareholder who requests them in writing addressed to Conduent Incorporated, 100 Campus Drive Suite 200, Florham Park, NJ 07932, Attention: Corporate Secretary. We will disclose any future amendments to, or waivers from, provisions of our Code of Business Conduct and Ethics for Members of the Board and, our Code of Business Conduct and our Finance Code of Conduct for our officers on our website as promptly as practicable, and consistent with the requirements of applicable U.S. Securities and Exchange Commission ("SEC") and Nasdaq rules.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Seasonality</w:t>
      </w:r>
    </w:p>
    <w:p>
      <w:pPr>
        <w:spacing w:after="0" w:line="131" w:lineRule="exact"/>
        <w:rPr>
          <w:sz w:val="20"/>
          <w:szCs w:val="20"/>
          <w:color w:val="auto"/>
        </w:rPr>
      </w:pPr>
    </w:p>
    <w:p>
      <w:pPr>
        <w:ind w:right="180"/>
        <w:spacing w:after="0" w:line="282" w:lineRule="auto"/>
        <w:rPr>
          <w:sz w:val="20"/>
          <w:szCs w:val="20"/>
          <w:color w:val="auto"/>
        </w:rPr>
      </w:pPr>
      <w:r>
        <w:rPr>
          <w:rFonts w:ascii="Arial" w:cs="Arial" w:eastAsia="Arial" w:hAnsi="Arial"/>
          <w:sz w:val="14"/>
          <w:szCs w:val="14"/>
          <w:color w:val="auto"/>
        </w:rPr>
        <w:t>Our revenues can be affected by various factors such as our clients’ demand patterns for our services, which includes peak windows for benefit enrollment, new product launches by clients, and busy retail and travel seasons.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Availability of Company Information</w:t>
      </w:r>
    </w:p>
    <w:p>
      <w:pPr>
        <w:spacing w:after="0" w:line="131"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 xml:space="preserve">Our internet address is </w:t>
      </w:r>
      <w:r>
        <w:rPr>
          <w:rFonts w:ascii="Arial" w:cs="Arial" w:eastAsia="Arial" w:hAnsi="Arial"/>
          <w:sz w:val="14"/>
          <w:szCs w:val="14"/>
          <w:color w:val="0563C1"/>
        </w:rPr>
        <w:t>www.conduent.com</w:t>
      </w:r>
      <w:r>
        <w:rPr>
          <w:rFonts w:ascii="Arial" w:cs="Arial" w:eastAsia="Arial" w:hAnsi="Arial"/>
          <w:sz w:val="14"/>
          <w:szCs w:val="14"/>
          <w:color w:val="auto"/>
        </w:rPr>
        <w:t>. Our Annual Report on Form 10-K, Quarterly Reports on Form 10-Q, Current Reports on Form 8-K, our Proxy Statements and any amendments to these reports and statements are found on the Investors section of our website. We make these documents available free of charge as soon as we can after we have filed them with, or furnished them to, the SEC. Our Corporate Social Responsibility Report can also be found in the Investors section of our website.</w:t>
      </w:r>
    </w:p>
    <w:p>
      <w:pPr>
        <w:spacing w:after="0" w:line="92" w:lineRule="exact"/>
        <w:rPr>
          <w:sz w:val="20"/>
          <w:szCs w:val="20"/>
          <w:color w:val="auto"/>
        </w:rPr>
      </w:pPr>
    </w:p>
    <w:p>
      <w:pPr>
        <w:ind w:right="140"/>
        <w:spacing w:after="0" w:line="282" w:lineRule="auto"/>
        <w:rPr>
          <w:sz w:val="20"/>
          <w:szCs w:val="20"/>
          <w:color w:val="auto"/>
        </w:rPr>
      </w:pPr>
      <w:r>
        <w:rPr>
          <w:rFonts w:ascii="Arial" w:cs="Arial" w:eastAsia="Arial" w:hAnsi="Arial"/>
          <w:sz w:val="14"/>
          <w:szCs w:val="14"/>
          <w:color w:val="auto"/>
        </w:rPr>
        <w:t>The SEC maintains an internet address (www.sec.gov) that contains reports, proxy and information statements, and other information regarding issuers that file electronically with the SEC. The content on any website referred to in this Form 10-K is not incorporated by reference in this Form 10-K unless expressly noted.</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14" w:name="page15"/>
    <w:bookmarkEnd w:id="14"/>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Information about our Executive Officers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list of the executive officers of Conduent as of February 21, 2024.</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Each officer is elected to hold office until the meeting of the Board of Directors held on the day of the next annual meeting of shareholders, subject to the provisions of our by-laws.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20" w:type="dxa"/>
            <w:vAlign w:val="bottom"/>
            <w:gridSpan w:val="2"/>
            <w:vMerge w:val="restart"/>
          </w:tcPr>
          <w:p>
            <w:pPr>
              <w:ind w:left="20"/>
              <w:spacing w:after="0"/>
              <w:rPr>
                <w:sz w:val="20"/>
                <w:szCs w:val="20"/>
                <w:color w:val="auto"/>
              </w:rPr>
            </w:pPr>
            <w:r>
              <w:rPr>
                <w:rFonts w:ascii="Arial" w:cs="Arial" w:eastAsia="Arial" w:hAnsi="Arial"/>
                <w:sz w:val="13"/>
                <w:szCs w:val="13"/>
                <w:color w:val="auto"/>
              </w:rPr>
              <w:t>Name</w:t>
            </w:r>
          </w:p>
        </w:tc>
        <w:tc>
          <w:tcPr>
            <w:tcW w:w="820" w:type="dxa"/>
            <w:vAlign w:val="bottom"/>
            <w:gridSpan w:val="2"/>
            <w:vMerge w:val="restart"/>
          </w:tcPr>
          <w:p>
            <w:pPr>
              <w:jc w:val="center"/>
              <w:ind w:right="80"/>
              <w:spacing w:after="0"/>
              <w:rPr>
                <w:sz w:val="20"/>
                <w:szCs w:val="20"/>
                <w:color w:val="auto"/>
              </w:rPr>
            </w:pPr>
            <w:r>
              <w:rPr>
                <w:rFonts w:ascii="Arial" w:cs="Arial" w:eastAsia="Arial" w:hAnsi="Arial"/>
                <w:sz w:val="13"/>
                <w:szCs w:val="13"/>
                <w:color w:val="auto"/>
                <w:w w:val="94"/>
              </w:rPr>
              <w:t>Age</w:t>
            </w:r>
          </w:p>
        </w:tc>
        <w:tc>
          <w:tcPr>
            <w:tcW w:w="5380" w:type="dxa"/>
            <w:vAlign w:val="bottom"/>
            <w:gridSpan w:val="2"/>
            <w:vMerge w:val="restart"/>
          </w:tcPr>
          <w:p>
            <w:pPr>
              <w:ind w:left="2180"/>
              <w:spacing w:after="0"/>
              <w:rPr>
                <w:sz w:val="20"/>
                <w:szCs w:val="20"/>
                <w:color w:val="auto"/>
              </w:rPr>
            </w:pPr>
            <w:r>
              <w:rPr>
                <w:rFonts w:ascii="Arial" w:cs="Arial" w:eastAsia="Arial" w:hAnsi="Arial"/>
                <w:sz w:val="13"/>
                <w:szCs w:val="13"/>
                <w:color w:val="auto"/>
              </w:rPr>
              <w:t>Present Position</w:t>
            </w:r>
          </w:p>
        </w:tc>
        <w:tc>
          <w:tcPr>
            <w:tcW w:w="160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Year Appointed to Present</w:t>
            </w:r>
          </w:p>
        </w:tc>
        <w:tc>
          <w:tcPr>
            <w:tcW w:w="1160" w:type="dxa"/>
            <w:vAlign w:val="bottom"/>
          </w:tcPr>
          <w:p>
            <w:pPr>
              <w:jc w:val="center"/>
              <w:spacing w:after="0"/>
              <w:rPr>
                <w:sz w:val="20"/>
                <w:szCs w:val="20"/>
                <w:color w:val="auto"/>
              </w:rPr>
            </w:pPr>
            <w:r>
              <w:rPr>
                <w:rFonts w:ascii="Arial" w:cs="Arial" w:eastAsia="Arial" w:hAnsi="Arial"/>
                <w:sz w:val="13"/>
                <w:szCs w:val="13"/>
                <w:color w:val="auto"/>
                <w:w w:val="95"/>
              </w:rPr>
              <w:t>Conduent Officer</w:t>
            </w:r>
          </w:p>
        </w:tc>
        <w:tc>
          <w:tcPr>
            <w:tcW w:w="0" w:type="dxa"/>
            <w:vAlign w:val="bottom"/>
          </w:tcPr>
          <w:p>
            <w:pPr>
              <w:spacing w:after="0"/>
              <w:rPr>
                <w:sz w:val="1"/>
                <w:szCs w:val="1"/>
                <w:color w:val="auto"/>
              </w:rPr>
            </w:pPr>
          </w:p>
        </w:tc>
      </w:tr>
      <w:tr>
        <w:trPr>
          <w:trHeight w:val="166"/>
        </w:trPr>
        <w:tc>
          <w:tcPr>
            <w:tcW w:w="23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5380" w:type="dxa"/>
            <w:vAlign w:val="bottom"/>
            <w:gridSpan w:val="2"/>
            <w:vMerge w:val="continue"/>
          </w:tcPr>
          <w:p>
            <w:pPr>
              <w:spacing w:after="0"/>
              <w:rPr>
                <w:sz w:val="14"/>
                <w:szCs w:val="1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3"/>
                <w:szCs w:val="13"/>
                <w:color w:val="auto"/>
                <w:w w:val="99"/>
              </w:rPr>
              <w:t>Position</w:t>
            </w:r>
          </w:p>
        </w:tc>
        <w:tc>
          <w:tcPr>
            <w:tcW w:w="1160" w:type="dxa"/>
            <w:vAlign w:val="bottom"/>
          </w:tcPr>
          <w:p>
            <w:pPr>
              <w:jc w:val="center"/>
              <w:spacing w:after="0"/>
              <w:rPr>
                <w:sz w:val="20"/>
                <w:szCs w:val="20"/>
                <w:color w:val="auto"/>
              </w:rPr>
            </w:pPr>
            <w:r>
              <w:rPr>
                <w:rFonts w:ascii="Arial" w:cs="Arial" w:eastAsia="Arial" w:hAnsi="Arial"/>
                <w:sz w:val="13"/>
                <w:szCs w:val="13"/>
                <w:color w:val="auto"/>
                <w:w w:val="98"/>
              </w:rPr>
              <w:t>Since</w:t>
            </w:r>
          </w:p>
        </w:tc>
        <w:tc>
          <w:tcPr>
            <w:tcW w:w="0" w:type="dxa"/>
            <w:vAlign w:val="bottom"/>
          </w:tcPr>
          <w:p>
            <w:pPr>
              <w:spacing w:after="0"/>
              <w:rPr>
                <w:sz w:val="1"/>
                <w:szCs w:val="1"/>
                <w:color w:val="auto"/>
              </w:rPr>
            </w:pPr>
          </w:p>
        </w:tc>
      </w:tr>
      <w:tr>
        <w:trPr>
          <w:trHeight w:val="158"/>
        </w:trPr>
        <w:tc>
          <w:tcPr>
            <w:tcW w:w="22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Clifford Skelton*</w:t>
            </w:r>
          </w:p>
        </w:tc>
        <w:tc>
          <w:tcPr>
            <w:tcW w:w="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68</w:t>
            </w:r>
          </w:p>
        </w:tc>
        <w:tc>
          <w:tcPr>
            <w:tcW w:w="100" w:type="dxa"/>
            <w:vAlign w:val="bottom"/>
            <w:tcBorders>
              <w:top w:val="single" w:sz="8" w:color="CCEEFF"/>
            </w:tcBorders>
            <w:shd w:val="clear" w:color="auto" w:fill="CCEEFF"/>
          </w:tcPr>
          <w:p>
            <w:pPr>
              <w:spacing w:after="0"/>
              <w:rPr>
                <w:sz w:val="13"/>
                <w:szCs w:val="13"/>
                <w:color w:val="auto"/>
              </w:rPr>
            </w:pPr>
          </w:p>
        </w:tc>
        <w:tc>
          <w:tcPr>
            <w:tcW w:w="5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President and Chief Executive Officer</w:t>
            </w:r>
          </w:p>
        </w:tc>
        <w:tc>
          <w:tcPr>
            <w:tcW w:w="10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89"/>
              </w:rPr>
              <w:t>2019</w:t>
            </w:r>
          </w:p>
        </w:tc>
        <w:tc>
          <w:tcPr>
            <w:tcW w:w="10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6"/>
              </w:rPr>
              <w:t>2019</w:t>
            </w:r>
          </w:p>
        </w:tc>
        <w:tc>
          <w:tcPr>
            <w:tcW w:w="0" w:type="dxa"/>
            <w:vAlign w:val="bottom"/>
          </w:tcPr>
          <w:p>
            <w:pPr>
              <w:spacing w:after="0"/>
              <w:rPr>
                <w:sz w:val="1"/>
                <w:szCs w:val="1"/>
                <w:color w:val="auto"/>
              </w:rPr>
            </w:pPr>
          </w:p>
        </w:tc>
      </w:tr>
      <w:tr>
        <w:trPr>
          <w:trHeight w:val="166"/>
        </w:trPr>
        <w:tc>
          <w:tcPr>
            <w:tcW w:w="2320" w:type="dxa"/>
            <w:vAlign w:val="bottom"/>
            <w:gridSpan w:val="2"/>
          </w:tcPr>
          <w:p>
            <w:pPr>
              <w:ind w:left="20"/>
              <w:spacing w:after="0"/>
              <w:rPr>
                <w:sz w:val="20"/>
                <w:szCs w:val="20"/>
                <w:color w:val="auto"/>
              </w:rPr>
            </w:pPr>
            <w:r>
              <w:rPr>
                <w:rFonts w:ascii="Arial" w:cs="Arial" w:eastAsia="Arial" w:hAnsi="Arial"/>
                <w:sz w:val="13"/>
                <w:szCs w:val="13"/>
                <w:color w:val="auto"/>
              </w:rPr>
              <w:t>Louis Keyes</w:t>
            </w: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56</w:t>
            </w:r>
          </w:p>
        </w:tc>
        <w:tc>
          <w:tcPr>
            <w:tcW w:w="100" w:type="dxa"/>
            <w:vAlign w:val="bottom"/>
          </w:tcPr>
          <w:p>
            <w:pPr>
              <w:spacing w:after="0"/>
              <w:rPr>
                <w:sz w:val="14"/>
                <w:szCs w:val="14"/>
                <w:color w:val="auto"/>
              </w:rPr>
            </w:pPr>
          </w:p>
        </w:tc>
        <w:tc>
          <w:tcPr>
            <w:tcW w:w="5380" w:type="dxa"/>
            <w:vAlign w:val="bottom"/>
            <w:gridSpan w:val="2"/>
          </w:tcPr>
          <w:p>
            <w:pPr>
              <w:ind w:left="20"/>
              <w:spacing w:after="0"/>
              <w:rPr>
                <w:sz w:val="20"/>
                <w:szCs w:val="20"/>
                <w:color w:val="auto"/>
              </w:rPr>
            </w:pPr>
            <w:r>
              <w:rPr>
                <w:rFonts w:ascii="Arial" w:cs="Arial" w:eastAsia="Arial" w:hAnsi="Arial"/>
                <w:sz w:val="13"/>
                <w:szCs w:val="13"/>
                <w:color w:val="auto"/>
              </w:rPr>
              <w:t>Executive Vice President, Chief Revenue Officer</w:t>
            </w:r>
          </w:p>
        </w:tc>
        <w:tc>
          <w:tcPr>
            <w:tcW w:w="1500" w:type="dxa"/>
            <w:vAlign w:val="bottom"/>
          </w:tcPr>
          <w:p>
            <w:pPr>
              <w:jc w:val="center"/>
              <w:spacing w:after="0"/>
              <w:rPr>
                <w:sz w:val="20"/>
                <w:szCs w:val="20"/>
                <w:color w:val="auto"/>
              </w:rPr>
            </w:pPr>
            <w:r>
              <w:rPr>
                <w:rFonts w:ascii="Arial" w:cs="Arial" w:eastAsia="Arial" w:hAnsi="Arial"/>
                <w:sz w:val="13"/>
                <w:szCs w:val="13"/>
                <w:color w:val="auto"/>
                <w:w w:val="89"/>
              </w:rPr>
              <w:t>2023</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3"/>
                <w:szCs w:val="13"/>
                <w:color w:val="auto"/>
                <w:w w:val="96"/>
              </w:rPr>
              <w:t>2020</w:t>
            </w:r>
          </w:p>
        </w:tc>
        <w:tc>
          <w:tcPr>
            <w:tcW w:w="0" w:type="dxa"/>
            <w:vAlign w:val="bottom"/>
          </w:tcPr>
          <w:p>
            <w:pPr>
              <w:spacing w:after="0"/>
              <w:rPr>
                <w:sz w:val="1"/>
                <w:szCs w:val="1"/>
                <w:color w:val="auto"/>
              </w:rPr>
            </w:pPr>
          </w:p>
        </w:tc>
      </w:tr>
      <w:tr>
        <w:trPr>
          <w:trHeight w:val="167"/>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Randall King</w:t>
            </w:r>
          </w:p>
        </w:tc>
        <w:tc>
          <w:tcPr>
            <w:tcW w:w="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58</w:t>
            </w:r>
          </w:p>
        </w:tc>
        <w:tc>
          <w:tcPr>
            <w:tcW w:w="100" w:type="dxa"/>
            <w:vAlign w:val="bottom"/>
            <w:shd w:val="clear" w:color="auto" w:fill="CCEEFF"/>
          </w:tcPr>
          <w:p>
            <w:pPr>
              <w:spacing w:after="0"/>
              <w:rPr>
                <w:sz w:val="14"/>
                <w:szCs w:val="14"/>
                <w:color w:val="auto"/>
              </w:rPr>
            </w:pPr>
          </w:p>
        </w:tc>
        <w:tc>
          <w:tcPr>
            <w:tcW w:w="5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Executive Vice President, Commercial Solutions</w:t>
            </w: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2022</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2022</w:t>
            </w:r>
          </w:p>
        </w:tc>
        <w:tc>
          <w:tcPr>
            <w:tcW w:w="0" w:type="dxa"/>
            <w:vAlign w:val="bottom"/>
          </w:tcPr>
          <w:p>
            <w:pPr>
              <w:spacing w:after="0"/>
              <w:rPr>
                <w:sz w:val="1"/>
                <w:szCs w:val="1"/>
                <w:color w:val="auto"/>
              </w:rPr>
            </w:pPr>
          </w:p>
        </w:tc>
      </w:tr>
      <w:tr>
        <w:trPr>
          <w:trHeight w:val="166"/>
        </w:trPr>
        <w:tc>
          <w:tcPr>
            <w:tcW w:w="2320" w:type="dxa"/>
            <w:vAlign w:val="bottom"/>
            <w:gridSpan w:val="2"/>
          </w:tcPr>
          <w:p>
            <w:pPr>
              <w:ind w:left="20"/>
              <w:spacing w:after="0"/>
              <w:rPr>
                <w:sz w:val="20"/>
                <w:szCs w:val="20"/>
                <w:color w:val="auto"/>
              </w:rPr>
            </w:pPr>
            <w:r>
              <w:rPr>
                <w:rFonts w:ascii="Arial" w:cs="Arial" w:eastAsia="Arial" w:hAnsi="Arial"/>
                <w:sz w:val="13"/>
                <w:szCs w:val="13"/>
                <w:color w:val="auto"/>
              </w:rPr>
              <w:t>Michael Krawitz</w:t>
            </w: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54</w:t>
            </w:r>
          </w:p>
        </w:tc>
        <w:tc>
          <w:tcPr>
            <w:tcW w:w="100" w:type="dxa"/>
            <w:vAlign w:val="bottom"/>
          </w:tcPr>
          <w:p>
            <w:pPr>
              <w:spacing w:after="0"/>
              <w:rPr>
                <w:sz w:val="14"/>
                <w:szCs w:val="14"/>
                <w:color w:val="auto"/>
              </w:rPr>
            </w:pPr>
          </w:p>
        </w:tc>
        <w:tc>
          <w:tcPr>
            <w:tcW w:w="5380" w:type="dxa"/>
            <w:vAlign w:val="bottom"/>
            <w:gridSpan w:val="2"/>
          </w:tcPr>
          <w:p>
            <w:pPr>
              <w:ind w:left="20"/>
              <w:spacing w:after="0"/>
              <w:rPr>
                <w:sz w:val="20"/>
                <w:szCs w:val="20"/>
                <w:color w:val="auto"/>
              </w:rPr>
            </w:pPr>
            <w:r>
              <w:rPr>
                <w:rFonts w:ascii="Arial" w:cs="Arial" w:eastAsia="Arial" w:hAnsi="Arial"/>
                <w:sz w:val="13"/>
                <w:szCs w:val="13"/>
                <w:color w:val="auto"/>
              </w:rPr>
              <w:t>Executive Vice President, General Counsel and Secretary</w:t>
            </w:r>
          </w:p>
        </w:tc>
        <w:tc>
          <w:tcPr>
            <w:tcW w:w="1500" w:type="dxa"/>
            <w:vAlign w:val="bottom"/>
          </w:tcPr>
          <w:p>
            <w:pPr>
              <w:jc w:val="center"/>
              <w:spacing w:after="0"/>
              <w:rPr>
                <w:sz w:val="20"/>
                <w:szCs w:val="20"/>
                <w:color w:val="auto"/>
              </w:rPr>
            </w:pPr>
            <w:r>
              <w:rPr>
                <w:rFonts w:ascii="Arial" w:cs="Arial" w:eastAsia="Arial" w:hAnsi="Arial"/>
                <w:sz w:val="13"/>
                <w:szCs w:val="13"/>
                <w:color w:val="auto"/>
                <w:w w:val="89"/>
              </w:rPr>
              <w:t>2019</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3"/>
                <w:szCs w:val="13"/>
                <w:color w:val="auto"/>
                <w:w w:val="96"/>
              </w:rPr>
              <w:t>2019</w:t>
            </w:r>
          </w:p>
        </w:tc>
        <w:tc>
          <w:tcPr>
            <w:tcW w:w="0" w:type="dxa"/>
            <w:vAlign w:val="bottom"/>
          </w:tcPr>
          <w:p>
            <w:pPr>
              <w:spacing w:after="0"/>
              <w:rPr>
                <w:sz w:val="1"/>
                <w:szCs w:val="1"/>
                <w:color w:val="auto"/>
              </w:rPr>
            </w:pPr>
          </w:p>
        </w:tc>
      </w:tr>
      <w:tr>
        <w:trPr>
          <w:trHeight w:val="167"/>
        </w:trPr>
        <w:tc>
          <w:tcPr>
            <w:tcW w:w="23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Mark Prout</w:t>
            </w:r>
          </w:p>
        </w:tc>
        <w:tc>
          <w:tcPr>
            <w:tcW w:w="7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60</w:t>
            </w:r>
          </w:p>
        </w:tc>
        <w:tc>
          <w:tcPr>
            <w:tcW w:w="100" w:type="dxa"/>
            <w:vAlign w:val="bottom"/>
            <w:shd w:val="clear" w:color="auto" w:fill="CCEEFF"/>
          </w:tcPr>
          <w:p>
            <w:pPr>
              <w:spacing w:after="0"/>
              <w:rPr>
                <w:sz w:val="14"/>
                <w:szCs w:val="14"/>
                <w:color w:val="auto"/>
              </w:rPr>
            </w:pPr>
          </w:p>
        </w:tc>
        <w:tc>
          <w:tcPr>
            <w:tcW w:w="53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Executive Vice President, Chief Information Officer</w:t>
            </w:r>
          </w:p>
        </w:tc>
        <w:tc>
          <w:tcPr>
            <w:tcW w:w="15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2019</w:t>
            </w:r>
          </w:p>
        </w:tc>
        <w:tc>
          <w:tcPr>
            <w:tcW w:w="100" w:type="dxa"/>
            <w:vAlign w:val="bottom"/>
            <w:shd w:val="clear" w:color="auto" w:fill="CCEEFF"/>
          </w:tcPr>
          <w:p>
            <w:pPr>
              <w:spacing w:after="0"/>
              <w:rPr>
                <w:sz w:val="14"/>
                <w:szCs w:val="14"/>
                <w:color w:val="auto"/>
              </w:rPr>
            </w:pPr>
          </w:p>
        </w:tc>
        <w:tc>
          <w:tcPr>
            <w:tcW w:w="11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2020</w:t>
            </w:r>
          </w:p>
        </w:tc>
        <w:tc>
          <w:tcPr>
            <w:tcW w:w="0" w:type="dxa"/>
            <w:vAlign w:val="bottom"/>
          </w:tcPr>
          <w:p>
            <w:pPr>
              <w:spacing w:after="0"/>
              <w:rPr>
                <w:sz w:val="1"/>
                <w:szCs w:val="1"/>
                <w:color w:val="auto"/>
              </w:rPr>
            </w:pPr>
          </w:p>
        </w:tc>
      </w:tr>
      <w:tr>
        <w:trPr>
          <w:trHeight w:val="165"/>
        </w:trPr>
        <w:tc>
          <w:tcPr>
            <w:tcW w:w="2320" w:type="dxa"/>
            <w:vAlign w:val="bottom"/>
            <w:gridSpan w:val="2"/>
          </w:tcPr>
          <w:p>
            <w:pPr>
              <w:ind w:left="20"/>
              <w:spacing w:after="0"/>
              <w:rPr>
                <w:sz w:val="20"/>
                <w:szCs w:val="20"/>
                <w:color w:val="auto"/>
              </w:rPr>
            </w:pPr>
            <w:r>
              <w:rPr>
                <w:rFonts w:ascii="Arial" w:cs="Arial" w:eastAsia="Arial" w:hAnsi="Arial"/>
                <w:sz w:val="13"/>
                <w:szCs w:val="13"/>
                <w:color w:val="auto"/>
              </w:rPr>
              <w:t>Stephen Wood</w:t>
            </w:r>
          </w:p>
        </w:tc>
        <w:tc>
          <w:tcPr>
            <w:tcW w:w="720" w:type="dxa"/>
            <w:vAlign w:val="bottom"/>
          </w:tcPr>
          <w:p>
            <w:pPr>
              <w:jc w:val="center"/>
              <w:spacing w:after="0"/>
              <w:rPr>
                <w:sz w:val="20"/>
                <w:szCs w:val="20"/>
                <w:color w:val="auto"/>
              </w:rPr>
            </w:pPr>
            <w:r>
              <w:rPr>
                <w:rFonts w:ascii="Arial" w:cs="Arial" w:eastAsia="Arial" w:hAnsi="Arial"/>
                <w:sz w:val="13"/>
                <w:szCs w:val="13"/>
                <w:color w:val="auto"/>
                <w:w w:val="96"/>
              </w:rPr>
              <w:t>57</w:t>
            </w:r>
          </w:p>
        </w:tc>
        <w:tc>
          <w:tcPr>
            <w:tcW w:w="100" w:type="dxa"/>
            <w:vAlign w:val="bottom"/>
          </w:tcPr>
          <w:p>
            <w:pPr>
              <w:spacing w:after="0"/>
              <w:rPr>
                <w:sz w:val="14"/>
                <w:szCs w:val="14"/>
                <w:color w:val="auto"/>
              </w:rPr>
            </w:pPr>
          </w:p>
        </w:tc>
        <w:tc>
          <w:tcPr>
            <w:tcW w:w="5380" w:type="dxa"/>
            <w:vAlign w:val="bottom"/>
            <w:gridSpan w:val="2"/>
          </w:tcPr>
          <w:p>
            <w:pPr>
              <w:ind w:left="20"/>
              <w:spacing w:after="0"/>
              <w:rPr>
                <w:sz w:val="20"/>
                <w:szCs w:val="20"/>
                <w:color w:val="auto"/>
              </w:rPr>
            </w:pPr>
            <w:r>
              <w:rPr>
                <w:rFonts w:ascii="Arial" w:cs="Arial" w:eastAsia="Arial" w:hAnsi="Arial"/>
                <w:sz w:val="13"/>
                <w:szCs w:val="13"/>
                <w:color w:val="auto"/>
              </w:rPr>
              <w:t>Executive Vice President, Chief Financial Officer</w:t>
            </w:r>
          </w:p>
        </w:tc>
        <w:tc>
          <w:tcPr>
            <w:tcW w:w="1500" w:type="dxa"/>
            <w:vAlign w:val="bottom"/>
          </w:tcPr>
          <w:p>
            <w:pPr>
              <w:jc w:val="center"/>
              <w:spacing w:after="0"/>
              <w:rPr>
                <w:sz w:val="20"/>
                <w:szCs w:val="20"/>
                <w:color w:val="auto"/>
              </w:rPr>
            </w:pPr>
            <w:r>
              <w:rPr>
                <w:rFonts w:ascii="Arial" w:cs="Arial" w:eastAsia="Arial" w:hAnsi="Arial"/>
                <w:sz w:val="13"/>
                <w:szCs w:val="13"/>
                <w:color w:val="auto"/>
                <w:w w:val="89"/>
              </w:rPr>
              <w:t>2021</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3"/>
                <w:szCs w:val="13"/>
                <w:color w:val="auto"/>
                <w:w w:val="96"/>
              </w:rPr>
              <w:t>2020</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8"/>
          <w:szCs w:val="8"/>
          <w:i w:val="1"/>
          <w:iCs w:val="1"/>
          <w:color w:val="auto"/>
        </w:rPr>
        <w:t>_____________________________</w:t>
      </w:r>
    </w:p>
    <w:p>
      <w:pPr>
        <w:spacing w:after="0" w:line="14" w:lineRule="exact"/>
        <w:rPr>
          <w:sz w:val="20"/>
          <w:szCs w:val="20"/>
          <w:color w:val="auto"/>
        </w:rPr>
      </w:pPr>
    </w:p>
    <w:p>
      <w:pPr>
        <w:ind w:left="240" w:hanging="237"/>
        <w:spacing w:after="0"/>
        <w:tabs>
          <w:tab w:leader="none" w:pos="240" w:val="left"/>
        </w:tabs>
        <w:numPr>
          <w:ilvl w:val="0"/>
          <w:numId w:val="19"/>
        </w:numPr>
        <w:rPr>
          <w:rFonts w:ascii="Arial" w:cs="Arial" w:eastAsia="Arial" w:hAnsi="Arial"/>
          <w:sz w:val="11"/>
          <w:szCs w:val="11"/>
          <w:i w:val="1"/>
          <w:iCs w:val="1"/>
          <w:color w:val="auto"/>
        </w:rPr>
      </w:pPr>
      <w:r>
        <w:rPr>
          <w:rFonts w:ascii="Arial" w:cs="Arial" w:eastAsia="Arial" w:hAnsi="Arial"/>
          <w:sz w:val="11"/>
          <w:szCs w:val="11"/>
          <w:i w:val="1"/>
          <w:iCs w:val="1"/>
          <w:color w:val="auto"/>
        </w:rPr>
        <w:t>Member of Conduent Board of Directors</w:t>
      </w:r>
    </w:p>
    <w:p>
      <w:pPr>
        <w:spacing w:after="0" w:line="178" w:lineRule="exact"/>
        <w:rPr>
          <w:sz w:val="20"/>
          <w:szCs w:val="20"/>
          <w:color w:val="auto"/>
        </w:rPr>
      </w:pPr>
    </w:p>
    <w:p>
      <w:pPr>
        <w:ind w:right="60"/>
        <w:spacing w:after="0" w:line="282" w:lineRule="auto"/>
        <w:rPr>
          <w:sz w:val="20"/>
          <w:szCs w:val="20"/>
          <w:color w:val="auto"/>
        </w:rPr>
      </w:pPr>
      <w:r>
        <w:rPr>
          <w:rFonts w:ascii="Arial" w:cs="Arial" w:eastAsia="Arial" w:hAnsi="Arial"/>
          <w:sz w:val="14"/>
          <w:szCs w:val="14"/>
          <w:color w:val="auto"/>
        </w:rPr>
        <w:t>Each of the officers named above has been an officer or an executive of Conduent or its subsidiaries for less than five years. As of February 21, 2024, there are no family relationships among any of the executive officers named above and any of our directors.</w:t>
      </w:r>
    </w:p>
    <w:p>
      <w:pPr>
        <w:spacing w:after="0" w:line="80" w:lineRule="exact"/>
        <w:rPr>
          <w:sz w:val="20"/>
          <w:szCs w:val="20"/>
          <w:color w:val="auto"/>
        </w:rPr>
      </w:pPr>
    </w:p>
    <w:p>
      <w:pPr>
        <w:jc w:val="both"/>
        <w:ind w:right="120"/>
        <w:spacing w:after="0" w:line="275" w:lineRule="auto"/>
        <w:rPr>
          <w:sz w:val="20"/>
          <w:szCs w:val="20"/>
          <w:color w:val="auto"/>
        </w:rPr>
      </w:pPr>
      <w:r>
        <w:rPr>
          <w:rFonts w:ascii="Arial" w:cs="Arial" w:eastAsia="Arial" w:hAnsi="Arial"/>
          <w:sz w:val="13"/>
          <w:szCs w:val="13"/>
          <w:color w:val="auto"/>
        </w:rPr>
        <w:t>Mr. Skelton was appointed Chief Operating Officer of Conduent in June 2019, Chief Executive Officer of Conduent in August 2019 and President of Conduent in May 2021. He served as President of Fiserv Output Solutions from March 2017 to June 2019. Prior to that, Mr. Skelton was the Group President and Chief Information Officer at Fiserv from April 2012 until March 2017. Mr. Skelton also held a variety of leadership roles at companies such as Ally Financial (formerly General Motors Acceptance Corporation) and Bank of America. Mr.</w:t>
      </w:r>
    </w:p>
    <w:p>
      <w:pPr>
        <w:ind w:right="80"/>
        <w:spacing w:after="0" w:line="261" w:lineRule="auto"/>
        <w:rPr>
          <w:sz w:val="20"/>
          <w:szCs w:val="20"/>
          <w:color w:val="auto"/>
        </w:rPr>
      </w:pPr>
      <w:r>
        <w:rPr>
          <w:rFonts w:ascii="Arial" w:cs="Arial" w:eastAsia="Arial" w:hAnsi="Arial"/>
          <w:sz w:val="14"/>
          <w:szCs w:val="14"/>
          <w:color w:val="auto"/>
        </w:rPr>
        <w:t>Skelton is a former Navy fighter pilot and served in the Navy for over 20 years. Mr. Skelton earned his Bachelor of Arts degree from the University of Southern California and Master of Public Administration from Harvard University's John F. Kennedy School of Government.</w:t>
      </w:r>
    </w:p>
    <w:p>
      <w:pPr>
        <w:spacing w:after="0" w:line="94" w:lineRule="exact"/>
        <w:rPr>
          <w:sz w:val="20"/>
          <w:szCs w:val="20"/>
          <w:color w:val="auto"/>
        </w:rPr>
      </w:pPr>
    </w:p>
    <w:p>
      <w:pPr>
        <w:ind w:right="100"/>
        <w:spacing w:after="0" w:line="256" w:lineRule="auto"/>
        <w:rPr>
          <w:sz w:val="20"/>
          <w:szCs w:val="20"/>
          <w:color w:val="auto"/>
        </w:rPr>
      </w:pPr>
      <w:r>
        <w:rPr>
          <w:rFonts w:ascii="Arial" w:cs="Arial" w:eastAsia="Arial" w:hAnsi="Arial"/>
          <w:sz w:val="14"/>
          <w:szCs w:val="14"/>
          <w:color w:val="auto"/>
        </w:rPr>
        <w:t>Mr. Keyes joined Conduent as Global Head of Sales in September 2019. He was appointed Executive Vice President, Chief Revenue Officer in December 2020, appointed Executive Vice President, Transportation Solutions in August 2022 and again appointed to Executive Vice President, Chief Revenue Officer in December 2023. Prior to joining Conduent, he served as Executive Vice President, Chief Sales Officer at York Risk Services from October 2017 to September 2019. Prior to York Risk Services, he was Senior Vice President at Fiserv Inc. between 2009 and 2017 where he led Enterprise Accounts and large sales teams. Mr. Keyes has also held senior executive leadership roles at Hewlett-Packard Enterprise Services and Electronic Data Systems Corporation. Mr. Keyes earned his Bachelor of Arts degree from the University of Texas at Dallas.</w:t>
      </w:r>
    </w:p>
    <w:p>
      <w:pPr>
        <w:spacing w:after="0" w:line="100" w:lineRule="exact"/>
        <w:rPr>
          <w:sz w:val="20"/>
          <w:szCs w:val="20"/>
          <w:color w:val="auto"/>
        </w:rPr>
      </w:pPr>
    </w:p>
    <w:p>
      <w:pPr>
        <w:ind w:right="340"/>
        <w:spacing w:after="0" w:line="259" w:lineRule="auto"/>
        <w:rPr>
          <w:sz w:val="20"/>
          <w:szCs w:val="20"/>
          <w:color w:val="auto"/>
        </w:rPr>
      </w:pPr>
      <w:r>
        <w:rPr>
          <w:rFonts w:ascii="Arial" w:cs="Arial" w:eastAsia="Arial" w:hAnsi="Arial"/>
          <w:sz w:val="14"/>
          <w:szCs w:val="14"/>
          <w:color w:val="auto"/>
        </w:rPr>
        <w:t>Mr. King joined Conduent in May 2020 as Global Head, End User Experience. He was appointed Executive Vice President, Commercial Solutions in August 2022. Mr. King has responsibility for our commercial solutions portfolio. Prior to joining Conduent he worked for Bank of America, where he served as Senior Vice President for Consumer and Wealth Management, as part of the bank’s Global Business Services organization. Mr. King earned his Bachelor of Science degree in Economics at North Carolina State University and completed the Operations Leadership Program at the University of Michigan’s Stephen M. Ross School of Business.</w:t>
      </w:r>
    </w:p>
    <w:p>
      <w:pPr>
        <w:spacing w:after="0" w:line="97" w:lineRule="exact"/>
        <w:rPr>
          <w:sz w:val="20"/>
          <w:szCs w:val="20"/>
          <w:color w:val="auto"/>
        </w:rPr>
      </w:pPr>
    </w:p>
    <w:p>
      <w:pPr>
        <w:ind w:right="120"/>
        <w:spacing w:after="0" w:line="256" w:lineRule="auto"/>
        <w:rPr>
          <w:sz w:val="20"/>
          <w:szCs w:val="20"/>
          <w:color w:val="auto"/>
        </w:rPr>
      </w:pPr>
      <w:r>
        <w:rPr>
          <w:rFonts w:ascii="Arial" w:cs="Arial" w:eastAsia="Arial" w:hAnsi="Arial"/>
          <w:sz w:val="14"/>
          <w:szCs w:val="14"/>
          <w:color w:val="auto"/>
        </w:rPr>
        <w:t>Mr. Krawitz has served as Executive Vice President, General Counsel and Secretary since November 2019. Prior to joining Conduent, from June 2015 to November 2019, Mr. Krawitz was Executive Vice President, General Counsel and Corporate Secretary of insurance services firm York Risk Services Group, a portfolio company of Onex Corp. From 2014 to 2015, he was Chief Legal Officer of Veriteq Corp., a biotech company. From 1999 to 2014, Mr. Krawitz held leadership roles in public and private companies in the technology and finance sectors. Mr. Krawitz began his career at Fried Frank and earned his Bachelor of Arts in Economics and in Government from Cornell University and his Juris Doctor from Harvard Law School.</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15" w:name="page16"/>
    <w:bookmarkEnd w:id="15"/>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Mr. Prout joined Conduent as Head of Information Technology in June of 2019. He was appointed Executive Vice President, Chief Information Officer in September 2019. Prior to joining Conduent, between 2005 and 2019, Mr. Prout served as Chief Technology Officer and held several IT leadership positions at Fiserv. Prior to Fiserv, he served as CIO of Cendian Corporation. Mr. Prout has also held various leadership positions at United Parcel Service. Mr. Prout earned his Bachelor's degree in business management and programming from Southern Illinois University, Carbondale.</w:t>
      </w:r>
    </w:p>
    <w:p>
      <w:pPr>
        <w:spacing w:after="0" w:line="97" w:lineRule="exact"/>
        <w:rPr>
          <w:sz w:val="20"/>
          <w:szCs w:val="20"/>
          <w:color w:val="auto"/>
        </w:rPr>
      </w:pPr>
    </w:p>
    <w:p>
      <w:pPr>
        <w:ind w:right="40"/>
        <w:spacing w:after="0" w:line="255" w:lineRule="auto"/>
        <w:rPr>
          <w:sz w:val="20"/>
          <w:szCs w:val="20"/>
          <w:color w:val="auto"/>
        </w:rPr>
      </w:pPr>
      <w:r>
        <w:rPr>
          <w:rFonts w:ascii="Arial" w:cs="Arial" w:eastAsia="Arial" w:hAnsi="Arial"/>
          <w:sz w:val="14"/>
          <w:szCs w:val="14"/>
          <w:color w:val="auto"/>
        </w:rPr>
        <w:t>Mr. Wood has served as the Chief Financial Officer of Conduent since June 2021. He served in his previous role as Conduent’s Corporate Controller from August 2020 until June 2021 and was designated as its Principal Accounting Officer effective December 2020. Prior to joining Conduent, Mr. Wood spent 15 years at Fiserv in finance and accounting leadership positions. From December 2016 to May 2020, Mr. Wood served as Vice President &amp; Chief Financial Officer of Fiserv Output Solutions. From March 2009 to December 2016, he served as Vice President &amp; Controller over several different operating groups, and from January 2005 to March 2009, he led International Finance &amp; Accounting operations. Mr. Wood is a Chartered Global Management Accountant with an MBA with distinction from Warwick Business School and a Bachelor of Science from the University of Birmingham in the United Kingdom.</w:t>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16" w:name="page17"/>
    <w:bookmarkEnd w:id="16"/>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1A. RISK FACTORS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Economic, Market and Operational Risks</w:t>
      </w:r>
    </w:p>
    <w:p>
      <w:pPr>
        <w:spacing w:after="0" w:line="125" w:lineRule="exact"/>
        <w:rPr>
          <w:sz w:val="20"/>
          <w:szCs w:val="20"/>
          <w:color w:val="auto"/>
        </w:rPr>
      </w:pPr>
    </w:p>
    <w:p>
      <w:pPr>
        <w:ind w:right="120"/>
        <w:spacing w:after="0" w:line="291" w:lineRule="auto"/>
        <w:rPr>
          <w:sz w:val="20"/>
          <w:szCs w:val="20"/>
          <w:color w:val="auto"/>
        </w:rPr>
      </w:pPr>
      <w:r>
        <w:rPr>
          <w:rFonts w:ascii="Arial" w:cs="Arial" w:eastAsia="Arial" w:hAnsi="Arial"/>
          <w:sz w:val="14"/>
          <w:szCs w:val="14"/>
          <w:b w:val="1"/>
          <w:bCs w:val="1"/>
          <w:i w:val="1"/>
          <w:iCs w:val="1"/>
          <w:color w:val="0066CC"/>
        </w:rPr>
        <w:t>Our government contracts are subject to appropriation of funds, termination rights, audits and investigations, which, if exercised, could negatively impact our reputation and reduce our ability to compete for new contracts.</w:t>
      </w:r>
    </w:p>
    <w:p>
      <w:pPr>
        <w:spacing w:after="0" w:line="66" w:lineRule="exact"/>
        <w:rPr>
          <w:sz w:val="20"/>
          <w:szCs w:val="20"/>
          <w:color w:val="auto"/>
        </w:rPr>
      </w:pPr>
    </w:p>
    <w:p>
      <w:pPr>
        <w:ind w:right="100"/>
        <w:spacing w:after="0" w:line="251" w:lineRule="auto"/>
        <w:rPr>
          <w:sz w:val="20"/>
          <w:szCs w:val="20"/>
          <w:color w:val="auto"/>
        </w:rPr>
      </w:pPr>
      <w:r>
        <w:rPr>
          <w:rFonts w:ascii="Arial" w:cs="Arial" w:eastAsia="Arial" w:hAnsi="Arial"/>
          <w:sz w:val="14"/>
          <w:szCs w:val="14"/>
          <w:color w:val="auto"/>
        </w:rPr>
        <w:t>A significant portion of our revenues is derived from contracts with U.S. federal, state and local governments and their agencies, and some of our revenues are derived from contracts with foreign governments and their agencies. Government entities typically finance projects through appropriated funds. While these projects are often planned and executed as multi-year projects, government entities usually reserve the right to change the scope of or terminate these projects for lack of approved funding and/or at their convenience. Changes in government or political developments, including budget deficits, shortfalls or uncertainties, failures to enact appropriation legislation (e.g., a government "shut-down"), government spending reductions or other debt or funding constraints, have resulted in, and in the future could result in, lower governmental sales and our projects being reduced in price or scope or terminated altogether, which also could limit our recovery of incurred costs, reimbursable expenses and profits on work completed prior to the termination. Additionally, if the government discovers what it considers to be improper or illegal activities or contractual non-compliance (including improper billing or non-compliant performance of contract requirements), we may be subject to various civil and criminal penalties and administrative sanctions, which has occurred in the past and may in the future include termination of contracts, forfeiture of profits, suspension of payments, contractual service penalties, fines and suspensions or debarment from doing business with the government. Any resulting penalties or sanctions could materially adversely affect our results of operations and financial condition. Moreover, government contracts are generally subject to audits and investigations by government agencies. If the government finds that we inappropriately charged any costs to a contract, the costs are not reimbursable or, if already reimbursed, the cost must be refunded to the government. Further, the negative publicity that could arise from any such penalties, sanctions or findings in such audits or investigations could have an adverse effect on our reputation in the industry and reduce our ability to compete for new contracts and could materially adversely affect our results of operations and financial condition.</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The markets in which we operate are highly competitive, and we might not be able to compete effectively.</w:t>
      </w:r>
    </w:p>
    <w:p>
      <w:pPr>
        <w:spacing w:after="0" w:line="129" w:lineRule="exact"/>
        <w:rPr>
          <w:sz w:val="20"/>
          <w:szCs w:val="20"/>
          <w:color w:val="auto"/>
        </w:rPr>
      </w:pPr>
    </w:p>
    <w:p>
      <w:pPr>
        <w:ind w:right="20"/>
        <w:spacing w:after="0" w:line="255" w:lineRule="auto"/>
        <w:rPr>
          <w:sz w:val="20"/>
          <w:szCs w:val="20"/>
          <w:color w:val="auto"/>
        </w:rPr>
      </w:pPr>
      <w:r>
        <w:rPr>
          <w:rFonts w:ascii="Arial" w:cs="Arial" w:eastAsia="Arial" w:hAnsi="Arial"/>
          <w:sz w:val="14"/>
          <w:szCs w:val="14"/>
          <w:color w:val="auto"/>
        </w:rPr>
        <w:t>We operate in a global marketplace in which competition in all areas of our portfolio is vigorous. Some of our competitors possess greater financial, marketing and sales resources, and larger geographic scope in certain parts of the world than we do, which, in turn, provides them with additional leverage in the competition for contracts. In certain niche, regional or metropolitan markets, we face smaller competitors with specialized capabilities who may be able to provide competing services with greater economic efficiency. Some of our competitors have more significant operations than we do in lower cost countries that can serve as a platform from which to provide services worldwide on terms that may be more favorable. Increased competition often results in corresponding pressure on prices and terms. There can be no assurance that we will succeed in providing competitively priced services at levels of service and quality that will enable us to maintain and grow our market share.</w:t>
      </w:r>
    </w:p>
    <w:p>
      <w:pPr>
        <w:spacing w:after="0" w:line="99" w:lineRule="exact"/>
        <w:rPr>
          <w:sz w:val="20"/>
          <w:szCs w:val="20"/>
          <w:color w:val="auto"/>
        </w:rPr>
      </w:pPr>
    </w:p>
    <w:p>
      <w:pPr>
        <w:ind w:right="40"/>
        <w:spacing w:after="0" w:line="252" w:lineRule="auto"/>
        <w:rPr>
          <w:sz w:val="20"/>
          <w:szCs w:val="20"/>
          <w:color w:val="auto"/>
        </w:rPr>
      </w:pPr>
      <w:r>
        <w:rPr>
          <w:rFonts w:ascii="Arial" w:cs="Arial" w:eastAsia="Arial" w:hAnsi="Arial"/>
          <w:sz w:val="14"/>
          <w:szCs w:val="14"/>
          <w:color w:val="auto"/>
        </w:rPr>
        <w:t>Additionally, we derive significant revenue from contracts awarded through competitive bidding processes, including renewals, which can impose substantial costs on us, and may limit the Company’s ability to negotiate certain contractual terms and conditions. Many of these contracts are extremely complex and require the investment of significant resources in order to prepare accurate bids and proposals. Competitive bidding imposes substantial costs and presents a number of risks, including: (i) the substantial cost and managerial time and effort that we spend to prepare bids and proposals for contracts that may or may not be awarded to us; (ii) the need to estimate accurately the resources and costs that will be required to implement and service any contracts we are awarded, sometimes in advance of the final determination of their full scope and design; (iii) the expense and delay that may arise if our competitors protest or challenge awards made to us pursuant to competitive bidding and the risk that such protests or challenges could result in the requirement to resubmit bids and in the termination, reduction or modification of the awarded contracts; and (iv) the opportunity cost of not bidding on and winning other contracts we might otherwise pursue. If our competitors protest or challenge an award made to us on a government contract, the costs to defend such an award may be significant and could involve subsequent litigation that could take years to resolve.</w:t>
      </w:r>
    </w:p>
    <w:p>
      <w:pPr>
        <w:spacing w:after="0" w:line="30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17" w:name="page18"/>
    <w:bookmarkEnd w:id="17"/>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Our ability to recover capital and other investments in connection with our contracts is subject to risk.</w:t>
      </w:r>
    </w:p>
    <w:p>
      <w:pPr>
        <w:spacing w:after="0" w:line="129" w:lineRule="exact"/>
        <w:rPr>
          <w:sz w:val="20"/>
          <w:szCs w:val="20"/>
          <w:color w:val="auto"/>
        </w:rPr>
      </w:pPr>
    </w:p>
    <w:p>
      <w:pPr>
        <w:ind w:right="120"/>
        <w:spacing w:after="0" w:line="256" w:lineRule="auto"/>
        <w:rPr>
          <w:sz w:val="20"/>
          <w:szCs w:val="20"/>
          <w:color w:val="auto"/>
        </w:rPr>
      </w:pPr>
      <w:r>
        <w:rPr>
          <w:rFonts w:ascii="Arial" w:cs="Arial" w:eastAsia="Arial" w:hAnsi="Arial"/>
          <w:sz w:val="14"/>
          <w:szCs w:val="14"/>
          <w:color w:val="auto"/>
        </w:rPr>
        <w:t>To attract and retain large outsourcing contracts, we sometimes make significant capital and other investments to enable us to perform our services under those contracts, such as purchases of information technology equipment, facility costs, labor resources and costs incurred to develop and implement software. The net book value of certain assets recorded, including a portion of our intangible assets, could be impaired, and our results of operations and financial condition could be materially adversely affected in the event of the early termination of all or a part of such a contract or a reduction in volumes and services thereunder for reasons such as a customer’s or client’s merger or acquisition, divestiture of assets or businesses, business failure or deterioration or a customer’s or client’s exercise of contract termination rights.</w:t>
      </w:r>
    </w:p>
    <w:p>
      <w:pPr>
        <w:spacing w:after="0" w:line="102" w:lineRule="exact"/>
        <w:rPr>
          <w:sz w:val="20"/>
          <w:szCs w:val="20"/>
          <w:color w:val="auto"/>
        </w:rPr>
      </w:pPr>
    </w:p>
    <w:p>
      <w:pPr>
        <w:ind w:right="160"/>
        <w:spacing w:after="0" w:line="291" w:lineRule="auto"/>
        <w:rPr>
          <w:sz w:val="20"/>
          <w:szCs w:val="20"/>
          <w:color w:val="auto"/>
        </w:rPr>
      </w:pPr>
      <w:r>
        <w:rPr>
          <w:rFonts w:ascii="Arial" w:cs="Arial" w:eastAsia="Arial" w:hAnsi="Arial"/>
          <w:sz w:val="14"/>
          <w:szCs w:val="14"/>
          <w:b w:val="1"/>
          <w:bCs w:val="1"/>
          <w:i w:val="1"/>
          <w:iCs w:val="1"/>
          <w:color w:val="0066CC"/>
        </w:rPr>
        <w:t>Our business may be adversely affected by geopolitical events and increasing geopolitical tensions, macroeconomic conditions, natural disasters and other factors that could directly impact certain of our employees, customers and vendors in countries or regions effected by such events and factors.</w:t>
      </w:r>
    </w:p>
    <w:p>
      <w:pPr>
        <w:spacing w:after="0" w:line="66" w:lineRule="exact"/>
        <w:rPr>
          <w:sz w:val="20"/>
          <w:szCs w:val="20"/>
          <w:color w:val="auto"/>
        </w:rPr>
      </w:pPr>
    </w:p>
    <w:p>
      <w:pPr>
        <w:ind w:right="40"/>
        <w:spacing w:after="0" w:line="254" w:lineRule="auto"/>
        <w:rPr>
          <w:sz w:val="20"/>
          <w:szCs w:val="20"/>
          <w:color w:val="auto"/>
        </w:rPr>
      </w:pPr>
      <w:r>
        <w:rPr>
          <w:rFonts w:ascii="Arial" w:cs="Arial" w:eastAsia="Arial" w:hAnsi="Arial"/>
          <w:sz w:val="14"/>
          <w:szCs w:val="14"/>
          <w:color w:val="auto"/>
        </w:rPr>
        <w:t>We have a global workforce and global customers. Our employees and customers in a particular country or region in the world may be impacted as a result of a variety of diversions, including: geopolitical events and increasing geopolitical tensions, such as war, the threat of war, or terrorist activity; macroeconomic conditions, such as the level of inflation, economic activity and interest rates; natural disasters or the effects of climate change (such as drought, flooding, wildfires, increased storm severity, and sea level rise); power shortages or outages, major public health issues, including pandemics (such as the coronavirus); and significant local, national or global events capturing the attention of a large part of the population. To date, while we do not believe our business, financial position or operations have been materially impacted by these factors, we continue to monitor world events closely. If any of these factors disrupt a country or region where we have a significant workforce (such as the U.S., India or the Philippines) or customers (such as the U.S. or Europe), or vendors, our business could be materially adversely affected.</w:t>
      </w:r>
    </w:p>
    <w:p>
      <w:pPr>
        <w:spacing w:after="0" w:line="101" w:lineRule="exact"/>
        <w:rPr>
          <w:sz w:val="20"/>
          <w:szCs w:val="20"/>
          <w:color w:val="auto"/>
        </w:rPr>
      </w:pPr>
    </w:p>
    <w:p>
      <w:pPr>
        <w:ind w:right="20"/>
        <w:spacing w:after="0" w:line="291" w:lineRule="auto"/>
        <w:rPr>
          <w:sz w:val="20"/>
          <w:szCs w:val="20"/>
          <w:color w:val="auto"/>
        </w:rPr>
      </w:pPr>
      <w:r>
        <w:rPr>
          <w:rFonts w:ascii="Arial" w:cs="Arial" w:eastAsia="Arial" w:hAnsi="Arial"/>
          <w:sz w:val="14"/>
          <w:szCs w:val="14"/>
          <w:b w:val="1"/>
          <w:bCs w:val="1"/>
          <w:i w:val="1"/>
          <w:iCs w:val="1"/>
          <w:color w:val="0066CC"/>
        </w:rPr>
        <w:t>Our results of operations and financial condition may be materially adversely affected by conditions abroad, including local economics, political environments, fluctuating foreign currencies and shifting regulatory schemes.</w:t>
      </w:r>
    </w:p>
    <w:p>
      <w:pPr>
        <w:spacing w:after="0" w:line="66" w:lineRule="exact"/>
        <w:rPr>
          <w:sz w:val="20"/>
          <w:szCs w:val="20"/>
          <w:color w:val="auto"/>
        </w:rPr>
      </w:pPr>
    </w:p>
    <w:p>
      <w:pPr>
        <w:ind w:right="80"/>
        <w:spacing w:after="0" w:line="256" w:lineRule="auto"/>
        <w:rPr>
          <w:sz w:val="20"/>
          <w:szCs w:val="20"/>
          <w:color w:val="auto"/>
        </w:rPr>
      </w:pPr>
      <w:r>
        <w:rPr>
          <w:rFonts w:ascii="Arial" w:cs="Arial" w:eastAsia="Arial" w:hAnsi="Arial"/>
          <w:sz w:val="14"/>
          <w:szCs w:val="14"/>
          <w:color w:val="auto"/>
        </w:rPr>
        <w:t>Approximately 11% of our 2023 revenues was generated from operations outside the United States. In addition, we maintain significant operations outside the United States. Our results of operations and financial condition could be materially adversely affected by changes in foreign currency exchange rates, as well as by several of other factors, including, without limitation, changes in economic conditions from country to country, changes in a country’s political conditions, trade controls and protection measures, financial sanctions, licensing requirements, local tax issues, capitalization and other related legal matters. If we are unable to effectively hedge these risks, our results of operations and financial condition could be materially adversely affected.</w:t>
      </w:r>
    </w:p>
    <w:p>
      <w:pPr>
        <w:spacing w:after="0" w:line="102" w:lineRule="exact"/>
        <w:rPr>
          <w:sz w:val="20"/>
          <w:szCs w:val="20"/>
          <w:color w:val="auto"/>
        </w:rPr>
      </w:pPr>
    </w:p>
    <w:p>
      <w:pPr>
        <w:jc w:val="both"/>
        <w:ind w:right="440"/>
        <w:spacing w:after="0" w:line="269" w:lineRule="auto"/>
        <w:rPr>
          <w:sz w:val="20"/>
          <w:szCs w:val="20"/>
          <w:color w:val="auto"/>
        </w:rPr>
      </w:pPr>
      <w:r>
        <w:rPr>
          <w:rFonts w:ascii="Arial" w:cs="Arial" w:eastAsia="Arial" w:hAnsi="Arial"/>
          <w:sz w:val="14"/>
          <w:szCs w:val="14"/>
          <w:b w:val="1"/>
          <w:bCs w:val="1"/>
          <w:i w:val="1"/>
          <w:iCs w:val="1"/>
          <w:color w:val="0066CC"/>
        </w:rPr>
        <w:t>We rely to a significant extent on third-party providers, such as subcontractors, a relatively small number of primary software vendors, utility providers and network providers; if they cannot deliver or perform as expected or if our relationships with them are terminated or otherwise change, our results of operations and financial condition could be materially adversely affected.</w:t>
      </w:r>
    </w:p>
    <w:p>
      <w:pPr>
        <w:spacing w:after="0" w:line="82"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Our ability to service our customers and clients and deliver and implement solutions depends to a large extent on third-party providers such as subcontractors, a relatively small number of primary software vendors, software application developers, utility providers and network providers meeting their obligations to us and our expectations in a timely, quality manner. Our results of operations and financial condition have been and in the future may be materially adversely affected and we might incur significant additional liabilities if any of our third-party providers (i) do not meet their service level obligations, (ii) do not meet our or our clients’ expectations, (iii) terminate or refuse to renew their relationships with us, or (iv) offer their products to us with less advantageous prices and other terms than previously offered.</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Failure to deliver on our contractual obligations properly and on time could materially adversely affect our results of operations and financial condition.</w:t>
      </w:r>
    </w:p>
    <w:p>
      <w:pPr>
        <w:spacing w:after="0" w:line="129"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Our business model depends in large part on our ability to retain existing and attract new work from our base of existing clients, as well as on relationships we develop with our clients so that we can understand our clients’ needs and deliver solutions and services that are tailored to meet those needs. For our business to grow, we must successfully manage the provision of services under our contracts. If a client is not satisfied with the quality of work performed by us or a subcontractor, or with the type of services or solutions delivered, or if we or our subcontractors</w:t>
      </w:r>
    </w:p>
    <w:p>
      <w:pPr>
        <w:spacing w:after="0" w:line="28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18" w:name="page19"/>
    <w:bookmarkEnd w:id="18"/>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ind w:right="80"/>
        <w:spacing w:after="0" w:line="254" w:lineRule="auto"/>
        <w:rPr>
          <w:sz w:val="20"/>
          <w:szCs w:val="20"/>
          <w:color w:val="auto"/>
        </w:rPr>
      </w:pPr>
      <w:r>
        <w:rPr>
          <w:rFonts w:ascii="Arial" w:cs="Arial" w:eastAsia="Arial" w:hAnsi="Arial"/>
          <w:sz w:val="14"/>
          <w:szCs w:val="14"/>
          <w:color w:val="auto"/>
        </w:rPr>
        <w:t>fail to perform in accordance with contract requirements, then we could incur additional costs to address the situation, the profitability of that work might be impaired and the client’s dissatisfaction with our services could damage our ability to obtain additional work from that client or obtain new work from other potential clients. Many of our contracts with non-government clients may be terminated by the client, without cause, upon specified advance notice. Accordingly, clients who are not satisfied might seek to terminate existing contracts prior to their scheduled expiration date, which may result in our inability to fully recover our up-front investments. In addition, clients could direct future business to our competitors. We could also trigger contractual credits to clients or a contractual default. Failure to properly transition new clients to our systems, properly budget transition costs or accurately estimate contract operational costs could result in delays in our contract performance, trigger service level penalties, impair fixed or intangible assets or result in contract profit margins that do not meet our expectations or our historical profit margins.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Our business is dependent on continued interest in outsourcing.</w:t>
      </w:r>
    </w:p>
    <w:p>
      <w:pPr>
        <w:spacing w:after="0" w:line="129"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Our business and growth depend in large part on continued interest in outsourced business process services. Outsourcing means that an entity contracts with a third-party, such as us, to provide business process services rather than perform such services in-house. There can be no assurance that this interest will continue, as organizations may elect to perform such services themselves and/or the business process outsourcing industry could move to an as-a-service model, thereby eliminating traditional business process outsourcing tasks. A significant change in this interest in outsourcing could materially adversely affect our results of operations and financial condition. Additionally, there can be no assurance that our cross-selling efforts will cause clients to purchase additional services from us or adopt a single-source outsourcing approach.</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We may be subject to claims of infringement of third-party intellectual property rights which could adversely affect our results of operation and financial condition.</w:t>
      </w:r>
    </w:p>
    <w:p>
      <w:pPr>
        <w:spacing w:after="0" w:line="129" w:lineRule="exact"/>
        <w:rPr>
          <w:sz w:val="20"/>
          <w:szCs w:val="20"/>
          <w:color w:val="auto"/>
        </w:rPr>
      </w:pPr>
    </w:p>
    <w:p>
      <w:pPr>
        <w:ind w:right="120"/>
        <w:spacing w:after="0" w:line="273" w:lineRule="auto"/>
        <w:rPr>
          <w:sz w:val="20"/>
          <w:szCs w:val="20"/>
          <w:color w:val="auto"/>
        </w:rPr>
      </w:pPr>
      <w:r>
        <w:rPr>
          <w:rFonts w:ascii="Arial" w:cs="Arial" w:eastAsia="Arial" w:hAnsi="Arial"/>
          <w:sz w:val="13"/>
          <w:szCs w:val="13"/>
          <w:color w:val="auto"/>
        </w:rPr>
        <w:t>We rely heavily on the use of intellectual property. We do not own all of the software that we use to run our business; instead we license this software from a small number of primary vendors. If these vendors assert claims that we or our clients are infringing on their software or related intellectual property, we could incur substantial costs to defend these claims, which could materially adversely affect our results of operations and financial condition. In addition, if any of our vendors’ infringement claims are ultimately successful, our vendors could require us to (i) cease selling or using products or services that incorporate the challenged software or technology, (ii) obtain a license or additional licenses from our vendors or</w:t>
      </w:r>
    </w:p>
    <w:p>
      <w:pPr>
        <w:jc w:val="both"/>
        <w:ind w:right="40" w:firstLine="3"/>
        <w:spacing w:after="0" w:line="254" w:lineRule="auto"/>
        <w:tabs>
          <w:tab w:leader="none" w:pos="224" w:val="left"/>
        </w:tabs>
        <w:numPr>
          <w:ilvl w:val="0"/>
          <w:numId w:val="20"/>
        </w:numPr>
        <w:rPr>
          <w:rFonts w:ascii="Arial" w:cs="Arial" w:eastAsia="Arial" w:hAnsi="Arial"/>
          <w:sz w:val="14"/>
          <w:szCs w:val="14"/>
          <w:color w:val="auto"/>
        </w:rPr>
      </w:pPr>
      <w:r>
        <w:rPr>
          <w:rFonts w:ascii="Arial" w:cs="Arial" w:eastAsia="Arial" w:hAnsi="Arial"/>
          <w:sz w:val="14"/>
          <w:szCs w:val="14"/>
          <w:color w:val="auto"/>
        </w:rPr>
        <w:t>redesign our services which rely on the challenged software or technology. In addition, we may be exposed to claims for monetary damages. If we are unsuccessful in defending an infringement claim and our vendors require us to initiate any of the above actions, or we are required to pay monetary damages, then such actions could materially adversely affect our results of operations and financial condition.</w:t>
      </w:r>
    </w:p>
    <w:p>
      <w:pPr>
        <w:spacing w:after="0" w:line="102" w:lineRule="exact"/>
        <w:rPr>
          <w:sz w:val="20"/>
          <w:szCs w:val="20"/>
          <w:color w:val="auto"/>
        </w:rPr>
      </w:pPr>
    </w:p>
    <w:p>
      <w:pPr>
        <w:ind w:right="80"/>
        <w:spacing w:after="0" w:line="291" w:lineRule="auto"/>
        <w:rPr>
          <w:sz w:val="20"/>
          <w:szCs w:val="20"/>
          <w:color w:val="auto"/>
        </w:rPr>
      </w:pPr>
      <w:r>
        <w:rPr>
          <w:rFonts w:ascii="Arial" w:cs="Arial" w:eastAsia="Arial" w:hAnsi="Arial"/>
          <w:sz w:val="14"/>
          <w:szCs w:val="14"/>
          <w:b w:val="1"/>
          <w:bCs w:val="1"/>
          <w:i w:val="1"/>
          <w:iCs w:val="1"/>
          <w:color w:val="0066CC"/>
        </w:rPr>
        <w:t>If we underestimate the scope of work or the costs entailed in performing our contracts, or if we do not fully perform our contracts, our results of operations and financial condition could be materially adversely affected.</w:t>
      </w:r>
    </w:p>
    <w:p>
      <w:pPr>
        <w:spacing w:after="0" w:line="66" w:lineRule="exact"/>
        <w:rPr>
          <w:sz w:val="20"/>
          <w:szCs w:val="20"/>
          <w:color w:val="auto"/>
        </w:rPr>
      </w:pPr>
    </w:p>
    <w:p>
      <w:pPr>
        <w:ind w:right="80"/>
        <w:spacing w:after="0" w:line="252" w:lineRule="auto"/>
        <w:rPr>
          <w:sz w:val="20"/>
          <w:szCs w:val="20"/>
          <w:color w:val="auto"/>
        </w:rPr>
      </w:pPr>
      <w:r>
        <w:rPr>
          <w:rFonts w:ascii="Arial" w:cs="Arial" w:eastAsia="Arial" w:hAnsi="Arial"/>
          <w:sz w:val="14"/>
          <w:szCs w:val="14"/>
          <w:color w:val="auto"/>
        </w:rPr>
        <w:t>To stay competitive in our industry, we must keep pace with changing technologies and customer preferences. Many of our contracts require us to design, develop and implement new technological and operating systems for our customers. Many of these systems involve detailed and complex computer source code which must be created and integrated into a working system that meets contract specifications. The accounting for these contracts requires judgment relative to assessing risks, estimating costs to fulfill the contract and making assumptions for schedule and technical issues. To varying degrees, each contract type involves some risk that we could underestimate the costs and resources necessary to fulfill the contract. In each case, our failure to accurately estimate costs or the resources and technology needed to perform our contracts or to effectively manage and control our costs during the performance of our work could result, and in some instances has resulted, in reduced profits or in losses. In addition, many of our contracts contain complicated performance obligations, including, without limitation, designing and building new integrated computer systems. These contracts carry potential financial penalties or could result in financial damages or exposures if we fail to properly perform those obligations and have in the past resulted in and in the future could result in our results of operations and financial condition being materially adversely affected.</w:t>
      </w:r>
    </w:p>
    <w:p>
      <w:pPr>
        <w:spacing w:after="0" w:line="106" w:lineRule="exact"/>
        <w:rPr>
          <w:sz w:val="20"/>
          <w:szCs w:val="20"/>
          <w:color w:val="auto"/>
        </w:rPr>
      </w:pPr>
    </w:p>
    <w:p>
      <w:pPr>
        <w:ind w:right="260"/>
        <w:spacing w:after="0" w:line="291" w:lineRule="auto"/>
        <w:rPr>
          <w:sz w:val="20"/>
          <w:szCs w:val="20"/>
          <w:color w:val="auto"/>
        </w:rPr>
      </w:pPr>
      <w:r>
        <w:rPr>
          <w:rFonts w:ascii="Arial" w:cs="Arial" w:eastAsia="Arial" w:hAnsi="Arial"/>
          <w:sz w:val="14"/>
          <w:szCs w:val="14"/>
          <w:b w:val="1"/>
          <w:bCs w:val="1"/>
          <w:i w:val="1"/>
          <w:iCs w:val="1"/>
          <w:color w:val="0066CC"/>
        </w:rPr>
        <w:t>The loss of key senior management or the failure to attract and retain necessary technical personnel and qualified subcontractors could materially adversely affect our results of operations and financial condition.</w:t>
      </w:r>
    </w:p>
    <w:p>
      <w:pPr>
        <w:spacing w:after="0" w:line="66"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Our success depends, in part, upon key managerial and technical personnel, including our ability to attract and retain additional qualified personnel, as well as qualified subcontractors. The loss of certain key personnel, such as</w:t>
      </w:r>
    </w:p>
    <w:p>
      <w:pPr>
        <w:spacing w:after="0" w:line="268"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19" w:name="page20"/>
    <w:bookmarkEnd w:id="19"/>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ind w:right="520"/>
        <w:spacing w:after="0" w:line="282" w:lineRule="auto"/>
        <w:rPr>
          <w:sz w:val="20"/>
          <w:szCs w:val="20"/>
          <w:color w:val="auto"/>
        </w:rPr>
      </w:pPr>
      <w:r>
        <w:rPr>
          <w:rFonts w:ascii="Arial" w:cs="Arial" w:eastAsia="Arial" w:hAnsi="Arial"/>
          <w:sz w:val="14"/>
          <w:szCs w:val="14"/>
          <w:color w:val="auto"/>
        </w:rPr>
        <w:t>our Chief Executive Officer ("CEO"), members of our executive team and other highly skilled employees, could materially adversely affect our results of operations and financial condition. There is no assurance that we can retain our key managerial personnel, or that we can attract similar employees, in the future.</w:t>
      </w:r>
    </w:p>
    <w:p>
      <w:pPr>
        <w:spacing w:after="0" w:line="80" w:lineRule="exact"/>
        <w:rPr>
          <w:sz w:val="20"/>
          <w:szCs w:val="20"/>
          <w:color w:val="auto"/>
        </w:rPr>
      </w:pPr>
    </w:p>
    <w:p>
      <w:pPr>
        <w:ind w:right="60"/>
        <w:spacing w:after="0" w:line="253" w:lineRule="auto"/>
        <w:rPr>
          <w:sz w:val="20"/>
          <w:szCs w:val="20"/>
          <w:color w:val="auto"/>
        </w:rPr>
      </w:pPr>
      <w:r>
        <w:rPr>
          <w:rFonts w:ascii="Arial" w:cs="Arial" w:eastAsia="Arial" w:hAnsi="Arial"/>
          <w:sz w:val="14"/>
          <w:szCs w:val="14"/>
          <w:color w:val="auto"/>
        </w:rPr>
        <w:t>In addition, because we operate in intensely competitive markets, our success depends to a significant extent upon our ability to attract, retain and motivate highly skilled and qualified technical personnel and to subcontract with qualified, competent subcontractors. If we fail to attract, train and retain sufficient numbers of qualified engineers, technical staff and sales and marketing representatives, or if we are unable to contract with qualified, competent subcontractors, our results of operations and financial condition could be materially adversely affected. Experienced and capable personnel in the services industry remain in high demand, and there is continual competition for their talents. Our ability to renegotiate certain of our legacy third-party contracts which we view as unfavorable, or to improve the service levels we expect from these contracts and third-party providers, is key to our ability to timely, efficiently and profitably deliver our services to our customers. Additionally, we have increased and expect to continue to increase our hiring in geographic areas outside of the United States, which could subject us to increased geopolitical and exchange rate risk. The loss of any key technical employee, the loss of a key subcontractor relationship or our inability to renegotiate or obtain required service levels from legacy and other third-party providers, could materially adversely affect our results of operations and financial condition.</w:t>
      </w:r>
    </w:p>
    <w:p>
      <w:pPr>
        <w:spacing w:after="0" w:line="103" w:lineRule="exact"/>
        <w:rPr>
          <w:sz w:val="20"/>
          <w:szCs w:val="20"/>
          <w:color w:val="auto"/>
        </w:rPr>
      </w:pPr>
    </w:p>
    <w:p>
      <w:pPr>
        <w:ind w:right="280"/>
        <w:spacing w:after="0" w:line="291" w:lineRule="auto"/>
        <w:rPr>
          <w:sz w:val="20"/>
          <w:szCs w:val="20"/>
          <w:color w:val="auto"/>
        </w:rPr>
      </w:pPr>
      <w:r>
        <w:rPr>
          <w:rFonts w:ascii="Arial" w:cs="Arial" w:eastAsia="Arial" w:hAnsi="Arial"/>
          <w:sz w:val="14"/>
          <w:szCs w:val="14"/>
          <w:b w:val="1"/>
          <w:bCs w:val="1"/>
          <w:i w:val="1"/>
          <w:iCs w:val="1"/>
          <w:color w:val="0066CC"/>
        </w:rPr>
        <w:t>If we fail to successfully develop new service offerings, including new technology components, and protect our intellectual property rights, we may be unable to retain current customers and gain new customers and our revenues would decline.</w:t>
      </w:r>
    </w:p>
    <w:p>
      <w:pPr>
        <w:spacing w:after="0" w:line="66" w:lineRule="exact"/>
        <w:rPr>
          <w:sz w:val="20"/>
          <w:szCs w:val="20"/>
          <w:color w:val="auto"/>
        </w:rPr>
      </w:pPr>
    </w:p>
    <w:p>
      <w:pPr>
        <w:ind w:right="80"/>
        <w:spacing w:after="0" w:line="251" w:lineRule="auto"/>
        <w:rPr>
          <w:sz w:val="20"/>
          <w:szCs w:val="20"/>
          <w:color w:val="auto"/>
        </w:rPr>
      </w:pPr>
      <w:r>
        <w:rPr>
          <w:rFonts w:ascii="Arial" w:cs="Arial" w:eastAsia="Arial" w:hAnsi="Arial"/>
          <w:sz w:val="14"/>
          <w:szCs w:val="14"/>
          <w:color w:val="auto"/>
        </w:rPr>
        <w:t>The process of developing new service offerings, including new technology components, is inherently complex and uncertain. It requires accurate anticipation of customers’ changing needs and emerging technological trends. We must make long-term investments and commit significant resources before knowing whether these investments will eventually result in service offerings that achieve customer acceptance and generate the revenues required to provide desired returns. For example, establishing internal automation processes to help us develop new service offerings will require significant up-front costs and resources, which, if not monetized effectively, could materially adversely affect our revenues. In addition, some of our service offerings rely on technologies developed by and licensed from third-parties. We may not be able to obtain or continue to obtain licenses and technologies from these third-parties at all or on reasonable terms, or such third-parties may demand cross-licenses to our intellectual property. It is also possible that our intellectual property rights could be challenged, invalidated or circumvented, allowing others to use our intellectual property to our competitive detriment. We also must ensure that all of our service offerings comply with both existing and newly enacted regulatory requirements in the countries in which they are sold. If we fail to accurately anticipate and meet our customers’ needs through the development of new service offerings (including technology components) or if we fail to adequately protect our intellectual property rights or if our new service offerings are not widely accepted or if our current or future service offerings fail to meet applicable worldwide regulatory requirements, we could lose market share and customers to our competitors and that could materially adversely affect our results of operations and financial condition.</w:t>
      </w:r>
    </w:p>
    <w:p>
      <w:pPr>
        <w:spacing w:after="0" w:line="108" w:lineRule="exact"/>
        <w:rPr>
          <w:sz w:val="20"/>
          <w:szCs w:val="20"/>
          <w:color w:val="auto"/>
        </w:rPr>
      </w:pPr>
    </w:p>
    <w:p>
      <w:pPr>
        <w:ind w:right="500"/>
        <w:spacing w:after="0" w:line="291" w:lineRule="auto"/>
        <w:rPr>
          <w:sz w:val="20"/>
          <w:szCs w:val="20"/>
          <w:color w:val="auto"/>
        </w:rPr>
      </w:pPr>
      <w:r>
        <w:rPr>
          <w:rFonts w:ascii="Arial" w:cs="Arial" w:eastAsia="Arial" w:hAnsi="Arial"/>
          <w:sz w:val="14"/>
          <w:szCs w:val="14"/>
          <w:b w:val="1"/>
          <w:bCs w:val="1"/>
          <w:i w:val="1"/>
          <w:iCs w:val="1"/>
          <w:color w:val="0066CC"/>
        </w:rPr>
        <w:t>The Company’s business, operating results and reputation may be negatively impacted by failures or delays in our efforts to modernize our information technology infrastructure and to consolidate to fewer data centers.</w:t>
      </w:r>
    </w:p>
    <w:p>
      <w:pPr>
        <w:spacing w:after="0" w:line="66" w:lineRule="exact"/>
        <w:rPr>
          <w:sz w:val="20"/>
          <w:szCs w:val="20"/>
          <w:color w:val="auto"/>
        </w:rPr>
      </w:pPr>
    </w:p>
    <w:p>
      <w:pPr>
        <w:ind w:right="40"/>
        <w:spacing w:after="0" w:line="253" w:lineRule="auto"/>
        <w:rPr>
          <w:sz w:val="20"/>
          <w:szCs w:val="20"/>
          <w:color w:val="auto"/>
        </w:rPr>
      </w:pPr>
      <w:r>
        <w:rPr>
          <w:rFonts w:ascii="Arial" w:cs="Arial" w:eastAsia="Arial" w:hAnsi="Arial"/>
          <w:sz w:val="14"/>
          <w:szCs w:val="14"/>
          <w:color w:val="auto"/>
        </w:rPr>
        <w:t>We have experienced certain disruptions in our operations and service delivery performance issues because of some of our information technology infrastructure that is outdated and that needs to be enhanced and updated, which disruptions have adversely impacted client and delivery performance. As a result, we embarked on a long-term project to modernize a significant portion of our information technology infrastructure with new systems and processes and to consolidate our data centers. There is a risk, however, that our modernization efforts and data center consolidations could materially and adversely disrupt our operations and our service delivery to customers, could result in contractual penalties or damage claims from customers, could occur over a period longer than planned, and could require greater than expected investment and other internal and external resources. It may also take longer to realize the intended favorable benefits from an enhanced technology infrastructure than we expected, or that disruptions may continue to occur while we enhance this infrastructure. Future service disruptions could hinder our ability to attract new customers, cause us to incur legal liability, contractual penalties or issue service credits to our customers and cause us to lose current customers, each of which could have a material adverse effect on our business, results of operations and financial condition.</w:t>
      </w:r>
    </w:p>
    <w:p>
      <w:pPr>
        <w:spacing w:after="0" w:line="288"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20" w:name="page21"/>
    <w:bookmarkEnd w:id="20"/>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4" w:lineRule="exact"/>
        <w:rPr>
          <w:sz w:val="20"/>
          <w:szCs w:val="20"/>
          <w:color w:val="auto"/>
        </w:rPr>
      </w:pPr>
    </w:p>
    <w:p>
      <w:pPr>
        <w:ind w:right="180"/>
        <w:spacing w:after="0" w:line="291" w:lineRule="auto"/>
        <w:rPr>
          <w:sz w:val="20"/>
          <w:szCs w:val="20"/>
          <w:color w:val="auto"/>
        </w:rPr>
      </w:pPr>
      <w:r>
        <w:rPr>
          <w:rFonts w:ascii="Arial" w:cs="Arial" w:eastAsia="Arial" w:hAnsi="Arial"/>
          <w:sz w:val="14"/>
          <w:szCs w:val="14"/>
          <w:b w:val="1"/>
          <w:bCs w:val="1"/>
          <w:i w:val="1"/>
          <w:iCs w:val="1"/>
          <w:color w:val="0066CC"/>
        </w:rPr>
        <w:t>Expectations relating to environmental, social and governance considerations expose the Company to potential liabilities, increased costs, reputational harm, and other adverse effects on the Company’s business.</w:t>
      </w:r>
    </w:p>
    <w:p>
      <w:pPr>
        <w:spacing w:after="0" w:line="66" w:lineRule="exact"/>
        <w:rPr>
          <w:sz w:val="20"/>
          <w:szCs w:val="20"/>
          <w:color w:val="auto"/>
        </w:rPr>
      </w:pPr>
    </w:p>
    <w:p>
      <w:pPr>
        <w:ind w:right="240"/>
        <w:spacing w:after="0" w:line="259" w:lineRule="auto"/>
        <w:rPr>
          <w:sz w:val="20"/>
          <w:szCs w:val="20"/>
          <w:color w:val="auto"/>
        </w:rPr>
      </w:pPr>
      <w:r>
        <w:rPr>
          <w:rFonts w:ascii="Arial" w:cs="Arial" w:eastAsia="Arial" w:hAnsi="Arial"/>
          <w:sz w:val="14"/>
          <w:szCs w:val="14"/>
          <w:color w:val="auto"/>
        </w:rPr>
        <w:t>Many governments, regulators, investors, associates, clients and other stakeholders are increasingly focused on environmental, social and governance considerations relating to businesses, including climate change and greenhouse gas emissions, human rights, and diversity, equity and inclusion. In addition, the Company makes statements about its environmental, social and governance goals and initiatives through its corporate social responsibility report, its other non-financial reports, information provided on its website, press releases and other communications.</w:t>
      </w:r>
    </w:p>
    <w:p>
      <w:pPr>
        <w:spacing w:after="0" w:line="97" w:lineRule="exact"/>
        <w:rPr>
          <w:sz w:val="20"/>
          <w:szCs w:val="20"/>
          <w:color w:val="auto"/>
        </w:rPr>
      </w:pPr>
    </w:p>
    <w:p>
      <w:pPr>
        <w:ind w:right="280"/>
        <w:spacing w:after="0" w:line="254" w:lineRule="auto"/>
        <w:rPr>
          <w:sz w:val="20"/>
          <w:szCs w:val="20"/>
          <w:color w:val="auto"/>
        </w:rPr>
      </w:pPr>
      <w:r>
        <w:rPr>
          <w:rFonts w:ascii="Arial" w:cs="Arial" w:eastAsia="Arial" w:hAnsi="Arial"/>
          <w:sz w:val="14"/>
          <w:szCs w:val="14"/>
          <w:color w:val="auto"/>
        </w:rPr>
        <w:t>Responding to these environmental, social and governance considerations and implementation of these goals and initiatives involves risks and uncertainties, requires capital and operating investments, and depends in part on third-party performance, or data and changing regulatory schemes that are outside the Company’s control. The Company cannot guarantee that it will achieve its announced environmental, social and governance goals and initiatives. In addition, some stakeholders may disagree with the Company’s goals and initiatives. Any failure, or perceived failure, by the Company to achieve its goals, further its initiatives, adhere to its public statements, comply with federal, state or international environmental, social and governance laws and regulations, or meet evolving and varied stakeholder expectations and standards could result in legal and regulatory proceedings against the Company and could materially adversely affect the Company’s business, ability to recruit and retain associates, reputation, results of operations, financial condition and stock price.</w:t>
      </w:r>
    </w:p>
    <w:p>
      <w:pPr>
        <w:spacing w:after="0" w:line="101" w:lineRule="exact"/>
        <w:rPr>
          <w:sz w:val="20"/>
          <w:szCs w:val="20"/>
          <w:color w:val="auto"/>
        </w:rPr>
      </w:pPr>
    </w:p>
    <w:p>
      <w:pPr>
        <w:ind w:right="300"/>
        <w:spacing w:after="0" w:line="291" w:lineRule="auto"/>
        <w:rPr>
          <w:sz w:val="20"/>
          <w:szCs w:val="20"/>
          <w:color w:val="auto"/>
        </w:rPr>
      </w:pPr>
      <w:r>
        <w:rPr>
          <w:rFonts w:ascii="Arial" w:cs="Arial" w:eastAsia="Arial" w:hAnsi="Arial"/>
          <w:sz w:val="14"/>
          <w:szCs w:val="14"/>
          <w:b w:val="1"/>
          <w:bCs w:val="1"/>
          <w:i w:val="1"/>
          <w:iCs w:val="1"/>
          <w:color w:val="0066CC"/>
        </w:rPr>
        <w:t>We cannot guarantee that our stock repurchase program will be utilized to the full value approved or that it will enhance long-term stockholder value. Repurchases we consummate could increase the volatility of the price of our common stock and could have a negative impact on our available cash balance.</w:t>
      </w:r>
    </w:p>
    <w:p>
      <w:pPr>
        <w:spacing w:after="0" w:line="66" w:lineRule="exact"/>
        <w:rPr>
          <w:sz w:val="20"/>
          <w:szCs w:val="20"/>
          <w:color w:val="auto"/>
        </w:rPr>
      </w:pPr>
    </w:p>
    <w:p>
      <w:pPr>
        <w:ind w:right="20"/>
        <w:spacing w:after="0" w:line="254" w:lineRule="auto"/>
        <w:rPr>
          <w:sz w:val="20"/>
          <w:szCs w:val="20"/>
          <w:color w:val="auto"/>
        </w:rPr>
      </w:pPr>
      <w:r>
        <w:rPr>
          <w:rFonts w:ascii="Arial" w:cs="Arial" w:eastAsia="Arial" w:hAnsi="Arial"/>
          <w:sz w:val="14"/>
          <w:szCs w:val="14"/>
          <w:color w:val="auto"/>
        </w:rPr>
        <w:t>In May 2023, our Board of Directors authorized a three-year stock repurchase program for up to $75 million of our common stock. Under the repurchase program, repurchases can be made from time to time using open market transactions, and may include Rule 10b5-1 trading plans, all in accordance with the rules of the SEC and other applicable legal requirements. The specific timing, price and size of the purchases will depend on prevailing stock prices, general economic and market conditions, and other considerations consistent with our capital allocation strategy. Stock repurchases could have an impact on our common stock trading prices, increase the volatility of the price of our common stock, or reduce our available cash balance such that we will be required to seek financing to support our operations. The repurchase program does not obligate us to acquire a particular amount of common stock, and the repurchase program may be suspended or discontinued at any time at our discretion, which may result in a decrease in the trading prices of our common stock. Even if our share repurchase program is fully implemented, it may not enhance long-term stockholder value.</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Compliance and Data Security Risks</w:t>
      </w:r>
    </w:p>
    <w:p>
      <w:pPr>
        <w:spacing w:after="0" w:line="125" w:lineRule="exact"/>
        <w:rPr>
          <w:sz w:val="20"/>
          <w:szCs w:val="20"/>
          <w:color w:val="auto"/>
        </w:rPr>
      </w:pPr>
    </w:p>
    <w:p>
      <w:pPr>
        <w:ind w:right="80"/>
        <w:spacing w:after="0" w:line="291" w:lineRule="auto"/>
        <w:rPr>
          <w:sz w:val="20"/>
          <w:szCs w:val="20"/>
          <w:color w:val="auto"/>
        </w:rPr>
      </w:pPr>
      <w:r>
        <w:rPr>
          <w:rFonts w:ascii="Arial" w:cs="Arial" w:eastAsia="Arial" w:hAnsi="Arial"/>
          <w:sz w:val="14"/>
          <w:szCs w:val="14"/>
          <w:b w:val="1"/>
          <w:bCs w:val="1"/>
          <w:i w:val="1"/>
          <w:iCs w:val="1"/>
          <w:color w:val="0066CC"/>
        </w:rPr>
        <w:t>We are subject to laws of the United States and foreign jurisdictions relating to individually identifiable information and personal health information, and failure to comply with those laws, whether or not inadvertent, could subject us to legal actions and negatively impact our operations.</w:t>
      </w:r>
    </w:p>
    <w:p>
      <w:pPr>
        <w:spacing w:after="0" w:line="66" w:lineRule="exact"/>
        <w:rPr>
          <w:sz w:val="20"/>
          <w:szCs w:val="20"/>
          <w:color w:val="auto"/>
        </w:rPr>
      </w:pPr>
    </w:p>
    <w:p>
      <w:pPr>
        <w:ind w:right="80"/>
        <w:spacing w:after="0" w:line="281" w:lineRule="auto"/>
        <w:rPr>
          <w:sz w:val="20"/>
          <w:szCs w:val="20"/>
          <w:color w:val="auto"/>
        </w:rPr>
      </w:pPr>
      <w:r>
        <w:rPr>
          <w:rFonts w:ascii="Arial" w:cs="Arial" w:eastAsia="Arial" w:hAnsi="Arial"/>
          <w:sz w:val="13"/>
          <w:szCs w:val="13"/>
          <w:color w:val="auto"/>
        </w:rPr>
        <w:t>We receive, process, transmit and store information relating to identifiable individuals, both in our role as a service provider and as an employer. As a result, we are subject to numerous laws and regulations in the United States (both federal and state) and foreign laws and regulations designed to protect both individually identifiable information and personal health information, including the Health Insurance Portability and Accountability Act of 1996, as amended ("HIPAA"), and the regulations promulgated under HIPPA governing, among other things, the privacy, security and electronic transmission of individually identifiable health information, and the European Union General Data Protection Regulation ("GDPR"), which imposes stringent data protection requirements and significant penalties for non-compliance and has had a significant impact on how we process and handle certain data.</w:t>
      </w:r>
    </w:p>
    <w:p>
      <w:pPr>
        <w:spacing w:after="0" w:line="83"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Additional laws of the United States and foreign jurisdictions apply to our processing of individually identifiable information. These laws have been subject to frequent changes, and new legislation in this area may be enacted at any time. For example, the GDPR and the invalidation of the U.S.-EU Safe Harbor regime have required us to implement alternative mechanisms for some of our data flows from Europe to the United States to comply with applicable law. Changes to existing laws, the introduction of new laws in this area or our failure to comply with existing laws that are applicable to us may subject us to, among other things, additional costs or changes to our business practices, liability for monetary damages, fines and/or criminal prosecution, unfavorable publicity,</w:t>
      </w:r>
    </w:p>
    <w:p>
      <w:pPr>
        <w:spacing w:after="0" w:line="298"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21" w:name="page22"/>
    <w:bookmarkEnd w:id="21"/>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ind w:right="300"/>
        <w:spacing w:after="0" w:line="282" w:lineRule="auto"/>
        <w:rPr>
          <w:sz w:val="20"/>
          <w:szCs w:val="20"/>
          <w:color w:val="auto"/>
        </w:rPr>
      </w:pPr>
      <w:r>
        <w:rPr>
          <w:rFonts w:ascii="Arial" w:cs="Arial" w:eastAsia="Arial" w:hAnsi="Arial"/>
          <w:sz w:val="14"/>
          <w:szCs w:val="14"/>
          <w:color w:val="auto"/>
        </w:rPr>
        <w:t>restrictions on our ability to obtain and process information and allegations by our customers and clients that we have not performed our contractual obligations, any of which could materially adversely affect our results of operations and financial condition.</w:t>
      </w:r>
    </w:p>
    <w:p>
      <w:pPr>
        <w:spacing w:after="0" w:line="82" w:lineRule="exact"/>
        <w:rPr>
          <w:sz w:val="20"/>
          <w:szCs w:val="20"/>
          <w:color w:val="auto"/>
        </w:rPr>
      </w:pPr>
    </w:p>
    <w:p>
      <w:pPr>
        <w:spacing w:after="0" w:line="269" w:lineRule="auto"/>
        <w:rPr>
          <w:sz w:val="20"/>
          <w:szCs w:val="20"/>
          <w:color w:val="auto"/>
        </w:rPr>
      </w:pPr>
      <w:r>
        <w:rPr>
          <w:rFonts w:ascii="Arial" w:cs="Arial" w:eastAsia="Arial" w:hAnsi="Arial"/>
          <w:sz w:val="14"/>
          <w:szCs w:val="14"/>
          <w:b w:val="1"/>
          <w:bCs w:val="1"/>
          <w:i w:val="1"/>
          <w:iCs w:val="1"/>
          <w:color w:val="0066CC"/>
        </w:rPr>
        <w:t>We are subject to laws of the United States and foreign jurisdictions relating to processing certain financial transactions, including payment card transactions and debit or credit card transactions, and failure to comply with those laws, whether or not inadvertent, could subject us to legal actions and materially adversely affect our results of operations and financial condition.</w:t>
      </w:r>
    </w:p>
    <w:p>
      <w:pPr>
        <w:spacing w:after="0" w:line="82" w:lineRule="exact"/>
        <w:rPr>
          <w:sz w:val="20"/>
          <w:szCs w:val="20"/>
          <w:color w:val="auto"/>
        </w:rPr>
      </w:pPr>
    </w:p>
    <w:p>
      <w:pPr>
        <w:ind w:right="20"/>
        <w:spacing w:after="0" w:line="251" w:lineRule="auto"/>
        <w:rPr>
          <w:sz w:val="20"/>
          <w:szCs w:val="20"/>
          <w:color w:val="auto"/>
        </w:rPr>
      </w:pPr>
      <w:r>
        <w:rPr>
          <w:rFonts w:ascii="Arial" w:cs="Arial" w:eastAsia="Arial" w:hAnsi="Arial"/>
          <w:sz w:val="14"/>
          <w:szCs w:val="14"/>
          <w:color w:val="auto"/>
        </w:rPr>
        <w:t>We process, support and execute financial transactions, and disburse funds, on behalf of both government and commercial customers, often in partnership with financial institutions. This activity includes receiving debit and credit card information, processing payments for and due to our customers and disbursing funds on payment or debit cards to payees of our customers. As a result, we are subject to numerous laws and regulations in the United States (both federal and state) and in foreign jurisdictions, including the Electronic Fund Transfer Act, as amended, the Currency and Foreign Transactions Reporting Act of 1970 (commonly known as the "Bank Secrecy Act"), as amended, the Dodd-Frank Wall Street Reform and Consumer Protection Act of 2010 (including the so-called Durbin Amendment), as amended, the Gramm-Leach-Bliley Act (also known as the "Financial Modernization Act of 1999"), as amended, and the Uniting and Strengthening America by Providing Appropriate Tools Required to Intercept and Obstruct Terrorism Act of 2001 ("USA PATRIOT ACT"), as amended. Other United States (both federal and state) and foreign jurisdiction laws apply to our processing of certain financial transactions and related support services. These laws are subject to frequent changes, and new statutes and regulations in this area may be enacted at any time. Changes to existing laws, the introduction of new laws in this area or our failure to comply with existing laws that are applicable to us may subject us to, among other things, additional costs or changes to our business practices, liability for monetary damages, fines and civil and/or criminal prosecution, unfavorable publicity, restrictions on our ability to process and support financial transactions and allegations by our customers, partners and clients that we have not performed our contractual obligations. Any of these could materially adversely affect our results of operations and financial condition.</w:t>
      </w:r>
    </w:p>
    <w:p>
      <w:pPr>
        <w:spacing w:after="0" w:line="108" w:lineRule="exact"/>
        <w:rPr>
          <w:sz w:val="20"/>
          <w:szCs w:val="20"/>
          <w:color w:val="auto"/>
        </w:rPr>
      </w:pPr>
    </w:p>
    <w:p>
      <w:pPr>
        <w:ind w:right="140"/>
        <w:spacing w:after="0" w:line="291" w:lineRule="auto"/>
        <w:rPr>
          <w:sz w:val="20"/>
          <w:szCs w:val="20"/>
          <w:color w:val="auto"/>
        </w:rPr>
      </w:pPr>
      <w:r>
        <w:rPr>
          <w:rFonts w:ascii="Arial" w:cs="Arial" w:eastAsia="Arial" w:hAnsi="Arial"/>
          <w:sz w:val="14"/>
          <w:szCs w:val="14"/>
          <w:b w:val="1"/>
          <w:bCs w:val="1"/>
          <w:i w:val="1"/>
          <w:iCs w:val="1"/>
          <w:color w:val="0066CC"/>
        </w:rPr>
        <w:t>Our data systems, information systems and network infrastructure may be subject to hacking or other cybersecurity threats and other service interruptions, which could expose us to liability, impair our reputation or temporarily render us unable to fulfill our service obligations under our contracts.</w:t>
      </w:r>
    </w:p>
    <w:p>
      <w:pPr>
        <w:spacing w:after="0" w:line="56" w:lineRule="exact"/>
        <w:rPr>
          <w:sz w:val="20"/>
          <w:szCs w:val="20"/>
          <w:color w:val="auto"/>
        </w:rPr>
      </w:pPr>
    </w:p>
    <w:p>
      <w:pPr>
        <w:ind w:right="120"/>
        <w:spacing w:after="0" w:line="254" w:lineRule="auto"/>
        <w:rPr>
          <w:sz w:val="20"/>
          <w:szCs w:val="20"/>
          <w:color w:val="auto"/>
        </w:rPr>
      </w:pPr>
      <w:r>
        <w:rPr>
          <w:rFonts w:ascii="Arial" w:cs="Arial" w:eastAsia="Arial" w:hAnsi="Arial"/>
          <w:sz w:val="13"/>
          <w:szCs w:val="13"/>
          <w:color w:val="auto"/>
        </w:rPr>
        <w:t>As a leader in business process solutions, we leverage cloud computing, artificial intelligence, machine learning and advanced analytics. We act as a trusted business partner in both front-office and back-office platforms, providing interactions on a substantial scale with our customers and other third-parties. Our customers include global commercial clients and government clients who depend upon our operational efficiency, non-interruption of service, and accuracy and security of information. We also use third-party providers such as subcontractors, software vendors, utility providers and network providers, upon whom we rely to support our business process solutions, to deliver uninterrupted, secure service. As part of our business process solutions, we also develop system software platforms necessary to support our customers’ needs, with significant ongoing investment in developing and operating customer-appropriate operating systems, databases and system software solutions. We also receive, process, transmit and store substantial volumes of information relating</w:t>
      </w:r>
    </w:p>
    <w:p>
      <w:pPr>
        <w:spacing w:after="0" w:line="2" w:lineRule="exact"/>
        <w:rPr>
          <w:sz w:val="20"/>
          <w:szCs w:val="20"/>
          <w:color w:val="auto"/>
        </w:rPr>
      </w:pPr>
    </w:p>
    <w:p>
      <w:pPr>
        <w:ind w:right="80"/>
        <w:spacing w:after="0" w:line="242" w:lineRule="auto"/>
        <w:rPr>
          <w:sz w:val="20"/>
          <w:szCs w:val="20"/>
          <w:color w:val="auto"/>
        </w:rPr>
      </w:pPr>
      <w:r>
        <w:rPr>
          <w:rFonts w:ascii="Arial" w:cs="Arial" w:eastAsia="Arial" w:hAnsi="Arial"/>
          <w:sz w:val="13"/>
          <w:szCs w:val="13"/>
          <w:color w:val="auto"/>
        </w:rPr>
        <w:t>to identifiable individuals, both in our role as a solution provider and as an employer, and we are subject to numerous laws, rules and regulations in the United States (both federal and state) and foreign jurisdictions designed to protect both individually identifiable information as well as personal health information. We also receive, process and implement financial</w:t>
      </w:r>
    </w:p>
    <w:p>
      <w:pPr>
        <w:spacing w:after="0" w:line="1" w:lineRule="exact"/>
        <w:rPr>
          <w:sz w:val="20"/>
          <w:szCs w:val="20"/>
          <w:color w:val="auto"/>
        </w:rPr>
      </w:pPr>
    </w:p>
    <w:p>
      <w:pPr>
        <w:spacing w:after="0" w:line="237" w:lineRule="auto"/>
        <w:rPr>
          <w:sz w:val="20"/>
          <w:szCs w:val="20"/>
          <w:color w:val="auto"/>
        </w:rPr>
      </w:pPr>
      <w:r>
        <w:rPr>
          <w:rFonts w:ascii="Arial" w:cs="Arial" w:eastAsia="Arial" w:hAnsi="Arial"/>
          <w:sz w:val="14"/>
          <w:szCs w:val="14"/>
          <w:color w:val="auto"/>
        </w:rPr>
        <w:t>transactions, and disburse funds, on behalf of both commercial and government customers, which activity includes receiving debit and credit card information to process payments due to our customers as well as disbursing funds to payees of our customers. As a result of these and other business process solutions, the integrity, security, accuracy and non-interruption of our systems and information technology and that of our third-party providers and our interfaces with our customers are extremely important to our business, operating results, growth, prospects and reputation.</w:t>
      </w:r>
    </w:p>
    <w:p>
      <w:pPr>
        <w:spacing w:after="0" w:line="110"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We are susceptible to breach of security systems which may result in unauthorized access to our facilities and those of our customers and/or the information we and our customers are trying to protect. Cybersecurity failure might be caused by computer hacking, malware, computer viruses, worms and other destructive software, “cyber-attacks” and other malicious activity, as well as natural disasters, power outages, terrorist attacks and similar events. Operational or business delays may also result from the disruption of network or information systems and subsequent remediation activities.</w:t>
      </w:r>
    </w:p>
    <w:p>
      <w:pPr>
        <w:spacing w:after="0" w:line="97" w:lineRule="exact"/>
        <w:rPr>
          <w:sz w:val="20"/>
          <w:szCs w:val="20"/>
          <w:color w:val="auto"/>
        </w:rPr>
      </w:pPr>
    </w:p>
    <w:p>
      <w:pPr>
        <w:ind w:right="480"/>
        <w:spacing w:after="0" w:line="282" w:lineRule="auto"/>
        <w:rPr>
          <w:sz w:val="20"/>
          <w:szCs w:val="20"/>
          <w:color w:val="auto"/>
        </w:rPr>
      </w:pPr>
      <w:r>
        <w:rPr>
          <w:rFonts w:ascii="Arial" w:cs="Arial" w:eastAsia="Arial" w:hAnsi="Arial"/>
          <w:sz w:val="14"/>
          <w:szCs w:val="14"/>
          <w:color w:val="auto"/>
        </w:rPr>
        <w:t>Because the techniques used to obtain unauthorized access are constantly changing and becoming increasingly more sophisticated and often are not recognized until launched against a target, we or our third-party service providers may be unable to anticipate these techniques or implement sufficient preventative measures. Hacking,</w:t>
      </w:r>
    </w:p>
    <w:p>
      <w:pPr>
        <w:spacing w:after="0" w:line="268"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22" w:name="page23"/>
    <w:bookmarkEnd w:id="22"/>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malware, phishing, viruses and other “cyber-attacks” have become more prevalent, have occurred in our systems in the past, and may occur in our systems in the future. Our cyber practices and cybersecurity systems may prove to be inadequate and result in the disruption, failure, misappropriation or corruption of our network and information systems and it may not be possible for us to fully or timely know if or when such incidents arise, or the full business impact of any cybersecurity breach.</w:t>
      </w:r>
    </w:p>
    <w:p>
      <w:pPr>
        <w:spacing w:after="0" w:line="92"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Additionally, with advances in computer capabilities and data protection requirements to address ongoing threats, we may be required to expend significant capital and other resources to protect against potential security breaches or to alleviate problems caused by security breaches. Moreover, employee error or malfeasance, faulty password management or other irregularities may result in a defeat of our or our third-party service providers’ security measures and a breach of our or our third-party service providers’ information systems (whether digital, cloud-based or otherwise). In addition, the increased use of employee-owned devices for communications as well as work-from-home arrangements, present additional operational risks to our information technology systems, including, but not limited to, increased risks of cyber-attacks.</w:t>
      </w:r>
    </w:p>
    <w:p>
      <w:pPr>
        <w:spacing w:after="0" w:line="100" w:lineRule="exact"/>
        <w:rPr>
          <w:sz w:val="20"/>
          <w:szCs w:val="20"/>
          <w:color w:val="auto"/>
        </w:rPr>
      </w:pPr>
    </w:p>
    <w:p>
      <w:pPr>
        <w:ind w:right="20"/>
        <w:spacing w:after="0" w:line="251" w:lineRule="auto"/>
        <w:rPr>
          <w:sz w:val="20"/>
          <w:szCs w:val="20"/>
          <w:color w:val="auto"/>
        </w:rPr>
      </w:pPr>
      <w:r>
        <w:rPr>
          <w:rFonts w:ascii="Arial" w:cs="Arial" w:eastAsia="Arial" w:hAnsi="Arial"/>
          <w:sz w:val="14"/>
          <w:szCs w:val="14"/>
          <w:color w:val="auto"/>
        </w:rPr>
        <w:t>If unauthorized parties gain physical access to one of our or one of our third-party service providers’ facilities or gain electronic access to our or one of our third-party service providers’ information systems, such access could result in, among other things, unfavorable publicity and significant damage to our brand, governmental inquiry, oversight and possible regulatory action, difficulty in marketing our services, loss of existing and potential customers, allegations by our customers that we have not performed our contractual obligations, litigation by affected parties and possible financial obligations for substantial damages related to the theft or misuse of such information, any of which could materially adversely affect our results of operations and financial condition. Similar consequences may arise if sensitive or confidential information is misdirected, lost or stolen during transmission or transport, or is stolen or misused. Moreover, a security breach could require us to devote significant management resources to address the problems created by the security breach and to expend significant additional resources to upgrade further the security measures that we employ to guard such personal information against "cyber-attacks" and to maintain various systems and data centers for our customers. Often these systems and data centers must be maintained worldwide and on a 24/7 basis. We have in the past experienced and in the future could experience service interruptions that could result in curtailed operations and loss of existing and potential customers, which could significantly reduce our revenues and profits in addition to significantly impairing our reputation. If our information systems and our back-up systems are damaged, breached or cease to function properly, we may have to make a significant investment to repair or replace them, and we may suffer interruptions in our operations in the interim, each of which could materially adversely affect our results of operations and financial condition.</w:t>
      </w:r>
    </w:p>
    <w:p>
      <w:pPr>
        <w:spacing w:after="0" w:line="105"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color w:val="auto"/>
        </w:rPr>
        <w:t>In addition, our and our customers’ systems and networks are subject to continued threats of terrorism, which could disrupt our operations as well as disrupt the utilities and telecommunications infrastructure on which our business depends. To the extent any such disruptions were to occur, our business, operating results and financial condition could be materially adversely affected. In addition, our liability insurance, which includes cyber insurance, might not be sufficient in type or amount to cover us against claims related to security incidents, cyberattacks and other related incidents.</w:t>
      </w:r>
    </w:p>
    <w:p>
      <w:pPr>
        <w:spacing w:after="0" w:line="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0066CC"/>
        </w:rPr>
        <w:t>If we fail to meet industry data security standards, our ability to meet contractual obligations may be impaired and result in contractual damage or contract breach claims.</w:t>
      </w:r>
    </w:p>
    <w:p>
      <w:pPr>
        <w:spacing w:after="0" w:line="171" w:lineRule="exact"/>
        <w:rPr>
          <w:sz w:val="20"/>
          <w:szCs w:val="20"/>
          <w:color w:val="auto"/>
        </w:rPr>
      </w:pPr>
    </w:p>
    <w:p>
      <w:pPr>
        <w:ind w:right="100"/>
        <w:spacing w:after="0" w:line="253" w:lineRule="auto"/>
        <w:rPr>
          <w:sz w:val="20"/>
          <w:szCs w:val="20"/>
          <w:color w:val="auto"/>
        </w:rPr>
      </w:pPr>
      <w:r>
        <w:rPr>
          <w:rFonts w:ascii="Arial" w:cs="Arial" w:eastAsia="Arial" w:hAnsi="Arial"/>
          <w:sz w:val="14"/>
          <w:szCs w:val="14"/>
          <w:color w:val="auto"/>
        </w:rPr>
        <w:t>In some of our services lines, we are contractually subject to industry data security standards. These industry data security standards include Card Brand (Visa, Mastercard, American Express, Discover and JCB) operating rules, certification requirements and rules governing electronic funds transfers, including the Payment Card Industry Data Security Standard ("PCI DSS"), a data security standard applicable to companies that collect, store or transmit payment card data. Another industry standard is the Health Information Trust Alliance ("HITRUST") which applies to aspects of the healthcare industry in addition to other industries. In the future we may not be able to maintain compliance with PCI DSS, HITRUST and other applicable industry standards. Any failure to comply fully or materially with PCI DSS, HITRUST and other applicable industry standards now or at any point in the future may provide customers the right to terminate contracts with us or to enforce provisions obligating us to reimburse them for any penalties or costs incurred by them as a result of our non-compliance, or subject us to other fines, penalties, damages or civil liability, each of which could have a material adverse effect on our business, financial condition and results of operations.</w:t>
      </w:r>
    </w:p>
    <w:p>
      <w:pPr>
        <w:spacing w:after="0" w:line="299"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23" w:name="page24"/>
    <w:bookmarkEnd w:id="23"/>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Our results of operations and financial condition could be materially adversely affected by legal and regulatory matters.</w:t>
      </w:r>
    </w:p>
    <w:p>
      <w:pPr>
        <w:spacing w:after="0" w:line="129" w:lineRule="exact"/>
        <w:rPr>
          <w:sz w:val="20"/>
          <w:szCs w:val="20"/>
          <w:color w:val="auto"/>
        </w:rPr>
      </w:pPr>
    </w:p>
    <w:p>
      <w:pPr>
        <w:ind w:right="20"/>
        <w:spacing w:after="0" w:line="251" w:lineRule="auto"/>
        <w:rPr>
          <w:sz w:val="20"/>
          <w:szCs w:val="20"/>
          <w:color w:val="auto"/>
        </w:rPr>
      </w:pPr>
      <w:r>
        <w:rPr>
          <w:rFonts w:ascii="Arial" w:cs="Arial" w:eastAsia="Arial" w:hAnsi="Arial"/>
          <w:sz w:val="14"/>
          <w:szCs w:val="14"/>
          <w:color w:val="auto"/>
        </w:rPr>
        <w:t>We are potentially subject to various contingent liabilities that are not reflected on our balance sheet, including those arising as a result of being involved in a variety of claims, lawsuits, investigations and proceedings concerning: securities laws; governmental and non-governmental entity contracting, servicing and governmental entity procurement laws; intellectual property laws; environmental laws; employment laws; the Employee Retirement Income Security Act of 1974 ("ERISA"); and other laws, regulations and contractual undertakings, as discussed under Note 16 – Contingencies and Litigation to the Consolidated Financial Statements. If developments in any of these matters cause a change in our determination as to an unfavorable outcome and result in the need to recognize a material accrual or materially increase an existing accrual, or if any of these matters result in an adverse judgment or are settled for significant amounts above any existing accruals, it could materially adversely affect our results of operations and financial condition in the period or periods in which such change in determination, judgment or settlement occurs. There can be no assurances as to the favorable outcome of any claim, lawsuit, investigation or proceeding. It is possible that a resolution of one or more such proceedings, through judgment, settlement or otherwise, could require us to make substantial payments to satisfy judgments, fines or penalties or settlement amounts, any of which could materially adversely affect our results of operations and financial condition. Additionally, the terms of dismissal, settlement, release or other resolution may permit certain claims to be reopened under certain conditions. Claims, lawsuits investigations and proceedings involving the Company could also result in reputational harm, criminal sanctions, consent decrees or orders preventing us from offering certain services, requiring a change in our business practices in costly ways or requiring development of non-infringing or otherwise altered products or technologies, or make it more difficult to obtain adequate insurance in the future. In addition, it can be very costly to defend litigation and these costs could materially adversely affect our results of operations and financial condition. Refer to Note 16 – Contingencies and Litigation to the Consolidated Financial Statements.</w:t>
      </w:r>
    </w:p>
    <w:p>
      <w:pPr>
        <w:spacing w:after="0" w:line="101" w:lineRule="exact"/>
        <w:rPr>
          <w:sz w:val="20"/>
          <w:szCs w:val="20"/>
          <w:color w:val="auto"/>
        </w:rPr>
      </w:pPr>
    </w:p>
    <w:p>
      <w:pPr>
        <w:jc w:val="both"/>
        <w:ind w:right="220"/>
        <w:spacing w:after="0" w:line="322" w:lineRule="auto"/>
        <w:rPr>
          <w:sz w:val="20"/>
          <w:szCs w:val="20"/>
          <w:color w:val="auto"/>
        </w:rPr>
      </w:pPr>
      <w:r>
        <w:rPr>
          <w:rFonts w:ascii="Arial" w:cs="Arial" w:eastAsia="Arial" w:hAnsi="Arial"/>
          <w:sz w:val="13"/>
          <w:szCs w:val="13"/>
          <w:color w:val="auto"/>
        </w:rPr>
        <w:t>Our insurance does not cover all types and amounts of potential liabilities and is subject to various exclusions as well as caps on amounts recoverable. Even if we believe a claim is covered by insurance, insurers may dispute our entitlement to recovery for a variety of potential reasons, which may affect the timing and, if they prevail, the amount of our recovery.</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We have made and may continue to make divestitures, as well as acquisitions, investments and joint ventures, all of which involve numerous risks and uncertainties.</w:t>
      </w:r>
    </w:p>
    <w:p>
      <w:pPr>
        <w:spacing w:after="0" w:line="129" w:lineRule="exact"/>
        <w:rPr>
          <w:sz w:val="20"/>
          <w:szCs w:val="20"/>
          <w:color w:val="auto"/>
        </w:rPr>
      </w:pPr>
    </w:p>
    <w:p>
      <w:pPr>
        <w:ind w:right="580"/>
        <w:spacing w:after="0" w:line="282" w:lineRule="auto"/>
        <w:rPr>
          <w:sz w:val="20"/>
          <w:szCs w:val="20"/>
          <w:color w:val="auto"/>
        </w:rPr>
      </w:pPr>
      <w:r>
        <w:rPr>
          <w:rFonts w:ascii="Arial" w:cs="Arial" w:eastAsia="Arial" w:hAnsi="Arial"/>
          <w:sz w:val="14"/>
          <w:szCs w:val="14"/>
          <w:color w:val="auto"/>
        </w:rPr>
        <w:t>We have divested and may in the future divest certain assets or businesses, including businesses that are no longer a part of our ongoing strategic plan. Divestitures require a significant investment of time and resources and involve significant risks and uncertainties, including:</w:t>
      </w:r>
    </w:p>
    <w:p>
      <w:pPr>
        <w:spacing w:after="0" w:line="80" w:lineRule="exact"/>
        <w:rPr>
          <w:sz w:val="20"/>
          <w:szCs w:val="20"/>
          <w:color w:val="auto"/>
        </w:rPr>
      </w:pPr>
    </w:p>
    <w:p>
      <w:pPr>
        <w:ind w:left="500" w:hanging="247"/>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inability to find potential buyers on favorable terms;</w:t>
      </w:r>
    </w:p>
    <w:p>
      <w:pPr>
        <w:spacing w:after="0" w:line="47" w:lineRule="exact"/>
        <w:rPr>
          <w:rFonts w:ascii="Arial" w:cs="Arial" w:eastAsia="Arial" w:hAnsi="Arial"/>
          <w:sz w:val="14"/>
          <w:szCs w:val="14"/>
          <w:color w:val="auto"/>
        </w:rPr>
      </w:pPr>
    </w:p>
    <w:p>
      <w:pPr>
        <w:ind w:left="500" w:hanging="247"/>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failure to effectively transfer liabilities, contracts, facilities and employees to buyers;</w:t>
      </w:r>
    </w:p>
    <w:p>
      <w:pPr>
        <w:spacing w:after="0" w:line="47" w:lineRule="exact"/>
        <w:rPr>
          <w:rFonts w:ascii="Arial" w:cs="Arial" w:eastAsia="Arial" w:hAnsi="Arial"/>
          <w:sz w:val="14"/>
          <w:szCs w:val="14"/>
          <w:color w:val="auto"/>
        </w:rPr>
      </w:pPr>
    </w:p>
    <w:p>
      <w:pPr>
        <w:ind w:left="500" w:hanging="247"/>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requirements that we retain or indemnify buyers against certain liabilities and obligations;</w:t>
      </w:r>
    </w:p>
    <w:p>
      <w:pPr>
        <w:spacing w:after="0" w:line="47" w:lineRule="exact"/>
        <w:rPr>
          <w:rFonts w:ascii="Arial" w:cs="Arial" w:eastAsia="Arial" w:hAnsi="Arial"/>
          <w:sz w:val="14"/>
          <w:szCs w:val="14"/>
          <w:color w:val="auto"/>
        </w:rPr>
      </w:pPr>
    </w:p>
    <w:p>
      <w:pPr>
        <w:ind w:left="500" w:hanging="247"/>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possibility that we will become subject to third-party claims arising out of such divestiture;</w:t>
      </w:r>
    </w:p>
    <w:p>
      <w:pPr>
        <w:spacing w:after="0" w:line="47" w:lineRule="exact"/>
        <w:rPr>
          <w:rFonts w:ascii="Arial" w:cs="Arial" w:eastAsia="Arial" w:hAnsi="Arial"/>
          <w:sz w:val="14"/>
          <w:szCs w:val="14"/>
          <w:color w:val="auto"/>
        </w:rPr>
      </w:pPr>
    </w:p>
    <w:p>
      <w:pPr>
        <w:ind w:left="500" w:hanging="247"/>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challenges in identifying and separating the intellectual property, systems and data to be divested from the intellectual property, systems and data that we wish to retain;</w:t>
      </w:r>
    </w:p>
    <w:p>
      <w:pPr>
        <w:spacing w:after="0" w:line="47" w:lineRule="exact"/>
        <w:rPr>
          <w:rFonts w:ascii="Arial" w:cs="Arial" w:eastAsia="Arial" w:hAnsi="Arial"/>
          <w:sz w:val="14"/>
          <w:szCs w:val="14"/>
          <w:color w:val="auto"/>
        </w:rPr>
      </w:pPr>
    </w:p>
    <w:p>
      <w:pPr>
        <w:ind w:left="500" w:hanging="247"/>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inability to reduce fixed costs previously associated with the divested assets or business;</w:t>
      </w:r>
    </w:p>
    <w:p>
      <w:pPr>
        <w:spacing w:after="0" w:line="47" w:lineRule="exact"/>
        <w:rPr>
          <w:rFonts w:ascii="Arial" w:cs="Arial" w:eastAsia="Arial" w:hAnsi="Arial"/>
          <w:sz w:val="14"/>
          <w:szCs w:val="14"/>
          <w:color w:val="auto"/>
        </w:rPr>
      </w:pPr>
    </w:p>
    <w:p>
      <w:pPr>
        <w:ind w:left="500" w:hanging="247"/>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challenges in collecting the proceeds from any divestiture;</w:t>
      </w:r>
    </w:p>
    <w:p>
      <w:pPr>
        <w:spacing w:after="0" w:line="47" w:lineRule="exact"/>
        <w:rPr>
          <w:rFonts w:ascii="Arial" w:cs="Arial" w:eastAsia="Arial" w:hAnsi="Arial"/>
          <w:sz w:val="14"/>
          <w:szCs w:val="14"/>
          <w:color w:val="auto"/>
        </w:rPr>
      </w:pPr>
    </w:p>
    <w:p>
      <w:pPr>
        <w:ind w:left="500" w:hanging="247"/>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disruption of our ongoing business and distraction of management;</w:t>
      </w:r>
    </w:p>
    <w:p>
      <w:pPr>
        <w:spacing w:after="0" w:line="47" w:lineRule="exact"/>
        <w:rPr>
          <w:rFonts w:ascii="Arial" w:cs="Arial" w:eastAsia="Arial" w:hAnsi="Arial"/>
          <w:sz w:val="14"/>
          <w:szCs w:val="14"/>
          <w:color w:val="auto"/>
        </w:rPr>
      </w:pPr>
    </w:p>
    <w:p>
      <w:pPr>
        <w:ind w:left="500" w:hanging="247"/>
        <w:spacing w:after="0"/>
        <w:tabs>
          <w:tab w:leader="none" w:pos="5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loss of key employees who leave us as a result of a divestiture; and</w:t>
      </w:r>
    </w:p>
    <w:p>
      <w:pPr>
        <w:spacing w:after="0" w:line="47" w:lineRule="exact"/>
        <w:rPr>
          <w:rFonts w:ascii="Arial" w:cs="Arial" w:eastAsia="Arial" w:hAnsi="Arial"/>
          <w:sz w:val="14"/>
          <w:szCs w:val="14"/>
          <w:color w:val="auto"/>
        </w:rPr>
      </w:pPr>
    </w:p>
    <w:p>
      <w:pPr>
        <w:ind w:left="500" w:right="240" w:hanging="247"/>
        <w:spacing w:after="0" w:line="265" w:lineRule="auto"/>
        <w:tabs>
          <w:tab w:leader="none" w:pos="496" w:val="left"/>
        </w:tabs>
        <w:numPr>
          <w:ilvl w:val="0"/>
          <w:numId w:val="21"/>
        </w:numPr>
        <w:rPr>
          <w:rFonts w:ascii="Arial" w:cs="Arial" w:eastAsia="Arial" w:hAnsi="Arial"/>
          <w:sz w:val="14"/>
          <w:szCs w:val="14"/>
          <w:color w:val="auto"/>
        </w:rPr>
      </w:pPr>
      <w:r>
        <w:rPr>
          <w:rFonts w:ascii="Arial" w:cs="Arial" w:eastAsia="Arial" w:hAnsi="Arial"/>
          <w:sz w:val="14"/>
          <w:szCs w:val="14"/>
          <w:color w:val="auto"/>
        </w:rPr>
        <w:t>if customers or partners of the divested business do not receive the same level of service from the new owners, or the new owners do not handle the customer data with the same level of care, our other businesses may be adversely affected, to the extent that these customers or partners also purchase other products offered by us or otherwise conduct business with our retained business.</w:t>
      </w:r>
    </w:p>
    <w:p>
      <w:pPr>
        <w:spacing w:after="0" w:line="92"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Divestitures may result in losses on disposal or continued financial involvement in the divested business, including through indemnification, guarantee or other financial arrangements, for a period of time following the transaction, which would adversely affect our financial results. Refer to Note 4 – Assets/Liabilities Held for Sale and Divestitures to our Consolidated Financial Statements for additional information about our divestitures.</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24" w:name="page25"/>
    <w:bookmarkEnd w:id="24"/>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Additionally, we may selectively pursue strategic acquisitions, investments and joint ventures. We also may enter into relationships with other businesses to expand our products or our ability to provide services. Acquisitions, investments and joint ventures similarly pose a number of risks and potential disruptions that could adversely affect our reputation, operations or financial results, including: expansion into new markets and business ventures; the diversion of management’s attention to the acquisition and integration of acquired operations and personnel; being bound by acquired customer or vendor contracts with unfavorable terms; and potential adverse effects on a company’s operating results for various reasons, including, but not limited to, the following items: the inability to achieve financial targets; the inability to achieve certain integration expectations, operating goals, and synergies; costs incurred to exit current or acquired contracts or restructuring activities; costs incurred to service acquisition debt, if any; and the amortization or impairment of acquired intangible assets.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Risks</w:t>
      </w:r>
    </w:p>
    <w:p>
      <w:pPr>
        <w:spacing w:after="0" w:line="125" w:lineRule="exact"/>
        <w:rPr>
          <w:sz w:val="20"/>
          <w:szCs w:val="20"/>
          <w:color w:val="auto"/>
        </w:rPr>
      </w:pPr>
    </w:p>
    <w:p>
      <w:pPr>
        <w:ind w:right="540"/>
        <w:spacing w:after="0" w:line="291" w:lineRule="auto"/>
        <w:rPr>
          <w:sz w:val="20"/>
          <w:szCs w:val="20"/>
          <w:color w:val="auto"/>
        </w:rPr>
      </w:pPr>
      <w:r>
        <w:rPr>
          <w:rFonts w:ascii="Arial" w:cs="Arial" w:eastAsia="Arial" w:hAnsi="Arial"/>
          <w:sz w:val="14"/>
          <w:szCs w:val="14"/>
          <w:b w:val="1"/>
          <w:bCs w:val="1"/>
          <w:i w:val="1"/>
          <w:iCs w:val="1"/>
          <w:color w:val="0066CC"/>
        </w:rPr>
        <w:t>We have recorded significant goodwill impairment charges and may be required to record additional charges to future earnings if our goodwill or intangible assets become impaired.</w:t>
      </w:r>
    </w:p>
    <w:p>
      <w:pPr>
        <w:spacing w:after="0" w:line="66"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We are required under generally accepted accounting principles to review our intangible assets for impairment when events or changes in circumstances indicate the carrying value may not be recoverable. Goodwill is required to be tested for impairment at least annually. Factors that may be considered a change in circumstances indicating that the carrying value of our intangible assets and/or goodwill may not be recoverable include a decline in stock price and market capitalization, slower growth rates in our industry or our own operations, and/or other materially adverse events that have implications on the profitability of our business or business segments. We may be required to record additional charges to earnings during the period in which any impairment of our goodwill or other intangible assets is determined which could adversely impact our results of operations. As of December 31, 2023, our goodwill balance was $651 million, which represented 20.6% of total consolidated assets.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Refer to Note 8 – Goodwill and Intangible Assets, Net to our Consolidated Financial Statements for additional information about our goodwill impairments.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Our significant indebtedness could materially adversely affect our results of operations and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We have and will continue to have a significant amount of debt and other obligations. Our substantial debt and other obligations could have important consequences.</w:t>
      </w:r>
    </w:p>
    <w:p>
      <w:pPr>
        <w:spacing w:after="0" w:line="131"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For example, it could (i) increase our vulnerability to general adverse economic and industry conditions; (ii) limit our ability to obtain additional financing for future working capital, capital expenditures, acquisitions and other general corporate requirements; (iii) require us to dedicate a substantial portion of our cash flows from operations to service debt and other obligations thereby reducing the availability of our cash flows from operations for other purposes; (iv) limit our flexibility in planning for, or reacting to, changes in our businesses and the industries in which we operate; (v) place us at a competitive disadvantage compared to our competitors that have less debt; and (vi) become due and payable upon a change in control. If new debt is added to our current debt levels, these related risks could increase.</w:t>
      </w:r>
    </w:p>
    <w:p>
      <w:pPr>
        <w:spacing w:after="0" w:line="100" w:lineRule="exact"/>
        <w:rPr>
          <w:sz w:val="20"/>
          <w:szCs w:val="20"/>
          <w:color w:val="auto"/>
        </w:rPr>
      </w:pPr>
    </w:p>
    <w:p>
      <w:pPr>
        <w:ind w:right="280"/>
        <w:spacing w:after="0" w:line="265" w:lineRule="auto"/>
        <w:rPr>
          <w:sz w:val="20"/>
          <w:szCs w:val="20"/>
          <w:color w:val="auto"/>
        </w:rPr>
      </w:pPr>
      <w:r>
        <w:rPr>
          <w:rFonts w:ascii="Arial" w:cs="Arial" w:eastAsia="Arial" w:hAnsi="Arial"/>
          <w:sz w:val="14"/>
          <w:szCs w:val="14"/>
          <w:color w:val="auto"/>
        </w:rPr>
        <w:t>Our ability to make payments on and to refinance our indebtedness, as well as any future debt that we may incur, will depend on our ability to generate cash in the future from operations, financings or asset sales. Our ability to generate cash is subject to general economic, financial, competitive, legislative, regulatory and other factors that are beyond our control.</w:t>
      </w:r>
    </w:p>
    <w:p>
      <w:pPr>
        <w:spacing w:after="0" w:line="94" w:lineRule="exact"/>
        <w:rPr>
          <w:sz w:val="20"/>
          <w:szCs w:val="20"/>
          <w:color w:val="auto"/>
        </w:rPr>
      </w:pPr>
    </w:p>
    <w:p>
      <w:pPr>
        <w:ind w:right="400"/>
        <w:spacing w:after="0" w:line="291" w:lineRule="auto"/>
        <w:rPr>
          <w:sz w:val="20"/>
          <w:szCs w:val="20"/>
          <w:color w:val="auto"/>
        </w:rPr>
      </w:pPr>
      <w:r>
        <w:rPr>
          <w:rFonts w:ascii="Arial" w:cs="Arial" w:eastAsia="Arial" w:hAnsi="Arial"/>
          <w:sz w:val="14"/>
          <w:szCs w:val="14"/>
          <w:b w:val="1"/>
          <w:bCs w:val="1"/>
          <w:i w:val="1"/>
          <w:iCs w:val="1"/>
          <w:color w:val="0066CC"/>
        </w:rPr>
        <w:t>The terms of our indebtedness may restrict our current and future operations, particularly our ability to incur debt that we may need to fund initiatives in response to changes in our business, the industries in which we operate, the economy and governmental regulations.</w:t>
      </w:r>
    </w:p>
    <w:p>
      <w:pPr>
        <w:spacing w:after="0" w:line="66" w:lineRule="exact"/>
        <w:rPr>
          <w:sz w:val="20"/>
          <w:szCs w:val="20"/>
          <w:color w:val="auto"/>
        </w:rPr>
      </w:pPr>
    </w:p>
    <w:p>
      <w:pPr>
        <w:ind w:right="60"/>
        <w:spacing w:after="0" w:line="282" w:lineRule="auto"/>
        <w:rPr>
          <w:sz w:val="20"/>
          <w:szCs w:val="20"/>
          <w:color w:val="auto"/>
        </w:rPr>
      </w:pPr>
      <w:r>
        <w:rPr>
          <w:rFonts w:ascii="Arial" w:cs="Arial" w:eastAsia="Arial" w:hAnsi="Arial"/>
          <w:sz w:val="14"/>
          <w:szCs w:val="14"/>
          <w:color w:val="auto"/>
        </w:rPr>
        <w:t>The terms of our indebtedness include several restrictive covenants that impose significant operating and financial restrictions on us and our subsidiaries and limit our ability to engage in actions that may be in our long-term best interests. These may restrict our and our subsidiaries’ ability to take some or all of the following actions:</w:t>
      </w:r>
    </w:p>
    <w:p>
      <w:pPr>
        <w:spacing w:after="0" w:line="90" w:lineRule="exact"/>
        <w:rPr>
          <w:sz w:val="20"/>
          <w:szCs w:val="20"/>
          <w:color w:val="auto"/>
        </w:rPr>
      </w:pPr>
    </w:p>
    <w:p>
      <w:pPr>
        <w:ind w:left="500" w:hanging="247"/>
        <w:spacing w:after="0"/>
        <w:tabs>
          <w:tab w:leader="none" w:pos="500" w:val="left"/>
        </w:tabs>
        <w:numPr>
          <w:ilvl w:val="0"/>
          <w:numId w:val="22"/>
        </w:numPr>
        <w:rPr>
          <w:rFonts w:ascii="Arial" w:cs="Arial" w:eastAsia="Arial" w:hAnsi="Arial"/>
          <w:sz w:val="15"/>
          <w:szCs w:val="15"/>
          <w:color w:val="auto"/>
        </w:rPr>
      </w:pPr>
      <w:r>
        <w:rPr>
          <w:rFonts w:ascii="Arial" w:cs="Arial" w:eastAsia="Arial" w:hAnsi="Arial"/>
          <w:sz w:val="14"/>
          <w:szCs w:val="14"/>
          <w:color w:val="auto"/>
        </w:rPr>
        <w:t>incur or guarantee additional indebtedness or sell disqualified or preferred stock;</w:t>
      </w:r>
    </w:p>
    <w:p>
      <w:pPr>
        <w:spacing w:after="0" w:line="98" w:lineRule="exact"/>
        <w:rPr>
          <w:rFonts w:ascii="Arial" w:cs="Arial" w:eastAsia="Arial" w:hAnsi="Arial"/>
          <w:sz w:val="15"/>
          <w:szCs w:val="15"/>
          <w:color w:val="auto"/>
        </w:rPr>
      </w:pPr>
    </w:p>
    <w:p>
      <w:pPr>
        <w:ind w:left="500" w:hanging="247"/>
        <w:spacing w:after="0"/>
        <w:tabs>
          <w:tab w:leader="none" w:pos="500" w:val="left"/>
        </w:tabs>
        <w:numPr>
          <w:ilvl w:val="0"/>
          <w:numId w:val="22"/>
        </w:numPr>
        <w:rPr>
          <w:rFonts w:ascii="Arial" w:cs="Arial" w:eastAsia="Arial" w:hAnsi="Arial"/>
          <w:sz w:val="15"/>
          <w:szCs w:val="15"/>
          <w:color w:val="auto"/>
        </w:rPr>
      </w:pPr>
      <w:r>
        <w:rPr>
          <w:rFonts w:ascii="Arial" w:cs="Arial" w:eastAsia="Arial" w:hAnsi="Arial"/>
          <w:sz w:val="14"/>
          <w:szCs w:val="14"/>
          <w:color w:val="auto"/>
        </w:rPr>
        <w:t>pay dividends on, make distributions in respect of, repurchase or redeem capital stock;</w:t>
      </w:r>
    </w:p>
    <w:p>
      <w:pPr>
        <w:spacing w:after="0" w:line="87" w:lineRule="exact"/>
        <w:rPr>
          <w:rFonts w:ascii="Arial" w:cs="Arial" w:eastAsia="Arial" w:hAnsi="Arial"/>
          <w:sz w:val="15"/>
          <w:szCs w:val="15"/>
          <w:color w:val="auto"/>
        </w:rPr>
      </w:pPr>
    </w:p>
    <w:p>
      <w:pPr>
        <w:ind w:left="500" w:hanging="247"/>
        <w:spacing w:after="0"/>
        <w:tabs>
          <w:tab w:leader="none" w:pos="500" w:val="left"/>
        </w:tabs>
        <w:numPr>
          <w:ilvl w:val="0"/>
          <w:numId w:val="22"/>
        </w:numPr>
        <w:rPr>
          <w:rFonts w:ascii="Arial" w:cs="Arial" w:eastAsia="Arial" w:hAnsi="Arial"/>
          <w:sz w:val="15"/>
          <w:szCs w:val="15"/>
          <w:color w:val="auto"/>
        </w:rPr>
      </w:pPr>
      <w:r>
        <w:rPr>
          <w:rFonts w:ascii="Arial" w:cs="Arial" w:eastAsia="Arial" w:hAnsi="Arial"/>
          <w:sz w:val="14"/>
          <w:szCs w:val="14"/>
          <w:color w:val="auto"/>
        </w:rPr>
        <w:t>make investments or acquisitions;</w:t>
      </w:r>
    </w:p>
    <w:p>
      <w:pPr>
        <w:spacing w:after="0" w:line="275"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25" w:name="page26"/>
    <w:bookmarkEnd w:id="25"/>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12" w:lineRule="exact"/>
        <w:rPr>
          <w:sz w:val="20"/>
          <w:szCs w:val="20"/>
          <w:color w:val="auto"/>
        </w:rPr>
      </w:pPr>
    </w:p>
    <w:p>
      <w:pPr>
        <w:ind w:left="500" w:hanging="247"/>
        <w:spacing w:after="0"/>
        <w:tabs>
          <w:tab w:leader="none" w:pos="500" w:val="left"/>
        </w:tabs>
        <w:numPr>
          <w:ilvl w:val="0"/>
          <w:numId w:val="23"/>
        </w:numPr>
        <w:rPr>
          <w:rFonts w:ascii="Arial" w:cs="Arial" w:eastAsia="Arial" w:hAnsi="Arial"/>
          <w:sz w:val="15"/>
          <w:szCs w:val="15"/>
          <w:color w:val="auto"/>
        </w:rPr>
      </w:pPr>
      <w:r>
        <w:rPr>
          <w:rFonts w:ascii="Arial" w:cs="Arial" w:eastAsia="Arial" w:hAnsi="Arial"/>
          <w:sz w:val="14"/>
          <w:szCs w:val="14"/>
          <w:color w:val="auto"/>
        </w:rPr>
        <w:t>sell, transfer or otherwise dispose of certain assets;</w:t>
      </w:r>
    </w:p>
    <w:p>
      <w:pPr>
        <w:spacing w:after="0" w:line="98" w:lineRule="exact"/>
        <w:rPr>
          <w:rFonts w:ascii="Arial" w:cs="Arial" w:eastAsia="Arial" w:hAnsi="Arial"/>
          <w:sz w:val="15"/>
          <w:szCs w:val="15"/>
          <w:color w:val="auto"/>
        </w:rPr>
      </w:pPr>
    </w:p>
    <w:p>
      <w:pPr>
        <w:ind w:left="500" w:hanging="247"/>
        <w:spacing w:after="0"/>
        <w:tabs>
          <w:tab w:leader="none" w:pos="500" w:val="left"/>
        </w:tabs>
        <w:numPr>
          <w:ilvl w:val="0"/>
          <w:numId w:val="23"/>
        </w:numPr>
        <w:rPr>
          <w:rFonts w:ascii="Arial" w:cs="Arial" w:eastAsia="Arial" w:hAnsi="Arial"/>
          <w:sz w:val="15"/>
          <w:szCs w:val="15"/>
          <w:color w:val="auto"/>
        </w:rPr>
      </w:pPr>
      <w:r>
        <w:rPr>
          <w:rFonts w:ascii="Arial" w:cs="Arial" w:eastAsia="Arial" w:hAnsi="Arial"/>
          <w:sz w:val="14"/>
          <w:szCs w:val="14"/>
          <w:color w:val="auto"/>
        </w:rPr>
        <w:t>create liens;</w:t>
      </w:r>
    </w:p>
    <w:p>
      <w:pPr>
        <w:spacing w:after="0" w:line="87" w:lineRule="exact"/>
        <w:rPr>
          <w:rFonts w:ascii="Arial" w:cs="Arial" w:eastAsia="Arial" w:hAnsi="Arial"/>
          <w:sz w:val="15"/>
          <w:szCs w:val="15"/>
          <w:color w:val="auto"/>
        </w:rPr>
      </w:pPr>
    </w:p>
    <w:p>
      <w:pPr>
        <w:ind w:left="500" w:hanging="247"/>
        <w:spacing w:after="0"/>
        <w:tabs>
          <w:tab w:leader="none" w:pos="500" w:val="left"/>
        </w:tabs>
        <w:numPr>
          <w:ilvl w:val="0"/>
          <w:numId w:val="23"/>
        </w:numPr>
        <w:rPr>
          <w:rFonts w:ascii="Arial" w:cs="Arial" w:eastAsia="Arial" w:hAnsi="Arial"/>
          <w:sz w:val="15"/>
          <w:szCs w:val="15"/>
          <w:color w:val="auto"/>
        </w:rPr>
      </w:pPr>
      <w:r>
        <w:rPr>
          <w:rFonts w:ascii="Arial" w:cs="Arial" w:eastAsia="Arial" w:hAnsi="Arial"/>
          <w:sz w:val="14"/>
          <w:szCs w:val="14"/>
          <w:color w:val="auto"/>
        </w:rPr>
        <w:t>enter into sale/leaseback transactions;</w:t>
      </w:r>
    </w:p>
    <w:p>
      <w:pPr>
        <w:spacing w:after="0" w:line="98" w:lineRule="exact"/>
        <w:rPr>
          <w:rFonts w:ascii="Arial" w:cs="Arial" w:eastAsia="Arial" w:hAnsi="Arial"/>
          <w:sz w:val="15"/>
          <w:szCs w:val="15"/>
          <w:color w:val="auto"/>
        </w:rPr>
      </w:pPr>
    </w:p>
    <w:p>
      <w:pPr>
        <w:ind w:left="500" w:hanging="247"/>
        <w:spacing w:after="0"/>
        <w:tabs>
          <w:tab w:leader="none" w:pos="500" w:val="left"/>
        </w:tabs>
        <w:numPr>
          <w:ilvl w:val="0"/>
          <w:numId w:val="23"/>
        </w:numPr>
        <w:rPr>
          <w:rFonts w:ascii="Arial" w:cs="Arial" w:eastAsia="Arial" w:hAnsi="Arial"/>
          <w:sz w:val="15"/>
          <w:szCs w:val="15"/>
          <w:color w:val="auto"/>
        </w:rPr>
      </w:pPr>
      <w:r>
        <w:rPr>
          <w:rFonts w:ascii="Arial" w:cs="Arial" w:eastAsia="Arial" w:hAnsi="Arial"/>
          <w:sz w:val="14"/>
          <w:szCs w:val="14"/>
          <w:color w:val="auto"/>
        </w:rPr>
        <w:t>enter into agreements restricting the ability to pay dividends or make other intercompany transfers;</w:t>
      </w:r>
    </w:p>
    <w:p>
      <w:pPr>
        <w:spacing w:after="0" w:line="87" w:lineRule="exact"/>
        <w:rPr>
          <w:rFonts w:ascii="Arial" w:cs="Arial" w:eastAsia="Arial" w:hAnsi="Arial"/>
          <w:sz w:val="15"/>
          <w:szCs w:val="15"/>
          <w:color w:val="auto"/>
        </w:rPr>
      </w:pPr>
    </w:p>
    <w:p>
      <w:pPr>
        <w:ind w:left="500" w:hanging="247"/>
        <w:spacing w:after="0"/>
        <w:tabs>
          <w:tab w:leader="none" w:pos="500" w:val="left"/>
        </w:tabs>
        <w:numPr>
          <w:ilvl w:val="0"/>
          <w:numId w:val="23"/>
        </w:numPr>
        <w:rPr>
          <w:rFonts w:ascii="Arial" w:cs="Arial" w:eastAsia="Arial" w:hAnsi="Arial"/>
          <w:sz w:val="15"/>
          <w:szCs w:val="15"/>
          <w:color w:val="auto"/>
        </w:rPr>
      </w:pPr>
      <w:r>
        <w:rPr>
          <w:rFonts w:ascii="Arial" w:cs="Arial" w:eastAsia="Arial" w:hAnsi="Arial"/>
          <w:sz w:val="14"/>
          <w:szCs w:val="14"/>
          <w:color w:val="auto"/>
        </w:rPr>
        <w:t>consolidate, merge, sell or otherwise dispose of all or substantially all of our or our subsidiaries’ assets;</w:t>
      </w:r>
    </w:p>
    <w:p>
      <w:pPr>
        <w:spacing w:after="0" w:line="98" w:lineRule="exact"/>
        <w:rPr>
          <w:rFonts w:ascii="Arial" w:cs="Arial" w:eastAsia="Arial" w:hAnsi="Arial"/>
          <w:sz w:val="15"/>
          <w:szCs w:val="15"/>
          <w:color w:val="auto"/>
        </w:rPr>
      </w:pPr>
    </w:p>
    <w:p>
      <w:pPr>
        <w:ind w:left="500" w:hanging="247"/>
        <w:spacing w:after="0"/>
        <w:tabs>
          <w:tab w:leader="none" w:pos="500" w:val="left"/>
        </w:tabs>
        <w:numPr>
          <w:ilvl w:val="0"/>
          <w:numId w:val="23"/>
        </w:numPr>
        <w:rPr>
          <w:rFonts w:ascii="Arial" w:cs="Arial" w:eastAsia="Arial" w:hAnsi="Arial"/>
          <w:sz w:val="15"/>
          <w:szCs w:val="15"/>
          <w:color w:val="auto"/>
        </w:rPr>
      </w:pPr>
      <w:r>
        <w:rPr>
          <w:rFonts w:ascii="Arial" w:cs="Arial" w:eastAsia="Arial" w:hAnsi="Arial"/>
          <w:sz w:val="14"/>
          <w:szCs w:val="14"/>
          <w:color w:val="auto"/>
        </w:rPr>
        <w:t>enter into transactions with affiliates;</w:t>
      </w:r>
    </w:p>
    <w:p>
      <w:pPr>
        <w:spacing w:after="0" w:line="98" w:lineRule="exact"/>
        <w:rPr>
          <w:rFonts w:ascii="Arial" w:cs="Arial" w:eastAsia="Arial" w:hAnsi="Arial"/>
          <w:sz w:val="15"/>
          <w:szCs w:val="15"/>
          <w:color w:val="auto"/>
        </w:rPr>
      </w:pPr>
    </w:p>
    <w:p>
      <w:pPr>
        <w:ind w:left="500" w:hanging="247"/>
        <w:spacing w:after="0"/>
        <w:tabs>
          <w:tab w:leader="none" w:pos="500" w:val="left"/>
        </w:tabs>
        <w:numPr>
          <w:ilvl w:val="0"/>
          <w:numId w:val="23"/>
        </w:numPr>
        <w:rPr>
          <w:rFonts w:ascii="Arial" w:cs="Arial" w:eastAsia="Arial" w:hAnsi="Arial"/>
          <w:sz w:val="15"/>
          <w:szCs w:val="15"/>
          <w:color w:val="auto"/>
        </w:rPr>
      </w:pPr>
      <w:r>
        <w:rPr>
          <w:rFonts w:ascii="Arial" w:cs="Arial" w:eastAsia="Arial" w:hAnsi="Arial"/>
          <w:sz w:val="14"/>
          <w:szCs w:val="14"/>
          <w:color w:val="auto"/>
        </w:rPr>
        <w:t>prepay, repurchase or redeem certain kinds of indebtedness;</w:t>
      </w:r>
    </w:p>
    <w:p>
      <w:pPr>
        <w:spacing w:after="0" w:line="87" w:lineRule="exact"/>
        <w:rPr>
          <w:rFonts w:ascii="Arial" w:cs="Arial" w:eastAsia="Arial" w:hAnsi="Arial"/>
          <w:sz w:val="15"/>
          <w:szCs w:val="15"/>
          <w:color w:val="auto"/>
        </w:rPr>
      </w:pPr>
    </w:p>
    <w:p>
      <w:pPr>
        <w:ind w:left="500" w:hanging="247"/>
        <w:spacing w:after="0"/>
        <w:tabs>
          <w:tab w:leader="none" w:pos="500" w:val="left"/>
        </w:tabs>
        <w:numPr>
          <w:ilvl w:val="0"/>
          <w:numId w:val="23"/>
        </w:numPr>
        <w:rPr>
          <w:rFonts w:ascii="Arial" w:cs="Arial" w:eastAsia="Arial" w:hAnsi="Arial"/>
          <w:sz w:val="15"/>
          <w:szCs w:val="15"/>
          <w:color w:val="auto"/>
        </w:rPr>
      </w:pPr>
      <w:r>
        <w:rPr>
          <w:rFonts w:ascii="Arial" w:cs="Arial" w:eastAsia="Arial" w:hAnsi="Arial"/>
          <w:sz w:val="14"/>
          <w:szCs w:val="14"/>
          <w:color w:val="auto"/>
        </w:rPr>
        <w:t>issue or sell stock of our subsidiaries; and/or</w:t>
      </w:r>
    </w:p>
    <w:p>
      <w:pPr>
        <w:spacing w:after="0" w:line="98" w:lineRule="exact"/>
        <w:rPr>
          <w:rFonts w:ascii="Arial" w:cs="Arial" w:eastAsia="Arial" w:hAnsi="Arial"/>
          <w:sz w:val="15"/>
          <w:szCs w:val="15"/>
          <w:color w:val="auto"/>
        </w:rPr>
      </w:pPr>
    </w:p>
    <w:p>
      <w:pPr>
        <w:ind w:left="500" w:hanging="247"/>
        <w:spacing w:after="0"/>
        <w:tabs>
          <w:tab w:leader="none" w:pos="500" w:val="left"/>
        </w:tabs>
        <w:numPr>
          <w:ilvl w:val="0"/>
          <w:numId w:val="23"/>
        </w:numPr>
        <w:rPr>
          <w:rFonts w:ascii="Arial" w:cs="Arial" w:eastAsia="Arial" w:hAnsi="Arial"/>
          <w:sz w:val="15"/>
          <w:szCs w:val="15"/>
          <w:color w:val="auto"/>
        </w:rPr>
      </w:pPr>
      <w:r>
        <w:rPr>
          <w:rFonts w:ascii="Arial" w:cs="Arial" w:eastAsia="Arial" w:hAnsi="Arial"/>
          <w:sz w:val="14"/>
          <w:szCs w:val="14"/>
          <w:color w:val="auto"/>
        </w:rPr>
        <w:t>significantly change the nature of our business.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As a result of all of these restrictions, we may be:</w:t>
      </w:r>
    </w:p>
    <w:p>
      <w:pPr>
        <w:spacing w:after="0" w:line="141" w:lineRule="exact"/>
        <w:rPr>
          <w:sz w:val="20"/>
          <w:szCs w:val="20"/>
          <w:color w:val="auto"/>
        </w:rPr>
      </w:pPr>
    </w:p>
    <w:p>
      <w:pPr>
        <w:ind w:left="500" w:hanging="247"/>
        <w:spacing w:after="0"/>
        <w:tabs>
          <w:tab w:leader="none" w:pos="500" w:val="left"/>
        </w:tabs>
        <w:numPr>
          <w:ilvl w:val="0"/>
          <w:numId w:val="24"/>
        </w:numPr>
        <w:rPr>
          <w:rFonts w:ascii="Arial" w:cs="Arial" w:eastAsia="Arial" w:hAnsi="Arial"/>
          <w:sz w:val="15"/>
          <w:szCs w:val="15"/>
          <w:color w:val="auto"/>
        </w:rPr>
      </w:pPr>
      <w:r>
        <w:rPr>
          <w:rFonts w:ascii="Arial" w:cs="Arial" w:eastAsia="Arial" w:hAnsi="Arial"/>
          <w:sz w:val="14"/>
          <w:szCs w:val="14"/>
          <w:color w:val="auto"/>
        </w:rPr>
        <w:t>limited in how we conduct our business and pursue our strategy;</w:t>
      </w:r>
    </w:p>
    <w:p>
      <w:pPr>
        <w:spacing w:after="0" w:line="98" w:lineRule="exact"/>
        <w:rPr>
          <w:rFonts w:ascii="Arial" w:cs="Arial" w:eastAsia="Arial" w:hAnsi="Arial"/>
          <w:sz w:val="15"/>
          <w:szCs w:val="15"/>
          <w:color w:val="auto"/>
        </w:rPr>
      </w:pPr>
    </w:p>
    <w:p>
      <w:pPr>
        <w:ind w:left="500" w:hanging="247"/>
        <w:spacing w:after="0"/>
        <w:tabs>
          <w:tab w:leader="none" w:pos="500" w:val="left"/>
        </w:tabs>
        <w:numPr>
          <w:ilvl w:val="0"/>
          <w:numId w:val="24"/>
        </w:numPr>
        <w:rPr>
          <w:rFonts w:ascii="Arial" w:cs="Arial" w:eastAsia="Arial" w:hAnsi="Arial"/>
          <w:sz w:val="15"/>
          <w:szCs w:val="15"/>
          <w:color w:val="auto"/>
        </w:rPr>
      </w:pPr>
      <w:r>
        <w:rPr>
          <w:rFonts w:ascii="Arial" w:cs="Arial" w:eastAsia="Arial" w:hAnsi="Arial"/>
          <w:sz w:val="14"/>
          <w:szCs w:val="14"/>
          <w:color w:val="auto"/>
        </w:rPr>
        <w:t>unable to raise additional debt financing to operate during general economic or business downturns; or</w:t>
      </w:r>
    </w:p>
    <w:p>
      <w:pPr>
        <w:spacing w:after="0" w:line="98" w:lineRule="exact"/>
        <w:rPr>
          <w:rFonts w:ascii="Arial" w:cs="Arial" w:eastAsia="Arial" w:hAnsi="Arial"/>
          <w:sz w:val="15"/>
          <w:szCs w:val="15"/>
          <w:color w:val="auto"/>
        </w:rPr>
      </w:pPr>
    </w:p>
    <w:p>
      <w:pPr>
        <w:ind w:left="500" w:hanging="247"/>
        <w:spacing w:after="0"/>
        <w:tabs>
          <w:tab w:leader="none" w:pos="500" w:val="left"/>
        </w:tabs>
        <w:numPr>
          <w:ilvl w:val="0"/>
          <w:numId w:val="24"/>
        </w:numPr>
        <w:rPr>
          <w:rFonts w:ascii="Arial" w:cs="Arial" w:eastAsia="Arial" w:hAnsi="Arial"/>
          <w:sz w:val="15"/>
          <w:szCs w:val="15"/>
          <w:color w:val="auto"/>
        </w:rPr>
      </w:pPr>
      <w:r>
        <w:rPr>
          <w:rFonts w:ascii="Arial" w:cs="Arial" w:eastAsia="Arial" w:hAnsi="Arial"/>
          <w:sz w:val="14"/>
          <w:szCs w:val="14"/>
          <w:color w:val="auto"/>
        </w:rPr>
        <w:t>unable to compete effectively or to take advantage of new business opportunities.</w:t>
      </w:r>
    </w:p>
    <w:p>
      <w:pPr>
        <w:spacing w:after="0" w:line="119" w:lineRule="exact"/>
        <w:rPr>
          <w:sz w:val="20"/>
          <w:szCs w:val="20"/>
          <w:color w:val="auto"/>
        </w:rPr>
      </w:pPr>
    </w:p>
    <w:p>
      <w:pPr>
        <w:ind w:right="120"/>
        <w:spacing w:after="0" w:line="255" w:lineRule="auto"/>
        <w:rPr>
          <w:sz w:val="20"/>
          <w:szCs w:val="20"/>
          <w:color w:val="auto"/>
        </w:rPr>
      </w:pPr>
      <w:r>
        <w:rPr>
          <w:rFonts w:ascii="Arial" w:cs="Arial" w:eastAsia="Arial" w:hAnsi="Arial"/>
          <w:sz w:val="14"/>
          <w:szCs w:val="14"/>
          <w:color w:val="auto"/>
        </w:rPr>
        <w:t>A breach of any of the restrictive covenants, if applicable, could result in an event of default under the terms of this indebtedness. If an event of default occurs, the lenders would have the right to accelerate the repayment of such debt and the event of default or acceleration may result in the acceleration of the repayment of any other of our debt to which a cross-default or cross-acceleration provision applies. Furthermore, under this indebtedness we have pledged our assets as collateral as security for our repayment obligations. If we were unable to repay any amount of this indebtedness when due and payable, the lenders could proceed against the collateral that secures this indebtedness. In the event our creditors accelerate the repayment of our borrowings, we may not have sufficient assets to repay such indebtedness, which could materially adversely affect our results of operations and financial condition.</w:t>
      </w:r>
    </w:p>
    <w:p>
      <w:pPr>
        <w:spacing w:after="0" w:line="101" w:lineRule="exact"/>
        <w:rPr>
          <w:sz w:val="20"/>
          <w:szCs w:val="20"/>
          <w:color w:val="auto"/>
        </w:rPr>
      </w:pPr>
    </w:p>
    <w:p>
      <w:pPr>
        <w:ind w:right="340"/>
        <w:spacing w:after="0" w:line="291" w:lineRule="auto"/>
        <w:rPr>
          <w:sz w:val="20"/>
          <w:szCs w:val="20"/>
          <w:color w:val="auto"/>
        </w:rPr>
      </w:pPr>
      <w:r>
        <w:rPr>
          <w:rFonts w:ascii="Arial" w:cs="Arial" w:eastAsia="Arial" w:hAnsi="Arial"/>
          <w:sz w:val="14"/>
          <w:szCs w:val="14"/>
          <w:b w:val="1"/>
          <w:bCs w:val="1"/>
          <w:i w:val="1"/>
          <w:iCs w:val="1"/>
          <w:color w:val="0066CC"/>
        </w:rPr>
        <w:t>The failure to obtain or maintain a satisfactory credit rating and financial performance could adversely affect our liquidity, capital position, borrowing costs, access to capital markets and our need or ability to post surety or performance bonds to support clients’ contracts.</w:t>
      </w:r>
    </w:p>
    <w:p>
      <w:pPr>
        <w:spacing w:after="0" w:line="66" w:lineRule="exact"/>
        <w:rPr>
          <w:sz w:val="20"/>
          <w:szCs w:val="20"/>
          <w:color w:val="auto"/>
        </w:rPr>
      </w:pPr>
    </w:p>
    <w:p>
      <w:pPr>
        <w:ind w:right="100"/>
        <w:spacing w:after="0" w:line="255" w:lineRule="auto"/>
        <w:rPr>
          <w:sz w:val="20"/>
          <w:szCs w:val="20"/>
          <w:color w:val="auto"/>
        </w:rPr>
      </w:pPr>
      <w:r>
        <w:rPr>
          <w:rFonts w:ascii="Arial" w:cs="Arial" w:eastAsia="Arial" w:hAnsi="Arial"/>
          <w:sz w:val="14"/>
          <w:szCs w:val="14"/>
          <w:color w:val="auto"/>
        </w:rPr>
        <w:t>Any future downgrades to our credit rating or perceived or actual weakness in our financial performance could negatively impact our ability to renew contracts with our existing clients and vendors, limit our ability to compete for new clients, result in increased premiums for surety or performance bonds and letters of credit to support our clients’ contracts, reduce our ability to obtain surety bonds, performance bonds and letters of credit and/or result in a requirement that we provide collateral to secure our surety or performance bonds and letters of credit. Further, certain of our commercial outsourcing contracts provide that, in the event our credit ratings are downgraded to specified levels, the client may elect to terminate its contract with us and either pay a reduced termination fee or, in some limited instances, no termination fee. Such a credit rating downgrade or perceived or actual weakness in our financial performance could adversely affect these client relationships.</w:t>
      </w:r>
    </w:p>
    <w:p>
      <w:pPr>
        <w:spacing w:after="0" w:line="99" w:lineRule="exact"/>
        <w:rPr>
          <w:sz w:val="20"/>
          <w:szCs w:val="20"/>
          <w:color w:val="auto"/>
        </w:rPr>
      </w:pPr>
    </w:p>
    <w:p>
      <w:pPr>
        <w:jc w:val="both"/>
        <w:ind w:right="160"/>
        <w:spacing w:after="0" w:line="265" w:lineRule="auto"/>
        <w:rPr>
          <w:sz w:val="20"/>
          <w:szCs w:val="20"/>
          <w:color w:val="auto"/>
        </w:rPr>
      </w:pPr>
      <w:r>
        <w:rPr>
          <w:rFonts w:ascii="Arial" w:cs="Arial" w:eastAsia="Arial" w:hAnsi="Arial"/>
          <w:sz w:val="14"/>
          <w:szCs w:val="14"/>
          <w:color w:val="auto"/>
        </w:rPr>
        <w:t>There can be no assurance that we will be able to maintain our credit ratings or financial performance. Any additional actual or anticipated downgrades of our credit ratings, including any announcement that our ratings are under review for a downgrade, or perceived or actual weak financial performance may have a negative impact on our liquidity, capital position, access to capital markets and ability to obtain surety bonds, performance bonds and letters of credit sufficient to support our existing and future business needs.</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Our profitability is dependent upon our ability to obtain adequate pricing for our services and to improve our cost structure.</w:t>
      </w:r>
    </w:p>
    <w:p>
      <w:pPr>
        <w:spacing w:after="0" w:line="129" w:lineRule="exact"/>
        <w:rPr>
          <w:sz w:val="20"/>
          <w:szCs w:val="20"/>
          <w:color w:val="auto"/>
        </w:rPr>
      </w:pPr>
    </w:p>
    <w:p>
      <w:pPr>
        <w:ind w:right="160"/>
        <w:spacing w:after="0" w:line="259" w:lineRule="auto"/>
        <w:rPr>
          <w:sz w:val="20"/>
          <w:szCs w:val="20"/>
          <w:color w:val="auto"/>
        </w:rPr>
      </w:pPr>
      <w:r>
        <w:rPr>
          <w:rFonts w:ascii="Arial" w:cs="Arial" w:eastAsia="Arial" w:hAnsi="Arial"/>
          <w:sz w:val="14"/>
          <w:szCs w:val="14"/>
          <w:color w:val="auto"/>
        </w:rPr>
        <w:t>Our success depends on our ability to obtain adequate pricing for our services that will provide a reasonable return to our shareholders. Depending on competitive market factors, future prices we obtain for our services may decline from previous levels. If we are unable to obtain adequate pricing for our services, it could materially adversely affect our results of operations and financial condition. In addition, our contracts are increasingly requiring tighter timelines for implementation as well as more stringent service level metrics. This makes the bidding process for new</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26" w:name="page27"/>
    <w:bookmarkEnd w:id="26"/>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4"/>
          <w:szCs w:val="14"/>
          <w:color w:val="auto"/>
        </w:rPr>
        <w:t>contracts much more difficult and requires us to adequately consider these requirements in the pricing of our services.</w:t>
      </w:r>
    </w:p>
    <w:p>
      <w:pPr>
        <w:spacing w:after="0" w:line="131" w:lineRule="exact"/>
        <w:rPr>
          <w:sz w:val="20"/>
          <w:szCs w:val="20"/>
          <w:color w:val="auto"/>
        </w:rPr>
      </w:pPr>
    </w:p>
    <w:p>
      <w:pPr>
        <w:ind w:right="80"/>
        <w:spacing w:after="0" w:line="255" w:lineRule="auto"/>
        <w:rPr>
          <w:sz w:val="20"/>
          <w:szCs w:val="20"/>
          <w:color w:val="auto"/>
        </w:rPr>
      </w:pPr>
      <w:r>
        <w:rPr>
          <w:rFonts w:ascii="Arial" w:cs="Arial" w:eastAsia="Arial" w:hAnsi="Arial"/>
          <w:sz w:val="14"/>
          <w:szCs w:val="14"/>
          <w:color w:val="auto"/>
        </w:rPr>
        <w:t>To meet the service requirements of our customers, which often includes 24/7 service, and to optimize our employee cost base, including our back-office support, we often locate our delivery service and back-office support centers in lower-cost locations, including several developing countries. Concentrating our centers in these locations presents several operational risks, many of which are beyond our control, including the risks of political instability, natural disasters, safety and security risks, labor disruptions, excessive employee turnover and rising labor rates. Additionally, a change in the political environment in the United States or the adoption and enforcement of legislation and regulations curbing the use of such centers outside of the United States could materially adversely affect our results of operations and financial condition. These risks could impair our ability to effectively provide services to our customers and keep our costs aligned to our associated revenues and market requirements.</w:t>
      </w:r>
    </w:p>
    <w:p>
      <w:pPr>
        <w:spacing w:after="0" w:line="99" w:lineRule="exact"/>
        <w:rPr>
          <w:sz w:val="20"/>
          <w:szCs w:val="20"/>
          <w:color w:val="auto"/>
        </w:rPr>
      </w:pPr>
    </w:p>
    <w:p>
      <w:pPr>
        <w:ind w:right="100"/>
        <w:spacing w:after="0" w:line="256" w:lineRule="auto"/>
        <w:rPr>
          <w:sz w:val="20"/>
          <w:szCs w:val="20"/>
          <w:color w:val="auto"/>
        </w:rPr>
      </w:pPr>
      <w:r>
        <w:rPr>
          <w:rFonts w:ascii="Arial" w:cs="Arial" w:eastAsia="Arial" w:hAnsi="Arial"/>
          <w:sz w:val="14"/>
          <w:szCs w:val="14"/>
          <w:color w:val="auto"/>
        </w:rPr>
        <w:t>Our ability to sustain and improve profit margins is dependent on a number of factors, including our ability to continue to improve the cost efficiency of our operations through such programs as robotic process automation, to absorb the level of pricing pressures on our services through cost improvements, our ability to hire and retain employees in the current global labor markets and to successfully complete information technology initiatives. If any of these factors adversely materialize or if we are unable to achieve and maintain productivity improvements through restructuring actions or information technology initiatives, our ability to offset labor cost inflation and competitive price pressures would be impaired, each of which could materially adversely affect our results of operations and financial condition.</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If we are unable to collect our receivables for billed or unbilled services, our results of operations and financial condition could be materially adversely affected.</w:t>
      </w:r>
    </w:p>
    <w:p>
      <w:pPr>
        <w:spacing w:after="0" w:line="129" w:lineRule="exact"/>
        <w:rPr>
          <w:sz w:val="20"/>
          <w:szCs w:val="20"/>
          <w:color w:val="auto"/>
        </w:rPr>
      </w:pPr>
    </w:p>
    <w:p>
      <w:pPr>
        <w:ind w:right="20"/>
        <w:spacing w:after="0" w:line="274" w:lineRule="auto"/>
        <w:rPr>
          <w:sz w:val="20"/>
          <w:szCs w:val="20"/>
          <w:color w:val="auto"/>
        </w:rPr>
      </w:pPr>
      <w:r>
        <w:rPr>
          <w:rFonts w:ascii="Arial" w:cs="Arial" w:eastAsia="Arial" w:hAnsi="Arial"/>
          <w:sz w:val="13"/>
          <w:szCs w:val="13"/>
          <w:color w:val="auto"/>
        </w:rPr>
        <w:t>The profitability of certain of our large contracts depends on our ability to successfully obtain payment from our clients of the amounts they owe us for work performed. Actual losses on client balances could differ from current estimates and, as a result, may require adjustment of our receivables for unbilled services. Our receivables include long-term contracts. Over the course of a long-term contract, our customers’ financial condition may change such that their ability to pay their obligations, and our ability to collect our fees for services rendered, is adversely affected. Additionally, we may perform work for the federal, state and local governments, with respect to which we must file requests for equitable adjustment or claims with the proper agency to seek recovery in whole or in part, for out-of-scope work directed or caused by the government customer in support of its project, and the amounts of such recoveries may not meet our expectations or cover our costs. Timely collection of client balances also depends on our ability to complete our contractual commitments (such as our ability to achieve specified milestones in percentage-of-completion contracts) and bill and collect our contracted revenues. If we are unable to meet our contractual requirements, we might experience delays in collection of and/or be unable to collect our client balances, and if this occurs, our results of operations and financial condition could be adversely affected. In addition, if we experience an increase in the time to bill and collect for our services, our results of operations and financial condition could be materially adversely affected.</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A decline in revenues from or a loss or failure of significant clients could materially adversely affect our results of operations and financial condition.</w:t>
      </w:r>
    </w:p>
    <w:p>
      <w:pPr>
        <w:spacing w:after="0" w:line="129" w:lineRule="exact"/>
        <w:rPr>
          <w:sz w:val="20"/>
          <w:szCs w:val="20"/>
          <w:color w:val="auto"/>
        </w:rPr>
      </w:pPr>
    </w:p>
    <w:p>
      <w:pPr>
        <w:ind w:right="140"/>
        <w:spacing w:after="0" w:line="256" w:lineRule="auto"/>
        <w:rPr>
          <w:sz w:val="20"/>
          <w:szCs w:val="20"/>
          <w:color w:val="auto"/>
        </w:rPr>
      </w:pPr>
      <w:r>
        <w:rPr>
          <w:rFonts w:ascii="Arial" w:cs="Arial" w:eastAsia="Arial" w:hAnsi="Arial"/>
          <w:sz w:val="14"/>
          <w:szCs w:val="14"/>
          <w:color w:val="auto"/>
        </w:rPr>
        <w:t>Our results of operations and financial condition could be materially adversely affected by the loss or failure of significant clients or any significant reduction in revenue volumes from our significant clients, which has occurred in the past and could occur in the future. Some of our clients are in business sectors which have experienced significant financial difficulties or consolidation, and/or the reduction of volumes or their inability to make payments to us, as a result of, among other things, their merger or acquisition, divestiture of assets or businesses, contract expiration, nonrenewal or early termination (including termination for convenience) or business or financial failure or deterioration. Economic and political conditions could affect our clients’ businesses and the markets they serve.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We have non-recurring revenue, which subjects us to a risk that our revenues and cash flows from operations may fluctuate from period to period.</w:t>
      </w:r>
    </w:p>
    <w:p>
      <w:pPr>
        <w:spacing w:after="0" w:line="129"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Revenue generated from our non-recurring services may fluctuate due to factors both within and outside of our control. Our mix of non-recurring and recurring revenues is impacted by acquisitions as well as growth in our non-recurring lines of business, as well as our strategic decisions to exit or reduce our services in particular service areas. There is less predictability and certainty in the timing and amount of revenues generated by our non-recurring services and, accordingly, our results of operations and financial condition could be materially adversely affected by the timing and amount of revenues generated from our non-recurring services.</w:t>
      </w:r>
    </w:p>
    <w:p>
      <w:pPr>
        <w:spacing w:after="0" w:line="28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27" w:name="page28"/>
    <w:bookmarkEnd w:id="27"/>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4" w:lineRule="exact"/>
        <w:rPr>
          <w:sz w:val="20"/>
          <w:szCs w:val="20"/>
          <w:color w:val="auto"/>
        </w:rPr>
      </w:pPr>
    </w:p>
    <w:p>
      <w:pPr>
        <w:ind w:right="460"/>
        <w:spacing w:after="0" w:line="291" w:lineRule="auto"/>
        <w:rPr>
          <w:sz w:val="20"/>
          <w:szCs w:val="20"/>
          <w:color w:val="auto"/>
        </w:rPr>
      </w:pPr>
      <w:r>
        <w:rPr>
          <w:rFonts w:ascii="Arial" w:cs="Arial" w:eastAsia="Arial" w:hAnsi="Arial"/>
          <w:sz w:val="14"/>
          <w:szCs w:val="14"/>
          <w:b w:val="1"/>
          <w:bCs w:val="1"/>
          <w:i w:val="1"/>
          <w:iCs w:val="1"/>
          <w:color w:val="0066CC"/>
        </w:rPr>
        <w:t>Increases in the cost of voice and data services or significant interruptions in such services could materially adversely affect our results of operations and financial condition.</w:t>
      </w:r>
    </w:p>
    <w:p>
      <w:pPr>
        <w:spacing w:after="0" w:line="66" w:lineRule="exact"/>
        <w:rPr>
          <w:sz w:val="20"/>
          <w:szCs w:val="20"/>
          <w:color w:val="auto"/>
        </w:rPr>
      </w:pPr>
    </w:p>
    <w:p>
      <w:pPr>
        <w:spacing w:after="0" w:line="253" w:lineRule="auto"/>
        <w:rPr>
          <w:sz w:val="20"/>
          <w:szCs w:val="20"/>
          <w:color w:val="auto"/>
        </w:rPr>
      </w:pPr>
      <w:r>
        <w:rPr>
          <w:rFonts w:ascii="Arial" w:cs="Arial" w:eastAsia="Arial" w:hAnsi="Arial"/>
          <w:sz w:val="14"/>
          <w:szCs w:val="14"/>
          <w:color w:val="auto"/>
        </w:rPr>
        <w:t>Our business is significantly dependent on voice and data services provided by various communication and data service providers around the world. Accordingly, any disruption of these services could materially adversely affect our results of operations and financial condition. Any inability to obtain voice or data services at favorable rates could materially adversely affect our results of operations and financial condition. Where possible, we have entered into long term contracts with various providers to have price certainty and avoid short term rate increases and fluctuations. There is no obligation for our vendors to renew their long term contracts with us, or to offer the same or lower rates in the future, and such contracts are subject to termination or modification for various reasons outside of our control. A significant increase in the cost of voice or data services that is not recoverable through an increase in the price of our services could materially adversely affect our results of operations and financial condition. In addition, a number of our facilities are located in jurisdictions outside of the United States where the provision of utility services, including electricity and water, may not be consistently reliable, and an extended outage of utility or network services could materially adversely affect our results of operations and financial condition.</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We are a holding company and, therefore, may not be able to receive dividends or other payments in needed amounts from our subsidiaries.</w:t>
      </w:r>
    </w:p>
    <w:p>
      <w:pPr>
        <w:spacing w:after="0" w:line="129" w:lineRule="exact"/>
        <w:rPr>
          <w:sz w:val="20"/>
          <w:szCs w:val="20"/>
          <w:color w:val="auto"/>
        </w:rPr>
      </w:pPr>
    </w:p>
    <w:p>
      <w:pPr>
        <w:ind w:right="100"/>
        <w:spacing w:after="0" w:line="255" w:lineRule="auto"/>
        <w:rPr>
          <w:sz w:val="20"/>
          <w:szCs w:val="20"/>
          <w:color w:val="auto"/>
        </w:rPr>
      </w:pPr>
      <w:r>
        <w:rPr>
          <w:rFonts w:ascii="Arial" w:cs="Arial" w:eastAsia="Arial" w:hAnsi="Arial"/>
          <w:sz w:val="14"/>
          <w:szCs w:val="14"/>
          <w:color w:val="auto"/>
        </w:rPr>
        <w:t>Our principal assets are the shares of capital stock and indebtedness of our subsidiaries. We rely on dividends, interest and other payments from these subsidiaries to meet our obligations for paying principal and interest on outstanding debt obligations, paying corporate expenses and, if determined by our Board of Directors, paying dividends to shareholders and repurchasing common shares. Certain of our subsidiaries are subject to regulatory requirements of the jurisdictions in which they operate or other restrictions that may limit the amounts that these subsidiaries can pay in dividends or other payments to us. No assurance can be given that there will not be further changes in law, regulatory actions or other circumstances that could restrict the ability of our subsidiaries to pay dividends to us. In addition, due to differences in tax rates, repatriation of funds from certain countries into the United States could have unfavorable tax ramifications for us.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We operate globally and changes in tax laws could adversely affect our results.</w:t>
      </w:r>
    </w:p>
    <w:p>
      <w:pPr>
        <w:spacing w:after="0" w:line="129"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We monitor U.S. and non-U.S. tax law changes that may adversely impact our overall tax costs. From time to time, proposals have been made and/or legislation has been introduced to change tax rates, as well as related tax laws, regulations or interpretations thereof, by various jurisdictions, or to limit tax treaty benefits which, if enacted or implemented, could materially increase our tax costs and/or our effective tax rate and could have a material adverse impact on our financial condition and results of operations. In addition, we are subject to the examination of our income tax returns by the United States Internal Revenue Service and other tax authorities around the world. The company regularly assesses the likelihood of adverse outcomes resulting from these examinations to determine the adequacy of its provision for income taxes. There can be no assurance that the outcomes from these examinations will not have an adverse effect on the company’s provision for income taxes and cash tax liability.</w:t>
      </w:r>
    </w:p>
    <w:p>
      <w:pPr>
        <w:spacing w:after="0" w:line="286"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28" w:name="page29"/>
    <w:bookmarkEnd w:id="28"/>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1B. UNRESOLVED STAFF COMMENTS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1C. CYBERSECURITY MATTERS</w:t>
      </w:r>
    </w:p>
    <w:p>
      <w:pPr>
        <w:spacing w:after="0" w:line="123" w:lineRule="exact"/>
        <w:rPr>
          <w:sz w:val="20"/>
          <w:szCs w:val="20"/>
          <w:color w:val="auto"/>
        </w:rPr>
      </w:pPr>
    </w:p>
    <w:p>
      <w:pPr>
        <w:ind w:right="360"/>
        <w:spacing w:after="0" w:line="322" w:lineRule="auto"/>
        <w:rPr>
          <w:sz w:val="20"/>
          <w:szCs w:val="20"/>
          <w:color w:val="auto"/>
        </w:rPr>
      </w:pPr>
      <w:r>
        <w:rPr>
          <w:rFonts w:ascii="Arial" w:cs="Arial" w:eastAsia="Arial" w:hAnsi="Arial"/>
          <w:sz w:val="13"/>
          <w:szCs w:val="13"/>
          <w:color w:val="auto"/>
        </w:rPr>
        <w:t>As a leader in business process solutions, we leverage cloud computing, artificial intelligence, machine learning, automation and advanced analytics, our systems and information technology, and that of our third-party providers, and our interfaces with our customers are critical to our business, operating results, growth, prospects and reputation.</w:t>
      </w:r>
    </w:p>
    <w:p>
      <w:pPr>
        <w:spacing w:after="0" w:line="57"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We act as a trusted business partner in providing both front-office and back-office platforms. As part of our business process outsourcing solutions, we develop system software platforms necessary to support our customers’ needs, with significant ongoing investment in developing and operating customer-appropriate operating systems, databases and system software solutions. We also receive, process, transmit and store substantial volumes of personal information relating to identifiable individuals. Additionally, we receive, process and implement financial transactions and disburse funds on behalf of both commercial and government customers.</w:t>
      </w:r>
    </w:p>
    <w:p>
      <w:pPr>
        <w:spacing w:after="0" w:line="97" w:lineRule="exact"/>
        <w:rPr>
          <w:sz w:val="20"/>
          <w:szCs w:val="20"/>
          <w:color w:val="auto"/>
        </w:rPr>
      </w:pPr>
    </w:p>
    <w:p>
      <w:pPr>
        <w:ind w:right="100"/>
        <w:spacing w:after="0" w:line="256" w:lineRule="auto"/>
        <w:rPr>
          <w:sz w:val="20"/>
          <w:szCs w:val="20"/>
          <w:color w:val="auto"/>
        </w:rPr>
      </w:pPr>
      <w:r>
        <w:rPr>
          <w:rFonts w:ascii="Arial" w:cs="Arial" w:eastAsia="Arial" w:hAnsi="Arial"/>
          <w:sz w:val="14"/>
          <w:szCs w:val="14"/>
          <w:color w:val="auto"/>
        </w:rPr>
        <w:t>We devote significant resources to cybersecurity and cybersecurity risk management processes to adapt to the changing cybersecurity landscape and to respond to emerging threats. We maintain a cybersecurity risk management program to assess, identify, manage, mitigate and respond to material risks from cybersecurity threats to both our corporate information technology environment and to customer-facing products. This program is integrated into our overall Enterprise Risk Management (“ERM”) program, which is designed to strengthen our risk management capabilities by developing and implementing a governance structure, risk management framework, and processes that enable the identification, assessment, monitoring and management of risks.</w:t>
      </w:r>
    </w:p>
    <w:p>
      <w:pPr>
        <w:spacing w:after="0" w:line="100" w:lineRule="exact"/>
        <w:rPr>
          <w:sz w:val="20"/>
          <w:szCs w:val="20"/>
          <w:color w:val="auto"/>
        </w:rPr>
      </w:pPr>
    </w:p>
    <w:p>
      <w:pPr>
        <w:ind w:right="60"/>
        <w:spacing w:after="0" w:line="254" w:lineRule="auto"/>
        <w:rPr>
          <w:sz w:val="20"/>
          <w:szCs w:val="20"/>
          <w:color w:val="auto"/>
        </w:rPr>
      </w:pPr>
      <w:r>
        <w:rPr>
          <w:rFonts w:ascii="Arial" w:cs="Arial" w:eastAsia="Arial" w:hAnsi="Arial"/>
          <w:sz w:val="14"/>
          <w:szCs w:val="14"/>
          <w:color w:val="auto"/>
        </w:rPr>
        <w:t>The underlying controls of our cybersecurity risk management program are based upon industry standards for cybersecurity and information technology. Our corporate information technology environment aligns with Center for Internet Security Critical Security Controls (“CIS CSC”). Our systems that manage customer-facing products, where appropriate and contractually required, are certified/attested to applicable security standards, including, without limitation, National Institute of Standards and Technology's publication (NIST 800-53 rev 5 moderate baseline), Payment Card Industry Data Security Standard ("PCI-DSS"), Health Insurance Portability and Accountability Act ("HIPAA"), International Organization for Standardization ("ISO") and, the International Electrotechnical Commission ("IEC") Standard (ISO/IEC 27001:2013 &amp; ISO 9001:2015). Our policies and procedures concerning cybersecurity matters include processes to safeguard our information systems, monitor these systems, protect the confidentiality and integrity of our data, train and raise awareness of cybersecurity threats among employees, detect intrusions into our systems and respond to cybersecurity incidents.</w:t>
      </w:r>
    </w:p>
    <w:p>
      <w:pPr>
        <w:spacing w:after="0" w:line="99"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color w:val="auto"/>
        </w:rPr>
        <w:t>As part of our overall risk management strategy, we leverage a defense in depth philosophy, which includes, but is not limited to, additional end-user training, layered technology defenses, identifying and protecting critical assets, strengthening monitoring and warning systems and engaging industry and subject matter experts. We regularly test defenses by performing simulations and exercises at both a technical level and by reviewing our operational policies and procedures with third-party experts. At the management level, our cybersecurity team regularly monitors alerts and meets to discuss industry threats, trends and remediation tactics. The cybersecurity team also regularly prepares a cyber report that includes metrics and compliance performance, collects data on cybersecurity threats and risks and conducts an annual risk assessment, which it uses to assess and refine Conduent's overall security posture. Furthermore, we receive cybersecurity alerts and threat intelligence from our peers, government agencies, information sharing and analysis centers and cybersecurity associations, as well as conduct periodic external penetration tests and gap testing to assess our processes and procedures and the ever-changing threat landscape. We have created and continually update, as required, a detailed incident response plan, which outlines the steps to be followed from incident detection to eradication, recovery and notification and which we implement in the event of a cybersecurity incident.</w:t>
      </w:r>
    </w:p>
    <w:p>
      <w:pPr>
        <w:spacing w:after="0" w:line="104" w:lineRule="exact"/>
        <w:rPr>
          <w:sz w:val="20"/>
          <w:szCs w:val="20"/>
          <w:color w:val="auto"/>
        </w:rPr>
      </w:pPr>
    </w:p>
    <w:p>
      <w:pPr>
        <w:jc w:val="both"/>
        <w:ind w:right="420"/>
        <w:spacing w:after="0" w:line="294" w:lineRule="auto"/>
        <w:rPr>
          <w:sz w:val="20"/>
          <w:szCs w:val="20"/>
          <w:color w:val="auto"/>
        </w:rPr>
      </w:pPr>
      <w:r>
        <w:rPr>
          <w:rFonts w:ascii="Arial" w:cs="Arial" w:eastAsia="Arial" w:hAnsi="Arial"/>
          <w:sz w:val="13"/>
          <w:szCs w:val="13"/>
          <w:color w:val="auto"/>
        </w:rPr>
        <w:t>We also engage third parties and cybersecurity consultants on a regular basis to assess, test, and assist with the implementation of our risk management strategies, policies and procedures to enhance our detection, response and management of cybersecurity risks and compliance frameworks, including but not limited to, consultants who assist with risk assessment, assist with our PCI-DSS compliance assessments, assess our systems’ alignment with the NIST Cybersecurity Framework, ensuring adherence to ISO audits.</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29" w:name="page30"/>
    <w:bookmarkEnd w:id="29"/>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300"/>
        <w:spacing w:after="0" w:line="259" w:lineRule="auto"/>
        <w:rPr>
          <w:sz w:val="20"/>
          <w:szCs w:val="20"/>
          <w:color w:val="auto"/>
        </w:rPr>
      </w:pPr>
      <w:r>
        <w:rPr>
          <w:rFonts w:ascii="Arial" w:cs="Arial" w:eastAsia="Arial" w:hAnsi="Arial"/>
          <w:sz w:val="14"/>
          <w:szCs w:val="14"/>
          <w:color w:val="auto"/>
        </w:rPr>
        <w:t>We rely on a variety of security software, including cloud-based technology to scan and analyze for vulnerable software or misconfigurations, for our operations and our business processing solutions. These systems are either developed by us or licensed from or maintained by third-party providers. We assess key third-party cybersecurity controls through a cybersecurity questionnaire, require the implementation of certain security controls in our contracts where applicable, maintain continuous monitoring during the engagement of the third party, and maintain the ability to discontinue our engagement with a key vendor if its cybersecurity posture fails to meet pre-established standards.</w:t>
      </w:r>
    </w:p>
    <w:p>
      <w:pPr>
        <w:spacing w:after="0" w:line="97" w:lineRule="exact"/>
        <w:rPr>
          <w:sz w:val="20"/>
          <w:szCs w:val="20"/>
          <w:color w:val="auto"/>
        </w:rPr>
      </w:pPr>
    </w:p>
    <w:p>
      <w:pPr>
        <w:ind w:right="40"/>
        <w:spacing w:after="0" w:line="255" w:lineRule="auto"/>
        <w:rPr>
          <w:sz w:val="20"/>
          <w:szCs w:val="20"/>
          <w:color w:val="auto"/>
        </w:rPr>
      </w:pPr>
      <w:r>
        <w:rPr>
          <w:rFonts w:ascii="Arial" w:cs="Arial" w:eastAsia="Arial" w:hAnsi="Arial"/>
          <w:sz w:val="14"/>
          <w:szCs w:val="14"/>
          <w:color w:val="auto"/>
        </w:rPr>
        <w:t>Our Board of Directors (the “Board”) maintains oversight responsibility for our ERM program. This oversight is facilitated primarily through the Risk Oversight Committee of the Board (the “Risk Committee”), which reviews the ERM program, related assessments and remediation activities for subsequent review by the Board. As part of its ERM oversight responsibilities, the Risk Committee is responsible for oversight of the Company’s cybersecurity risk management, including the Company’s material programs, policies and safeguards for information security, cybersecurity and data security. At least quarterly (and more frequently as required), the Risk Committee and Audit Committee meet with management, including the Chief Information Security Officer (the “CISO”), to discuss, assess and determine the allocation of resources to risk matters, including cybersecurity risks, which enables effective integration of risk practices into strategic planning and enterprise decision-making.</w:t>
      </w:r>
    </w:p>
    <w:p>
      <w:pPr>
        <w:spacing w:after="0" w:line="99"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color w:val="auto"/>
        </w:rPr>
        <w:t>The Risk Committee works with the CISO and the Company’s senior executives in reviewing the cybersecurity risks and strategy, provides guidance on the Company’s cybersecurity goals and objectives, and monitors the information it receives from management regarding the assessment and management of cybersecurity risk. The Risk Committee also conducts an annual review that includes a survey of enhancements to the Company’s defenses and a cyber trend report, as well as management’s progress in implementing the Company’s cybersecurity strategic roadmap and compliance initiatives.</w:t>
      </w:r>
    </w:p>
    <w:p>
      <w:pPr>
        <w:spacing w:after="0" w:line="97" w:lineRule="exact"/>
        <w:rPr>
          <w:sz w:val="20"/>
          <w:szCs w:val="20"/>
          <w:color w:val="auto"/>
        </w:rPr>
      </w:pPr>
    </w:p>
    <w:p>
      <w:pPr>
        <w:ind w:right="200"/>
        <w:spacing w:after="0" w:line="256" w:lineRule="auto"/>
        <w:rPr>
          <w:sz w:val="20"/>
          <w:szCs w:val="20"/>
          <w:color w:val="auto"/>
        </w:rPr>
      </w:pPr>
      <w:r>
        <w:rPr>
          <w:rFonts w:ascii="Arial" w:cs="Arial" w:eastAsia="Arial" w:hAnsi="Arial"/>
          <w:sz w:val="14"/>
          <w:szCs w:val="14"/>
          <w:color w:val="auto"/>
        </w:rPr>
        <w:t>The Company’s CISO, a Certified Information Systems Professional with over 15 years of technical and cybersecurity leadership in large multinational organizations, reports to our Executive Vice President, Chief Information Officer and is responsible for assessing, implementing and managing the Company’s cybersecurity risk management program, informing senior management regarding the prevention, detection, mitigation and remediation of cybersecurity incidents, as well as supervising such efforts. The CISO approves the cybersecurity policies and procedures, implementation of controls, monitoring and detection programs and employee training on cybersecurity risks. The CISO also reports cybersecurity risks and strategies directly to executive leadership.</w:t>
      </w:r>
    </w:p>
    <w:p>
      <w:pPr>
        <w:spacing w:after="0" w:line="100"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As noted above, we face a number of cybersecurity risks in connection with our business and, from time to time, experience or are subject to a variety of cybersecurity incidents that arise during the ordinary course of its business. We do not believe that any incidents that have occurred prior to the date of this report have had or will have a material adverse effect on our business strategy, results of operations, reputation or financial position. Future cybersecurity incidents could, however, materially affect our strategy, results of operations, reputation or financial condition. See Item 1A. Risk Factors for additional information on how risks could materially affect the Company.</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2. PROPERTIES</w:t>
      </w:r>
    </w:p>
    <w:p>
      <w:pPr>
        <w:spacing w:after="0" w:line="123" w:lineRule="exact"/>
        <w:rPr>
          <w:sz w:val="20"/>
          <w:szCs w:val="20"/>
          <w:color w:val="auto"/>
        </w:rPr>
      </w:pPr>
    </w:p>
    <w:p>
      <w:pPr>
        <w:ind w:right="100"/>
        <w:spacing w:after="0" w:line="256" w:lineRule="auto"/>
        <w:rPr>
          <w:sz w:val="20"/>
          <w:szCs w:val="20"/>
          <w:color w:val="auto"/>
        </w:rPr>
      </w:pPr>
      <w:r>
        <w:rPr>
          <w:rFonts w:ascii="Arial" w:cs="Arial" w:eastAsia="Arial" w:hAnsi="Arial"/>
          <w:sz w:val="14"/>
          <w:szCs w:val="14"/>
          <w:color w:val="auto"/>
        </w:rPr>
        <w:t>We lease and own numerous facilities worldwide with larger concentrations of space in Kentucky, New Jersey, Texas, Guatemala, India, the Philippines, Jamaica and the Netherlands. Our owned and leased facilities house general offices, sales offices, service locations, call centers and distribution centers. The size of our property portfolio as of December 31, 2023 was approximately 4.9 million square feet at an annual operating cost (lease costs and expenses) of approximately $135 million and was composed of 186 leased properties and 4 owned properties. We believe that our current facilities are suitable and adequate for our current businesses. Because of the interrelation of our business segments, each of the segments uses substantially all of these properties at least in part.</w:t>
      </w:r>
    </w:p>
    <w:p>
      <w:pPr>
        <w:spacing w:after="0" w:line="100"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During 2023, we aggressively pursued portfolio reduction opportunities through lease terminations, subleases and consolidation of properties. As a result, the surplus property portfolio was reduced by approximately 0.7 million square feet during the year ended December 31, 2023. Additional leased and owned properties may become surplus in the future as we continue to optimize our workforce location strategy based on existing conditions and leverage enhanced work-from-home capabilities. Although we are obligated to maintain our leased surplus properties through required contractual lease periods, we continue to examine opportunities to dispose of or sublease these properties and further align our business units in an effort to best optimize the portfolio.</w:t>
      </w:r>
    </w:p>
    <w:p>
      <w:pPr>
        <w:spacing w:after="0" w:line="200" w:lineRule="exact"/>
        <w:rPr>
          <w:sz w:val="20"/>
          <w:szCs w:val="20"/>
          <w:color w:val="auto"/>
        </w:rPr>
      </w:pPr>
    </w:p>
    <w:p>
      <w:pPr>
        <w:spacing w:after="0" w:line="25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30" w:name="page31"/>
    <w:bookmarkEnd w:id="30"/>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3. LEGAL PROCEEDINGS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set forth under Note 16 – Contingencies and Litigation to the Consolidated Financial Statements in Part II, Item 8 is incorporated herein by reference.</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4. MINE SAFETY DISCLOSURES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31" w:name="page32"/>
    <w:bookmarkEnd w:id="31"/>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Part II</w:t>
      </w:r>
    </w:p>
    <w:p>
      <w:pPr>
        <w:spacing w:after="0" w:line="190" w:lineRule="exact"/>
        <w:rPr>
          <w:sz w:val="20"/>
          <w:szCs w:val="20"/>
          <w:color w:val="auto"/>
        </w:rPr>
      </w:pPr>
    </w:p>
    <w:p>
      <w:pPr>
        <w:ind w:right="260"/>
        <w:spacing w:after="0" w:line="283" w:lineRule="auto"/>
        <w:rPr>
          <w:sz w:val="20"/>
          <w:szCs w:val="20"/>
          <w:color w:val="auto"/>
        </w:rPr>
      </w:pPr>
      <w:r>
        <w:rPr>
          <w:rFonts w:ascii="Arial" w:cs="Arial" w:eastAsia="Arial" w:hAnsi="Arial"/>
          <w:sz w:val="17"/>
          <w:szCs w:val="17"/>
          <w:b w:val="1"/>
          <w:bCs w:val="1"/>
          <w:color w:val="0066CC"/>
        </w:rPr>
        <w:t>ITEM 5. MARKET FOR THE REGISTRANT'S COMMON EQUITY, RELATED STOCKHOLDER MATTERS AND ISSUER PURCHASES OF EQUITY SECURITIES</w:t>
      </w: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Stock Exchange Information</w:t>
      </w:r>
    </w:p>
    <w:p>
      <w:pPr>
        <w:spacing w:after="0" w:line="193" w:lineRule="exact"/>
        <w:rPr>
          <w:sz w:val="20"/>
          <w:szCs w:val="20"/>
          <w:color w:val="auto"/>
        </w:rPr>
      </w:pPr>
    </w:p>
    <w:p>
      <w:pPr>
        <w:ind w:right="80"/>
        <w:spacing w:after="0" w:line="266" w:lineRule="auto"/>
        <w:rPr>
          <w:sz w:val="20"/>
          <w:szCs w:val="20"/>
          <w:color w:val="auto"/>
        </w:rPr>
      </w:pPr>
      <w:r>
        <w:rPr>
          <w:rFonts w:ascii="Arial" w:cs="Arial" w:eastAsia="Arial" w:hAnsi="Arial"/>
          <w:sz w:val="14"/>
          <w:szCs w:val="14"/>
          <w:color w:val="auto"/>
        </w:rPr>
        <w:t>The common stock of Conduent began trading on January 3, 2017, on the New York Stock Exchange, under the ticker "CNDT". In December 2019, Conduent changed the listing of its publicly traded common stock from the New York Stock Exchange to the Nasdaq, where it remains listed under the ticker "CNDT".</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Common Shareholders of Record</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There were 13,038 shareholders of record as of January 31, 2024.</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Conduent Common Stock Dividends</w:t>
      </w:r>
    </w:p>
    <w:p>
      <w:pPr>
        <w:spacing w:after="0" w:line="193"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We did not pay any dividends on our common stock in 2023. We intend to retain future earnings for use in the operation of our business and to fund future growth. We do not anticipate paying any dividends on our common stock for the foreseeable future.</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132080</wp:posOffset>
            </wp:positionV>
            <wp:extent cx="4524375" cy="2328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524375" cy="2328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32" w:name="page33"/>
    <w:bookmarkEnd w:id="32"/>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Purchases of Equity Securities by the Issuer and Affiliated Purchasers</w:t>
      </w:r>
    </w:p>
    <w:p>
      <w:pPr>
        <w:spacing w:after="0" w:line="131" w:lineRule="exact"/>
        <w:rPr>
          <w:sz w:val="20"/>
          <w:szCs w:val="20"/>
          <w:color w:val="auto"/>
        </w:rPr>
      </w:pPr>
    </w:p>
    <w:p>
      <w:pPr>
        <w:spacing w:after="0"/>
        <w:rPr>
          <w:sz w:val="20"/>
          <w:szCs w:val="20"/>
          <w:color w:val="auto"/>
        </w:rPr>
      </w:pPr>
      <w:r>
        <w:rPr>
          <w:rFonts w:ascii="Arial" w:cs="Arial" w:eastAsia="Arial" w:hAnsi="Arial"/>
          <w:sz w:val="13"/>
          <w:szCs w:val="13"/>
          <w:color w:val="auto"/>
        </w:rPr>
        <w:t>Share repurchase activity during the three months ended December 31, 2023 was as follows:</w:t>
      </w:r>
    </w:p>
    <w:p>
      <w:pPr>
        <w:sectPr>
          <w:pgSz w:w="11900" w:h="16838" w:orient="portrait"/>
          <w:cols w:equalWidth="0" w:num="1">
            <w:col w:w="11280"/>
          </w:cols>
          <w:pgMar w:left="300" w:top="156" w:right="319" w:bottom="1440" w:gutter="0" w:footer="0" w:header="0"/>
        </w:sect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11"/>
          <w:szCs w:val="11"/>
          <w:color w:val="auto"/>
        </w:rPr>
        <w:t>Period</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1"/>
          <w:szCs w:val="11"/>
          <w:color w:val="auto"/>
        </w:rPr>
        <w:t>October 1-31, 2023</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1"/>
          <w:szCs w:val="11"/>
          <w:color w:val="auto"/>
        </w:rPr>
        <w:t>November 1-30, 2023</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1"/>
          <w:szCs w:val="11"/>
          <w:color w:val="auto"/>
        </w:rPr>
        <w:t>December 1-31, 2023</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Total</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920" w:type="dxa"/>
            <w:vAlign w:val="bottom"/>
            <w:gridSpan w:val="2"/>
            <w:vMerge w:val="restart"/>
          </w:tcPr>
          <w:p>
            <w:pPr>
              <w:spacing w:after="0"/>
              <w:rPr>
                <w:sz w:val="20"/>
                <w:szCs w:val="20"/>
                <w:color w:val="auto"/>
              </w:rPr>
            </w:pPr>
            <w:r>
              <w:rPr>
                <w:rFonts w:ascii="Arial" w:cs="Arial" w:eastAsia="Arial" w:hAnsi="Arial"/>
                <w:sz w:val="11"/>
                <w:szCs w:val="11"/>
                <w:color w:val="auto"/>
              </w:rPr>
              <w:t>Total Number of Shares Purchased</w:t>
            </w:r>
            <w:r>
              <w:rPr>
                <w:rFonts w:ascii="Arial" w:cs="Arial" w:eastAsia="Arial" w:hAnsi="Arial"/>
                <w:sz w:val="14"/>
                <w:szCs w:val="14"/>
                <w:color w:val="auto"/>
                <w:vertAlign w:val="superscript"/>
              </w:rPr>
              <w:t>(1)</w:t>
            </w:r>
          </w:p>
        </w:tc>
        <w:tc>
          <w:tcPr>
            <w:tcW w:w="60" w:type="dxa"/>
            <w:vAlign w:val="bottom"/>
          </w:tcPr>
          <w:p>
            <w:pPr>
              <w:spacing w:after="0"/>
              <w:rPr>
                <w:sz w:val="10"/>
                <w:szCs w:val="10"/>
                <w:color w:val="auto"/>
              </w:rPr>
            </w:pPr>
          </w:p>
        </w:tc>
        <w:tc>
          <w:tcPr>
            <w:tcW w:w="1760" w:type="dxa"/>
            <w:vAlign w:val="bottom"/>
            <w:gridSpan w:val="2"/>
            <w:vMerge w:val="restart"/>
          </w:tcPr>
          <w:p>
            <w:pPr>
              <w:spacing w:after="0"/>
              <w:rPr>
                <w:sz w:val="20"/>
                <w:szCs w:val="20"/>
                <w:color w:val="auto"/>
              </w:rPr>
            </w:pPr>
            <w:r>
              <w:rPr>
                <w:rFonts w:ascii="Arial" w:cs="Arial" w:eastAsia="Arial" w:hAnsi="Arial"/>
                <w:sz w:val="11"/>
                <w:szCs w:val="11"/>
                <w:color w:val="auto"/>
              </w:rPr>
              <w:t xml:space="preserve">Average Price Paid Per Share </w:t>
            </w:r>
            <w:r>
              <w:rPr>
                <w:rFonts w:ascii="Arial" w:cs="Arial" w:eastAsia="Arial" w:hAnsi="Arial"/>
                <w:sz w:val="14"/>
                <w:szCs w:val="14"/>
                <w:color w:val="auto"/>
                <w:vertAlign w:val="superscript"/>
              </w:rPr>
              <w:t>(2)</w:t>
            </w:r>
          </w:p>
        </w:tc>
        <w:tc>
          <w:tcPr>
            <w:tcW w:w="2320" w:type="dxa"/>
            <w:vAlign w:val="bottom"/>
            <w:gridSpan w:val="2"/>
          </w:tcPr>
          <w:p>
            <w:pPr>
              <w:jc w:val="center"/>
              <w:ind w:right="80"/>
              <w:spacing w:after="0"/>
              <w:rPr>
                <w:sz w:val="20"/>
                <w:szCs w:val="20"/>
                <w:color w:val="auto"/>
              </w:rPr>
            </w:pPr>
            <w:r>
              <w:rPr>
                <w:rFonts w:ascii="Arial" w:cs="Arial" w:eastAsia="Arial" w:hAnsi="Arial"/>
                <w:sz w:val="11"/>
                <w:szCs w:val="11"/>
                <w:color w:val="auto"/>
              </w:rPr>
              <w:t>Total Number of Shares Purchased as a Part</w:t>
            </w:r>
          </w:p>
        </w:tc>
        <w:tc>
          <w:tcPr>
            <w:tcW w:w="160" w:type="dxa"/>
            <w:vAlign w:val="bottom"/>
          </w:tcPr>
          <w:p>
            <w:pPr>
              <w:spacing w:after="0"/>
              <w:rPr>
                <w:sz w:val="10"/>
                <w:szCs w:val="10"/>
                <w:color w:val="auto"/>
              </w:rPr>
            </w:pPr>
          </w:p>
        </w:tc>
        <w:tc>
          <w:tcPr>
            <w:tcW w:w="2880" w:type="dxa"/>
            <w:vAlign w:val="bottom"/>
          </w:tcPr>
          <w:p>
            <w:pPr>
              <w:jc w:val="right"/>
              <w:ind w:right="184"/>
              <w:spacing w:after="0"/>
              <w:rPr>
                <w:sz w:val="20"/>
                <w:szCs w:val="20"/>
                <w:color w:val="auto"/>
              </w:rPr>
            </w:pPr>
            <w:r>
              <w:rPr>
                <w:rFonts w:ascii="Arial" w:cs="Arial" w:eastAsia="Arial" w:hAnsi="Arial"/>
                <w:sz w:val="11"/>
                <w:szCs w:val="11"/>
                <w:color w:val="auto"/>
              </w:rPr>
              <w:t>Approximate Dollar Value of Shares that May Yet Be</w:t>
            </w:r>
          </w:p>
        </w:tc>
        <w:tc>
          <w:tcPr>
            <w:tcW w:w="0" w:type="dxa"/>
            <w:vAlign w:val="bottom"/>
          </w:tcPr>
          <w:p>
            <w:pPr>
              <w:spacing w:after="0"/>
              <w:rPr>
                <w:sz w:val="1"/>
                <w:szCs w:val="1"/>
                <w:color w:val="auto"/>
              </w:rPr>
            </w:pPr>
          </w:p>
        </w:tc>
      </w:tr>
      <w:tr>
        <w:trPr>
          <w:trHeight w:val="142"/>
        </w:trPr>
        <w:tc>
          <w:tcPr>
            <w:tcW w:w="19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2320" w:type="dxa"/>
            <w:vAlign w:val="bottom"/>
            <w:gridSpan w:val="2"/>
          </w:tcPr>
          <w:p>
            <w:pPr>
              <w:jc w:val="center"/>
              <w:ind w:right="80"/>
              <w:spacing w:after="0"/>
              <w:rPr>
                <w:sz w:val="20"/>
                <w:szCs w:val="20"/>
                <w:color w:val="auto"/>
              </w:rPr>
            </w:pPr>
            <w:r>
              <w:rPr>
                <w:rFonts w:ascii="Arial" w:cs="Arial" w:eastAsia="Arial" w:hAnsi="Arial"/>
                <w:sz w:val="11"/>
                <w:szCs w:val="11"/>
                <w:color w:val="auto"/>
              </w:rPr>
              <w:t>of Publicly Announced Plan</w:t>
            </w:r>
          </w:p>
        </w:tc>
        <w:tc>
          <w:tcPr>
            <w:tcW w:w="160" w:type="dxa"/>
            <w:vAlign w:val="bottom"/>
          </w:tcPr>
          <w:p>
            <w:pPr>
              <w:spacing w:after="0"/>
              <w:rPr>
                <w:sz w:val="12"/>
                <w:szCs w:val="12"/>
                <w:color w:val="auto"/>
              </w:rPr>
            </w:pPr>
          </w:p>
        </w:tc>
        <w:tc>
          <w:tcPr>
            <w:tcW w:w="2880" w:type="dxa"/>
            <w:vAlign w:val="bottom"/>
          </w:tcPr>
          <w:p>
            <w:pPr>
              <w:jc w:val="right"/>
              <w:ind w:right="604"/>
              <w:spacing w:after="0"/>
              <w:rPr>
                <w:sz w:val="20"/>
                <w:szCs w:val="20"/>
                <w:color w:val="auto"/>
              </w:rPr>
            </w:pPr>
            <w:r>
              <w:rPr>
                <w:rFonts w:ascii="Arial" w:cs="Arial" w:eastAsia="Arial" w:hAnsi="Arial"/>
                <w:sz w:val="11"/>
                <w:szCs w:val="11"/>
                <w:color w:val="auto"/>
              </w:rPr>
              <w:t>Purchased Under Plan (in millions)</w:t>
            </w:r>
          </w:p>
        </w:tc>
        <w:tc>
          <w:tcPr>
            <w:tcW w:w="0" w:type="dxa"/>
            <w:vAlign w:val="bottom"/>
          </w:tcPr>
          <w:p>
            <w:pPr>
              <w:spacing w:after="0"/>
              <w:rPr>
                <w:sz w:val="1"/>
                <w:szCs w:val="1"/>
                <w:color w:val="auto"/>
              </w:rPr>
            </w:pPr>
          </w:p>
        </w:tc>
      </w:tr>
      <w:tr>
        <w:trPr>
          <w:trHeight w:val="133"/>
        </w:trPr>
        <w:tc>
          <w:tcPr>
            <w:tcW w:w="184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1,085,481</w:t>
            </w:r>
          </w:p>
        </w:tc>
        <w:tc>
          <w:tcPr>
            <w:tcW w:w="8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3.27</w:t>
            </w:r>
          </w:p>
        </w:tc>
        <w:tc>
          <w:tcPr>
            <w:tcW w:w="80" w:type="dxa"/>
            <w:vAlign w:val="bottom"/>
          </w:tcPr>
          <w:p>
            <w:pPr>
              <w:spacing w:after="0"/>
              <w:rPr>
                <w:sz w:val="11"/>
                <w:szCs w:val="11"/>
                <w:color w:val="auto"/>
              </w:rPr>
            </w:pPr>
          </w:p>
        </w:tc>
        <w:tc>
          <w:tcPr>
            <w:tcW w:w="2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1,085,481</w:t>
            </w:r>
          </w:p>
        </w:tc>
        <w:tc>
          <w:tcPr>
            <w:tcW w:w="80" w:type="dxa"/>
            <w:vAlign w:val="bottom"/>
          </w:tcPr>
          <w:p>
            <w:pPr>
              <w:spacing w:after="0"/>
              <w:rPr>
                <w:sz w:val="11"/>
                <w:szCs w:val="11"/>
                <w:color w:val="auto"/>
              </w:rPr>
            </w:pPr>
          </w:p>
        </w:tc>
        <w:tc>
          <w:tcPr>
            <w:tcW w:w="160" w:type="dxa"/>
            <w:vAlign w:val="bottom"/>
            <w:tcBorders>
              <w:top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2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w:t>
            </w:r>
          </w:p>
        </w:tc>
        <w:tc>
          <w:tcPr>
            <w:tcW w:w="0" w:type="dxa"/>
            <w:vAlign w:val="bottom"/>
          </w:tcPr>
          <w:p>
            <w:pPr>
              <w:spacing w:after="0"/>
              <w:rPr>
                <w:sz w:val="1"/>
                <w:szCs w:val="1"/>
                <w:color w:val="auto"/>
              </w:rPr>
            </w:pPr>
          </w:p>
        </w:tc>
      </w:tr>
      <w:tr>
        <w:trPr>
          <w:trHeight w:val="149"/>
        </w:trPr>
        <w:tc>
          <w:tcPr>
            <w:tcW w:w="1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3,872,447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2.75</w:t>
            </w:r>
          </w:p>
        </w:tc>
        <w:tc>
          <w:tcPr>
            <w:tcW w:w="80" w:type="dxa"/>
            <w:vAlign w:val="bottom"/>
          </w:tcPr>
          <w:p>
            <w:pPr>
              <w:spacing w:after="0"/>
              <w:rPr>
                <w:sz w:val="12"/>
                <w:szCs w:val="12"/>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3,872,447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w:t>
            </w:r>
          </w:p>
        </w:tc>
        <w:tc>
          <w:tcPr>
            <w:tcW w:w="0" w:type="dxa"/>
            <w:vAlign w:val="bottom"/>
          </w:tcPr>
          <w:p>
            <w:pPr>
              <w:spacing w:after="0"/>
              <w:rPr>
                <w:sz w:val="1"/>
                <w:szCs w:val="1"/>
                <w:color w:val="auto"/>
              </w:rPr>
            </w:pPr>
          </w:p>
        </w:tc>
      </w:tr>
      <w:tr>
        <w:trPr>
          <w:trHeight w:val="156"/>
        </w:trPr>
        <w:tc>
          <w:tcPr>
            <w:tcW w:w="184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1,656,682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8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3.40</w:t>
            </w:r>
          </w:p>
        </w:tc>
        <w:tc>
          <w:tcPr>
            <w:tcW w:w="80" w:type="dxa"/>
            <w:vAlign w:val="bottom"/>
          </w:tcPr>
          <w:p>
            <w:pPr>
              <w:spacing w:after="0"/>
              <w:rPr>
                <w:sz w:val="13"/>
                <w:szCs w:val="13"/>
                <w:color w:val="auto"/>
              </w:rPr>
            </w:pPr>
          </w:p>
        </w:tc>
        <w:tc>
          <w:tcPr>
            <w:tcW w:w="22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1,656,682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0" w:type="dxa"/>
            <w:vAlign w:val="bottom"/>
          </w:tcPr>
          <w:p>
            <w:pPr>
              <w:spacing w:after="0"/>
              <w:rPr>
                <w:sz w:val="1"/>
                <w:szCs w:val="1"/>
                <w:color w:val="auto"/>
              </w:rPr>
            </w:pP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0"/>
        </w:trPr>
        <w:tc>
          <w:tcPr>
            <w:tcW w:w="184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6,614,610</w:t>
            </w:r>
          </w:p>
        </w:tc>
        <w:tc>
          <w:tcPr>
            <w:tcW w:w="8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6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1"/>
                <w:szCs w:val="11"/>
                <w:color w:val="auto"/>
              </w:rPr>
              <w:t>3.00</w:t>
            </w:r>
          </w:p>
        </w:tc>
        <w:tc>
          <w:tcPr>
            <w:tcW w:w="80" w:type="dxa"/>
            <w:vAlign w:val="bottom"/>
          </w:tcPr>
          <w:p>
            <w:pPr>
              <w:spacing w:after="0"/>
              <w:rPr>
                <w:sz w:val="12"/>
                <w:szCs w:val="12"/>
                <w:color w:val="auto"/>
              </w:rPr>
            </w:pPr>
          </w:p>
        </w:tc>
        <w:tc>
          <w:tcPr>
            <w:tcW w:w="2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6,614,610</w:t>
            </w:r>
          </w:p>
        </w:tc>
        <w:tc>
          <w:tcPr>
            <w:tcW w:w="80" w:type="dxa"/>
            <w:vAlign w:val="bottom"/>
          </w:tcPr>
          <w:p>
            <w:pPr>
              <w:spacing w:after="0"/>
              <w:rPr>
                <w:sz w:val="12"/>
                <w:szCs w:val="12"/>
                <w:color w:val="auto"/>
              </w:rPr>
            </w:pPr>
          </w:p>
        </w:tc>
        <w:tc>
          <w:tcPr>
            <w:tcW w:w="1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color w:val="auto"/>
              </w:rPr>
              <w:t>$</w:t>
            </w:r>
          </w:p>
        </w:tc>
        <w:tc>
          <w:tcPr>
            <w:tcW w:w="2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0" w:type="dxa"/>
            <w:vAlign w:val="bottom"/>
          </w:tcPr>
          <w:p>
            <w:pPr>
              <w:spacing w:after="0"/>
              <w:rPr>
                <w:sz w:val="1"/>
                <w:szCs w:val="1"/>
                <w:color w:val="auto"/>
              </w:rPr>
            </w:pPr>
          </w:p>
        </w:tc>
      </w:tr>
      <w:tr>
        <w:trPr>
          <w:trHeight w:val="20"/>
        </w:trPr>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-1381760</wp:posOffset>
            </wp:positionH>
            <wp:positionV relativeFrom="paragraph">
              <wp:posOffset>-231140</wp:posOffset>
            </wp:positionV>
            <wp:extent cx="7163435" cy="990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99060"/>
                    </a:xfrm>
                    <a:prstGeom prst="rect">
                      <a:avLst/>
                    </a:prstGeom>
                    <a:noFill/>
                  </pic:spPr>
                </pic:pic>
              </a:graphicData>
            </a:graphic>
          </wp:anchor>
        </w:drawing>
        <w:drawing>
          <wp:anchor simplePos="0" relativeHeight="251657728" behindDoc="1" locked="0" layoutInCell="0" allowOverlap="1">
            <wp:simplePos x="0" y="0"/>
            <wp:positionH relativeFrom="column">
              <wp:posOffset>-1381760</wp:posOffset>
            </wp:positionH>
            <wp:positionV relativeFrom="paragraph">
              <wp:posOffset>-436245</wp:posOffset>
            </wp:positionV>
            <wp:extent cx="7163435" cy="1060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106045"/>
                    </a:xfrm>
                    <a:prstGeom prst="rect">
                      <a:avLst/>
                    </a:prstGeom>
                    <a:noFill/>
                  </pic:spPr>
                </pic:pic>
              </a:graphicData>
            </a:graphic>
          </wp:anchor>
        </w:drawing>
      </w:r>
    </w:p>
    <w:p>
      <w:pPr>
        <w:spacing w:after="0" w:line="131" w:lineRule="exact"/>
        <w:rPr>
          <w:sz w:val="20"/>
          <w:szCs w:val="20"/>
          <w:color w:val="auto"/>
        </w:rPr>
      </w:pPr>
    </w:p>
    <w:p>
      <w:pPr>
        <w:sectPr>
          <w:pgSz w:w="11900" w:h="16838" w:orient="portrait"/>
          <w:cols w:equalWidth="0" w:num="2">
            <w:col w:w="1460" w:space="720"/>
            <w:col w:w="9100"/>
          </w:cols>
          <w:pgMar w:left="300" w:top="156" w:right="319" w:bottom="1440" w:gutter="0" w:footer="0" w:header="0"/>
          <w:type w:val="continuous"/>
        </w:sectPr>
      </w:pPr>
    </w:p>
    <w:p>
      <w:pPr>
        <w:ind w:left="120" w:right="60" w:hanging="117"/>
        <w:spacing w:after="0" w:line="234" w:lineRule="auto"/>
        <w:tabs>
          <w:tab w:leader="none" w:pos="144" w:val="left"/>
        </w:tabs>
        <w:numPr>
          <w:ilvl w:val="0"/>
          <w:numId w:val="25"/>
        </w:numPr>
        <w:rPr>
          <w:rFonts w:ascii="Arial" w:cs="Arial" w:eastAsia="Arial" w:hAnsi="Arial"/>
          <w:sz w:val="17"/>
          <w:szCs w:val="17"/>
          <w:color w:val="auto"/>
          <w:vertAlign w:val="superscript"/>
        </w:rPr>
      </w:pPr>
      <w:r>
        <w:rPr>
          <w:rFonts w:ascii="Arial" w:cs="Arial" w:eastAsia="Arial" w:hAnsi="Arial"/>
          <w:sz w:val="13"/>
          <w:szCs w:val="13"/>
          <w:color w:val="auto"/>
        </w:rPr>
        <w:t>On May 16, 2023, the Board of Directors authorized a three-year share repurchase program, granting approval for the Company to repurchase up to $75 million of its common stock from time to time as market and business conditions warrant, including through open market purchases or Rule 10b5-1 trading plans.</w:t>
      </w:r>
    </w:p>
    <w:p>
      <w:pPr>
        <w:ind w:left="160" w:hanging="157"/>
        <w:spacing w:after="0" w:line="196" w:lineRule="auto"/>
        <w:tabs>
          <w:tab w:leader="none" w:pos="160"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Average share price includes transaction commissions.</w:t>
      </w:r>
    </w:p>
    <w:p>
      <w:pPr>
        <w:spacing w:after="0" w:line="98" w:lineRule="exact"/>
        <w:rPr>
          <w:sz w:val="20"/>
          <w:szCs w:val="20"/>
          <w:color w:val="auto"/>
        </w:rPr>
      </w:pPr>
    </w:p>
    <w:p>
      <w:pPr>
        <w:spacing w:after="0" w:line="253" w:lineRule="auto"/>
        <w:rPr>
          <w:sz w:val="20"/>
          <w:szCs w:val="20"/>
          <w:color w:val="auto"/>
        </w:rPr>
      </w:pPr>
      <w:r>
        <w:rPr>
          <w:rFonts w:ascii="Arial" w:cs="Arial" w:eastAsia="Arial" w:hAnsi="Arial"/>
          <w:sz w:val="13"/>
          <w:szCs w:val="13"/>
          <w:color w:val="auto"/>
        </w:rPr>
        <w:t>The timing and number of shares repurchased depended on a variety of factors, including price, capital availability, legal requirements and economic and market conditions. This share repurchase program does not obligate the Company to acquire a specific number of shares and the program may be modified, suspended or discontinued at any time at the Company’s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discretion without prior notice.</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color w:val="0070C0"/>
        </w:rPr>
        <w:t>Securities Authorized for Issuance Under Existing Equity Compensation Plans</w:t>
      </w:r>
    </w:p>
    <w:p>
      <w:pPr>
        <w:spacing w:after="0" w:line="131" w:lineRule="exact"/>
        <w:rPr>
          <w:sz w:val="20"/>
          <w:szCs w:val="20"/>
          <w:color w:val="auto"/>
        </w:rPr>
      </w:pPr>
    </w:p>
    <w:p>
      <w:pPr>
        <w:ind w:right="320"/>
        <w:spacing w:after="0" w:line="282" w:lineRule="auto"/>
        <w:rPr>
          <w:sz w:val="20"/>
          <w:szCs w:val="20"/>
          <w:color w:val="auto"/>
        </w:rPr>
      </w:pPr>
      <w:r>
        <w:rPr>
          <w:rFonts w:ascii="Arial" w:cs="Arial" w:eastAsia="Arial" w:hAnsi="Arial"/>
          <w:sz w:val="14"/>
          <w:szCs w:val="14"/>
          <w:color w:val="auto"/>
        </w:rPr>
        <w:t>Information about securities authorized for issuance under existing equity compensation plans is incorporated by reference from Item 12—Security Ownership of Certain Beneficial Owners and Management and Related Stockholder Matters.</w:t>
      </w:r>
    </w:p>
    <w:p>
      <w:pPr>
        <w:spacing w:after="0" w:line="32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6. [RESERVED]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type w:val="continuous"/>
        </w:sectPr>
      </w:pPr>
    </w:p>
    <w:bookmarkStart w:id="33" w:name="page34"/>
    <w:bookmarkEnd w:id="33"/>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7. MANAGEMENT'S DISCUSSION AND ANALYSIS OF FINANCIAL CONDITION AND RESULTS OF OPERATIONS</w:t>
      </w:r>
    </w:p>
    <w:p>
      <w:pPr>
        <w:spacing w:after="0" w:line="123"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The following Management’s Discussion and Analysis ("MD&amp;A") is intended to provide a reader of our financial statements with a narrative from the perspective of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 Our MD&amp;A is presented in seven sections:</w:t>
      </w:r>
    </w:p>
    <w:p>
      <w:pPr>
        <w:spacing w:after="0" w:line="102" w:lineRule="exact"/>
        <w:rPr>
          <w:sz w:val="20"/>
          <w:szCs w:val="20"/>
          <w:color w:val="auto"/>
        </w:rPr>
      </w:pPr>
    </w:p>
    <w:p>
      <w:pPr>
        <w:ind w:left="500" w:hanging="247"/>
        <w:spacing w:after="0"/>
        <w:tabs>
          <w:tab w:leader="none" w:pos="500" w:val="left"/>
        </w:tabs>
        <w:numPr>
          <w:ilvl w:val="0"/>
          <w:numId w:val="26"/>
        </w:numPr>
        <w:rPr>
          <w:rFonts w:ascii="Arial" w:cs="Arial" w:eastAsia="Arial" w:hAnsi="Arial"/>
          <w:sz w:val="15"/>
          <w:szCs w:val="15"/>
          <w:color w:val="auto"/>
        </w:rPr>
      </w:pPr>
      <w:r>
        <w:rPr>
          <w:rFonts w:ascii="Arial" w:cs="Arial" w:eastAsia="Arial" w:hAnsi="Arial"/>
          <w:sz w:val="14"/>
          <w:szCs w:val="14"/>
          <w:color w:val="auto"/>
        </w:rPr>
        <w:t>Overview;</w:t>
      </w:r>
    </w:p>
    <w:p>
      <w:pPr>
        <w:spacing w:after="0" w:line="15" w:lineRule="exact"/>
        <w:rPr>
          <w:rFonts w:ascii="Arial" w:cs="Arial" w:eastAsia="Arial" w:hAnsi="Arial"/>
          <w:sz w:val="15"/>
          <w:szCs w:val="15"/>
          <w:color w:val="auto"/>
        </w:rPr>
      </w:pPr>
    </w:p>
    <w:p>
      <w:pPr>
        <w:ind w:left="500" w:hanging="247"/>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Financial Information and Analysis of Results of Operations;</w:t>
      </w:r>
    </w:p>
    <w:p>
      <w:pPr>
        <w:spacing w:after="0" w:line="9" w:lineRule="exact"/>
        <w:rPr>
          <w:rFonts w:ascii="Arial" w:cs="Arial" w:eastAsia="Arial" w:hAnsi="Arial"/>
          <w:sz w:val="14"/>
          <w:szCs w:val="14"/>
          <w:color w:val="auto"/>
        </w:rPr>
      </w:pPr>
    </w:p>
    <w:p>
      <w:pPr>
        <w:ind w:left="500" w:hanging="247"/>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Metrics;</w:t>
      </w:r>
    </w:p>
    <w:p>
      <w:pPr>
        <w:spacing w:after="0" w:line="5" w:lineRule="exact"/>
        <w:rPr>
          <w:rFonts w:ascii="Arial" w:cs="Arial" w:eastAsia="Arial" w:hAnsi="Arial"/>
          <w:sz w:val="14"/>
          <w:szCs w:val="14"/>
          <w:color w:val="auto"/>
        </w:rPr>
      </w:pPr>
    </w:p>
    <w:p>
      <w:pPr>
        <w:ind w:left="500" w:hanging="247"/>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Capital Resources and Liquidity;</w:t>
      </w:r>
    </w:p>
    <w:p>
      <w:pPr>
        <w:spacing w:after="0" w:line="5" w:lineRule="exact"/>
        <w:rPr>
          <w:rFonts w:ascii="Arial" w:cs="Arial" w:eastAsia="Arial" w:hAnsi="Arial"/>
          <w:sz w:val="14"/>
          <w:szCs w:val="14"/>
          <w:color w:val="auto"/>
        </w:rPr>
      </w:pPr>
    </w:p>
    <w:p>
      <w:pPr>
        <w:ind w:left="500" w:hanging="247"/>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Critical Accounting Estimates and Policies;</w:t>
      </w:r>
    </w:p>
    <w:p>
      <w:pPr>
        <w:spacing w:after="0" w:line="5" w:lineRule="exact"/>
        <w:rPr>
          <w:rFonts w:ascii="Arial" w:cs="Arial" w:eastAsia="Arial" w:hAnsi="Arial"/>
          <w:sz w:val="14"/>
          <w:szCs w:val="14"/>
          <w:color w:val="auto"/>
        </w:rPr>
      </w:pPr>
    </w:p>
    <w:p>
      <w:pPr>
        <w:ind w:left="500" w:hanging="247"/>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Recent Accounting Changes; and</w:t>
      </w:r>
    </w:p>
    <w:p>
      <w:pPr>
        <w:spacing w:after="0" w:line="5" w:lineRule="exact"/>
        <w:rPr>
          <w:rFonts w:ascii="Arial" w:cs="Arial" w:eastAsia="Arial" w:hAnsi="Arial"/>
          <w:sz w:val="14"/>
          <w:szCs w:val="14"/>
          <w:color w:val="auto"/>
        </w:rPr>
      </w:pPr>
    </w:p>
    <w:p>
      <w:pPr>
        <w:ind w:left="500" w:hanging="247"/>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Non-GAAP Financial Measures.</w:t>
      </w:r>
    </w:p>
    <w:p>
      <w:pPr>
        <w:spacing w:after="0" w:line="117"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This MD&amp;A is provided as a supplement to, and should be read in conjunction with, our Consolidated Financial Statements and the accompanying notes in this Form 10-K for the year ended December 31, 2023. This MD&amp;A provides additional information about our operations, current developments, financial condition, cash flows and results of operations.</w:t>
      </w:r>
    </w:p>
    <w:p>
      <w:pPr>
        <w:spacing w:after="0" w:line="80" w:lineRule="exact"/>
        <w:rPr>
          <w:sz w:val="20"/>
          <w:szCs w:val="20"/>
          <w:color w:val="auto"/>
        </w:rPr>
      </w:pPr>
    </w:p>
    <w:p>
      <w:pPr>
        <w:ind w:right="260"/>
        <w:spacing w:after="0" w:line="322" w:lineRule="auto"/>
        <w:rPr>
          <w:sz w:val="20"/>
          <w:szCs w:val="20"/>
          <w:color w:val="auto"/>
        </w:rPr>
      </w:pPr>
      <w:r>
        <w:rPr>
          <w:rFonts w:ascii="Arial" w:cs="Arial" w:eastAsia="Arial" w:hAnsi="Arial"/>
          <w:sz w:val="13"/>
          <w:szCs w:val="13"/>
          <w:color w:val="auto"/>
        </w:rPr>
        <w:t>The year-over-year comparisons in this MD&amp;A are as of and for the years ended December 31, 2023 and 2022, unless stated otherwise. The discussion of 2022 results and related year-over-year comparisons as of and for the years ended December 31, 2022 and 2021 are found in Item 7 of Part II of our Form 10-K for the year ended December 31, 2022.</w:t>
      </w:r>
    </w:p>
    <w:p>
      <w:pPr>
        <w:spacing w:after="0" w:line="57" w:lineRule="exact"/>
        <w:rPr>
          <w:sz w:val="20"/>
          <w:szCs w:val="20"/>
          <w:color w:val="auto"/>
        </w:rPr>
      </w:pPr>
    </w:p>
    <w:p>
      <w:pPr>
        <w:ind w:right="280"/>
        <w:spacing w:after="0" w:line="282" w:lineRule="auto"/>
        <w:rPr>
          <w:sz w:val="20"/>
          <w:szCs w:val="20"/>
          <w:color w:val="auto"/>
        </w:rPr>
      </w:pPr>
      <w:r>
        <w:rPr>
          <w:rFonts w:ascii="Arial" w:cs="Arial" w:eastAsia="Arial" w:hAnsi="Arial"/>
          <w:sz w:val="14"/>
          <w:szCs w:val="14"/>
          <w:color w:val="auto"/>
        </w:rPr>
        <w:t>Throughout the MD&amp;A, we refer to various notes to our Consolidated Financial Statements which appear in Item 8 of this Form 10-K, and the information contained in such notes is incorporated by reference into the MD&amp;A in the places where such references are made.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6CC"/>
        </w:rPr>
        <w:t>Overview</w:t>
      </w:r>
    </w:p>
    <w:p>
      <w:pPr>
        <w:spacing w:after="0" w:line="131" w:lineRule="exact"/>
        <w:rPr>
          <w:sz w:val="20"/>
          <w:szCs w:val="20"/>
          <w:color w:val="auto"/>
        </w:rPr>
      </w:pPr>
    </w:p>
    <w:p>
      <w:pPr>
        <w:ind w:right="200"/>
        <w:spacing w:after="0" w:line="259" w:lineRule="auto"/>
        <w:rPr>
          <w:sz w:val="20"/>
          <w:szCs w:val="20"/>
          <w:color w:val="auto"/>
        </w:rPr>
      </w:pPr>
      <w:r>
        <w:rPr>
          <w:rFonts w:ascii="Arial" w:cs="Arial" w:eastAsia="Arial" w:hAnsi="Arial"/>
          <w:sz w:val="14"/>
          <w:szCs w:val="14"/>
          <w:color w:val="auto"/>
        </w:rPr>
        <w:t>We deliver digital business solutions and services spanning the commercial, government and transportation spectrum – creating valuable outcomes for our clients and the millions of people who count on them. We leverage cloud computing, artificial intelligence, machine learning, automation and advanced analytics to deliver mission-critical business process solutions. Through a dedicated global team of associates, process expertise, and advanced technologies, our solutions and services digitally transform our clients’ operations to enhance customer experiences, improve performance, increase efficiencies and reduce costs.</w:t>
      </w:r>
    </w:p>
    <w:p>
      <w:pPr>
        <w:spacing w:after="0" w:line="97" w:lineRule="exact"/>
        <w:rPr>
          <w:sz w:val="20"/>
          <w:szCs w:val="20"/>
          <w:color w:val="auto"/>
        </w:rPr>
      </w:pPr>
    </w:p>
    <w:p>
      <w:pPr>
        <w:ind w:right="180"/>
        <w:spacing w:after="0" w:line="282" w:lineRule="auto"/>
        <w:rPr>
          <w:sz w:val="20"/>
          <w:szCs w:val="20"/>
          <w:color w:val="auto"/>
        </w:rPr>
      </w:pPr>
      <w:r>
        <w:rPr>
          <w:rFonts w:ascii="Arial" w:cs="Arial" w:eastAsia="Arial" w:hAnsi="Arial"/>
          <w:sz w:val="14"/>
          <w:szCs w:val="14"/>
          <w:color w:val="auto"/>
        </w:rPr>
        <w:t>Headquartered in Florham Park, New Jersey, we have a team of approximately 59,000 people as of December 31, 2023, servicing customers from service centers in 26 countries. In 2023, approximately 11% of our revenue was generated outside the U.S.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Our reportable segments correspond to how we organize and manage the business and are aligned to the industries in which our clients operate. These three segments are:</w:t>
      </w:r>
    </w:p>
    <w:p>
      <w:pPr>
        <w:spacing w:after="0" w:line="131" w:lineRule="exact"/>
        <w:rPr>
          <w:sz w:val="20"/>
          <w:szCs w:val="20"/>
          <w:color w:val="auto"/>
        </w:rPr>
      </w:pPr>
    </w:p>
    <w:p>
      <w:pPr>
        <w:ind w:left="260" w:right="20" w:hanging="257"/>
        <w:spacing w:after="0" w:line="265" w:lineRule="auto"/>
        <w:tabs>
          <w:tab w:leader="none" w:pos="256" w:val="left"/>
        </w:tabs>
        <w:numPr>
          <w:ilvl w:val="0"/>
          <w:numId w:val="27"/>
        </w:numPr>
        <w:rPr>
          <w:rFonts w:ascii="Arial" w:cs="Arial" w:eastAsia="Arial" w:hAnsi="Arial"/>
          <w:sz w:val="14"/>
          <w:szCs w:val="14"/>
          <w:b w:val="1"/>
          <w:bCs w:val="1"/>
          <w:color w:val="auto"/>
        </w:rPr>
      </w:pPr>
      <w:r>
        <w:rPr>
          <w:rFonts w:ascii="Arial" w:cs="Arial" w:eastAsia="Arial" w:hAnsi="Arial"/>
          <w:sz w:val="14"/>
          <w:szCs w:val="14"/>
          <w:b w:val="1"/>
          <w:bCs w:val="1"/>
          <w:color w:val="0066CC"/>
        </w:rPr>
        <w:t xml:space="preserve">Commercial </w:t>
      </w:r>
      <w:r>
        <w:rPr>
          <w:rFonts w:ascii="Arial" w:cs="Arial" w:eastAsia="Arial" w:hAnsi="Arial"/>
          <w:sz w:val="14"/>
          <w:szCs w:val="14"/>
          <w:b w:val="1"/>
          <w:bCs w:val="1"/>
          <w:color w:val="000000"/>
        </w:rPr>
        <w:t>–</w:t>
      </w:r>
      <w:r>
        <w:rPr>
          <w:rFonts w:ascii="Arial" w:cs="Arial" w:eastAsia="Arial" w:hAnsi="Arial"/>
          <w:sz w:val="14"/>
          <w:szCs w:val="14"/>
          <w:b w:val="1"/>
          <w:bCs w:val="1"/>
          <w:color w:val="0066CC"/>
        </w:rPr>
        <w:t xml:space="preserve"> </w:t>
      </w:r>
      <w:r>
        <w:rPr>
          <w:rFonts w:ascii="Arial" w:cs="Arial" w:eastAsia="Arial" w:hAnsi="Arial"/>
          <w:sz w:val="14"/>
          <w:szCs w:val="14"/>
          <w:color w:val="000000"/>
        </w:rPr>
        <w:t>Our Commercial segment provides business process services and customized solutions to clients in a variety of commercial industries. Across the Commercial</w:t>
      </w:r>
      <w:r>
        <w:rPr>
          <w:rFonts w:ascii="Arial" w:cs="Arial" w:eastAsia="Arial" w:hAnsi="Arial"/>
          <w:sz w:val="14"/>
          <w:szCs w:val="14"/>
          <w:b w:val="1"/>
          <w:bCs w:val="1"/>
          <w:color w:val="0066CC"/>
        </w:rPr>
        <w:t xml:space="preserve"> </w:t>
      </w:r>
      <w:r>
        <w:rPr>
          <w:rFonts w:ascii="Arial" w:cs="Arial" w:eastAsia="Arial" w:hAnsi="Arial"/>
          <w:sz w:val="14"/>
          <w:szCs w:val="14"/>
          <w:color w:val="000000"/>
        </w:rPr>
        <w:t>segment, we operate on our clients’ behalf to deliver mission-critical solutions and services to reduce costs, improve efficiencies and enable revenue growth for our clients and their consumers and employees.</w:t>
      </w:r>
    </w:p>
    <w:p>
      <w:pPr>
        <w:spacing w:after="0" w:line="91" w:lineRule="exact"/>
        <w:rPr>
          <w:rFonts w:ascii="Arial" w:cs="Arial" w:eastAsia="Arial" w:hAnsi="Arial"/>
          <w:sz w:val="14"/>
          <w:szCs w:val="14"/>
          <w:b w:val="1"/>
          <w:bCs w:val="1"/>
          <w:color w:val="auto"/>
        </w:rPr>
      </w:pPr>
    </w:p>
    <w:p>
      <w:pPr>
        <w:ind w:left="260" w:right="40" w:hanging="257"/>
        <w:spacing w:after="0" w:line="265" w:lineRule="auto"/>
        <w:tabs>
          <w:tab w:leader="none" w:pos="256" w:val="left"/>
        </w:tabs>
        <w:numPr>
          <w:ilvl w:val="0"/>
          <w:numId w:val="27"/>
        </w:numPr>
        <w:rPr>
          <w:rFonts w:ascii="Arial" w:cs="Arial" w:eastAsia="Arial" w:hAnsi="Arial"/>
          <w:sz w:val="14"/>
          <w:szCs w:val="14"/>
          <w:b w:val="1"/>
          <w:bCs w:val="1"/>
          <w:color w:val="auto"/>
        </w:rPr>
      </w:pPr>
      <w:r>
        <w:rPr>
          <w:rFonts w:ascii="Arial" w:cs="Arial" w:eastAsia="Arial" w:hAnsi="Arial"/>
          <w:sz w:val="14"/>
          <w:szCs w:val="14"/>
          <w:b w:val="1"/>
          <w:bCs w:val="1"/>
          <w:color w:val="0066CC"/>
        </w:rPr>
        <w:t xml:space="preserve">Government </w:t>
      </w:r>
      <w:r>
        <w:rPr>
          <w:rFonts w:ascii="Arial" w:cs="Arial" w:eastAsia="Arial" w:hAnsi="Arial"/>
          <w:sz w:val="14"/>
          <w:szCs w:val="14"/>
          <w:b w:val="1"/>
          <w:bCs w:val="1"/>
          <w:color w:val="000000"/>
        </w:rPr>
        <w:t>–</w:t>
      </w:r>
      <w:r>
        <w:rPr>
          <w:rFonts w:ascii="Arial" w:cs="Arial" w:eastAsia="Arial" w:hAnsi="Arial"/>
          <w:sz w:val="14"/>
          <w:szCs w:val="14"/>
          <w:b w:val="1"/>
          <w:bCs w:val="1"/>
          <w:color w:val="0066CC"/>
        </w:rPr>
        <w:t xml:space="preserve"> </w:t>
      </w:r>
      <w:r>
        <w:rPr>
          <w:rFonts w:ascii="Arial" w:cs="Arial" w:eastAsia="Arial" w:hAnsi="Arial"/>
          <w:sz w:val="14"/>
          <w:szCs w:val="14"/>
          <w:color w:val="000000"/>
        </w:rPr>
        <w:t>Our Government segment provides government-centric business process services to U.S. federal, state and local and foreign governments for public assistance,</w:t>
      </w:r>
      <w:r>
        <w:rPr>
          <w:rFonts w:ascii="Arial" w:cs="Arial" w:eastAsia="Arial" w:hAnsi="Arial"/>
          <w:sz w:val="14"/>
          <w:szCs w:val="14"/>
          <w:b w:val="1"/>
          <w:bCs w:val="1"/>
          <w:color w:val="0066CC"/>
        </w:rPr>
        <w:t xml:space="preserve"> </w:t>
      </w:r>
      <w:r>
        <w:rPr>
          <w:rFonts w:ascii="Arial" w:cs="Arial" w:eastAsia="Arial" w:hAnsi="Arial"/>
          <w:sz w:val="14"/>
          <w:szCs w:val="14"/>
          <w:color w:val="000000"/>
        </w:rPr>
        <w:t>healthcare programs and administration, transaction processing and payment services. Our solutions in this segment help governments respond to changing rules for eligibility and increasing citizen expectations.</w:t>
      </w:r>
    </w:p>
    <w:p>
      <w:pPr>
        <w:spacing w:after="0" w:line="91" w:lineRule="exact"/>
        <w:rPr>
          <w:rFonts w:ascii="Arial" w:cs="Arial" w:eastAsia="Arial" w:hAnsi="Arial"/>
          <w:sz w:val="14"/>
          <w:szCs w:val="14"/>
          <w:b w:val="1"/>
          <w:bCs w:val="1"/>
          <w:color w:val="auto"/>
        </w:rPr>
      </w:pPr>
    </w:p>
    <w:p>
      <w:pPr>
        <w:ind w:left="260" w:right="360" w:hanging="257"/>
        <w:spacing w:after="0" w:line="282" w:lineRule="auto"/>
        <w:tabs>
          <w:tab w:leader="none" w:pos="256" w:val="left"/>
        </w:tabs>
        <w:numPr>
          <w:ilvl w:val="0"/>
          <w:numId w:val="27"/>
        </w:numPr>
        <w:rPr>
          <w:rFonts w:ascii="Arial" w:cs="Arial" w:eastAsia="Arial" w:hAnsi="Arial"/>
          <w:sz w:val="14"/>
          <w:szCs w:val="14"/>
          <w:b w:val="1"/>
          <w:bCs w:val="1"/>
          <w:color w:val="auto"/>
        </w:rPr>
      </w:pPr>
      <w:r>
        <w:rPr>
          <w:rFonts w:ascii="Arial" w:cs="Arial" w:eastAsia="Arial" w:hAnsi="Arial"/>
          <w:sz w:val="14"/>
          <w:szCs w:val="14"/>
          <w:b w:val="1"/>
          <w:bCs w:val="1"/>
          <w:color w:val="0066CC"/>
        </w:rPr>
        <w:t xml:space="preserve">Transportation </w:t>
      </w:r>
      <w:r>
        <w:rPr>
          <w:rFonts w:ascii="Arial" w:cs="Arial" w:eastAsia="Arial" w:hAnsi="Arial"/>
          <w:sz w:val="14"/>
          <w:szCs w:val="14"/>
          <w:b w:val="1"/>
          <w:bCs w:val="1"/>
          <w:color w:val="000000"/>
        </w:rPr>
        <w:t>–</w:t>
      </w:r>
      <w:r>
        <w:rPr>
          <w:rFonts w:ascii="Arial" w:cs="Arial" w:eastAsia="Arial" w:hAnsi="Arial"/>
          <w:sz w:val="14"/>
          <w:szCs w:val="14"/>
          <w:b w:val="1"/>
          <w:bCs w:val="1"/>
          <w:color w:val="0066CC"/>
        </w:rPr>
        <w:t xml:space="preserve"> </w:t>
      </w:r>
      <w:r>
        <w:rPr>
          <w:rFonts w:ascii="Arial" w:cs="Arial" w:eastAsia="Arial" w:hAnsi="Arial"/>
          <w:sz w:val="14"/>
          <w:szCs w:val="14"/>
          <w:color w:val="000000"/>
        </w:rPr>
        <w:t>Our Transportation segment provides systems, support, and revenue-generating solutions to government transportation agency clients. We deliver mission-critical public safety, mobility and digital payment</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34" w:name="page35"/>
    <w:bookmarkEnd w:id="34"/>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left="260" w:right="520"/>
        <w:spacing w:after="0" w:line="282" w:lineRule="auto"/>
        <w:rPr>
          <w:sz w:val="20"/>
          <w:szCs w:val="20"/>
          <w:color w:val="auto"/>
        </w:rPr>
      </w:pPr>
      <w:r>
        <w:rPr>
          <w:rFonts w:ascii="Arial" w:cs="Arial" w:eastAsia="Arial" w:hAnsi="Arial"/>
          <w:sz w:val="14"/>
          <w:szCs w:val="14"/>
          <w:color w:val="auto"/>
        </w:rPr>
        <w:t>solutions that streamline operations, increase revenue and reduce congestion while creating safe, seamless travel experiences for consumers while reducing impact on the environment.</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1269BC"/>
        </w:rPr>
        <w:t>Executive Summary</w:t>
      </w:r>
    </w:p>
    <w:p>
      <w:pPr>
        <w:spacing w:after="0" w:line="131"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During the first quarter of 2023, we held an investor briefing to communicate the next chapter in the Conduent journey. Our intense emphasis on growth, quality, and efficiency, beginning in the first quarter of 2020, resulted in a strengthened foundation. We remain focused on accelerating growth and enhancing value for our stakeholders and intend to achieve this by doubling down on key themes outlined in the March 2023 investor briefing. We also intend to continue our portfolio rationalization strategy, divesting certain solutions which have either scarcity value outside of Conduent or are capital intensive relative to their growth opportunity, and thereby allowing management the bandwidth and increased capital to devote focus to solutions where we believe we have competitive advantages or higher growth expectations.</w:t>
      </w:r>
    </w:p>
    <w:p>
      <w:pPr>
        <w:spacing w:after="0" w:line="100" w:lineRule="exact"/>
        <w:rPr>
          <w:sz w:val="20"/>
          <w:szCs w:val="20"/>
          <w:color w:val="auto"/>
        </w:rPr>
      </w:pPr>
    </w:p>
    <w:p>
      <w:pPr>
        <w:ind w:right="60"/>
        <w:spacing w:after="0" w:line="282" w:lineRule="auto"/>
        <w:rPr>
          <w:sz w:val="20"/>
          <w:szCs w:val="20"/>
          <w:color w:val="auto"/>
        </w:rPr>
      </w:pPr>
      <w:r>
        <w:rPr>
          <w:rFonts w:ascii="Arial" w:cs="Arial" w:eastAsia="Arial" w:hAnsi="Arial"/>
          <w:sz w:val="14"/>
          <w:szCs w:val="14"/>
          <w:color w:val="auto"/>
        </w:rPr>
        <w:t>We believe this renewed focus on our portfolio rationalization strategy will result in a more nimble and faster growing Conduent with modest levels of net leverage, enhanced valuation, and significant excess capital to be deployed over time.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Significant 2023 Actions</w:t>
      </w:r>
    </w:p>
    <w:p>
      <w:pPr>
        <w:spacing w:after="0" w:line="131" w:lineRule="exact"/>
        <w:rPr>
          <w:sz w:val="20"/>
          <w:szCs w:val="20"/>
          <w:color w:val="auto"/>
        </w:rPr>
      </w:pPr>
    </w:p>
    <w:p>
      <w:pPr>
        <w:ind w:left="260" w:right="80" w:hanging="257"/>
        <w:spacing w:after="0" w:line="254" w:lineRule="auto"/>
        <w:tabs>
          <w:tab w:leader="none" w:pos="256" w:val="left"/>
        </w:tabs>
        <w:numPr>
          <w:ilvl w:val="0"/>
          <w:numId w:val="28"/>
        </w:numPr>
        <w:rPr>
          <w:rFonts w:ascii="Arial" w:cs="Arial" w:eastAsia="Arial" w:hAnsi="Arial"/>
          <w:sz w:val="14"/>
          <w:szCs w:val="14"/>
          <w:color w:val="auto"/>
        </w:rPr>
      </w:pPr>
      <w:r>
        <w:rPr>
          <w:rFonts w:ascii="Arial" w:cs="Arial" w:eastAsia="Arial" w:hAnsi="Arial"/>
          <w:sz w:val="14"/>
          <w:szCs w:val="14"/>
          <w:b w:val="1"/>
          <w:bCs w:val="1"/>
          <w:color w:val="0066CC"/>
        </w:rPr>
        <w:t xml:space="preserve">Portfolio Rationalization </w:t>
      </w:r>
      <w:r>
        <w:rPr>
          <w:rFonts w:ascii="Arial" w:cs="Arial" w:eastAsia="Arial" w:hAnsi="Arial"/>
          <w:sz w:val="14"/>
          <w:szCs w:val="14"/>
          <w:color w:val="000000"/>
        </w:rPr>
        <w:t>– In the March 2023 investor briefing we set an expectation of generating between $500 million to $700 million of after-tax proceeds from divestiture</w:t>
      </w:r>
      <w:r>
        <w:rPr>
          <w:rFonts w:ascii="Arial" w:cs="Arial" w:eastAsia="Arial" w:hAnsi="Arial"/>
          <w:sz w:val="14"/>
          <w:szCs w:val="14"/>
          <w:b w:val="1"/>
          <w:bCs w:val="1"/>
          <w:color w:val="0066CC"/>
        </w:rPr>
        <w:t xml:space="preserve"> </w:t>
      </w:r>
      <w:r>
        <w:rPr>
          <w:rFonts w:ascii="Arial" w:cs="Arial" w:eastAsia="Arial" w:hAnsi="Arial"/>
          <w:sz w:val="14"/>
          <w:szCs w:val="14"/>
          <w:color w:val="000000"/>
        </w:rPr>
        <w:t>activity, and we have made significant progress this year towards this goal. On September 29, 2023, we entered into an agreement to transfer our BenefitWallet portfolio for approximately $425 million. The portfolio is expected to transfer in multiple phases in the first half of 2024, with an estimated pre-tax gain of approximately $425 million. Also, on December 27, 2023, we entered into a definitive agreement to sell our Curbside Management Solutions and Public Safety Solutions businesses for $230 million plus the assumption of certain liabilities. This transaction is expected to close in the first half of 2024. The after-tax proceeds from these two transactions, plus other anticipated divestitures in 2024 will drive an upward revision of total net proceeds from divestitures to between $600 million and $800 million. Refer to Note 4 – Assets/Liabilities Held for Sale and Divestitures in the Consolidated Financial Statements for additional information.</w:t>
      </w:r>
    </w:p>
    <w:p>
      <w:pPr>
        <w:spacing w:after="0" w:line="98" w:lineRule="exact"/>
        <w:rPr>
          <w:rFonts w:ascii="Arial" w:cs="Arial" w:eastAsia="Arial" w:hAnsi="Arial"/>
          <w:sz w:val="14"/>
          <w:szCs w:val="14"/>
          <w:color w:val="auto"/>
        </w:rPr>
      </w:pPr>
    </w:p>
    <w:p>
      <w:pPr>
        <w:ind w:left="260" w:right="220" w:hanging="257"/>
        <w:spacing w:after="0" w:line="285" w:lineRule="auto"/>
        <w:tabs>
          <w:tab w:leader="none" w:pos="256" w:val="left"/>
        </w:tabs>
        <w:numPr>
          <w:ilvl w:val="0"/>
          <w:numId w:val="28"/>
        </w:numPr>
        <w:rPr>
          <w:rFonts w:ascii="Arial" w:cs="Arial" w:eastAsia="Arial" w:hAnsi="Arial"/>
          <w:sz w:val="13"/>
          <w:szCs w:val="13"/>
          <w:color w:val="auto"/>
        </w:rPr>
      </w:pPr>
      <w:r>
        <w:rPr>
          <w:rFonts w:ascii="Arial" w:cs="Arial" w:eastAsia="Arial" w:hAnsi="Arial"/>
          <w:sz w:val="13"/>
          <w:szCs w:val="13"/>
          <w:b w:val="1"/>
          <w:bCs w:val="1"/>
          <w:color w:val="0066CC"/>
        </w:rPr>
        <w:t xml:space="preserve">Strategic Growth Efforts </w:t>
      </w:r>
      <w:r>
        <w:rPr>
          <w:rFonts w:ascii="Arial" w:cs="Arial" w:eastAsia="Arial" w:hAnsi="Arial"/>
          <w:sz w:val="13"/>
          <w:szCs w:val="13"/>
          <w:color w:val="000000"/>
        </w:rPr>
        <w:t>– During 2023, we continued to see opportunities in our Government Healthcare segment, particularly with our cloud-native Medicaid Claims solution,</w:t>
      </w:r>
      <w:r>
        <w:rPr>
          <w:rFonts w:ascii="Arial" w:cs="Arial" w:eastAsia="Arial" w:hAnsi="Arial"/>
          <w:sz w:val="13"/>
          <w:szCs w:val="13"/>
          <w:b w:val="1"/>
          <w:bCs w:val="1"/>
          <w:color w:val="0066CC"/>
        </w:rPr>
        <w:t xml:space="preserve"> </w:t>
      </w:r>
      <w:r>
        <w:rPr>
          <w:rFonts w:ascii="Arial" w:cs="Arial" w:eastAsia="Arial" w:hAnsi="Arial"/>
          <w:sz w:val="13"/>
          <w:szCs w:val="13"/>
          <w:color w:val="000000"/>
        </w:rPr>
        <w:t>and we now have a number of significant implementations underway in the space. Our pipeline of opportunities remains strong in this area. We also continued to make progress with our Immediate Payments offering, laying the marketing and educational foundation with our existing clients, and enhancing our partnership strategy. We were the first organization to execute transactions over the newly implemented FedNow capability and we anticipate an acceleration of new business signings to occur in 2024.</w:t>
      </w:r>
    </w:p>
    <w:p>
      <w:pPr>
        <w:spacing w:after="0" w:line="81" w:lineRule="exact"/>
        <w:rPr>
          <w:rFonts w:ascii="Arial" w:cs="Arial" w:eastAsia="Arial" w:hAnsi="Arial"/>
          <w:sz w:val="13"/>
          <w:szCs w:val="13"/>
          <w:color w:val="auto"/>
        </w:rPr>
      </w:pPr>
    </w:p>
    <w:p>
      <w:pPr>
        <w:ind w:left="260" w:right="40" w:hanging="257"/>
        <w:spacing w:after="0" w:line="259" w:lineRule="auto"/>
        <w:tabs>
          <w:tab w:leader="none" w:pos="256" w:val="left"/>
        </w:tabs>
        <w:numPr>
          <w:ilvl w:val="0"/>
          <w:numId w:val="28"/>
        </w:numPr>
        <w:rPr>
          <w:rFonts w:ascii="Arial" w:cs="Arial" w:eastAsia="Arial" w:hAnsi="Arial"/>
          <w:sz w:val="14"/>
          <w:szCs w:val="14"/>
          <w:color w:val="auto"/>
        </w:rPr>
      </w:pPr>
      <w:r>
        <w:rPr>
          <w:rFonts w:ascii="Arial" w:cs="Arial" w:eastAsia="Arial" w:hAnsi="Arial"/>
          <w:sz w:val="14"/>
          <w:szCs w:val="14"/>
          <w:b w:val="1"/>
          <w:bCs w:val="1"/>
          <w:color w:val="0066CC"/>
        </w:rPr>
        <w:t xml:space="preserve">New Business Signings </w:t>
      </w:r>
      <w:r>
        <w:rPr>
          <w:rFonts w:ascii="Arial" w:cs="Arial" w:eastAsia="Arial" w:hAnsi="Arial"/>
          <w:sz w:val="14"/>
          <w:szCs w:val="14"/>
          <w:color w:val="000000"/>
        </w:rPr>
        <w:t>– While we experienced some softness in New Business Signings in 2023, we successfully attained the highest Total Contract Value ("TCV" as defined in</w:t>
      </w:r>
      <w:r>
        <w:rPr>
          <w:rFonts w:ascii="Arial" w:cs="Arial" w:eastAsia="Arial" w:hAnsi="Arial"/>
          <w:sz w:val="14"/>
          <w:szCs w:val="14"/>
          <w:b w:val="1"/>
          <w:bCs w:val="1"/>
          <w:color w:val="0066CC"/>
        </w:rPr>
        <w:t xml:space="preserve"> </w:t>
      </w:r>
      <w:r>
        <w:rPr>
          <w:rFonts w:ascii="Arial" w:cs="Arial" w:eastAsia="Arial" w:hAnsi="Arial"/>
          <w:sz w:val="14"/>
          <w:szCs w:val="14"/>
          <w:color w:val="000000"/>
        </w:rPr>
        <w:t>Metrics section below) in several years, with an increase of 20% versus 2022. This was predominantly driven by the $1 billion TCV deal in our Transportation segment, with the State of Victoria, Australia. This is our largest TCV deal in the history of Conduent and continues to grow our international presence. Our New Business pipeline remains strong at approximately $25 billion, with significant opportunities across the portfolio.</w:t>
      </w:r>
    </w:p>
    <w:p>
      <w:pPr>
        <w:spacing w:after="0" w:line="127" w:lineRule="exact"/>
        <w:rPr>
          <w:rFonts w:ascii="Arial" w:cs="Arial" w:eastAsia="Arial" w:hAnsi="Arial"/>
          <w:sz w:val="14"/>
          <w:szCs w:val="14"/>
          <w:color w:val="auto"/>
        </w:rPr>
      </w:pPr>
    </w:p>
    <w:p>
      <w:pPr>
        <w:ind w:left="260" w:right="120" w:hanging="257"/>
        <w:spacing w:after="0" w:line="239" w:lineRule="auto"/>
        <w:tabs>
          <w:tab w:leader="none" w:pos="256" w:val="left"/>
        </w:tabs>
        <w:numPr>
          <w:ilvl w:val="0"/>
          <w:numId w:val="28"/>
        </w:numPr>
        <w:rPr>
          <w:rFonts w:ascii="Arial" w:cs="Arial" w:eastAsia="Arial" w:hAnsi="Arial"/>
          <w:sz w:val="17"/>
          <w:szCs w:val="17"/>
          <w:color w:val="auto"/>
        </w:rPr>
      </w:pPr>
      <w:r>
        <w:rPr>
          <w:rFonts w:ascii="Arial" w:cs="Arial" w:eastAsia="Arial" w:hAnsi="Arial"/>
          <w:sz w:val="14"/>
          <w:szCs w:val="14"/>
          <w:b w:val="1"/>
          <w:bCs w:val="1"/>
          <w:color w:val="0066CC"/>
        </w:rPr>
        <w:t xml:space="preserve">Return to Shareholders </w:t>
      </w:r>
      <w:r>
        <w:rPr>
          <w:rFonts w:ascii="Arial" w:cs="Arial" w:eastAsia="Arial" w:hAnsi="Arial"/>
          <w:sz w:val="14"/>
          <w:szCs w:val="14"/>
          <w:color w:val="000000"/>
        </w:rPr>
        <w:t>– The Board of Directors authorized a share repurchase program, granting approval for us to repurchase up to $75 million of our common stock over the</w:t>
      </w:r>
      <w:r>
        <w:rPr>
          <w:rFonts w:ascii="Arial" w:cs="Arial" w:eastAsia="Arial" w:hAnsi="Arial"/>
          <w:sz w:val="14"/>
          <w:szCs w:val="14"/>
          <w:b w:val="1"/>
          <w:bCs w:val="1"/>
          <w:color w:val="0066CC"/>
        </w:rPr>
        <w:t xml:space="preserve"> </w:t>
      </w:r>
      <w:r>
        <w:rPr>
          <w:rFonts w:ascii="Arial" w:cs="Arial" w:eastAsia="Arial" w:hAnsi="Arial"/>
          <w:sz w:val="14"/>
          <w:szCs w:val="14"/>
          <w:color w:val="000000"/>
        </w:rPr>
        <w:t>next three years (see additional information included in Part II, Item 5). Through December 31, 2023, we acquired $27 million worth of our shares under this share repurchase program.</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Significant 2022 Actions</w:t>
      </w:r>
    </w:p>
    <w:p>
      <w:pPr>
        <w:spacing w:after="0" w:line="131" w:lineRule="exact"/>
        <w:rPr>
          <w:sz w:val="20"/>
          <w:szCs w:val="20"/>
          <w:color w:val="auto"/>
        </w:rPr>
      </w:pPr>
    </w:p>
    <w:p>
      <w:pPr>
        <w:ind w:left="260" w:right="200" w:hanging="257"/>
        <w:spacing w:after="0" w:line="259" w:lineRule="auto"/>
        <w:tabs>
          <w:tab w:leader="none" w:pos="256" w:val="left"/>
        </w:tabs>
        <w:numPr>
          <w:ilvl w:val="0"/>
          <w:numId w:val="29"/>
        </w:numPr>
        <w:rPr>
          <w:rFonts w:ascii="Arial" w:cs="Arial" w:eastAsia="Arial" w:hAnsi="Arial"/>
          <w:sz w:val="14"/>
          <w:szCs w:val="14"/>
          <w:color w:val="auto"/>
        </w:rPr>
      </w:pPr>
      <w:r>
        <w:rPr>
          <w:rFonts w:ascii="Arial" w:cs="Arial" w:eastAsia="Arial" w:hAnsi="Arial"/>
          <w:sz w:val="14"/>
          <w:szCs w:val="14"/>
          <w:b w:val="1"/>
          <w:bCs w:val="1"/>
          <w:color w:val="0066CC"/>
        </w:rPr>
        <w:t xml:space="preserve">Disposition and Portfolio Review </w:t>
      </w:r>
      <w:r>
        <w:rPr>
          <w:rFonts w:ascii="Arial" w:cs="Arial" w:eastAsia="Arial" w:hAnsi="Arial"/>
          <w:sz w:val="14"/>
          <w:szCs w:val="14"/>
          <w:color w:val="000000"/>
        </w:rPr>
        <w:t>– On February 8, 2022, we closed a transaction with Symplr Software, Inc. to sell our Midas suite of patient safety, quality and advanced</w:t>
      </w:r>
      <w:r>
        <w:rPr>
          <w:rFonts w:ascii="Arial" w:cs="Arial" w:eastAsia="Arial" w:hAnsi="Arial"/>
          <w:sz w:val="14"/>
          <w:szCs w:val="14"/>
          <w:b w:val="1"/>
          <w:bCs w:val="1"/>
          <w:color w:val="0066CC"/>
        </w:rPr>
        <w:t xml:space="preserve"> </w:t>
      </w:r>
      <w:r>
        <w:rPr>
          <w:rFonts w:ascii="Arial" w:cs="Arial" w:eastAsia="Arial" w:hAnsi="Arial"/>
          <w:sz w:val="14"/>
          <w:szCs w:val="14"/>
          <w:color w:val="000000"/>
        </w:rPr>
        <w:t>analytics solutions ("Midas business") for cash consideration of $322 million resulting in a pre-tax gain of $166 million. The Midas business represented approximately $7 million, $70 million and $72 million of revenue in 2022, 2021 and 2020, respectively. Refer to Note 4 – Assets/Liabilities Held for Sale and Divestitures in the Consolidated Financial Statements for additional</w:t>
      </w:r>
    </w:p>
    <w:p>
      <w:pPr>
        <w:spacing w:after="0" w:line="200" w:lineRule="exact"/>
        <w:rPr>
          <w:sz w:val="20"/>
          <w:szCs w:val="20"/>
          <w:color w:val="auto"/>
        </w:rPr>
      </w:pPr>
    </w:p>
    <w:p>
      <w:pPr>
        <w:spacing w:after="0" w:line="240"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35" w:name="page36"/>
    <w:bookmarkEnd w:id="35"/>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left="260" w:right="660"/>
        <w:spacing w:after="0" w:line="282" w:lineRule="auto"/>
        <w:rPr>
          <w:sz w:val="20"/>
          <w:szCs w:val="20"/>
          <w:color w:val="auto"/>
        </w:rPr>
      </w:pPr>
      <w:r>
        <w:rPr>
          <w:rFonts w:ascii="Arial" w:cs="Arial" w:eastAsia="Arial" w:hAnsi="Arial"/>
          <w:sz w:val="14"/>
          <w:szCs w:val="14"/>
          <w:color w:val="auto"/>
        </w:rPr>
        <w:t>information. During the fourth quarter of 2022, we concluded our long-range planning processes which included a full evaluation of our portfolio of solutions and identified incremental opportunities to streamline the portfolio.</w:t>
      </w:r>
    </w:p>
    <w:p>
      <w:pPr>
        <w:spacing w:after="0" w:line="80" w:lineRule="exact"/>
        <w:rPr>
          <w:sz w:val="20"/>
          <w:szCs w:val="20"/>
          <w:color w:val="auto"/>
        </w:rPr>
      </w:pPr>
    </w:p>
    <w:p>
      <w:pPr>
        <w:jc w:val="both"/>
        <w:ind w:left="260" w:right="40" w:hanging="257"/>
        <w:spacing w:after="0" w:line="265" w:lineRule="auto"/>
        <w:tabs>
          <w:tab w:leader="none" w:pos="256" w:val="left"/>
        </w:tabs>
        <w:numPr>
          <w:ilvl w:val="0"/>
          <w:numId w:val="30"/>
        </w:numPr>
        <w:rPr>
          <w:rFonts w:ascii="Arial" w:cs="Arial" w:eastAsia="Arial" w:hAnsi="Arial"/>
          <w:sz w:val="14"/>
          <w:szCs w:val="14"/>
          <w:b w:val="1"/>
          <w:bCs w:val="1"/>
          <w:color w:val="0066CC"/>
        </w:rPr>
      </w:pPr>
      <w:r>
        <w:rPr>
          <w:rFonts w:ascii="Arial" w:cs="Arial" w:eastAsia="Arial" w:hAnsi="Arial"/>
          <w:sz w:val="14"/>
          <w:szCs w:val="14"/>
          <w:b w:val="1"/>
          <w:bCs w:val="1"/>
          <w:color w:val="0066CC"/>
        </w:rPr>
        <w:t xml:space="preserve">New Business Signings </w:t>
      </w:r>
      <w:r>
        <w:rPr>
          <w:rFonts w:ascii="Arial" w:cs="Arial" w:eastAsia="Arial" w:hAnsi="Arial"/>
          <w:sz w:val="14"/>
          <w:szCs w:val="14"/>
          <w:color w:val="000000"/>
        </w:rPr>
        <w:t>– In 2022 we introduced a new primary signings metric Annual Contract Value ("ACV" as defined in Metrics section below), which provides more focus on</w:t>
      </w:r>
      <w:r>
        <w:rPr>
          <w:rFonts w:ascii="Arial" w:cs="Arial" w:eastAsia="Arial" w:hAnsi="Arial"/>
          <w:sz w:val="14"/>
          <w:szCs w:val="14"/>
          <w:b w:val="1"/>
          <w:bCs w:val="1"/>
          <w:color w:val="0066CC"/>
        </w:rPr>
        <w:t xml:space="preserve"> </w:t>
      </w:r>
      <w:r>
        <w:rPr>
          <w:rFonts w:ascii="Arial" w:cs="Arial" w:eastAsia="Arial" w:hAnsi="Arial"/>
          <w:sz w:val="14"/>
          <w:szCs w:val="14"/>
          <w:color w:val="000000"/>
        </w:rPr>
        <w:t>the near-term revenue generation of new business signings as compared to the traditional view of TCV. This ACV metric increased sequentially each quarter in 2022, totaling $724 million in 2022, an increase of 16.8% versus 2021 excluding the impact of Government stimulus payments.</w:t>
      </w:r>
    </w:p>
    <w:p>
      <w:pPr>
        <w:spacing w:after="0" w:line="91" w:lineRule="exact"/>
        <w:rPr>
          <w:rFonts w:ascii="Arial" w:cs="Arial" w:eastAsia="Arial" w:hAnsi="Arial"/>
          <w:sz w:val="14"/>
          <w:szCs w:val="14"/>
          <w:b w:val="1"/>
          <w:bCs w:val="1"/>
          <w:color w:val="0066CC"/>
        </w:rPr>
      </w:pPr>
    </w:p>
    <w:p>
      <w:pPr>
        <w:ind w:left="260" w:hanging="257"/>
        <w:spacing w:after="0" w:line="265" w:lineRule="auto"/>
        <w:tabs>
          <w:tab w:leader="none" w:pos="256" w:val="left"/>
        </w:tabs>
        <w:numPr>
          <w:ilvl w:val="0"/>
          <w:numId w:val="30"/>
        </w:numPr>
        <w:rPr>
          <w:rFonts w:ascii="Arial" w:cs="Arial" w:eastAsia="Arial" w:hAnsi="Arial"/>
          <w:sz w:val="14"/>
          <w:szCs w:val="14"/>
          <w:color w:val="0066CC"/>
        </w:rPr>
      </w:pPr>
      <w:r>
        <w:rPr>
          <w:rFonts w:ascii="Arial" w:cs="Arial" w:eastAsia="Arial" w:hAnsi="Arial"/>
          <w:sz w:val="14"/>
          <w:szCs w:val="14"/>
          <w:b w:val="1"/>
          <w:bCs w:val="1"/>
          <w:color w:val="0066CC"/>
        </w:rPr>
        <w:t xml:space="preserve">Strategic Growth Efforts </w:t>
      </w:r>
      <w:r>
        <w:rPr>
          <w:rFonts w:ascii="Arial" w:cs="Arial" w:eastAsia="Arial" w:hAnsi="Arial"/>
          <w:sz w:val="14"/>
          <w:szCs w:val="14"/>
          <w:color w:val="000000"/>
        </w:rPr>
        <w:t>– During the latter part of 2022, we dedicated a small number of senior associates with the mission to accelerate future revenue growth by selling</w:t>
      </w:r>
      <w:r>
        <w:rPr>
          <w:rFonts w:ascii="Arial" w:cs="Arial" w:eastAsia="Arial" w:hAnsi="Arial"/>
          <w:sz w:val="14"/>
          <w:szCs w:val="14"/>
          <w:b w:val="1"/>
          <w:bCs w:val="1"/>
          <w:color w:val="0066CC"/>
        </w:rPr>
        <w:t xml:space="preserve"> </w:t>
      </w:r>
      <w:r>
        <w:rPr>
          <w:rFonts w:ascii="Arial" w:cs="Arial" w:eastAsia="Arial" w:hAnsi="Arial"/>
          <w:sz w:val="14"/>
          <w:szCs w:val="14"/>
          <w:color w:val="000000"/>
        </w:rPr>
        <w:t>existing solutions into new and adjacent markets and geographies. The results of this action started to become visible, for example, by the collaboration with a major bank to launch a Digital Payments Hub delivering faster, easier, and more secure payments.</w:t>
      </w:r>
    </w:p>
    <w:p>
      <w:pPr>
        <w:spacing w:after="0" w:line="91" w:lineRule="exact"/>
        <w:rPr>
          <w:rFonts w:ascii="Arial" w:cs="Arial" w:eastAsia="Arial" w:hAnsi="Arial"/>
          <w:sz w:val="14"/>
          <w:szCs w:val="14"/>
          <w:color w:val="0066CC"/>
        </w:rPr>
      </w:pPr>
    </w:p>
    <w:p>
      <w:pPr>
        <w:ind w:left="260" w:right="20" w:hanging="257"/>
        <w:spacing w:after="0" w:line="265" w:lineRule="auto"/>
        <w:tabs>
          <w:tab w:leader="none" w:pos="256" w:val="left"/>
        </w:tabs>
        <w:numPr>
          <w:ilvl w:val="0"/>
          <w:numId w:val="30"/>
        </w:numPr>
        <w:rPr>
          <w:rFonts w:ascii="Arial" w:cs="Arial" w:eastAsia="Arial" w:hAnsi="Arial"/>
          <w:sz w:val="14"/>
          <w:szCs w:val="14"/>
          <w:b w:val="1"/>
          <w:bCs w:val="1"/>
          <w:color w:val="0066CC"/>
        </w:rPr>
      </w:pPr>
      <w:r>
        <w:rPr>
          <w:rFonts w:ascii="Arial" w:cs="Arial" w:eastAsia="Arial" w:hAnsi="Arial"/>
          <w:sz w:val="14"/>
          <w:szCs w:val="14"/>
          <w:b w:val="1"/>
          <w:bCs w:val="1"/>
          <w:color w:val="0066CC"/>
        </w:rPr>
        <w:t xml:space="preserve">Operational Service Levels </w:t>
      </w:r>
      <w:r>
        <w:rPr>
          <w:rFonts w:ascii="Arial" w:cs="Arial" w:eastAsia="Arial" w:hAnsi="Arial"/>
          <w:sz w:val="14"/>
          <w:szCs w:val="14"/>
          <w:color w:val="000000"/>
        </w:rPr>
        <w:t>– We continued to make significant improvements with our operational and technology service levels, and while we will always believe there is room</w:t>
      </w:r>
      <w:r>
        <w:rPr>
          <w:rFonts w:ascii="Arial" w:cs="Arial" w:eastAsia="Arial" w:hAnsi="Arial"/>
          <w:sz w:val="14"/>
          <w:szCs w:val="14"/>
          <w:b w:val="1"/>
          <w:bCs w:val="1"/>
          <w:color w:val="0066CC"/>
        </w:rPr>
        <w:t xml:space="preserve"> </w:t>
      </w:r>
      <w:r>
        <w:rPr>
          <w:rFonts w:ascii="Arial" w:cs="Arial" w:eastAsia="Arial" w:hAnsi="Arial"/>
          <w:sz w:val="14"/>
          <w:szCs w:val="14"/>
          <w:color w:val="000000"/>
        </w:rPr>
        <w:t>for improvement in these areas, we have reached a standard consistent with the markets that we operate in. These operational improvements together with the significant progress being made in closing out major litigation cases, positioned us well with a solid foundation to embark on the next chapter of our journey.</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1269BC"/>
        </w:rPr>
        <w:t>Macroeconomic and Geopolitical Uncertainty</w:t>
      </w:r>
    </w:p>
    <w:p>
      <w:pPr>
        <w:spacing w:after="0" w:line="131" w:lineRule="exact"/>
        <w:rPr>
          <w:sz w:val="20"/>
          <w:szCs w:val="20"/>
          <w:color w:val="auto"/>
        </w:rPr>
      </w:pPr>
    </w:p>
    <w:p>
      <w:pPr>
        <w:ind w:right="220"/>
        <w:spacing w:after="0" w:line="282" w:lineRule="auto"/>
        <w:rPr>
          <w:sz w:val="20"/>
          <w:szCs w:val="20"/>
          <w:color w:val="auto"/>
        </w:rPr>
      </w:pPr>
      <w:r>
        <w:rPr>
          <w:rFonts w:ascii="Arial" w:cs="Arial" w:eastAsia="Arial" w:hAnsi="Arial"/>
          <w:sz w:val="14"/>
          <w:szCs w:val="14"/>
          <w:color w:val="auto"/>
        </w:rPr>
        <w:t>Given the nature of our business and our global operations, the effects of global macroeconomic and geopolitical uncertainty could have a materially adverse effect on our business, results of operations and financial condition.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6CC"/>
        </w:rPr>
        <w:t>Financial Information</w:t>
      </w:r>
    </w:p>
    <w:p>
      <w:pPr>
        <w:spacing w:after="0" w:line="89" w:lineRule="exact"/>
        <w:rPr>
          <w:sz w:val="20"/>
          <w:szCs w:val="20"/>
          <w:color w:val="auto"/>
        </w:rPr>
      </w:pPr>
    </w:p>
    <w:p>
      <w:pPr>
        <w:ind w:right="60"/>
        <w:spacing w:after="0" w:line="299" w:lineRule="auto"/>
        <w:rPr>
          <w:sz w:val="20"/>
          <w:szCs w:val="20"/>
          <w:color w:val="auto"/>
        </w:rPr>
      </w:pPr>
      <w:r>
        <w:rPr>
          <w:rFonts w:ascii="Arial" w:cs="Arial" w:eastAsia="Arial" w:hAnsi="Arial"/>
          <w:sz w:val="13"/>
          <w:szCs w:val="13"/>
          <w:color w:val="auto"/>
        </w:rPr>
        <w:t>The section below provides a comparative discussion of our consolidated results of operations for the year ended December 31, 2023 and 2022. See Item 7. MD&amp;A–Financial Information in our Annual Report on Form 10-K for the year ended December 31, 2022, for a comparative discussion of our consolidated results of operations between 2022 and 2021.</w:t>
      </w: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80" w:type="dxa"/>
            <w:vAlign w:val="bottom"/>
            <w:gridSpan w:val="5"/>
          </w:tcPr>
          <w:p>
            <w:pPr>
              <w:ind w:left="380"/>
              <w:spacing w:after="0"/>
              <w:rPr>
                <w:sz w:val="20"/>
                <w:szCs w:val="20"/>
                <w:color w:val="auto"/>
              </w:rPr>
            </w:pPr>
            <w:r>
              <w:rPr>
                <w:rFonts w:ascii="Arial" w:cs="Arial" w:eastAsia="Arial" w:hAnsi="Arial"/>
                <w:sz w:val="11"/>
                <w:szCs w:val="11"/>
                <w:color w:val="auto"/>
              </w:rPr>
              <w:t>Year Ended December 31,</w:t>
            </w:r>
          </w:p>
        </w:tc>
        <w:tc>
          <w:tcPr>
            <w:tcW w:w="240" w:type="dxa"/>
            <w:vAlign w:val="bottom"/>
          </w:tcPr>
          <w:p>
            <w:pPr>
              <w:spacing w:after="0"/>
              <w:rPr>
                <w:sz w:val="12"/>
                <w:szCs w:val="12"/>
                <w:color w:val="auto"/>
              </w:rPr>
            </w:pPr>
          </w:p>
        </w:tc>
        <w:tc>
          <w:tcPr>
            <w:tcW w:w="1560" w:type="dxa"/>
            <w:vAlign w:val="bottom"/>
            <w:gridSpan w:val="3"/>
          </w:tcPr>
          <w:p>
            <w:pPr>
              <w:ind w:left="820"/>
              <w:spacing w:after="0"/>
              <w:rPr>
                <w:sz w:val="20"/>
                <w:szCs w:val="20"/>
                <w:color w:val="auto"/>
              </w:rPr>
            </w:pPr>
            <w:r>
              <w:rPr>
                <w:rFonts w:ascii="Arial" w:cs="Arial" w:eastAsia="Arial" w:hAnsi="Arial"/>
                <w:sz w:val="11"/>
                <w:szCs w:val="11"/>
                <w:color w:val="auto"/>
              </w:rPr>
              <w:t>2023 vs. 2022</w:t>
            </w:r>
          </w:p>
        </w:tc>
        <w:tc>
          <w:tcPr>
            <w:tcW w:w="1000" w:type="dxa"/>
            <w:vAlign w:val="bottom"/>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5680" w:type="dxa"/>
            <w:vAlign w:val="bottom"/>
            <w:gridSpan w:val="3"/>
          </w:tcPr>
          <w:p>
            <w:pPr>
              <w:spacing w:after="0"/>
              <w:rPr>
                <w:sz w:val="20"/>
                <w:szCs w:val="20"/>
                <w:color w:val="auto"/>
              </w:rPr>
            </w:pPr>
            <w:r>
              <w:rPr>
                <w:rFonts w:ascii="Arial" w:cs="Arial" w:eastAsia="Arial" w:hAnsi="Arial"/>
                <w:sz w:val="8"/>
                <w:szCs w:val="8"/>
                <w:color w:val="auto"/>
              </w:rPr>
              <w:t>(in millions)</w:t>
            </w:r>
          </w:p>
        </w:tc>
        <w:tc>
          <w:tcPr>
            <w:tcW w:w="3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484"/>
              <w:spacing w:after="0" w:line="120" w:lineRule="exact"/>
              <w:rPr>
                <w:sz w:val="20"/>
                <w:szCs w:val="20"/>
                <w:color w:val="auto"/>
              </w:rPr>
            </w:pPr>
            <w:r>
              <w:rPr>
                <w:rFonts w:ascii="Arial" w:cs="Arial" w:eastAsia="Arial" w:hAnsi="Arial"/>
                <w:sz w:val="11"/>
                <w:szCs w:val="11"/>
                <w:color w:val="auto"/>
              </w:rPr>
              <w:t>2023</w:t>
            </w:r>
          </w:p>
        </w:tc>
        <w:tc>
          <w:tcPr>
            <w:tcW w:w="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464"/>
              <w:spacing w:after="0" w:line="120" w:lineRule="exact"/>
              <w:rPr>
                <w:sz w:val="20"/>
                <w:szCs w:val="20"/>
                <w:color w:val="auto"/>
              </w:rPr>
            </w:pPr>
            <w:r>
              <w:rPr>
                <w:rFonts w:ascii="Arial" w:cs="Arial" w:eastAsia="Arial" w:hAnsi="Arial"/>
                <w:sz w:val="11"/>
                <w:szCs w:val="11"/>
                <w:color w:val="auto"/>
              </w:rPr>
              <w:t>2022</w:t>
            </w: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gridSpan w:val="3"/>
          </w:tcPr>
          <w:p>
            <w:pPr>
              <w:ind w:left="180"/>
              <w:spacing w:after="0" w:line="120" w:lineRule="exact"/>
              <w:rPr>
                <w:sz w:val="20"/>
                <w:szCs w:val="20"/>
                <w:color w:val="auto"/>
              </w:rPr>
            </w:pPr>
            <w:r>
              <w:rPr>
                <w:rFonts w:ascii="Arial" w:cs="Arial" w:eastAsia="Arial" w:hAnsi="Arial"/>
                <w:sz w:val="11"/>
                <w:szCs w:val="11"/>
                <w:color w:val="auto"/>
              </w:rPr>
              <w:t>$ Change</w:t>
            </w:r>
          </w:p>
        </w:tc>
        <w:tc>
          <w:tcPr>
            <w:tcW w:w="1000" w:type="dxa"/>
            <w:vAlign w:val="bottom"/>
            <w:tcBorders>
              <w:top w:val="single" w:sz="8" w:color="auto"/>
            </w:tcBorders>
          </w:tcPr>
          <w:p>
            <w:pPr>
              <w:jc w:val="right"/>
              <w:ind w:right="384"/>
              <w:spacing w:after="0" w:line="120" w:lineRule="exact"/>
              <w:rPr>
                <w:sz w:val="20"/>
                <w:szCs w:val="20"/>
                <w:color w:val="auto"/>
              </w:rPr>
            </w:pPr>
            <w:r>
              <w:rPr>
                <w:rFonts w:ascii="Arial" w:cs="Arial" w:eastAsia="Arial" w:hAnsi="Arial"/>
                <w:sz w:val="11"/>
                <w:szCs w:val="11"/>
                <w:color w:val="auto"/>
              </w:rPr>
              <w: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40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Revenue</w:t>
            </w: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3,722</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3,858</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(136)</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r>
      <w:tr>
        <w:trPr>
          <w:trHeight w:val="198"/>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36"/>
        </w:trPr>
        <w:tc>
          <w:tcPr>
            <w:tcW w:w="20" w:type="dxa"/>
            <w:vAlign w:val="bottom"/>
            <w:tcBorders>
              <w:bottom w:val="single" w:sz="8" w:color="CCEEFF"/>
            </w:tcBorders>
            <w:shd w:val="clear" w:color="auto" w:fill="CCEEFF"/>
          </w:tcPr>
          <w:p>
            <w:pPr>
              <w:spacing w:after="0"/>
              <w:rPr>
                <w:sz w:val="11"/>
                <w:szCs w:val="11"/>
                <w:color w:val="auto"/>
              </w:rPr>
            </w:pPr>
          </w:p>
        </w:tc>
        <w:tc>
          <w:tcPr>
            <w:tcW w:w="1640" w:type="dxa"/>
            <w:vAlign w:val="bottom"/>
            <w:tcBorders>
              <w:bottom w:val="single" w:sz="8" w:color="auto"/>
            </w:tcBorders>
            <w:gridSpan w:val="2"/>
            <w:shd w:val="clear" w:color="auto" w:fill="CCEEFF"/>
          </w:tcPr>
          <w:p>
            <w:pPr>
              <w:spacing w:after="0" w:line="125" w:lineRule="exact"/>
              <w:rPr>
                <w:sz w:val="20"/>
                <w:szCs w:val="20"/>
                <w:color w:val="auto"/>
              </w:rPr>
            </w:pPr>
            <w:r>
              <w:rPr>
                <w:rFonts w:ascii="Arial" w:cs="Arial" w:eastAsia="Arial" w:hAnsi="Arial"/>
                <w:sz w:val="11"/>
                <w:szCs w:val="11"/>
                <w:b w:val="1"/>
                <w:bCs w:val="1"/>
                <w:color w:val="auto"/>
                <w:w w:val="99"/>
              </w:rPr>
              <w:t>Operating Costs and Expenses</w:t>
            </w:r>
          </w:p>
        </w:tc>
        <w:tc>
          <w:tcPr>
            <w:tcW w:w="404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30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10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spacing w:after="0"/>
              <w:rPr>
                <w:sz w:val="11"/>
                <w:szCs w:val="11"/>
                <w:color w:val="auto"/>
              </w:rPr>
            </w:pPr>
          </w:p>
        </w:tc>
      </w:tr>
      <w:tr>
        <w:trPr>
          <w:trHeight w:val="152"/>
        </w:trPr>
        <w:tc>
          <w:tcPr>
            <w:tcW w:w="20" w:type="dxa"/>
            <w:vAlign w:val="bottom"/>
          </w:tcPr>
          <w:p>
            <w:pPr>
              <w:spacing w:after="0"/>
              <w:rPr>
                <w:sz w:val="13"/>
                <w:szCs w:val="13"/>
                <w:color w:val="auto"/>
              </w:rPr>
            </w:pPr>
          </w:p>
        </w:tc>
        <w:tc>
          <w:tcPr>
            <w:tcW w:w="5680" w:type="dxa"/>
            <w:vAlign w:val="bottom"/>
            <w:gridSpan w:val="3"/>
          </w:tcPr>
          <w:p>
            <w:pPr>
              <w:spacing w:after="0"/>
              <w:rPr>
                <w:sz w:val="20"/>
                <w:szCs w:val="20"/>
                <w:color w:val="auto"/>
              </w:rPr>
            </w:pPr>
            <w:r>
              <w:rPr>
                <w:rFonts w:ascii="Arial" w:cs="Arial" w:eastAsia="Arial" w:hAnsi="Arial"/>
                <w:sz w:val="11"/>
                <w:szCs w:val="11"/>
                <w:color w:val="auto"/>
              </w:rPr>
              <w:t>Cost of services (excluding depreciation and amortization)</w:t>
            </w:r>
          </w:p>
        </w:tc>
        <w:tc>
          <w:tcPr>
            <w:tcW w:w="300" w:type="dxa"/>
            <w:vAlign w:val="bottom"/>
          </w:tcPr>
          <w:p>
            <w:pPr>
              <w:spacing w:after="0"/>
              <w:rPr>
                <w:sz w:val="13"/>
                <w:szCs w:val="13"/>
                <w:color w:val="auto"/>
              </w:rPr>
            </w:pP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2,888</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3,018</w:t>
            </w:r>
          </w:p>
        </w:tc>
        <w:tc>
          <w:tcPr>
            <w:tcW w:w="100" w:type="dxa"/>
            <w:vAlign w:val="bottom"/>
          </w:tcPr>
          <w:p>
            <w:pPr>
              <w:spacing w:after="0"/>
              <w:rPr>
                <w:sz w:val="13"/>
                <w:szCs w:val="13"/>
                <w:color w:val="auto"/>
              </w:rPr>
            </w:pP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(130)</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(4)%</w:t>
            </w:r>
          </w:p>
        </w:tc>
      </w:tr>
      <w:tr>
        <w:trPr>
          <w:trHeight w:val="160"/>
        </w:trPr>
        <w:tc>
          <w:tcPr>
            <w:tcW w:w="20" w:type="dxa"/>
            <w:vAlign w:val="bottom"/>
            <w:shd w:val="clear" w:color="auto" w:fill="CCEEFF"/>
          </w:tcPr>
          <w:p>
            <w:pPr>
              <w:spacing w:after="0"/>
              <w:rPr>
                <w:sz w:val="13"/>
                <w:szCs w:val="13"/>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Selling, general and administrative (excluding depreciation and amortization)</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458</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4 %</w:t>
            </w:r>
          </w:p>
        </w:tc>
      </w:tr>
      <w:tr>
        <w:trPr>
          <w:trHeight w:val="152"/>
        </w:trPr>
        <w:tc>
          <w:tcPr>
            <w:tcW w:w="20" w:type="dxa"/>
            <w:vAlign w:val="bottom"/>
          </w:tcPr>
          <w:p>
            <w:pPr>
              <w:spacing w:after="0"/>
              <w:rPr>
                <w:sz w:val="13"/>
                <w:szCs w:val="13"/>
                <w:color w:val="auto"/>
              </w:rPr>
            </w:pPr>
          </w:p>
        </w:tc>
        <w:tc>
          <w:tcPr>
            <w:tcW w:w="5680" w:type="dxa"/>
            <w:vAlign w:val="bottom"/>
            <w:gridSpan w:val="3"/>
          </w:tcPr>
          <w:p>
            <w:pPr>
              <w:spacing w:after="0"/>
              <w:rPr>
                <w:sz w:val="20"/>
                <w:szCs w:val="20"/>
                <w:color w:val="auto"/>
              </w:rPr>
            </w:pPr>
            <w:r>
              <w:rPr>
                <w:rFonts w:ascii="Arial" w:cs="Arial" w:eastAsia="Arial" w:hAnsi="Arial"/>
                <w:sz w:val="11"/>
                <w:szCs w:val="11"/>
                <w:color w:val="auto"/>
              </w:rPr>
              <w:t>Research and development (excluding depreciation and amortization)</w:t>
            </w:r>
          </w:p>
        </w:tc>
        <w:tc>
          <w:tcPr>
            <w:tcW w:w="300" w:type="dxa"/>
            <w:vAlign w:val="bottom"/>
          </w:tcPr>
          <w:p>
            <w:pPr>
              <w:spacing w:after="0"/>
              <w:rPr>
                <w:sz w:val="13"/>
                <w:szCs w:val="13"/>
                <w:color w:val="auto"/>
              </w:rPr>
            </w:pP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gridSpan w:val="3"/>
          </w:tcPr>
          <w:p>
            <w:pPr>
              <w:jc w:val="right"/>
              <w:ind w:right="540"/>
              <w:spacing w:after="0"/>
              <w:rPr>
                <w:sz w:val="20"/>
                <w:szCs w:val="20"/>
                <w:color w:val="auto"/>
              </w:rPr>
            </w:pPr>
            <w:r>
              <w:rPr>
                <w:rFonts w:ascii="Arial" w:cs="Arial" w:eastAsia="Arial" w:hAnsi="Arial"/>
                <w:sz w:val="11"/>
                <w:szCs w:val="11"/>
                <w:color w:val="auto"/>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 %</w:t>
            </w:r>
          </w:p>
        </w:tc>
      </w:tr>
      <w:tr>
        <w:trPr>
          <w:trHeight w:val="160"/>
        </w:trPr>
        <w:tc>
          <w:tcPr>
            <w:tcW w:w="20" w:type="dxa"/>
            <w:vAlign w:val="bottom"/>
            <w:shd w:val="clear" w:color="auto" w:fill="CCEEFF"/>
          </w:tcPr>
          <w:p>
            <w:pPr>
              <w:spacing w:after="0"/>
              <w:rPr>
                <w:sz w:val="13"/>
                <w:szCs w:val="13"/>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Depreciation and amortization</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264</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230</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15 %</w:t>
            </w:r>
          </w:p>
        </w:tc>
      </w:tr>
      <w:tr>
        <w:trPr>
          <w:trHeight w:val="152"/>
        </w:trPr>
        <w:tc>
          <w:tcPr>
            <w:tcW w:w="20" w:type="dxa"/>
            <w:vAlign w:val="bottom"/>
          </w:tcPr>
          <w:p>
            <w:pPr>
              <w:spacing w:after="0"/>
              <w:rPr>
                <w:sz w:val="13"/>
                <w:szCs w:val="13"/>
                <w:color w:val="auto"/>
              </w:rPr>
            </w:pPr>
          </w:p>
        </w:tc>
        <w:tc>
          <w:tcPr>
            <w:tcW w:w="5680" w:type="dxa"/>
            <w:vAlign w:val="bottom"/>
            <w:gridSpan w:val="3"/>
          </w:tcPr>
          <w:p>
            <w:pPr>
              <w:spacing w:after="0"/>
              <w:rPr>
                <w:sz w:val="20"/>
                <w:szCs w:val="20"/>
                <w:color w:val="auto"/>
              </w:rPr>
            </w:pPr>
            <w:r>
              <w:rPr>
                <w:rFonts w:ascii="Arial" w:cs="Arial" w:eastAsia="Arial" w:hAnsi="Arial"/>
                <w:sz w:val="11"/>
                <w:szCs w:val="11"/>
                <w:color w:val="auto"/>
              </w:rPr>
              <w:t>Restructuring and related costs</w:t>
            </w:r>
          </w:p>
        </w:tc>
        <w:tc>
          <w:tcPr>
            <w:tcW w:w="300" w:type="dxa"/>
            <w:vAlign w:val="bottom"/>
          </w:tcPr>
          <w:p>
            <w:pPr>
              <w:spacing w:after="0"/>
              <w:rPr>
                <w:sz w:val="13"/>
                <w:szCs w:val="13"/>
                <w:color w:val="auto"/>
              </w:rPr>
            </w:pP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62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39</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59 %</w:t>
            </w:r>
          </w:p>
        </w:tc>
      </w:tr>
      <w:tr>
        <w:trPr>
          <w:trHeight w:val="160"/>
        </w:trPr>
        <w:tc>
          <w:tcPr>
            <w:tcW w:w="20" w:type="dxa"/>
            <w:vAlign w:val="bottom"/>
            <w:shd w:val="clear" w:color="auto" w:fill="CCEEFF"/>
          </w:tcPr>
          <w:p>
            <w:pPr>
              <w:spacing w:after="0"/>
              <w:rPr>
                <w:sz w:val="13"/>
                <w:szCs w:val="13"/>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Interest expense</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111</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32 %</w:t>
            </w:r>
          </w:p>
        </w:tc>
      </w:tr>
      <w:tr>
        <w:trPr>
          <w:trHeight w:val="152"/>
        </w:trPr>
        <w:tc>
          <w:tcPr>
            <w:tcW w:w="20" w:type="dxa"/>
            <w:vAlign w:val="bottom"/>
          </w:tcPr>
          <w:p>
            <w:pPr>
              <w:spacing w:after="0"/>
              <w:rPr>
                <w:sz w:val="13"/>
                <w:szCs w:val="13"/>
                <w:color w:val="auto"/>
              </w:rPr>
            </w:pPr>
          </w:p>
        </w:tc>
        <w:tc>
          <w:tcPr>
            <w:tcW w:w="5680" w:type="dxa"/>
            <w:vAlign w:val="bottom"/>
            <w:gridSpan w:val="3"/>
          </w:tcPr>
          <w:p>
            <w:pPr>
              <w:spacing w:after="0"/>
              <w:rPr>
                <w:sz w:val="20"/>
                <w:szCs w:val="20"/>
                <w:color w:val="auto"/>
              </w:rPr>
            </w:pPr>
            <w:r>
              <w:rPr>
                <w:rFonts w:ascii="Arial" w:cs="Arial" w:eastAsia="Arial" w:hAnsi="Arial"/>
                <w:sz w:val="11"/>
                <w:szCs w:val="11"/>
                <w:color w:val="auto"/>
              </w:rPr>
              <w:t>Goodwill impairment</w:t>
            </w:r>
          </w:p>
        </w:tc>
        <w:tc>
          <w:tcPr>
            <w:tcW w:w="300" w:type="dxa"/>
            <w:vAlign w:val="bottom"/>
          </w:tcPr>
          <w:p>
            <w:pPr>
              <w:spacing w:after="0"/>
              <w:rPr>
                <w:sz w:val="13"/>
                <w:szCs w:val="13"/>
                <w:color w:val="auto"/>
              </w:rPr>
            </w:pPr>
          </w:p>
        </w:tc>
        <w:tc>
          <w:tcPr>
            <w:tcW w:w="1000" w:type="dxa"/>
            <w:vAlign w:val="bottom"/>
          </w:tcPr>
          <w:p>
            <w:pPr>
              <w:jc w:val="right"/>
              <w:ind w:right="4"/>
              <w:spacing w:after="0"/>
              <w:rPr>
                <w:sz w:val="20"/>
                <w:szCs w:val="20"/>
                <w:color w:val="auto"/>
              </w:rPr>
            </w:pPr>
            <w:r>
              <w:rPr>
                <w:rFonts w:ascii="Arial" w:cs="Arial" w:eastAsia="Arial" w:hAnsi="Arial"/>
                <w:sz w:val="11"/>
                <w:szCs w:val="11"/>
                <w:color w:val="auto"/>
              </w:rPr>
              <w:t>287</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358</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(71)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(20)%</w:t>
            </w:r>
          </w:p>
        </w:tc>
      </w:tr>
      <w:tr>
        <w:trPr>
          <w:trHeight w:val="160"/>
        </w:trPr>
        <w:tc>
          <w:tcPr>
            <w:tcW w:w="20" w:type="dxa"/>
            <w:vAlign w:val="bottom"/>
            <w:shd w:val="clear" w:color="auto" w:fill="CCEEFF"/>
          </w:tcPr>
          <w:p>
            <w:pPr>
              <w:spacing w:after="0"/>
              <w:rPr>
                <w:sz w:val="13"/>
                <w:szCs w:val="13"/>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(Gain) loss on divestitures and transaction costs, net</w:t>
            </w: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168</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w:t>
            </w:r>
          </w:p>
        </w:tc>
      </w:tr>
      <w:tr>
        <w:trPr>
          <w:trHeight w:val="152"/>
        </w:trPr>
        <w:tc>
          <w:tcPr>
            <w:tcW w:w="20" w:type="dxa"/>
            <w:vAlign w:val="bottom"/>
          </w:tcPr>
          <w:p>
            <w:pPr>
              <w:spacing w:after="0"/>
              <w:rPr>
                <w:sz w:val="13"/>
                <w:szCs w:val="13"/>
                <w:color w:val="auto"/>
              </w:rPr>
            </w:pPr>
          </w:p>
        </w:tc>
        <w:tc>
          <w:tcPr>
            <w:tcW w:w="5680" w:type="dxa"/>
            <w:vAlign w:val="bottom"/>
            <w:gridSpan w:val="3"/>
          </w:tcPr>
          <w:p>
            <w:pPr>
              <w:spacing w:after="0"/>
              <w:rPr>
                <w:sz w:val="20"/>
                <w:szCs w:val="20"/>
                <w:color w:val="auto"/>
              </w:rPr>
            </w:pPr>
            <w:r>
              <w:rPr>
                <w:rFonts w:ascii="Arial" w:cs="Arial" w:eastAsia="Arial" w:hAnsi="Arial"/>
                <w:sz w:val="11"/>
                <w:szCs w:val="11"/>
                <w:color w:val="auto"/>
              </w:rPr>
              <w:t>Litigation settlements (recoveries), net</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(30)</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(6)%</w:t>
            </w:r>
          </w:p>
        </w:tc>
      </w:tr>
      <w:tr>
        <w:trPr>
          <w:trHeight w:val="160"/>
        </w:trPr>
        <w:tc>
          <w:tcPr>
            <w:tcW w:w="20" w:type="dxa"/>
            <w:vAlign w:val="bottom"/>
            <w:shd w:val="clear" w:color="auto" w:fill="CCEEFF"/>
          </w:tcPr>
          <w:p>
            <w:pPr>
              <w:spacing w:after="0"/>
              <w:rPr>
                <w:sz w:val="13"/>
                <w:szCs w:val="13"/>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Other (income) expenses, net</w:t>
            </w:r>
          </w:p>
        </w:tc>
        <w:tc>
          <w:tcPr>
            <w:tcW w:w="3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200 %</w:t>
            </w:r>
          </w:p>
        </w:tc>
      </w:tr>
      <w:tr>
        <w:trPr>
          <w:trHeight w:val="146"/>
        </w:trPr>
        <w:tc>
          <w:tcPr>
            <w:tcW w:w="20" w:type="dxa"/>
            <w:vAlign w:val="bottom"/>
          </w:tcPr>
          <w:p>
            <w:pPr>
              <w:spacing w:after="0"/>
              <w:rPr>
                <w:sz w:val="12"/>
                <w:szCs w:val="12"/>
                <w:color w:val="auto"/>
              </w:rPr>
            </w:pPr>
          </w:p>
        </w:tc>
        <w:tc>
          <w:tcPr>
            <w:tcW w:w="5680" w:type="dxa"/>
            <w:vAlign w:val="bottom"/>
            <w:gridSpan w:val="3"/>
          </w:tcPr>
          <w:p>
            <w:pPr>
              <w:spacing w:after="0"/>
              <w:rPr>
                <w:sz w:val="20"/>
                <w:szCs w:val="20"/>
                <w:color w:val="auto"/>
              </w:rPr>
            </w:pPr>
            <w:r>
              <w:rPr>
                <w:rFonts w:ascii="Arial" w:cs="Arial" w:eastAsia="Arial" w:hAnsi="Arial"/>
                <w:sz w:val="11"/>
                <w:szCs w:val="11"/>
                <w:b w:val="1"/>
                <w:bCs w:val="1"/>
                <w:color w:val="auto"/>
              </w:rPr>
              <w:t>Total Operating Costs and Expenses</w:t>
            </w:r>
          </w:p>
        </w:tc>
        <w:tc>
          <w:tcPr>
            <w:tcW w:w="300" w:type="dxa"/>
            <w:vAlign w:val="bottom"/>
          </w:tcPr>
          <w:p>
            <w:pPr>
              <w:spacing w:after="0"/>
              <w:rPr>
                <w:sz w:val="12"/>
                <w:szCs w:val="12"/>
                <w:color w:val="auto"/>
              </w:rPr>
            </w:pPr>
          </w:p>
        </w:tc>
        <w:tc>
          <w:tcPr>
            <w:tcW w:w="1000" w:type="dxa"/>
            <w:vAlign w:val="bottom"/>
          </w:tcPr>
          <w:p>
            <w:pPr>
              <w:jc w:val="right"/>
              <w:ind w:right="4"/>
              <w:spacing w:after="0"/>
              <w:rPr>
                <w:sz w:val="20"/>
                <w:szCs w:val="20"/>
                <w:color w:val="auto"/>
              </w:rPr>
            </w:pPr>
            <w:r>
              <w:rPr>
                <w:rFonts w:ascii="Arial" w:cs="Arial" w:eastAsia="Arial" w:hAnsi="Arial"/>
                <w:sz w:val="11"/>
                <w:szCs w:val="11"/>
                <w:b w:val="1"/>
                <w:bCs w:val="1"/>
                <w:color w:val="auto"/>
              </w:rPr>
              <w:t>4,054</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1"/>
                <w:szCs w:val="11"/>
                <w:b w:val="1"/>
                <w:bCs w:val="1"/>
                <w:color w:val="auto"/>
              </w:rPr>
              <w:t>3,985</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rPr>
              <w:t>69</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74"/>
        </w:trPr>
        <w:tc>
          <w:tcPr>
            <w:tcW w:w="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404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r>
      <w:tr>
        <w:trPr>
          <w:trHeight w:val="155"/>
        </w:trPr>
        <w:tc>
          <w:tcPr>
            <w:tcW w:w="20" w:type="dxa"/>
            <w:vAlign w:val="bottom"/>
          </w:tcPr>
          <w:p>
            <w:pPr>
              <w:spacing w:after="0"/>
              <w:rPr>
                <w:sz w:val="13"/>
                <w:szCs w:val="13"/>
                <w:color w:val="auto"/>
              </w:rPr>
            </w:pPr>
          </w:p>
        </w:tc>
        <w:tc>
          <w:tcPr>
            <w:tcW w:w="5680" w:type="dxa"/>
            <w:vAlign w:val="bottom"/>
            <w:gridSpan w:val="3"/>
          </w:tcPr>
          <w:p>
            <w:pPr>
              <w:spacing w:after="0"/>
              <w:rPr>
                <w:sz w:val="20"/>
                <w:szCs w:val="20"/>
                <w:color w:val="auto"/>
              </w:rPr>
            </w:pPr>
            <w:r>
              <w:rPr>
                <w:rFonts w:ascii="Arial" w:cs="Arial" w:eastAsia="Arial" w:hAnsi="Arial"/>
                <w:sz w:val="11"/>
                <w:szCs w:val="11"/>
                <w:b w:val="1"/>
                <w:bCs w:val="1"/>
                <w:color w:val="auto"/>
              </w:rPr>
              <w:t>Income (Loss) Before Income Taxes</w:t>
            </w: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(332)</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(127)</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(205)</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53"/>
        </w:trPr>
        <w:tc>
          <w:tcPr>
            <w:tcW w:w="20" w:type="dxa"/>
            <w:vAlign w:val="bottom"/>
            <w:shd w:val="clear" w:color="auto" w:fill="CCEEFF"/>
          </w:tcPr>
          <w:p>
            <w:pPr>
              <w:spacing w:after="0"/>
              <w:rPr>
                <w:sz w:val="13"/>
                <w:szCs w:val="13"/>
                <w:color w:val="auto"/>
              </w:rPr>
            </w:pPr>
          </w:p>
        </w:tc>
        <w:tc>
          <w:tcPr>
            <w:tcW w:w="568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Income tax expense (benefit)</w:t>
            </w:r>
          </w:p>
        </w:tc>
        <w:tc>
          <w:tcPr>
            <w:tcW w:w="3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w:t>
            </w:r>
          </w:p>
        </w:tc>
        <w:tc>
          <w:tcPr>
            <w:tcW w:w="80" w:type="dxa"/>
            <w:vAlign w:val="bottom"/>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55</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(91)</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spacing w:after="0"/>
              <w:rPr>
                <w:sz w:val="13"/>
                <w:szCs w:val="13"/>
                <w:color w:val="auto"/>
              </w:rPr>
            </w:pPr>
          </w:p>
        </w:tc>
      </w:tr>
      <w:tr>
        <w:trPr>
          <w:trHeight w:val="151"/>
        </w:trPr>
        <w:tc>
          <w:tcPr>
            <w:tcW w:w="20" w:type="dxa"/>
            <w:vAlign w:val="bottom"/>
          </w:tcPr>
          <w:p>
            <w:pPr>
              <w:spacing w:after="0"/>
              <w:rPr>
                <w:sz w:val="13"/>
                <w:szCs w:val="13"/>
                <w:color w:val="auto"/>
              </w:rPr>
            </w:pPr>
          </w:p>
        </w:tc>
        <w:tc>
          <w:tcPr>
            <w:tcW w:w="5680" w:type="dxa"/>
            <w:vAlign w:val="bottom"/>
            <w:gridSpan w:val="3"/>
          </w:tcPr>
          <w:p>
            <w:pPr>
              <w:spacing w:after="0"/>
              <w:rPr>
                <w:sz w:val="20"/>
                <w:szCs w:val="20"/>
                <w:color w:val="auto"/>
              </w:rPr>
            </w:pPr>
            <w:r>
              <w:rPr>
                <w:rFonts w:ascii="Arial" w:cs="Arial" w:eastAsia="Arial" w:hAnsi="Arial"/>
                <w:sz w:val="11"/>
                <w:szCs w:val="11"/>
                <w:b w:val="1"/>
                <w:bCs w:val="1"/>
                <w:color w:val="auto"/>
              </w:rPr>
              <w:t>Net Income (Loss)</w:t>
            </w: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(296)</w:t>
            </w:r>
          </w:p>
        </w:tc>
        <w:tc>
          <w:tcPr>
            <w:tcW w:w="80" w:type="dxa"/>
            <w:vAlign w:val="bottom"/>
          </w:tcPr>
          <w:p>
            <w:pPr>
              <w:spacing w:after="0"/>
              <w:rPr>
                <w:sz w:val="13"/>
                <w:szCs w:val="13"/>
                <w:color w:val="auto"/>
              </w:rPr>
            </w:pPr>
          </w:p>
        </w:tc>
        <w:tc>
          <w:tcPr>
            <w:tcW w:w="300" w:type="dxa"/>
            <w:vAlign w:val="bottom"/>
            <w:tcBorders>
              <w:bottom w:val="single" w:sz="8" w:color="auto"/>
            </w:tcBorders>
          </w:tcPr>
          <w:p>
            <w:pPr>
              <w:jc w:val="right"/>
              <w:ind w:right="164"/>
              <w:spacing w:after="0"/>
              <w:rPr>
                <w:sz w:val="20"/>
                <w:szCs w:val="20"/>
                <w:color w:val="auto"/>
              </w:rPr>
            </w:pPr>
            <w:r>
              <w:rPr>
                <w:rFonts w:ascii="Arial" w:cs="Arial" w:eastAsia="Arial" w:hAnsi="Arial"/>
                <w:sz w:val="11"/>
                <w:szCs w:val="11"/>
                <w:b w:val="1"/>
                <w:bCs w:val="1"/>
                <w:color w:val="auto"/>
                <w:w w:val="97"/>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(182)</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b w:val="1"/>
                <w:bCs w:val="1"/>
                <w:color w:val="auto"/>
                <w:w w:val="97"/>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(114)</w:t>
            </w:r>
          </w:p>
        </w:tc>
        <w:tc>
          <w:tcPr>
            <w:tcW w:w="10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36" w:name="page37"/>
    <w:bookmarkEnd w:id="36"/>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Revenue</w:t>
      </w:r>
    </w:p>
    <w:p>
      <w:pPr>
        <w:spacing w:after="0" w:line="131" w:lineRule="exact"/>
        <w:rPr>
          <w:sz w:val="20"/>
          <w:szCs w:val="20"/>
          <w:color w:val="auto"/>
        </w:rPr>
      </w:pPr>
    </w:p>
    <w:p>
      <w:pPr>
        <w:ind w:right="320"/>
        <w:spacing w:after="0" w:line="265" w:lineRule="auto"/>
        <w:rPr>
          <w:sz w:val="20"/>
          <w:szCs w:val="20"/>
          <w:color w:val="auto"/>
        </w:rPr>
      </w:pPr>
      <w:r>
        <w:rPr>
          <w:rFonts w:ascii="Arial" w:cs="Arial" w:eastAsia="Arial" w:hAnsi="Arial"/>
          <w:sz w:val="14"/>
          <w:szCs w:val="14"/>
          <w:color w:val="auto"/>
        </w:rPr>
        <w:t>Revenue for 2023 decreased 4%, compared to the prior year, primarily due to lost business from prior periods and non-repeating items in the prior year including recognition of the revenue benefit associated with an annual minimum volume commitment contract with a large client in our Commercial segment and federal stimulus revenue in our Government segment. These were partially offset by higher interest rates positively impacting our BenefitWallet business and new business ramp in our Government segment.</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Cost of Services (excluding depreciation and amortization)</w:t>
      </w:r>
    </w:p>
    <w:p>
      <w:pPr>
        <w:spacing w:after="0" w:line="131" w:lineRule="exact"/>
        <w:rPr>
          <w:sz w:val="20"/>
          <w:szCs w:val="20"/>
          <w:color w:val="auto"/>
        </w:rPr>
      </w:pPr>
    </w:p>
    <w:p>
      <w:pPr>
        <w:ind w:right="200"/>
        <w:spacing w:after="0" w:line="282" w:lineRule="auto"/>
        <w:rPr>
          <w:sz w:val="20"/>
          <w:szCs w:val="20"/>
          <w:color w:val="auto"/>
        </w:rPr>
      </w:pPr>
      <w:r>
        <w:rPr>
          <w:rFonts w:ascii="Arial" w:cs="Arial" w:eastAsia="Arial" w:hAnsi="Arial"/>
          <w:sz w:val="14"/>
          <w:szCs w:val="14"/>
          <w:color w:val="auto"/>
        </w:rPr>
        <w:t>Cost of services for 2023 decreased 4%, compared to the prior year, primarily driven by the impact of reduced revenue, increased operational efficiency and a $17 million reversal of liabilities due to the settlement of the Cognizant matter described in Note 16 – Contingencies and Litigation to the Consolidated Financial Statements.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Selling, General and Administrative ("SG&amp;A") (excluding depreciation and amortization)</w:t>
      </w:r>
    </w:p>
    <w:p>
      <w:pPr>
        <w:spacing w:after="0" w:line="131" w:lineRule="exact"/>
        <w:rPr>
          <w:sz w:val="20"/>
          <w:szCs w:val="20"/>
          <w:color w:val="auto"/>
        </w:rPr>
      </w:pPr>
    </w:p>
    <w:p>
      <w:pPr>
        <w:ind w:right="440"/>
        <w:spacing w:after="0" w:line="282" w:lineRule="auto"/>
        <w:rPr>
          <w:sz w:val="20"/>
          <w:szCs w:val="20"/>
          <w:color w:val="auto"/>
        </w:rPr>
      </w:pPr>
      <w:r>
        <w:rPr>
          <w:rFonts w:ascii="Arial" w:cs="Arial" w:eastAsia="Arial" w:hAnsi="Arial"/>
          <w:sz w:val="14"/>
          <w:szCs w:val="14"/>
          <w:color w:val="auto"/>
        </w:rPr>
        <w:t>SG&amp;A for 2023 increased 4%, compared to the prior year, primarily driven by the absence of the recovery of $14 million of defense costs as part of the settlement with insurance carriers relating to the previously disclosed State of Texas matter that occurred in 2022.</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Depreciation and Amortization</w:t>
      </w:r>
    </w:p>
    <w:p>
      <w:pPr>
        <w:spacing w:after="0" w:line="131" w:lineRule="exact"/>
        <w:rPr>
          <w:sz w:val="20"/>
          <w:szCs w:val="20"/>
          <w:color w:val="auto"/>
        </w:rPr>
      </w:pPr>
    </w:p>
    <w:p>
      <w:pPr>
        <w:ind w:right="160"/>
        <w:spacing w:after="0" w:line="282" w:lineRule="auto"/>
        <w:rPr>
          <w:sz w:val="20"/>
          <w:szCs w:val="20"/>
          <w:color w:val="auto"/>
        </w:rPr>
      </w:pPr>
      <w:r>
        <w:rPr>
          <w:rFonts w:ascii="Arial" w:cs="Arial" w:eastAsia="Arial" w:hAnsi="Arial"/>
          <w:sz w:val="14"/>
          <w:szCs w:val="14"/>
          <w:color w:val="auto"/>
        </w:rPr>
        <w:t>Depreciation and amortization for 2023 increased 15% compared to the prior year. This increase was primarily driven by the write-off of capitalized software costs totaling $25 million, stemming from management’s decision to abandon an internal use software product and a decision by a customer to not implement a product software solution.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Restructuring and Related Costs</w:t>
      </w:r>
    </w:p>
    <w:p>
      <w:pPr>
        <w:spacing w:after="0" w:line="131" w:lineRule="exact"/>
        <w:rPr>
          <w:sz w:val="20"/>
          <w:szCs w:val="20"/>
          <w:color w:val="auto"/>
        </w:rPr>
      </w:pPr>
    </w:p>
    <w:p>
      <w:pPr>
        <w:ind w:right="420"/>
        <w:spacing w:after="0" w:line="265" w:lineRule="auto"/>
        <w:rPr>
          <w:sz w:val="20"/>
          <w:szCs w:val="20"/>
          <w:color w:val="auto"/>
        </w:rPr>
      </w:pPr>
      <w:r>
        <w:rPr>
          <w:rFonts w:ascii="Arial" w:cs="Arial" w:eastAsia="Arial" w:hAnsi="Arial"/>
          <w:sz w:val="14"/>
          <w:szCs w:val="14"/>
          <w:color w:val="auto"/>
        </w:rPr>
        <w:t>We engage in a series of restructuring programs related to downsizing our employee base, reducing our real estate footprint, exiting certain activities, outsourcing certain internal functions, consolidating our data centers and engaging in other actions designed to reduce our cost structure and improve productivity. The following are the components of our Restructuring and related costs: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1"/>
                <w:szCs w:val="11"/>
                <w:color w:val="auto"/>
              </w:rPr>
              <w:t>Year Ended December 31,</w:t>
            </w:r>
          </w:p>
        </w:tc>
        <w:tc>
          <w:tcPr>
            <w:tcW w:w="1100" w:type="dxa"/>
            <w:vAlign w:val="bottom"/>
            <w:tcBorders>
              <w:bottom w:val="single" w:sz="8" w:color="auto"/>
            </w:tcBorders>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7600" w:type="dxa"/>
            <w:vAlign w:val="bottom"/>
            <w:gridSpan w:val="2"/>
          </w:tcPr>
          <w:p>
            <w:pPr>
              <w:spacing w:after="0"/>
              <w:rPr>
                <w:sz w:val="20"/>
                <w:szCs w:val="20"/>
                <w:color w:val="auto"/>
              </w:rPr>
            </w:pPr>
            <w:r>
              <w:rPr>
                <w:rFonts w:ascii="Arial" w:cs="Arial" w:eastAsia="Arial" w:hAnsi="Arial"/>
                <w:sz w:val="10"/>
                <w:szCs w:val="10"/>
                <w:color w:val="auto"/>
              </w:rPr>
              <w:t>(in millions, except headcount in whole numbers)</w:t>
            </w:r>
          </w:p>
        </w:tc>
        <w:tc>
          <w:tcPr>
            <w:tcW w:w="420" w:type="dxa"/>
            <w:vAlign w:val="bottom"/>
          </w:tcPr>
          <w:p>
            <w:pPr>
              <w:spacing w:after="0"/>
              <w:rPr>
                <w:sz w:val="10"/>
                <w:szCs w:val="10"/>
                <w:color w:val="auto"/>
              </w:rPr>
            </w:pPr>
          </w:p>
        </w:tc>
        <w:tc>
          <w:tcPr>
            <w:tcW w:w="1360" w:type="dxa"/>
            <w:vAlign w:val="bottom"/>
          </w:tcPr>
          <w:p>
            <w:pPr>
              <w:jc w:val="right"/>
              <w:ind w:right="704"/>
              <w:spacing w:after="0" w:line="120" w:lineRule="exact"/>
              <w:rPr>
                <w:sz w:val="20"/>
                <w:szCs w:val="20"/>
                <w:color w:val="auto"/>
              </w:rPr>
            </w:pPr>
            <w:r>
              <w:rPr>
                <w:rFonts w:ascii="Arial" w:cs="Arial" w:eastAsia="Arial" w:hAnsi="Arial"/>
                <w:sz w:val="11"/>
                <w:szCs w:val="11"/>
                <w:color w:val="auto"/>
              </w:rPr>
              <w:t>2023</w:t>
            </w: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00" w:type="dxa"/>
            <w:vAlign w:val="bottom"/>
          </w:tcPr>
          <w:p>
            <w:pPr>
              <w:jc w:val="right"/>
              <w:ind w:right="704"/>
              <w:spacing w:after="0" w:line="120" w:lineRule="exact"/>
              <w:rPr>
                <w:sz w:val="20"/>
                <w:szCs w:val="20"/>
                <w:color w:val="auto"/>
              </w:rPr>
            </w:pPr>
            <w:r>
              <w:rPr>
                <w:rFonts w:ascii="Arial" w:cs="Arial" w:eastAsia="Arial" w:hAnsi="Arial"/>
                <w:sz w:val="11"/>
                <w:szCs w:val="1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top w:val="single" w:sz="8" w:color="auto"/>
              <w:bottom w:val="single" w:sz="8" w:color="CCEEFF"/>
            </w:tcBorders>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Severance and related costs</w:t>
            </w: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544"/>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r>
      <w:tr>
        <w:trPr>
          <w:trHeight w:val="152"/>
        </w:trPr>
        <w:tc>
          <w:tcPr>
            <w:tcW w:w="20" w:type="dxa"/>
            <w:vAlign w:val="bottom"/>
          </w:tcPr>
          <w:p>
            <w:pPr>
              <w:spacing w:after="0"/>
              <w:rPr>
                <w:sz w:val="13"/>
                <w:szCs w:val="13"/>
                <w:color w:val="auto"/>
              </w:rPr>
            </w:pPr>
          </w:p>
        </w:tc>
        <w:tc>
          <w:tcPr>
            <w:tcW w:w="7600" w:type="dxa"/>
            <w:vAlign w:val="bottom"/>
            <w:gridSpan w:val="2"/>
          </w:tcPr>
          <w:p>
            <w:pPr>
              <w:spacing w:after="0"/>
              <w:rPr>
                <w:sz w:val="20"/>
                <w:szCs w:val="20"/>
                <w:color w:val="auto"/>
              </w:rPr>
            </w:pPr>
            <w:r>
              <w:rPr>
                <w:rFonts w:ascii="Arial" w:cs="Arial" w:eastAsia="Arial" w:hAnsi="Arial"/>
                <w:sz w:val="11"/>
                <w:szCs w:val="11"/>
                <w:color w:val="auto"/>
              </w:rPr>
              <w:t>Data center consolidation costs</w:t>
            </w:r>
          </w:p>
        </w:tc>
        <w:tc>
          <w:tcPr>
            <w:tcW w:w="42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10</w:t>
            </w:r>
          </w:p>
        </w:tc>
      </w:tr>
      <w:tr>
        <w:trPr>
          <w:trHeight w:val="160"/>
        </w:trPr>
        <w:tc>
          <w:tcPr>
            <w:tcW w:w="20" w:type="dxa"/>
            <w:vAlign w:val="bottom"/>
            <w:shd w:val="clear" w:color="auto" w:fill="CCEEFF"/>
          </w:tcPr>
          <w:p>
            <w:pPr>
              <w:spacing w:after="0"/>
              <w:rPr>
                <w:sz w:val="13"/>
                <w:szCs w:val="13"/>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Termination, insourcing and asset impairment costs</w:t>
            </w:r>
            <w:r>
              <w:rPr>
                <w:rFonts w:ascii="Arial" w:cs="Arial" w:eastAsia="Arial" w:hAnsi="Arial"/>
                <w:sz w:val="14"/>
                <w:szCs w:val="14"/>
                <w:color w:val="auto"/>
                <w:vertAlign w:val="superscript"/>
              </w:rPr>
              <w:t>(1)</w:t>
            </w:r>
          </w:p>
        </w:tc>
        <w:tc>
          <w:tcPr>
            <w:tcW w:w="42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w:t>
            </w:r>
          </w:p>
        </w:tc>
        <w:tc>
          <w:tcPr>
            <w:tcW w:w="100" w:type="dxa"/>
            <w:vAlign w:val="bottom"/>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w:t>
            </w:r>
          </w:p>
        </w:tc>
      </w:tr>
      <w:tr>
        <w:trPr>
          <w:trHeight w:val="146"/>
        </w:trPr>
        <w:tc>
          <w:tcPr>
            <w:tcW w:w="20" w:type="dxa"/>
            <w:vAlign w:val="bottom"/>
          </w:tcPr>
          <w:p>
            <w:pPr>
              <w:spacing w:after="0"/>
              <w:rPr>
                <w:sz w:val="12"/>
                <w:szCs w:val="12"/>
                <w:color w:val="auto"/>
              </w:rPr>
            </w:pPr>
          </w:p>
        </w:tc>
        <w:tc>
          <w:tcPr>
            <w:tcW w:w="7600" w:type="dxa"/>
            <w:vAlign w:val="bottom"/>
            <w:gridSpan w:val="2"/>
          </w:tcPr>
          <w:p>
            <w:pPr>
              <w:spacing w:after="0"/>
              <w:rPr>
                <w:sz w:val="20"/>
                <w:szCs w:val="20"/>
                <w:color w:val="auto"/>
              </w:rPr>
            </w:pPr>
            <w:r>
              <w:rPr>
                <w:rFonts w:ascii="Arial" w:cs="Arial" w:eastAsia="Arial" w:hAnsi="Arial"/>
                <w:sz w:val="11"/>
                <w:szCs w:val="11"/>
                <w:b w:val="1"/>
                <w:bCs w:val="1"/>
                <w:color w:val="auto"/>
              </w:rPr>
              <w:t>Total Net Current Period Charges</w:t>
            </w:r>
          </w:p>
        </w:tc>
        <w:tc>
          <w:tcPr>
            <w:tcW w:w="420" w:type="dxa"/>
            <w:vAlign w:val="bottom"/>
          </w:tcPr>
          <w:p>
            <w:pPr>
              <w:spacing w:after="0"/>
              <w:rPr>
                <w:sz w:val="12"/>
                <w:szCs w:val="12"/>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62</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37</w:t>
            </w:r>
          </w:p>
        </w:tc>
      </w:tr>
      <w:tr>
        <w:trPr>
          <w:trHeight w:val="157"/>
        </w:trPr>
        <w:tc>
          <w:tcPr>
            <w:tcW w:w="20" w:type="dxa"/>
            <w:vAlign w:val="bottom"/>
            <w:shd w:val="clear" w:color="auto" w:fill="CCEEFF"/>
          </w:tcPr>
          <w:p>
            <w:pPr>
              <w:spacing w:after="0"/>
              <w:rPr>
                <w:sz w:val="13"/>
                <w:szCs w:val="13"/>
                <w:color w:val="auto"/>
              </w:rPr>
            </w:pPr>
          </w:p>
        </w:tc>
        <w:tc>
          <w:tcPr>
            <w:tcW w:w="7600" w:type="dxa"/>
            <w:vAlign w:val="bottom"/>
            <w:gridSpan w:val="2"/>
            <w:shd w:val="clear" w:color="auto" w:fill="CCEEFF"/>
          </w:tcPr>
          <w:p>
            <w:pPr>
              <w:spacing w:after="0" w:line="157" w:lineRule="exact"/>
              <w:rPr>
                <w:sz w:val="20"/>
                <w:szCs w:val="20"/>
                <w:color w:val="auto"/>
              </w:rPr>
            </w:pPr>
            <w:r>
              <w:rPr>
                <w:rFonts w:ascii="Arial" w:cs="Arial" w:eastAsia="Arial" w:hAnsi="Arial"/>
                <w:sz w:val="11"/>
                <w:szCs w:val="11"/>
                <w:color w:val="auto"/>
              </w:rPr>
              <w:t>Consulting and other costs</w:t>
            </w:r>
            <w:r>
              <w:rPr>
                <w:rFonts w:ascii="Arial" w:cs="Arial" w:eastAsia="Arial" w:hAnsi="Arial"/>
                <w:sz w:val="14"/>
                <w:szCs w:val="14"/>
                <w:color w:val="auto"/>
                <w:vertAlign w:val="superscript"/>
              </w:rPr>
              <w:t>(2)</w:t>
            </w:r>
          </w:p>
        </w:tc>
        <w:tc>
          <w:tcPr>
            <w:tcW w:w="42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r>
      <w:tr>
        <w:trPr>
          <w:trHeight w:val="147"/>
        </w:trPr>
        <w:tc>
          <w:tcPr>
            <w:tcW w:w="20" w:type="dxa"/>
            <w:vAlign w:val="bottom"/>
          </w:tcPr>
          <w:p>
            <w:pPr>
              <w:spacing w:after="0"/>
              <w:rPr>
                <w:sz w:val="12"/>
                <w:szCs w:val="12"/>
                <w:color w:val="auto"/>
              </w:rPr>
            </w:pPr>
          </w:p>
        </w:tc>
        <w:tc>
          <w:tcPr>
            <w:tcW w:w="7600" w:type="dxa"/>
            <w:vAlign w:val="bottom"/>
            <w:gridSpan w:val="2"/>
          </w:tcPr>
          <w:p>
            <w:pPr>
              <w:spacing w:after="0"/>
              <w:rPr>
                <w:sz w:val="20"/>
                <w:szCs w:val="20"/>
                <w:color w:val="auto"/>
              </w:rPr>
            </w:pPr>
            <w:r>
              <w:rPr>
                <w:rFonts w:ascii="Arial" w:cs="Arial" w:eastAsia="Arial" w:hAnsi="Arial"/>
                <w:sz w:val="11"/>
                <w:szCs w:val="11"/>
                <w:b w:val="1"/>
                <w:bCs w:val="1"/>
                <w:color w:val="auto"/>
              </w:rPr>
              <w:t>Restructuring and Related Costs</w:t>
            </w:r>
          </w:p>
        </w:tc>
        <w:tc>
          <w:tcPr>
            <w:tcW w:w="420" w:type="dxa"/>
            <w:vAlign w:val="bottom"/>
            <w:tcBorders>
              <w:top w:val="single" w:sz="8" w:color="auto"/>
              <w:bottom w:val="single" w:sz="8" w:color="auto"/>
            </w:tcBorders>
          </w:tcPr>
          <w:p>
            <w:pPr>
              <w:jc w:val="right"/>
              <w:ind w:right="284"/>
              <w:spacing w:after="0"/>
              <w:rPr>
                <w:sz w:val="20"/>
                <w:szCs w:val="20"/>
                <w:color w:val="auto"/>
              </w:rPr>
            </w:pPr>
            <w:r>
              <w:rPr>
                <w:rFonts w:ascii="Arial" w:cs="Arial" w:eastAsia="Arial" w:hAnsi="Arial"/>
                <w:sz w:val="11"/>
                <w:szCs w:val="11"/>
                <w:color w:val="auto"/>
                <w:w w:val="97"/>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62</w:t>
            </w:r>
          </w:p>
        </w:tc>
        <w:tc>
          <w:tcPr>
            <w:tcW w:w="1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544"/>
              <w:spacing w:after="0"/>
              <w:rPr>
                <w:sz w:val="20"/>
                <w:szCs w:val="20"/>
                <w:color w:val="auto"/>
              </w:rPr>
            </w:pPr>
            <w:r>
              <w:rPr>
                <w:rFonts w:ascii="Arial" w:cs="Arial" w:eastAsia="Arial" w:hAnsi="Arial"/>
                <w:sz w:val="11"/>
                <w:szCs w:val="11"/>
                <w:color w:val="auto"/>
                <w:w w:val="97"/>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55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7600" w:type="dxa"/>
            <w:vAlign w:val="bottom"/>
            <w:gridSpan w:val="2"/>
            <w:shd w:val="clear" w:color="auto" w:fill="CCEEFF"/>
          </w:tcPr>
          <w:p>
            <w:pPr>
              <w:spacing w:after="0" w:line="138" w:lineRule="exact"/>
              <w:rPr>
                <w:sz w:val="20"/>
                <w:szCs w:val="20"/>
                <w:color w:val="auto"/>
              </w:rPr>
            </w:pPr>
            <w:r>
              <w:rPr>
                <w:rFonts w:ascii="Arial" w:cs="Arial" w:eastAsia="Arial" w:hAnsi="Arial"/>
                <w:sz w:val="11"/>
                <w:szCs w:val="11"/>
                <w:color w:val="auto"/>
              </w:rPr>
              <w:t>Reduction in headcount</w:t>
            </w:r>
            <w:r>
              <w:rPr>
                <w:rFonts w:ascii="Arial" w:cs="Arial" w:eastAsia="Arial" w:hAnsi="Arial"/>
                <w:sz w:val="14"/>
                <w:szCs w:val="14"/>
                <w:color w:val="auto"/>
                <w:vertAlign w:val="superscript"/>
              </w:rPr>
              <w:t>(3)</w:t>
            </w:r>
          </w:p>
        </w:tc>
        <w:tc>
          <w:tcPr>
            <w:tcW w:w="420" w:type="dxa"/>
            <w:vAlign w:val="bottom"/>
            <w:shd w:val="clear" w:color="auto" w:fill="CCEEFF"/>
          </w:tcPr>
          <w:p>
            <w:pPr>
              <w:spacing w:after="0"/>
              <w:rPr>
                <w:sz w:val="11"/>
                <w:szCs w:val="1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700</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800</w:t>
            </w:r>
          </w:p>
        </w:tc>
      </w:tr>
      <w:tr>
        <w:trPr>
          <w:trHeight w:val="211"/>
        </w:trPr>
        <w:tc>
          <w:tcPr>
            <w:tcW w:w="2120" w:type="dxa"/>
            <w:vAlign w:val="bottom"/>
            <w:gridSpan w:val="2"/>
          </w:tcPr>
          <w:p>
            <w:pPr>
              <w:jc w:val="right"/>
              <w:ind w:right="1445"/>
              <w:spacing w:after="0"/>
              <w:rPr>
                <w:sz w:val="20"/>
                <w:szCs w:val="20"/>
                <w:color w:val="auto"/>
              </w:rPr>
            </w:pPr>
            <w:r>
              <w:rPr>
                <w:rFonts w:ascii="Arial" w:cs="Arial" w:eastAsia="Arial" w:hAnsi="Arial"/>
                <w:sz w:val="11"/>
                <w:szCs w:val="11"/>
                <w:color w:val="auto"/>
                <w:w w:val="98"/>
              </w:rPr>
              <w:t>__________</w:t>
            </w:r>
          </w:p>
        </w:tc>
        <w:tc>
          <w:tcPr>
            <w:tcW w:w="5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00" w:type="dxa"/>
            <w:vAlign w:val="bottom"/>
          </w:tcPr>
          <w:p>
            <w:pPr>
              <w:spacing w:after="0"/>
              <w:rPr>
                <w:sz w:val="18"/>
                <w:szCs w:val="18"/>
                <w:color w:val="auto"/>
              </w:rPr>
            </w:pPr>
          </w:p>
        </w:tc>
      </w:tr>
    </w:tbl>
    <w:p>
      <w:pPr>
        <w:spacing w:after="0" w:line="168" w:lineRule="exact"/>
        <w:rPr>
          <w:sz w:val="20"/>
          <w:szCs w:val="20"/>
          <w:color w:val="auto"/>
        </w:rPr>
      </w:pPr>
    </w:p>
    <w:p>
      <w:pPr>
        <w:ind w:left="240" w:hanging="237"/>
        <w:spacing w:after="0"/>
        <w:tabs>
          <w:tab w:leader="none" w:pos="240" w:val="left"/>
        </w:tabs>
        <w:numPr>
          <w:ilvl w:val="0"/>
          <w:numId w:val="31"/>
        </w:numPr>
        <w:rPr>
          <w:rFonts w:ascii="Arial" w:cs="Arial" w:eastAsia="Arial" w:hAnsi="Arial"/>
          <w:sz w:val="11"/>
          <w:szCs w:val="11"/>
          <w:i w:val="1"/>
          <w:iCs w:val="1"/>
          <w:color w:val="auto"/>
        </w:rPr>
      </w:pPr>
      <w:r>
        <w:rPr>
          <w:rFonts w:ascii="Arial" w:cs="Arial" w:eastAsia="Arial" w:hAnsi="Arial"/>
          <w:sz w:val="11"/>
          <w:szCs w:val="11"/>
          <w:i w:val="1"/>
          <w:iCs w:val="1"/>
          <w:color w:val="auto"/>
        </w:rPr>
        <w:t>2023 costs represent costs incurred for disengagement from a significant IT outsourcing provider.</w:t>
      </w:r>
    </w:p>
    <w:p>
      <w:pPr>
        <w:spacing w:after="0" w:line="18" w:lineRule="exact"/>
        <w:rPr>
          <w:rFonts w:ascii="Arial" w:cs="Arial" w:eastAsia="Arial" w:hAnsi="Arial"/>
          <w:sz w:val="11"/>
          <w:szCs w:val="11"/>
          <w:i w:val="1"/>
          <w:iCs w:val="1"/>
          <w:color w:val="auto"/>
        </w:rPr>
      </w:pPr>
    </w:p>
    <w:p>
      <w:pPr>
        <w:ind w:left="240" w:hanging="237"/>
        <w:spacing w:after="0"/>
        <w:tabs>
          <w:tab w:leader="none" w:pos="240" w:val="left"/>
        </w:tabs>
        <w:numPr>
          <w:ilvl w:val="0"/>
          <w:numId w:val="31"/>
        </w:numPr>
        <w:rPr>
          <w:rFonts w:ascii="Arial" w:cs="Arial" w:eastAsia="Arial" w:hAnsi="Arial"/>
          <w:sz w:val="11"/>
          <w:szCs w:val="11"/>
          <w:i w:val="1"/>
          <w:iCs w:val="1"/>
          <w:color w:val="auto"/>
        </w:rPr>
      </w:pPr>
      <w:r>
        <w:rPr>
          <w:rFonts w:ascii="Arial" w:cs="Arial" w:eastAsia="Arial" w:hAnsi="Arial"/>
          <w:sz w:val="11"/>
          <w:szCs w:val="11"/>
          <w:i w:val="1"/>
          <w:iCs w:val="1"/>
          <w:color w:val="auto"/>
        </w:rPr>
        <w:t>2022 costs represent professional support costs associated with certain strategic transformation programs.</w:t>
      </w:r>
    </w:p>
    <w:p>
      <w:pPr>
        <w:ind w:left="240" w:hanging="237"/>
        <w:spacing w:after="0"/>
        <w:tabs>
          <w:tab w:leader="none" w:pos="240" w:val="left"/>
        </w:tabs>
        <w:numPr>
          <w:ilvl w:val="0"/>
          <w:numId w:val="31"/>
        </w:numPr>
        <w:rPr>
          <w:rFonts w:ascii="Arial" w:cs="Arial" w:eastAsia="Arial" w:hAnsi="Arial"/>
          <w:sz w:val="11"/>
          <w:szCs w:val="11"/>
          <w:i w:val="1"/>
          <w:iCs w:val="1"/>
          <w:color w:val="auto"/>
        </w:rPr>
      </w:pPr>
      <w:r>
        <w:rPr>
          <w:rFonts w:ascii="Arial" w:cs="Arial" w:eastAsia="Arial" w:hAnsi="Arial"/>
          <w:sz w:val="11"/>
          <w:szCs w:val="11"/>
          <w:i w:val="1"/>
          <w:iCs w:val="1"/>
          <w:color w:val="auto"/>
        </w:rPr>
        <w:t>Relates to approximate headcount reductions worldwide associated with Severance and related costs.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Severance and related costs for 2023 include costs related to the closure of one of our Commercial segment operations in Europe.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Refer to Note 9 – Restructuring Programs and Related Costs to the Consolidated Financial Statements for additional information regarding our restructuring programs.</w:t>
      </w: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37" w:name="page38"/>
    <w:bookmarkEnd w:id="37"/>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Interest Expense</w:t>
      </w:r>
    </w:p>
    <w:p>
      <w:pPr>
        <w:spacing w:after="0" w:line="131"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color w:val="auto"/>
        </w:rPr>
        <w:t>Interest expense represents interest on long-term debt and the amortization of debt issuance costs. The increase in Interest expense for 2023, compared to the prior year, was driven primarily by higher interest rates on our variable rate debt, including finance leases and other debt. Refer to Note 11 – Debt to the Consolidated Financial Statements for additional information.</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Goodwill Impairment</w:t>
      </w:r>
    </w:p>
    <w:p>
      <w:pPr>
        <w:spacing w:after="0" w:line="131"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color w:val="auto"/>
        </w:rPr>
        <w:t>The goodwill impairment for 2023 is related to the write-down of the carrying value of the Commercial reporting unit. This resulted from the evaluation of goodwill triggered by entering into the Custodial Transfer and Asset Purchase Agreement to transfer our BenefitWallet health savings account and medical savings account portfolio. The goodwill impairment for 2022 related to the write-down of the carrying value of the Commercial reporting unit. Refer to Note 8 – Goodwill and Intangible Assets, Net to the Consolidated Financial Statements for additional information on these impairments.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(Gain) Loss on Divestitures and Transaction Costs</w:t>
      </w:r>
    </w:p>
    <w:p>
      <w:pPr>
        <w:spacing w:after="0" w:line="131" w:lineRule="exact"/>
        <w:rPr>
          <w:sz w:val="20"/>
          <w:szCs w:val="20"/>
          <w:color w:val="auto"/>
        </w:rPr>
      </w:pPr>
    </w:p>
    <w:p>
      <w:pPr>
        <w:ind w:right="120"/>
        <w:spacing w:after="0" w:line="282" w:lineRule="auto"/>
        <w:rPr>
          <w:sz w:val="20"/>
          <w:szCs w:val="20"/>
          <w:color w:val="auto"/>
        </w:rPr>
      </w:pPr>
      <w:r>
        <w:rPr>
          <w:rFonts w:ascii="Arial" w:cs="Arial" w:eastAsia="Arial" w:hAnsi="Arial"/>
          <w:sz w:val="14"/>
          <w:szCs w:val="14"/>
          <w:color w:val="auto"/>
        </w:rPr>
        <w:t>The divestiture of the Midas business in the first quarter of 2022 resulted in a pre-tax gain of $166 million. Additionally, this financial statement line item also includes professional fees and other costs associated with both consummated and non-consummated transactions considered by us.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Litigation Settlements (Recoveries), Net</w:t>
      </w:r>
    </w:p>
    <w:p>
      <w:pPr>
        <w:spacing w:after="0" w:line="131" w:lineRule="exact"/>
        <w:rPr>
          <w:sz w:val="20"/>
          <w:szCs w:val="20"/>
          <w:color w:val="auto"/>
        </w:rPr>
      </w:pPr>
    </w:p>
    <w:p>
      <w:pPr>
        <w:ind w:right="120"/>
        <w:spacing w:after="0" w:line="294" w:lineRule="auto"/>
        <w:rPr>
          <w:sz w:val="20"/>
          <w:szCs w:val="20"/>
          <w:color w:val="auto"/>
        </w:rPr>
      </w:pPr>
      <w:r>
        <w:rPr>
          <w:rFonts w:ascii="Arial" w:cs="Arial" w:eastAsia="Arial" w:hAnsi="Arial"/>
          <w:sz w:val="13"/>
          <w:szCs w:val="13"/>
          <w:color w:val="auto"/>
        </w:rPr>
        <w:t>Litigation settlements (recoveries), net for 2023 primarily consisted of a $26 million reversal of reserves due to the settlement of the Cognizant matter and an $8 million reversal of reserves related to our former student loan business. The amount for 2022 primarily consisted of $24 million of insurance recoveries recorded in the first quarter of 2022 related to the previously disclosed State of Texas matter. Refer to Note 16 – Contingencies and Litigation to the Consolidated Financial Statements for additional information on these matters.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Other (Income) Expenses, Net</w:t>
      </w:r>
    </w:p>
    <w:p>
      <w:pPr>
        <w:spacing w:after="0" w:line="131" w:lineRule="exact"/>
        <w:rPr>
          <w:sz w:val="20"/>
          <w:szCs w:val="20"/>
          <w:color w:val="auto"/>
        </w:rPr>
      </w:pPr>
    </w:p>
    <w:p>
      <w:pPr>
        <w:ind w:right="260"/>
        <w:spacing w:after="0" w:line="282" w:lineRule="auto"/>
        <w:rPr>
          <w:sz w:val="20"/>
          <w:szCs w:val="20"/>
          <w:color w:val="auto"/>
        </w:rPr>
      </w:pPr>
      <w:r>
        <w:rPr>
          <w:rFonts w:ascii="Arial" w:cs="Arial" w:eastAsia="Arial" w:hAnsi="Arial"/>
          <w:sz w:val="14"/>
          <w:szCs w:val="14"/>
          <w:color w:val="auto"/>
        </w:rPr>
        <w:t>Other (income) expenses, net for 2023 and 2022 primarily includes interest income on cash investments, accounts receivable factoring fees and foreign currency transaction losses (gains).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Income Taxes</w:t>
      </w:r>
    </w:p>
    <w:p>
      <w:pPr>
        <w:spacing w:after="0" w:line="131" w:lineRule="exact"/>
        <w:rPr>
          <w:sz w:val="20"/>
          <w:szCs w:val="20"/>
          <w:color w:val="auto"/>
        </w:rPr>
      </w:pPr>
    </w:p>
    <w:p>
      <w:pPr>
        <w:ind w:right="80"/>
        <w:spacing w:after="0" w:line="285" w:lineRule="auto"/>
        <w:rPr>
          <w:sz w:val="20"/>
          <w:szCs w:val="20"/>
          <w:color w:val="auto"/>
        </w:rPr>
      </w:pPr>
      <w:r>
        <w:rPr>
          <w:rFonts w:ascii="Arial" w:cs="Arial" w:eastAsia="Arial" w:hAnsi="Arial"/>
          <w:sz w:val="13"/>
          <w:szCs w:val="13"/>
          <w:color w:val="auto"/>
        </w:rPr>
        <w:t>The 2023 effective tax rate was 10.7%, compared to (43.9)% for 2022. The 2023 rate was lower than the U.S. statutory rate of 21% due to non-deductible expenses, primarily the non-deductible Commercial reporting unit goodwill impairment, geographic mix of income and return to provision adjustments, partially offset by tax benefits related to tax settlements and reversal of reserves. The 2022 rate was negative and lower than the U.S. statutory rate of 21%, primarily due to pre-tax book loss, an increase in taxes due to the geographic mix of income and non-deductible expenses, primarily driven by book and tax basis difference in the Midas divestiture goodwill and the Commercial reporting unit goodwill impairment.</w:t>
      </w:r>
    </w:p>
    <w:p>
      <w:pPr>
        <w:spacing w:after="0" w:line="82" w:lineRule="exact"/>
        <w:rPr>
          <w:sz w:val="20"/>
          <w:szCs w:val="20"/>
          <w:color w:val="auto"/>
        </w:rPr>
      </w:pPr>
    </w:p>
    <w:p>
      <w:pPr>
        <w:ind w:right="140"/>
        <w:spacing w:after="0" w:line="259" w:lineRule="auto"/>
        <w:rPr>
          <w:sz w:val="20"/>
          <w:szCs w:val="20"/>
          <w:color w:val="auto"/>
        </w:rPr>
      </w:pPr>
      <w:r>
        <w:rPr>
          <w:rFonts w:ascii="Arial" w:cs="Arial" w:eastAsia="Arial" w:hAnsi="Arial"/>
          <w:sz w:val="14"/>
          <w:szCs w:val="14"/>
          <w:color w:val="auto"/>
        </w:rPr>
        <w:t>Excluding the impact of the goodwill impairment, amortization of intangible assets, restructuring, litigation reserve releases and certain discrete tax items, the normalized effective tax rate for 2023 was 107.3%. The rate is anomalous due to small adjusted pre-tax income and tax which is a result of geographic mix of income and valuation allowances against losses in certain jurisdictions resulting in no tax benefit. The 2022 rate was 34.3% excluding the impact of amortization, restructuring, the divestiture of the Midas business, insurance recoveries, goodwill impairment and discrete tax items.</w:t>
      </w:r>
    </w:p>
    <w:p>
      <w:pPr>
        <w:spacing w:after="0" w:line="97"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In recent months, government agencies and global organizations have had an increased focus on the issues of taxation of multinational corporations. At both the European Union and Organization for Economic Co-operation and Development level, significant developments are anticipated regarding global tax initiatives in 2024. The Company is monitoring such developments and assessing any potential impact and disclosure requirement. We do not anticipate a material impact based on current guidance.</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38" w:name="page39"/>
    <w:bookmarkEnd w:id="38"/>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Operations Review of Segments</w:t>
      </w:r>
    </w:p>
    <w:p>
      <w:pPr>
        <w:spacing w:after="0" w:line="131" w:lineRule="exact"/>
        <w:rPr>
          <w:sz w:val="20"/>
          <w:szCs w:val="20"/>
          <w:color w:val="auto"/>
        </w:rPr>
      </w:pPr>
    </w:p>
    <w:p>
      <w:pPr>
        <w:ind w:right="460"/>
        <w:spacing w:after="0" w:line="282" w:lineRule="auto"/>
        <w:rPr>
          <w:sz w:val="20"/>
          <w:szCs w:val="20"/>
          <w:color w:val="auto"/>
        </w:rPr>
      </w:pPr>
      <w:r>
        <w:rPr>
          <w:rFonts w:ascii="Arial" w:cs="Arial" w:eastAsia="Arial" w:hAnsi="Arial"/>
          <w:sz w:val="14"/>
          <w:szCs w:val="14"/>
          <w:color w:val="auto"/>
        </w:rPr>
        <w:t>Our financial performance is based on Segment Profit (Loss) and Segment Adjusted Earnings before Interest, Taxes, Depreciation and Amortization ("Adjusted EBITDA") for the following three segments:</w:t>
      </w:r>
    </w:p>
    <w:p>
      <w:pPr>
        <w:spacing w:after="0" w:line="80" w:lineRule="exact"/>
        <w:rPr>
          <w:sz w:val="20"/>
          <w:szCs w:val="20"/>
          <w:color w:val="auto"/>
        </w:rPr>
      </w:pPr>
    </w:p>
    <w:p>
      <w:pPr>
        <w:ind w:left="240" w:hanging="237"/>
        <w:spacing w:after="0"/>
        <w:tabs>
          <w:tab w:leader="none" w:pos="2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Commercial,</w:t>
      </w:r>
    </w:p>
    <w:p>
      <w:pPr>
        <w:spacing w:after="0" w:line="19" w:lineRule="exact"/>
        <w:rPr>
          <w:rFonts w:ascii="Arial" w:cs="Arial" w:eastAsia="Arial" w:hAnsi="Arial"/>
          <w:sz w:val="14"/>
          <w:szCs w:val="14"/>
          <w:color w:val="auto"/>
        </w:rPr>
      </w:pPr>
    </w:p>
    <w:p>
      <w:pPr>
        <w:ind w:left="240" w:hanging="237"/>
        <w:spacing w:after="0"/>
        <w:tabs>
          <w:tab w:leader="none" w:pos="2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Government, and</w:t>
      </w:r>
    </w:p>
    <w:p>
      <w:pPr>
        <w:spacing w:after="0" w:line="5" w:lineRule="exact"/>
        <w:rPr>
          <w:rFonts w:ascii="Arial" w:cs="Arial" w:eastAsia="Arial" w:hAnsi="Arial"/>
          <w:sz w:val="14"/>
          <w:szCs w:val="14"/>
          <w:color w:val="auto"/>
        </w:rPr>
      </w:pPr>
    </w:p>
    <w:p>
      <w:pPr>
        <w:ind w:left="240" w:hanging="237"/>
        <w:spacing w:after="0"/>
        <w:tabs>
          <w:tab w:leader="none" w:pos="240" w:val="left"/>
        </w:tabs>
        <w:numPr>
          <w:ilvl w:val="0"/>
          <w:numId w:val="32"/>
        </w:numPr>
        <w:rPr>
          <w:rFonts w:ascii="Times New Roman" w:cs="Times New Roman" w:eastAsia="Times New Roman" w:hAnsi="Times New Roman"/>
          <w:sz w:val="14"/>
          <w:szCs w:val="14"/>
          <w:color w:val="auto"/>
        </w:rPr>
      </w:pPr>
      <w:r>
        <w:rPr>
          <w:rFonts w:ascii="Arial" w:cs="Arial" w:eastAsia="Arial" w:hAnsi="Arial"/>
          <w:sz w:val="14"/>
          <w:szCs w:val="14"/>
          <w:color w:val="auto"/>
        </w:rPr>
        <w:t>Transportation.</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Divestitures includes our Midas business, which was sold in the first quarter of 2022.</w:t>
      </w:r>
    </w:p>
    <w:p>
      <w:pPr>
        <w:spacing w:after="0" w:line="131" w:lineRule="exact"/>
        <w:rPr>
          <w:sz w:val="20"/>
          <w:szCs w:val="20"/>
          <w:color w:val="auto"/>
        </w:rPr>
      </w:pPr>
    </w:p>
    <w:p>
      <w:pPr>
        <w:ind w:right="180"/>
        <w:spacing w:after="0" w:line="282" w:lineRule="auto"/>
        <w:rPr>
          <w:sz w:val="20"/>
          <w:szCs w:val="20"/>
          <w:color w:val="auto"/>
        </w:rPr>
      </w:pPr>
      <w:r>
        <w:rPr>
          <w:rFonts w:ascii="Arial" w:cs="Arial" w:eastAsia="Arial" w:hAnsi="Arial"/>
          <w:sz w:val="14"/>
          <w:szCs w:val="14"/>
          <w:color w:val="auto"/>
        </w:rPr>
        <w:t>Unallocated Costs includes IT infrastructure costs that are shared by multiple reportable segments, enterprise application costs and certain corporate overhead expenses not directly attributable or allocated to our reportable segments.</w:t>
      </w:r>
    </w:p>
    <w:p>
      <w:pPr>
        <w:spacing w:after="0" w:line="80" w:lineRule="exact"/>
        <w:rPr>
          <w:sz w:val="20"/>
          <w:szCs w:val="20"/>
          <w:color w:val="auto"/>
        </w:rPr>
      </w:pPr>
    </w:p>
    <w:p>
      <w:pPr>
        <w:ind w:right="180"/>
        <w:spacing w:after="0" w:line="265" w:lineRule="auto"/>
        <w:rPr>
          <w:sz w:val="20"/>
          <w:szCs w:val="20"/>
          <w:color w:val="auto"/>
        </w:rPr>
      </w:pPr>
      <w:r>
        <w:rPr>
          <w:rFonts w:ascii="Arial" w:cs="Arial" w:eastAsia="Arial" w:hAnsi="Arial"/>
          <w:sz w:val="14"/>
          <w:szCs w:val="14"/>
          <w:color w:val="auto"/>
        </w:rPr>
        <w:t>The section below provides a comparative discussion of our financial performance by segment between the years ended December 31, 2023 and 2022. See Item 7. MD&amp;A - Operations Review of Segments in our Annual Report on Form 10-K for the year ended December 31, 2022 for a comparative discussion of our consolidated results of operations by segment between 2022 and 2021.</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Segment Performance Review</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36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(in millions)</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264"/>
              <w:spacing w:after="0"/>
              <w:rPr>
                <w:sz w:val="20"/>
                <w:szCs w:val="20"/>
                <w:color w:val="auto"/>
              </w:rPr>
            </w:pPr>
            <w:r>
              <w:rPr>
                <w:rFonts w:ascii="Arial" w:cs="Arial" w:eastAsia="Arial" w:hAnsi="Arial"/>
                <w:sz w:val="11"/>
                <w:szCs w:val="11"/>
                <w:color w:val="auto"/>
              </w:rPr>
              <w:t>Commercial</w:t>
            </w: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color w:val="auto"/>
              </w:rPr>
              <w:t>Government</w:t>
            </w: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284"/>
              <w:spacing w:after="0"/>
              <w:rPr>
                <w:sz w:val="20"/>
                <w:szCs w:val="20"/>
                <w:color w:val="auto"/>
              </w:rPr>
            </w:pPr>
            <w:r>
              <w:rPr>
                <w:rFonts w:ascii="Arial" w:cs="Arial" w:eastAsia="Arial" w:hAnsi="Arial"/>
                <w:sz w:val="11"/>
                <w:szCs w:val="11"/>
                <w:color w:val="auto"/>
              </w:rPr>
              <w:t>Transportation</w:t>
            </w: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color w:val="auto"/>
              </w:rPr>
              <w:t>Divestitures</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124"/>
              <w:spacing w:after="0"/>
              <w:rPr>
                <w:sz w:val="20"/>
                <w:szCs w:val="20"/>
                <w:color w:val="auto"/>
              </w:rPr>
            </w:pPr>
            <w:r>
              <w:rPr>
                <w:rFonts w:ascii="Arial" w:cs="Arial" w:eastAsia="Arial" w:hAnsi="Arial"/>
                <w:sz w:val="11"/>
                <w:szCs w:val="11"/>
                <w:color w:val="auto"/>
              </w:rPr>
              <w:t>Unallocated Costs</w:t>
            </w:r>
          </w:p>
        </w:tc>
        <w:tc>
          <w:tcPr>
            <w:tcW w:w="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04"/>
              <w:spacing w:after="0"/>
              <w:rPr>
                <w:sz w:val="20"/>
                <w:szCs w:val="20"/>
                <w:color w:val="auto"/>
              </w:rPr>
            </w:pPr>
            <w:r>
              <w:rPr>
                <w:rFonts w:ascii="Arial" w:cs="Arial" w:eastAsia="Arial" w:hAnsi="Arial"/>
                <w:sz w:val="11"/>
                <w:szCs w:val="11"/>
                <w:color w:val="auto"/>
              </w:rPr>
              <w:t>Total</w:t>
            </w:r>
          </w:p>
        </w:tc>
      </w:tr>
      <w:tr>
        <w:trPr>
          <w:trHeight w:val="151"/>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Year Ended Dec 31, 2023</w:t>
            </w: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52"/>
        </w:trPr>
        <w:tc>
          <w:tcPr>
            <w:tcW w:w="3460" w:type="dxa"/>
            <w:vAlign w:val="bottom"/>
            <w:gridSpan w:val="2"/>
          </w:tcPr>
          <w:p>
            <w:pPr>
              <w:ind w:left="20"/>
              <w:spacing w:after="0"/>
              <w:rPr>
                <w:sz w:val="20"/>
                <w:szCs w:val="20"/>
                <w:color w:val="auto"/>
              </w:rPr>
            </w:pPr>
            <w:r>
              <w:rPr>
                <w:rFonts w:ascii="Arial" w:cs="Arial" w:eastAsia="Arial" w:hAnsi="Arial"/>
                <w:sz w:val="11"/>
                <w:szCs w:val="11"/>
                <w:color w:val="auto"/>
              </w:rPr>
              <w:t>Total Revenue</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104"/>
              <w:spacing w:after="0"/>
              <w:rPr>
                <w:sz w:val="20"/>
                <w:szCs w:val="20"/>
                <w:color w:val="auto"/>
              </w:rPr>
            </w:pPr>
            <w:r>
              <w:rPr>
                <w:rFonts w:ascii="Arial" w:cs="Arial" w:eastAsia="Arial" w:hAnsi="Arial"/>
                <w:sz w:val="11"/>
                <w:szCs w:val="11"/>
                <w:color w:val="auto"/>
              </w:rPr>
              <w:t>1,932</w:t>
            </w:r>
          </w:p>
        </w:tc>
        <w:tc>
          <w:tcPr>
            <w:tcW w:w="80" w:type="dxa"/>
            <w:vAlign w:val="bottom"/>
          </w:tcPr>
          <w:p>
            <w:pPr>
              <w:spacing w:after="0"/>
              <w:rPr>
                <w:sz w:val="13"/>
                <w:szCs w:val="13"/>
                <w:color w:val="auto"/>
              </w:rPr>
            </w:pPr>
          </w:p>
        </w:tc>
        <w:tc>
          <w:tcPr>
            <w:tcW w:w="200" w:type="dxa"/>
            <w:vAlign w:val="bottom"/>
          </w:tcPr>
          <w:p>
            <w:pPr>
              <w:jc w:val="right"/>
              <w:ind w:right="64"/>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84"/>
              <w:spacing w:after="0"/>
              <w:rPr>
                <w:sz w:val="20"/>
                <w:szCs w:val="20"/>
                <w:color w:val="auto"/>
              </w:rPr>
            </w:pPr>
            <w:r>
              <w:rPr>
                <w:rFonts w:ascii="Arial" w:cs="Arial" w:eastAsia="Arial" w:hAnsi="Arial"/>
                <w:sz w:val="11"/>
                <w:szCs w:val="11"/>
                <w:color w:val="auto"/>
              </w:rPr>
              <w:t>1,094</w:t>
            </w:r>
          </w:p>
        </w:tc>
        <w:tc>
          <w:tcPr>
            <w:tcW w:w="100" w:type="dxa"/>
            <w:vAlign w:val="bottom"/>
          </w:tcPr>
          <w:p>
            <w:pPr>
              <w:spacing w:after="0"/>
              <w:rPr>
                <w:sz w:val="13"/>
                <w:szCs w:val="13"/>
                <w:color w:val="auto"/>
              </w:rPr>
            </w:pPr>
          </w:p>
        </w:tc>
        <w:tc>
          <w:tcPr>
            <w:tcW w:w="200" w:type="dxa"/>
            <w:vAlign w:val="bottom"/>
          </w:tcPr>
          <w:p>
            <w:pPr>
              <w:jc w:val="right"/>
              <w:ind w:right="64"/>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104"/>
              <w:spacing w:after="0"/>
              <w:rPr>
                <w:sz w:val="20"/>
                <w:szCs w:val="20"/>
                <w:color w:val="auto"/>
              </w:rPr>
            </w:pPr>
            <w:r>
              <w:rPr>
                <w:rFonts w:ascii="Arial" w:cs="Arial" w:eastAsia="Arial" w:hAnsi="Arial"/>
                <w:sz w:val="11"/>
                <w:szCs w:val="11"/>
                <w:color w:val="auto"/>
              </w:rPr>
              <w:t>696</w:t>
            </w:r>
          </w:p>
        </w:tc>
        <w:tc>
          <w:tcPr>
            <w:tcW w:w="80" w:type="dxa"/>
            <w:vAlign w:val="bottom"/>
          </w:tcPr>
          <w:p>
            <w:pPr>
              <w:spacing w:after="0"/>
              <w:rPr>
                <w:sz w:val="13"/>
                <w:szCs w:val="13"/>
                <w:color w:val="auto"/>
              </w:rPr>
            </w:pPr>
          </w:p>
        </w:tc>
        <w:tc>
          <w:tcPr>
            <w:tcW w:w="180" w:type="dxa"/>
            <w:vAlign w:val="bottom"/>
          </w:tcPr>
          <w:p>
            <w:pPr>
              <w:jc w:val="right"/>
              <w:ind w:right="44"/>
              <w:spacing w:after="0"/>
              <w:rPr>
                <w:sz w:val="20"/>
                <w:szCs w:val="20"/>
                <w:color w:val="auto"/>
              </w:rPr>
            </w:pPr>
            <w:r>
              <w:rPr>
                <w:rFonts w:ascii="Arial" w:cs="Arial" w:eastAsia="Arial" w:hAnsi="Arial"/>
                <w:sz w:val="11"/>
                <w:szCs w:val="11"/>
                <w:color w:val="auto"/>
                <w:w w:val="97"/>
              </w:rPr>
              <w:t>$</w:t>
            </w: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14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84"/>
              <w:spacing w:after="0"/>
              <w:rPr>
                <w:sz w:val="20"/>
                <w:szCs w:val="20"/>
                <w:color w:val="auto"/>
              </w:rPr>
            </w:pPr>
            <w:r>
              <w:rPr>
                <w:rFonts w:ascii="Arial" w:cs="Arial" w:eastAsia="Arial" w:hAnsi="Arial"/>
                <w:sz w:val="11"/>
                <w:szCs w:val="11"/>
                <w:color w:val="auto"/>
              </w:rPr>
              <w:t>3,722</w:t>
            </w:r>
          </w:p>
        </w:tc>
      </w:tr>
      <w:tr>
        <w:trPr>
          <w:trHeight w:val="160"/>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Segment profit (Loss)</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rPr>
              <w:t>134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284</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97"/>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(304)</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112</w:t>
            </w:r>
          </w:p>
        </w:tc>
      </w:tr>
      <w:tr>
        <w:trPr>
          <w:trHeight w:val="152"/>
        </w:trPr>
        <w:tc>
          <w:tcPr>
            <w:tcW w:w="3460" w:type="dxa"/>
            <w:vAlign w:val="bottom"/>
            <w:gridSpan w:val="2"/>
          </w:tcPr>
          <w:p>
            <w:pPr>
              <w:ind w:left="20"/>
              <w:spacing w:after="0"/>
              <w:rPr>
                <w:sz w:val="20"/>
                <w:szCs w:val="20"/>
                <w:color w:val="auto"/>
              </w:rPr>
            </w:pPr>
            <w:r>
              <w:rPr>
                <w:rFonts w:ascii="Arial" w:cs="Arial" w:eastAsia="Arial" w:hAnsi="Arial"/>
                <w:sz w:val="11"/>
                <w:szCs w:val="11"/>
                <w:color w:val="auto"/>
              </w:rPr>
              <w:t>Segment depreciation and amortization</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104"/>
              <w:spacing w:after="0"/>
              <w:rPr>
                <w:sz w:val="20"/>
                <w:szCs w:val="20"/>
                <w:color w:val="auto"/>
              </w:rPr>
            </w:pPr>
            <w:r>
              <w:rPr>
                <w:rFonts w:ascii="Arial" w:cs="Arial" w:eastAsia="Arial" w:hAnsi="Arial"/>
                <w:sz w:val="11"/>
                <w:szCs w:val="11"/>
                <w:color w:val="auto"/>
              </w:rPr>
              <w:t>140</w:t>
            </w:r>
          </w:p>
        </w:tc>
        <w:tc>
          <w:tcPr>
            <w:tcW w:w="80" w:type="dxa"/>
            <w:vAlign w:val="bottom"/>
          </w:tcPr>
          <w:p>
            <w:pPr>
              <w:spacing w:after="0"/>
              <w:rPr>
                <w:sz w:val="13"/>
                <w:szCs w:val="13"/>
                <w:color w:val="auto"/>
              </w:rPr>
            </w:pPr>
          </w:p>
        </w:tc>
        <w:tc>
          <w:tcPr>
            <w:tcW w:w="200" w:type="dxa"/>
            <w:vAlign w:val="bottom"/>
          </w:tcPr>
          <w:p>
            <w:pPr>
              <w:jc w:val="right"/>
              <w:ind w:right="64"/>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84"/>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13"/>
                <w:szCs w:val="13"/>
                <w:color w:val="auto"/>
              </w:rPr>
            </w:pPr>
          </w:p>
        </w:tc>
        <w:tc>
          <w:tcPr>
            <w:tcW w:w="200" w:type="dxa"/>
            <w:vAlign w:val="bottom"/>
          </w:tcPr>
          <w:p>
            <w:pPr>
              <w:jc w:val="right"/>
              <w:ind w:right="64"/>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104"/>
              <w:spacing w:after="0"/>
              <w:rPr>
                <w:sz w:val="20"/>
                <w:szCs w:val="20"/>
                <w:color w:val="auto"/>
              </w:rPr>
            </w:pPr>
            <w:r>
              <w:rPr>
                <w:rFonts w:ascii="Arial" w:cs="Arial" w:eastAsia="Arial" w:hAnsi="Arial"/>
                <w:sz w:val="11"/>
                <w:szCs w:val="11"/>
                <w:color w:val="auto"/>
              </w:rPr>
              <w:t>43</w:t>
            </w:r>
          </w:p>
        </w:tc>
        <w:tc>
          <w:tcPr>
            <w:tcW w:w="80" w:type="dxa"/>
            <w:vAlign w:val="bottom"/>
          </w:tcPr>
          <w:p>
            <w:pPr>
              <w:spacing w:after="0"/>
              <w:rPr>
                <w:sz w:val="13"/>
                <w:szCs w:val="13"/>
                <w:color w:val="auto"/>
              </w:rPr>
            </w:pPr>
          </w:p>
        </w:tc>
        <w:tc>
          <w:tcPr>
            <w:tcW w:w="180" w:type="dxa"/>
            <w:vAlign w:val="bottom"/>
          </w:tcPr>
          <w:p>
            <w:pPr>
              <w:jc w:val="right"/>
              <w:ind w:right="44"/>
              <w:spacing w:after="0"/>
              <w:rPr>
                <w:sz w:val="20"/>
                <w:szCs w:val="20"/>
                <w:color w:val="auto"/>
              </w:rPr>
            </w:pPr>
            <w:r>
              <w:rPr>
                <w:rFonts w:ascii="Arial" w:cs="Arial" w:eastAsia="Arial" w:hAnsi="Arial"/>
                <w:sz w:val="11"/>
                <w:szCs w:val="11"/>
                <w:color w:val="auto"/>
                <w:w w:val="97"/>
              </w:rPr>
              <w:t>$</w:t>
            </w: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104"/>
              <w:spacing w:after="0"/>
              <w:rPr>
                <w:sz w:val="20"/>
                <w:szCs w:val="20"/>
                <w:color w:val="auto"/>
              </w:rPr>
            </w:pPr>
            <w:r>
              <w:rPr>
                <w:rFonts w:ascii="Arial" w:cs="Arial" w:eastAsia="Arial" w:hAnsi="Arial"/>
                <w:sz w:val="11"/>
                <w:szCs w:val="11"/>
                <w:color w:val="auto"/>
              </w:rPr>
              <w:t>36</w:t>
            </w:r>
          </w:p>
        </w:tc>
        <w:tc>
          <w:tcPr>
            <w:tcW w:w="80" w:type="dxa"/>
            <w:vAlign w:val="bottom"/>
          </w:tcPr>
          <w:p>
            <w:pPr>
              <w:spacing w:after="0"/>
              <w:rPr>
                <w:sz w:val="13"/>
                <w:szCs w:val="13"/>
                <w:color w:val="auto"/>
              </w:rPr>
            </w:pPr>
          </w:p>
        </w:tc>
        <w:tc>
          <w:tcPr>
            <w:tcW w:w="280" w:type="dxa"/>
            <w:vAlign w:val="bottom"/>
          </w:tcPr>
          <w:p>
            <w:pPr>
              <w:jc w:val="right"/>
              <w:ind w:right="14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84"/>
              <w:spacing w:after="0"/>
              <w:rPr>
                <w:sz w:val="20"/>
                <w:szCs w:val="20"/>
                <w:color w:val="auto"/>
              </w:rPr>
            </w:pPr>
            <w:r>
              <w:rPr>
                <w:rFonts w:ascii="Arial" w:cs="Arial" w:eastAsia="Arial" w:hAnsi="Arial"/>
                <w:sz w:val="11"/>
                <w:szCs w:val="11"/>
                <w:color w:val="auto"/>
              </w:rPr>
              <w:t>260</w:t>
            </w:r>
          </w:p>
        </w:tc>
      </w:tr>
      <w:tr>
        <w:trPr>
          <w:trHeight w:val="160"/>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Adjusted EBITDA</w:t>
            </w:r>
            <w:r>
              <w:rPr>
                <w:rFonts w:ascii="Arial" w:cs="Arial" w:eastAsia="Arial" w:hAnsi="Arial"/>
                <w:sz w:val="14"/>
                <w:szCs w:val="14"/>
                <w:color w:val="auto"/>
                <w:vertAlign w:val="superscript"/>
              </w:rPr>
              <w:t>(1)</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rPr>
              <w:t>274</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325</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rPr>
              <w:t>41</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97"/>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rPr>
              <w:t>(262)</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378</w:t>
            </w:r>
          </w:p>
        </w:tc>
      </w:tr>
      <w:tr>
        <w:trPr>
          <w:trHeight w:val="125"/>
        </w:trPr>
        <w:tc>
          <w:tcPr>
            <w:tcW w:w="3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56"/>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 of Total Revenue</w:t>
            </w: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51.9 %</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29.4 %</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18.7 %</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ind w:left="740"/>
              <w:spacing w:after="0"/>
              <w:rPr>
                <w:sz w:val="20"/>
                <w:szCs w:val="20"/>
                <w:color w:val="auto"/>
              </w:rPr>
            </w:pPr>
            <w:r>
              <w:rPr>
                <w:rFonts w:ascii="Arial" w:cs="Arial" w:eastAsia="Arial" w:hAnsi="Arial"/>
                <w:sz w:val="11"/>
                <w:szCs w:val="11"/>
                <w:color w:val="auto"/>
              </w:rPr>
              <w:t>— %</w:t>
            </w:r>
          </w:p>
        </w:tc>
        <w:tc>
          <w:tcPr>
            <w:tcW w:w="1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1"/>
                <w:szCs w:val="11"/>
                <w:color w:val="auto"/>
              </w:rPr>
              <w:t>— %</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100.0 %</w:t>
            </w:r>
          </w:p>
        </w:tc>
      </w:tr>
      <w:tr>
        <w:trPr>
          <w:trHeight w:val="156"/>
        </w:trPr>
        <w:tc>
          <w:tcPr>
            <w:tcW w:w="3460" w:type="dxa"/>
            <w:vAlign w:val="bottom"/>
            <w:gridSpan w:val="2"/>
          </w:tcPr>
          <w:p>
            <w:pPr>
              <w:ind w:left="20"/>
              <w:spacing w:after="0" w:line="156" w:lineRule="exact"/>
              <w:rPr>
                <w:sz w:val="20"/>
                <w:szCs w:val="20"/>
                <w:color w:val="auto"/>
              </w:rPr>
            </w:pPr>
            <w:r>
              <w:rPr>
                <w:rFonts w:ascii="Arial" w:cs="Arial" w:eastAsia="Arial" w:hAnsi="Arial"/>
                <w:sz w:val="11"/>
                <w:szCs w:val="11"/>
                <w:color w:val="auto"/>
              </w:rPr>
              <w:t>Adjusted EBITDA Margin</w:t>
            </w:r>
            <w:r>
              <w:rPr>
                <w:rFonts w:ascii="Arial" w:cs="Arial" w:eastAsia="Arial" w:hAnsi="Arial"/>
                <w:sz w:val="14"/>
                <w:szCs w:val="14"/>
                <w:color w:val="auto"/>
                <w:vertAlign w:val="superscript"/>
              </w:rPr>
              <w:t>(1)(2)</w:t>
            </w:r>
          </w:p>
        </w:tc>
        <w:tc>
          <w:tcPr>
            <w:tcW w:w="1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14.2 %</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29.7 %</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5.9 %</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740"/>
              <w:spacing w:after="0"/>
              <w:rPr>
                <w:sz w:val="20"/>
                <w:szCs w:val="20"/>
                <w:color w:val="auto"/>
              </w:rPr>
            </w:pPr>
            <w:r>
              <w:rPr>
                <w:rFonts w:ascii="Arial" w:cs="Arial" w:eastAsia="Arial" w:hAnsi="Arial"/>
                <w:sz w:val="11"/>
                <w:szCs w:val="11"/>
                <w:color w:val="auto"/>
              </w:rPr>
              <w:t>— %</w:t>
            </w:r>
          </w:p>
        </w:tc>
        <w:tc>
          <w:tcPr>
            <w:tcW w:w="120" w:type="dxa"/>
            <w:vAlign w:val="bottom"/>
          </w:tcPr>
          <w:p>
            <w:pPr>
              <w:spacing w:after="0"/>
              <w:rPr>
                <w:sz w:val="13"/>
                <w:szCs w:val="13"/>
                <w:color w:val="auto"/>
              </w:rPr>
            </w:pPr>
          </w:p>
        </w:tc>
        <w:tc>
          <w:tcPr>
            <w:tcW w:w="1220" w:type="dxa"/>
            <w:vAlign w:val="bottom"/>
            <w:gridSpan w:val="2"/>
          </w:tcPr>
          <w:p>
            <w:pPr>
              <w:ind w:left="880"/>
              <w:spacing w:after="0"/>
              <w:rPr>
                <w:sz w:val="20"/>
                <w:szCs w:val="20"/>
                <w:color w:val="auto"/>
              </w:rPr>
            </w:pPr>
            <w:r>
              <w:rPr>
                <w:rFonts w:ascii="Arial" w:cs="Arial" w:eastAsia="Arial" w:hAnsi="Arial"/>
                <w:sz w:val="11"/>
                <w:szCs w:val="11"/>
                <w:color w:val="auto"/>
              </w:rPr>
              <w:t>— %</w:t>
            </w: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10.2 %</w:t>
            </w:r>
          </w:p>
        </w:tc>
      </w:tr>
      <w:tr>
        <w:trPr>
          <w:trHeight w:val="125"/>
        </w:trPr>
        <w:tc>
          <w:tcPr>
            <w:tcW w:w="3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55"/>
        </w:trPr>
        <w:tc>
          <w:tcPr>
            <w:tcW w:w="3460" w:type="dxa"/>
            <w:vAlign w:val="bottom"/>
            <w:gridSpan w:val="2"/>
          </w:tcPr>
          <w:p>
            <w:pPr>
              <w:ind w:left="20"/>
              <w:spacing w:after="0"/>
              <w:rPr>
                <w:sz w:val="20"/>
                <w:szCs w:val="20"/>
                <w:color w:val="auto"/>
              </w:rPr>
            </w:pPr>
            <w:r>
              <w:rPr>
                <w:rFonts w:ascii="Arial" w:cs="Arial" w:eastAsia="Arial" w:hAnsi="Arial"/>
                <w:sz w:val="11"/>
                <w:szCs w:val="11"/>
                <w:b w:val="1"/>
                <w:bCs w:val="1"/>
                <w:color w:val="auto"/>
              </w:rPr>
              <w:t>Year Ended Dec 31, 2022</w:t>
            </w: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7"/>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Total Revenue</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rPr>
              <w:t>1,992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1,150</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rPr>
              <w:t>709</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3,858</w:t>
            </w:r>
          </w:p>
        </w:tc>
      </w:tr>
      <w:tr>
        <w:trPr>
          <w:trHeight w:val="152"/>
        </w:trPr>
        <w:tc>
          <w:tcPr>
            <w:tcW w:w="3460" w:type="dxa"/>
            <w:vAlign w:val="bottom"/>
            <w:gridSpan w:val="2"/>
          </w:tcPr>
          <w:p>
            <w:pPr>
              <w:ind w:left="20"/>
              <w:spacing w:after="0"/>
              <w:rPr>
                <w:sz w:val="20"/>
                <w:szCs w:val="20"/>
                <w:color w:val="auto"/>
              </w:rPr>
            </w:pPr>
            <w:r>
              <w:rPr>
                <w:rFonts w:ascii="Arial" w:cs="Arial" w:eastAsia="Arial" w:hAnsi="Arial"/>
                <w:sz w:val="11"/>
                <w:szCs w:val="11"/>
                <w:color w:val="auto"/>
              </w:rPr>
              <w:t>Segment profit (Loss)</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104"/>
              <w:spacing w:after="0"/>
              <w:rPr>
                <w:sz w:val="20"/>
                <w:szCs w:val="20"/>
                <w:color w:val="auto"/>
              </w:rPr>
            </w:pPr>
            <w:r>
              <w:rPr>
                <w:rFonts w:ascii="Arial" w:cs="Arial" w:eastAsia="Arial" w:hAnsi="Arial"/>
                <w:sz w:val="11"/>
                <w:szCs w:val="11"/>
                <w:color w:val="auto"/>
              </w:rPr>
              <w:t>124</w:t>
            </w:r>
          </w:p>
        </w:tc>
        <w:tc>
          <w:tcPr>
            <w:tcW w:w="80" w:type="dxa"/>
            <w:vAlign w:val="bottom"/>
          </w:tcPr>
          <w:p>
            <w:pPr>
              <w:spacing w:after="0"/>
              <w:rPr>
                <w:sz w:val="13"/>
                <w:szCs w:val="13"/>
                <w:color w:val="auto"/>
              </w:rPr>
            </w:pPr>
          </w:p>
        </w:tc>
        <w:tc>
          <w:tcPr>
            <w:tcW w:w="200" w:type="dxa"/>
            <w:vAlign w:val="bottom"/>
          </w:tcPr>
          <w:p>
            <w:pPr>
              <w:jc w:val="right"/>
              <w:ind w:right="64"/>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84"/>
              <w:spacing w:after="0"/>
              <w:rPr>
                <w:sz w:val="20"/>
                <w:szCs w:val="20"/>
                <w:color w:val="auto"/>
              </w:rPr>
            </w:pPr>
            <w:r>
              <w:rPr>
                <w:rFonts w:ascii="Arial" w:cs="Arial" w:eastAsia="Arial" w:hAnsi="Arial"/>
                <w:sz w:val="11"/>
                <w:szCs w:val="11"/>
                <w:color w:val="auto"/>
              </w:rPr>
              <w:t>294</w:t>
            </w:r>
          </w:p>
        </w:tc>
        <w:tc>
          <w:tcPr>
            <w:tcW w:w="100" w:type="dxa"/>
            <w:vAlign w:val="bottom"/>
          </w:tcPr>
          <w:p>
            <w:pPr>
              <w:spacing w:after="0"/>
              <w:rPr>
                <w:sz w:val="13"/>
                <w:szCs w:val="13"/>
                <w:color w:val="auto"/>
              </w:rPr>
            </w:pPr>
          </w:p>
        </w:tc>
        <w:tc>
          <w:tcPr>
            <w:tcW w:w="200" w:type="dxa"/>
            <w:vAlign w:val="bottom"/>
          </w:tcPr>
          <w:p>
            <w:pPr>
              <w:jc w:val="right"/>
              <w:ind w:right="64"/>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104"/>
              <w:spacing w:after="0"/>
              <w:rPr>
                <w:sz w:val="20"/>
                <w:szCs w:val="20"/>
                <w:color w:val="auto"/>
              </w:rPr>
            </w:pPr>
            <w:r>
              <w:rPr>
                <w:rFonts w:ascii="Arial" w:cs="Arial" w:eastAsia="Arial" w:hAnsi="Arial"/>
                <w:sz w:val="11"/>
                <w:szCs w:val="11"/>
                <w:color w:val="auto"/>
              </w:rPr>
              <w:t>49</w:t>
            </w:r>
          </w:p>
        </w:tc>
        <w:tc>
          <w:tcPr>
            <w:tcW w:w="80" w:type="dxa"/>
            <w:vAlign w:val="bottom"/>
          </w:tcPr>
          <w:p>
            <w:pPr>
              <w:spacing w:after="0"/>
              <w:rPr>
                <w:sz w:val="13"/>
                <w:szCs w:val="13"/>
                <w:color w:val="auto"/>
              </w:rPr>
            </w:pPr>
          </w:p>
        </w:tc>
        <w:tc>
          <w:tcPr>
            <w:tcW w:w="180" w:type="dxa"/>
            <w:vAlign w:val="bottom"/>
          </w:tcPr>
          <w:p>
            <w:pPr>
              <w:jc w:val="right"/>
              <w:ind w:right="44"/>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104"/>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64"/>
              <w:spacing w:after="0"/>
              <w:rPr>
                <w:sz w:val="20"/>
                <w:szCs w:val="20"/>
                <w:color w:val="auto"/>
              </w:rPr>
            </w:pPr>
            <w:r>
              <w:rPr>
                <w:rFonts w:ascii="Arial" w:cs="Arial" w:eastAsia="Arial" w:hAnsi="Arial"/>
                <w:sz w:val="11"/>
                <w:szCs w:val="11"/>
                <w:color w:val="auto"/>
              </w:rPr>
              <w:t>(293)</w:t>
            </w:r>
          </w:p>
        </w:tc>
        <w:tc>
          <w:tcPr>
            <w:tcW w:w="80" w:type="dxa"/>
            <w:vAlign w:val="bottom"/>
          </w:tcPr>
          <w:p>
            <w:pPr>
              <w:spacing w:after="0"/>
              <w:rPr>
                <w:sz w:val="13"/>
                <w:szCs w:val="13"/>
                <w:color w:val="auto"/>
              </w:rPr>
            </w:pPr>
          </w:p>
        </w:tc>
        <w:tc>
          <w:tcPr>
            <w:tcW w:w="280" w:type="dxa"/>
            <w:vAlign w:val="bottom"/>
          </w:tcPr>
          <w:p>
            <w:pPr>
              <w:jc w:val="right"/>
              <w:ind w:right="14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84"/>
              <w:spacing w:after="0"/>
              <w:rPr>
                <w:sz w:val="20"/>
                <w:szCs w:val="20"/>
                <w:color w:val="auto"/>
              </w:rPr>
            </w:pPr>
            <w:r>
              <w:rPr>
                <w:rFonts w:ascii="Arial" w:cs="Arial" w:eastAsia="Arial" w:hAnsi="Arial"/>
                <w:sz w:val="11"/>
                <w:szCs w:val="11"/>
                <w:color w:val="auto"/>
              </w:rPr>
              <w:t>176</w:t>
            </w:r>
          </w:p>
        </w:tc>
      </w:tr>
      <w:tr>
        <w:trPr>
          <w:trHeight w:val="160"/>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Segment depreciation and amortization</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rPr>
              <w:t>102</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37</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116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rPr>
              <w:t>35</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97"/>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rPr>
              <w:t>46</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rPr>
              <w:t>220</w:t>
            </w:r>
          </w:p>
        </w:tc>
      </w:tr>
      <w:tr>
        <w:trPr>
          <w:trHeight w:val="156"/>
        </w:trPr>
        <w:tc>
          <w:tcPr>
            <w:tcW w:w="3460" w:type="dxa"/>
            <w:vAlign w:val="bottom"/>
            <w:gridSpan w:val="2"/>
          </w:tcPr>
          <w:p>
            <w:pPr>
              <w:ind w:left="20"/>
              <w:spacing w:after="0" w:line="156" w:lineRule="exact"/>
              <w:rPr>
                <w:sz w:val="20"/>
                <w:szCs w:val="20"/>
                <w:color w:val="auto"/>
              </w:rPr>
            </w:pPr>
            <w:r>
              <w:rPr>
                <w:rFonts w:ascii="Arial" w:cs="Arial" w:eastAsia="Arial" w:hAnsi="Arial"/>
                <w:sz w:val="11"/>
                <w:szCs w:val="11"/>
                <w:color w:val="auto"/>
              </w:rPr>
              <w:t>Adjusted EBITDA</w:t>
            </w:r>
            <w:r>
              <w:rPr>
                <w:rFonts w:ascii="Arial" w:cs="Arial" w:eastAsia="Arial" w:hAnsi="Arial"/>
                <w:sz w:val="14"/>
                <w:szCs w:val="14"/>
                <w:color w:val="auto"/>
                <w:vertAlign w:val="superscript"/>
              </w:rPr>
              <w:t>(1)</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040" w:type="dxa"/>
            <w:vAlign w:val="bottom"/>
          </w:tcPr>
          <w:p>
            <w:pPr>
              <w:jc w:val="right"/>
              <w:ind w:right="104"/>
              <w:spacing w:after="0"/>
              <w:rPr>
                <w:sz w:val="20"/>
                <w:szCs w:val="20"/>
                <w:color w:val="auto"/>
              </w:rPr>
            </w:pPr>
            <w:r>
              <w:rPr>
                <w:rFonts w:ascii="Arial" w:cs="Arial" w:eastAsia="Arial" w:hAnsi="Arial"/>
                <w:sz w:val="11"/>
                <w:szCs w:val="11"/>
                <w:color w:val="auto"/>
              </w:rPr>
              <w:t>226</w:t>
            </w:r>
          </w:p>
        </w:tc>
        <w:tc>
          <w:tcPr>
            <w:tcW w:w="80" w:type="dxa"/>
            <w:vAlign w:val="bottom"/>
          </w:tcPr>
          <w:p>
            <w:pPr>
              <w:spacing w:after="0"/>
              <w:rPr>
                <w:sz w:val="13"/>
                <w:szCs w:val="13"/>
                <w:color w:val="auto"/>
              </w:rPr>
            </w:pPr>
          </w:p>
        </w:tc>
        <w:tc>
          <w:tcPr>
            <w:tcW w:w="200" w:type="dxa"/>
            <w:vAlign w:val="bottom"/>
          </w:tcPr>
          <w:p>
            <w:pPr>
              <w:jc w:val="right"/>
              <w:ind w:right="64"/>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84"/>
              <w:spacing w:after="0"/>
              <w:rPr>
                <w:sz w:val="20"/>
                <w:szCs w:val="20"/>
                <w:color w:val="auto"/>
              </w:rPr>
            </w:pPr>
            <w:r>
              <w:rPr>
                <w:rFonts w:ascii="Arial" w:cs="Arial" w:eastAsia="Arial" w:hAnsi="Arial"/>
                <w:sz w:val="11"/>
                <w:szCs w:val="11"/>
                <w:color w:val="auto"/>
              </w:rPr>
              <w:t>331</w:t>
            </w:r>
          </w:p>
        </w:tc>
        <w:tc>
          <w:tcPr>
            <w:tcW w:w="100" w:type="dxa"/>
            <w:vAlign w:val="bottom"/>
          </w:tcPr>
          <w:p>
            <w:pPr>
              <w:spacing w:after="0"/>
              <w:rPr>
                <w:sz w:val="13"/>
                <w:szCs w:val="13"/>
                <w:color w:val="auto"/>
              </w:rPr>
            </w:pPr>
          </w:p>
        </w:tc>
        <w:tc>
          <w:tcPr>
            <w:tcW w:w="200" w:type="dxa"/>
            <w:vAlign w:val="bottom"/>
          </w:tcPr>
          <w:p>
            <w:pPr>
              <w:jc w:val="right"/>
              <w:ind w:right="64"/>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104"/>
              <w:spacing w:after="0"/>
              <w:rPr>
                <w:sz w:val="20"/>
                <w:szCs w:val="20"/>
                <w:color w:val="auto"/>
              </w:rPr>
            </w:pPr>
            <w:r>
              <w:rPr>
                <w:rFonts w:ascii="Arial" w:cs="Arial" w:eastAsia="Arial" w:hAnsi="Arial"/>
                <w:sz w:val="11"/>
                <w:szCs w:val="11"/>
                <w:color w:val="auto"/>
              </w:rPr>
              <w:t>84</w:t>
            </w:r>
          </w:p>
        </w:tc>
        <w:tc>
          <w:tcPr>
            <w:tcW w:w="80" w:type="dxa"/>
            <w:vAlign w:val="bottom"/>
          </w:tcPr>
          <w:p>
            <w:pPr>
              <w:spacing w:after="0"/>
              <w:rPr>
                <w:sz w:val="13"/>
                <w:szCs w:val="13"/>
                <w:color w:val="auto"/>
              </w:rPr>
            </w:pPr>
          </w:p>
        </w:tc>
        <w:tc>
          <w:tcPr>
            <w:tcW w:w="180" w:type="dxa"/>
            <w:vAlign w:val="bottom"/>
          </w:tcPr>
          <w:p>
            <w:pPr>
              <w:jc w:val="right"/>
              <w:ind w:right="44"/>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104"/>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ind w:right="64"/>
              <w:spacing w:after="0"/>
              <w:rPr>
                <w:sz w:val="20"/>
                <w:szCs w:val="20"/>
                <w:color w:val="auto"/>
              </w:rPr>
            </w:pPr>
            <w:r>
              <w:rPr>
                <w:rFonts w:ascii="Arial" w:cs="Arial" w:eastAsia="Arial" w:hAnsi="Arial"/>
                <w:sz w:val="11"/>
                <w:szCs w:val="11"/>
                <w:color w:val="auto"/>
              </w:rPr>
              <w:t>(247)</w:t>
            </w:r>
          </w:p>
        </w:tc>
        <w:tc>
          <w:tcPr>
            <w:tcW w:w="80" w:type="dxa"/>
            <w:vAlign w:val="bottom"/>
          </w:tcPr>
          <w:p>
            <w:pPr>
              <w:spacing w:after="0"/>
              <w:rPr>
                <w:sz w:val="13"/>
                <w:szCs w:val="13"/>
                <w:color w:val="auto"/>
              </w:rPr>
            </w:pPr>
          </w:p>
        </w:tc>
        <w:tc>
          <w:tcPr>
            <w:tcW w:w="280" w:type="dxa"/>
            <w:vAlign w:val="bottom"/>
          </w:tcPr>
          <w:p>
            <w:pPr>
              <w:jc w:val="right"/>
              <w:ind w:right="14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84"/>
              <w:spacing w:after="0"/>
              <w:rPr>
                <w:sz w:val="20"/>
                <w:szCs w:val="20"/>
                <w:color w:val="auto"/>
              </w:rPr>
            </w:pPr>
            <w:r>
              <w:rPr>
                <w:rFonts w:ascii="Arial" w:cs="Arial" w:eastAsia="Arial" w:hAnsi="Arial"/>
                <w:sz w:val="11"/>
                <w:szCs w:val="11"/>
                <w:color w:val="auto"/>
              </w:rPr>
              <w:t>396</w:t>
            </w:r>
          </w:p>
        </w:tc>
      </w:tr>
      <w:tr>
        <w:trPr>
          <w:trHeight w:val="125"/>
        </w:trPr>
        <w:tc>
          <w:tcPr>
            <w:tcW w:w="3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r>
      <w:tr>
        <w:trPr>
          <w:trHeight w:val="152"/>
        </w:trPr>
        <w:tc>
          <w:tcPr>
            <w:tcW w:w="3460" w:type="dxa"/>
            <w:vAlign w:val="bottom"/>
            <w:gridSpan w:val="2"/>
          </w:tcPr>
          <w:p>
            <w:pPr>
              <w:ind w:left="20"/>
              <w:spacing w:after="0"/>
              <w:rPr>
                <w:sz w:val="20"/>
                <w:szCs w:val="20"/>
                <w:color w:val="auto"/>
              </w:rPr>
            </w:pPr>
            <w:r>
              <w:rPr>
                <w:rFonts w:ascii="Arial" w:cs="Arial" w:eastAsia="Arial" w:hAnsi="Arial"/>
                <w:sz w:val="11"/>
                <w:szCs w:val="11"/>
                <w:color w:val="auto"/>
              </w:rPr>
              <w:t>% of Total Revenue</w:t>
            </w:r>
          </w:p>
        </w:tc>
        <w:tc>
          <w:tcPr>
            <w:tcW w:w="1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51.6 %</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29.8 %</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18.4 %</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0.2 %</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ind w:left="880"/>
              <w:spacing w:after="0"/>
              <w:rPr>
                <w:sz w:val="20"/>
                <w:szCs w:val="20"/>
                <w:color w:val="auto"/>
              </w:rPr>
            </w:pPr>
            <w:r>
              <w:rPr>
                <w:rFonts w:ascii="Arial" w:cs="Arial" w:eastAsia="Arial" w:hAnsi="Arial"/>
                <w:sz w:val="11"/>
                <w:szCs w:val="11"/>
                <w:color w:val="auto"/>
              </w:rPr>
              <w:t>— %</w:t>
            </w:r>
          </w:p>
        </w:tc>
        <w:tc>
          <w:tcPr>
            <w:tcW w:w="2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100.0 %</w:t>
            </w:r>
          </w:p>
        </w:tc>
      </w:tr>
      <w:tr>
        <w:trPr>
          <w:trHeight w:val="160"/>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Adjusted EBITDA Margin</w:t>
            </w:r>
            <w:r>
              <w:rPr>
                <w:rFonts w:ascii="Arial" w:cs="Arial" w:eastAsia="Arial" w:hAnsi="Arial"/>
                <w:sz w:val="14"/>
                <w:szCs w:val="14"/>
                <w:color w:val="auto"/>
                <w:vertAlign w:val="superscript"/>
              </w:rPr>
              <w:t>(1)(2)</w:t>
            </w:r>
          </w:p>
        </w:tc>
        <w:tc>
          <w:tcPr>
            <w:tcW w:w="1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11.3 %</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28.8 %</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11.8 %</w:t>
            </w: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28.6 %</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1"/>
                <w:szCs w:val="11"/>
                <w:color w:val="auto"/>
              </w:rPr>
              <w:t>— %</w:t>
            </w:r>
          </w:p>
        </w:tc>
        <w:tc>
          <w:tcPr>
            <w:tcW w:w="2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10.3 %</w:t>
            </w:r>
          </w:p>
        </w:tc>
      </w:tr>
    </w:tbl>
    <w:p>
      <w:pPr>
        <w:spacing w:after="0" w:line="41" w:lineRule="exact"/>
        <w:rPr>
          <w:sz w:val="20"/>
          <w:szCs w:val="20"/>
          <w:color w:val="auto"/>
        </w:rPr>
      </w:pPr>
    </w:p>
    <w:p>
      <w:pPr>
        <w:ind w:left="120" w:hanging="117"/>
        <w:spacing w:after="0"/>
        <w:tabs>
          <w:tab w:leader="none" w:pos="120" w:val="left"/>
        </w:tabs>
        <w:numPr>
          <w:ilvl w:val="0"/>
          <w:numId w:val="33"/>
        </w:numPr>
        <w:rPr>
          <w:rFonts w:ascii="Arial" w:cs="Arial" w:eastAsia="Arial" w:hAnsi="Arial"/>
          <w:sz w:val="14"/>
          <w:szCs w:val="14"/>
          <w:color w:val="auto"/>
          <w:vertAlign w:val="superscript"/>
        </w:rPr>
      </w:pPr>
      <w:r>
        <w:rPr>
          <w:rFonts w:ascii="Arial" w:cs="Arial" w:eastAsia="Arial" w:hAnsi="Arial"/>
          <w:sz w:val="11"/>
          <w:szCs w:val="11"/>
          <w:color w:val="auto"/>
        </w:rPr>
        <w:t>Refer to "Non-GAAP Financial Measures" section for an explanation of the non-GAAP financial measure.</w:t>
      </w:r>
    </w:p>
    <w:p>
      <w:pPr>
        <w:ind w:left="120" w:hanging="117"/>
        <w:spacing w:after="0" w:line="200" w:lineRule="auto"/>
        <w:tabs>
          <w:tab w:leader="none" w:pos="120" w:val="left"/>
        </w:tabs>
        <w:numPr>
          <w:ilvl w:val="0"/>
          <w:numId w:val="33"/>
        </w:numPr>
        <w:rPr>
          <w:rFonts w:ascii="Arial" w:cs="Arial" w:eastAsia="Arial" w:hAnsi="Arial"/>
          <w:sz w:val="14"/>
          <w:szCs w:val="14"/>
          <w:color w:val="auto"/>
          <w:vertAlign w:val="superscript"/>
        </w:rPr>
      </w:pPr>
      <w:r>
        <w:rPr>
          <w:rFonts w:ascii="Arial" w:cs="Arial" w:eastAsia="Arial" w:hAnsi="Arial"/>
          <w:sz w:val="11"/>
          <w:szCs w:val="11"/>
          <w:color w:val="auto"/>
        </w:rPr>
        <w:t>Adjusted EBITDA Margin is calculated as Adjusted EBITDA divided by Total Revenue.</w:t>
      </w:r>
    </w:p>
    <w:p>
      <w:pPr>
        <w:spacing w:after="0" w:line="200" w:lineRule="exact"/>
        <w:rPr>
          <w:sz w:val="20"/>
          <w:szCs w:val="20"/>
          <w:color w:val="auto"/>
        </w:rPr>
      </w:pPr>
    </w:p>
    <w:p>
      <w:pPr>
        <w:spacing w:after="0" w:line="31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39" w:name="page40"/>
    <w:bookmarkEnd w:id="39"/>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1"/>
                <w:szCs w:val="11"/>
                <w:color w:val="auto"/>
                <w:w w:val="97"/>
              </w:rPr>
              <w:t>(in millions)</w:t>
            </w:r>
          </w:p>
        </w:tc>
        <w:tc>
          <w:tcPr>
            <w:tcW w:w="5220" w:type="dxa"/>
            <w:vAlign w:val="bottom"/>
            <w:gridSpan w:val="3"/>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00" w:type="dxa"/>
            <w:vAlign w:val="bottom"/>
            <w:gridSpan w:val="2"/>
          </w:tcPr>
          <w:p>
            <w:pPr>
              <w:ind w:left="80"/>
              <w:spacing w:after="0"/>
              <w:rPr>
                <w:sz w:val="20"/>
                <w:szCs w:val="20"/>
                <w:color w:val="auto"/>
              </w:rPr>
            </w:pPr>
            <w:r>
              <w:rPr>
                <w:rFonts w:ascii="Arial" w:cs="Arial" w:eastAsia="Arial" w:hAnsi="Arial"/>
                <w:sz w:val="11"/>
                <w:szCs w:val="11"/>
                <w:color w:val="auto"/>
              </w:rPr>
              <w:t>Year Ended December 31,</w:t>
            </w: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Segment Profit (Loss) Reconciliation to Pre-tax Income (Loss) and Adjusted EBITDA</w:t>
            </w:r>
          </w:p>
        </w:tc>
        <w:tc>
          <w:tcPr>
            <w:tcW w:w="10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Borders>
              <w:bottom w:val="single" w:sz="8" w:color="auto"/>
            </w:tcBorders>
          </w:tcPr>
          <w:p>
            <w:pPr>
              <w:spacing w:after="0"/>
              <w:rPr>
                <w:sz w:val="11"/>
                <w:szCs w:val="11"/>
                <w:color w:val="auto"/>
              </w:rPr>
            </w:pPr>
          </w:p>
        </w:tc>
        <w:tc>
          <w:tcPr>
            <w:tcW w:w="5680" w:type="dxa"/>
            <w:vAlign w:val="bottom"/>
            <w:tcBorders>
              <w:bottom w:val="single" w:sz="8" w:color="auto"/>
            </w:tcBorders>
            <w:gridSpan w:val="3"/>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704"/>
              <w:spacing w:after="0"/>
              <w:rPr>
                <w:sz w:val="20"/>
                <w:szCs w:val="20"/>
                <w:color w:val="auto"/>
              </w:rPr>
            </w:pPr>
            <w:r>
              <w:rPr>
                <w:rFonts w:ascii="Arial" w:cs="Arial" w:eastAsia="Arial" w:hAnsi="Arial"/>
                <w:sz w:val="11"/>
                <w:szCs w:val="11"/>
                <w:color w:val="auto"/>
              </w:rPr>
              <w:t>2023</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ind w:right="684"/>
              <w:spacing w:after="0"/>
              <w:rPr>
                <w:sz w:val="20"/>
                <w:szCs w:val="20"/>
                <w:color w:val="auto"/>
              </w:rPr>
            </w:pPr>
            <w:r>
              <w:rPr>
                <w:rFonts w:ascii="Arial" w:cs="Arial" w:eastAsia="Arial" w:hAnsi="Arial"/>
                <w:sz w:val="11"/>
                <w:szCs w:val="11"/>
                <w:color w:val="auto"/>
              </w:rPr>
              <w:t>2022</w:t>
            </w:r>
          </w:p>
        </w:tc>
        <w:tc>
          <w:tcPr>
            <w:tcW w:w="10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704"/>
              <w:spacing w:after="0"/>
              <w:rPr>
                <w:sz w:val="20"/>
                <w:szCs w:val="20"/>
                <w:color w:val="auto"/>
              </w:rPr>
            </w:pPr>
            <w:r>
              <w:rPr>
                <w:rFonts w:ascii="Arial" w:cs="Arial" w:eastAsia="Arial" w:hAnsi="Arial"/>
                <w:sz w:val="11"/>
                <w:szCs w:val="11"/>
                <w:color w:val="auto"/>
              </w:rPr>
              <w:t>2021</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780" w:type="dxa"/>
            <w:vAlign w:val="bottom"/>
            <w:gridSpan w:val="4"/>
            <w:shd w:val="clear" w:color="auto" w:fill="CCEEFF"/>
          </w:tcPr>
          <w:p>
            <w:pPr>
              <w:spacing w:after="0"/>
              <w:rPr>
                <w:sz w:val="20"/>
                <w:szCs w:val="20"/>
                <w:color w:val="auto"/>
              </w:rPr>
            </w:pPr>
            <w:r>
              <w:rPr>
                <w:rFonts w:ascii="Arial" w:cs="Arial" w:eastAsia="Arial" w:hAnsi="Arial"/>
                <w:sz w:val="11"/>
                <w:szCs w:val="11"/>
                <w:b w:val="1"/>
                <w:bCs w:val="1"/>
                <w:color w:val="auto"/>
              </w:rPr>
              <w:t>Income (Loss) Before Income Taxes</w:t>
            </w: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tcBorders>
              <w:bottom w:val="single" w:sz="8" w:color="auto"/>
            </w:tcBorders>
            <w:gridSpan w:val="2"/>
          </w:tcPr>
          <w:p>
            <w:pPr>
              <w:spacing w:after="0" w:line="125" w:lineRule="exact"/>
              <w:rPr>
                <w:sz w:val="20"/>
                <w:szCs w:val="20"/>
                <w:color w:val="auto"/>
              </w:rPr>
            </w:pPr>
            <w:r>
              <w:rPr>
                <w:rFonts w:ascii="Arial" w:cs="Arial" w:eastAsia="Arial" w:hAnsi="Arial"/>
                <w:sz w:val="11"/>
                <w:szCs w:val="11"/>
                <w:color w:val="auto"/>
                <w:w w:val="98"/>
              </w:rPr>
              <w:t>Reconciling items:</w:t>
            </w:r>
          </w:p>
        </w:tc>
        <w:tc>
          <w:tcPr>
            <w:tcW w:w="4880" w:type="dxa"/>
            <w:vAlign w:val="bottom"/>
            <w:gridSpan w:val="2"/>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80" w:type="dxa"/>
            <w:vAlign w:val="bottom"/>
            <w:gridSpan w:val="4"/>
            <w:shd w:val="clear" w:color="auto" w:fill="CCEEFF"/>
          </w:tcPr>
          <w:p>
            <w:pPr>
              <w:ind w:left="160"/>
              <w:spacing w:after="0"/>
              <w:rPr>
                <w:sz w:val="20"/>
                <w:szCs w:val="20"/>
                <w:color w:val="auto"/>
              </w:rPr>
            </w:pPr>
            <w:r>
              <w:rPr>
                <w:rFonts w:ascii="Arial" w:cs="Arial" w:eastAsia="Arial" w:hAnsi="Arial"/>
                <w:sz w:val="11"/>
                <w:szCs w:val="11"/>
                <w:color w:val="auto"/>
              </w:rPr>
              <w:t>Amortization of acquired intangible assets</w:t>
            </w: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780" w:type="dxa"/>
            <w:vAlign w:val="bottom"/>
            <w:gridSpan w:val="4"/>
          </w:tcPr>
          <w:p>
            <w:pPr>
              <w:ind w:left="160"/>
              <w:spacing w:after="0"/>
              <w:rPr>
                <w:sz w:val="20"/>
                <w:szCs w:val="20"/>
                <w:color w:val="auto"/>
              </w:rPr>
            </w:pPr>
            <w:r>
              <w:rPr>
                <w:rFonts w:ascii="Arial" w:cs="Arial" w:eastAsia="Arial" w:hAnsi="Arial"/>
                <w:sz w:val="11"/>
                <w:szCs w:val="11"/>
                <w:color w:val="auto"/>
              </w:rPr>
              <w:t>Restructuring and related costs</w:t>
            </w:r>
          </w:p>
        </w:tc>
        <w:tc>
          <w:tcPr>
            <w:tcW w:w="420" w:type="dxa"/>
            <w:vAlign w:val="bottom"/>
          </w:tcPr>
          <w:p>
            <w:pPr>
              <w:spacing w:after="0"/>
              <w:rPr>
                <w:sz w:val="13"/>
                <w:szCs w:val="13"/>
                <w:color w:val="auto"/>
              </w:rPr>
            </w:pPr>
          </w:p>
        </w:tc>
        <w:tc>
          <w:tcPr>
            <w:tcW w:w="1340" w:type="dxa"/>
            <w:vAlign w:val="bottom"/>
          </w:tcPr>
          <w:p>
            <w:pPr>
              <w:jc w:val="right"/>
              <w:ind w:right="4"/>
              <w:spacing w:after="0"/>
              <w:rPr>
                <w:sz w:val="20"/>
                <w:szCs w:val="20"/>
                <w:color w:val="auto"/>
              </w:rPr>
            </w:pPr>
            <w:r>
              <w:rPr>
                <w:rFonts w:ascii="Arial" w:cs="Arial" w:eastAsia="Arial" w:hAnsi="Arial"/>
                <w:sz w:val="11"/>
                <w:szCs w:val="11"/>
                <w:color w:val="auto"/>
              </w:rPr>
              <w:t>62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39</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45</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780" w:type="dxa"/>
            <w:vAlign w:val="bottom"/>
            <w:gridSpan w:val="4"/>
            <w:shd w:val="clear" w:color="auto" w:fill="CCEEFF"/>
          </w:tcPr>
          <w:p>
            <w:pPr>
              <w:ind w:left="160"/>
              <w:spacing w:after="0"/>
              <w:rPr>
                <w:sz w:val="20"/>
                <w:szCs w:val="20"/>
                <w:color w:val="auto"/>
              </w:rPr>
            </w:pPr>
            <w:r>
              <w:rPr>
                <w:rFonts w:ascii="Arial" w:cs="Arial" w:eastAsia="Arial" w:hAnsi="Arial"/>
                <w:sz w:val="11"/>
                <w:szCs w:val="11"/>
                <w:color w:val="auto"/>
              </w:rPr>
              <w:t>Interest expense</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111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780" w:type="dxa"/>
            <w:vAlign w:val="bottom"/>
            <w:gridSpan w:val="4"/>
          </w:tcPr>
          <w:p>
            <w:pPr>
              <w:ind w:left="160"/>
              <w:spacing w:after="0"/>
              <w:rPr>
                <w:sz w:val="20"/>
                <w:szCs w:val="20"/>
                <w:color w:val="auto"/>
              </w:rPr>
            </w:pPr>
            <w:r>
              <w:rPr>
                <w:rFonts w:ascii="Arial" w:cs="Arial" w:eastAsia="Arial" w:hAnsi="Arial"/>
                <w:sz w:val="11"/>
                <w:szCs w:val="11"/>
                <w:color w:val="auto"/>
              </w:rPr>
              <w:t>Loss on extinguishment of debt</w:t>
            </w:r>
          </w:p>
        </w:tc>
        <w:tc>
          <w:tcPr>
            <w:tcW w:w="420" w:type="dxa"/>
            <w:vAlign w:val="bottom"/>
          </w:tcPr>
          <w:p>
            <w:pPr>
              <w:spacing w:after="0"/>
              <w:rPr>
                <w:sz w:val="13"/>
                <w:szCs w:val="13"/>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780" w:type="dxa"/>
            <w:vAlign w:val="bottom"/>
            <w:gridSpan w:val="4"/>
            <w:shd w:val="clear" w:color="auto" w:fill="CCEEFF"/>
          </w:tcPr>
          <w:p>
            <w:pPr>
              <w:ind w:left="160"/>
              <w:spacing w:after="0"/>
              <w:rPr>
                <w:sz w:val="20"/>
                <w:szCs w:val="20"/>
                <w:color w:val="auto"/>
              </w:rPr>
            </w:pPr>
            <w:r>
              <w:rPr>
                <w:rFonts w:ascii="Arial" w:cs="Arial" w:eastAsia="Arial" w:hAnsi="Arial"/>
                <w:sz w:val="11"/>
                <w:szCs w:val="11"/>
                <w:color w:val="auto"/>
              </w:rPr>
              <w:t>Goodwill impairment</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287</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358</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780" w:type="dxa"/>
            <w:vAlign w:val="bottom"/>
            <w:gridSpan w:val="4"/>
          </w:tcPr>
          <w:p>
            <w:pPr>
              <w:ind w:left="160"/>
              <w:spacing w:after="0"/>
              <w:rPr>
                <w:sz w:val="20"/>
                <w:szCs w:val="20"/>
                <w:color w:val="auto"/>
              </w:rPr>
            </w:pPr>
            <w:r>
              <w:rPr>
                <w:rFonts w:ascii="Arial" w:cs="Arial" w:eastAsia="Arial" w:hAnsi="Arial"/>
                <w:sz w:val="11"/>
                <w:szCs w:val="11"/>
                <w:color w:val="auto"/>
              </w:rPr>
              <w:t>(Gain) loss on divestitures and transaction costs, net</w:t>
            </w:r>
          </w:p>
        </w:tc>
        <w:tc>
          <w:tcPr>
            <w:tcW w:w="420" w:type="dxa"/>
            <w:vAlign w:val="bottom"/>
          </w:tcPr>
          <w:p>
            <w:pPr>
              <w:spacing w:after="0"/>
              <w:rPr>
                <w:sz w:val="13"/>
                <w:szCs w:val="13"/>
                <w:color w:val="auto"/>
              </w:rPr>
            </w:pPr>
          </w:p>
        </w:tc>
        <w:tc>
          <w:tcPr>
            <w:tcW w:w="1340" w:type="dxa"/>
            <w:vAlign w:val="bottom"/>
          </w:tcPr>
          <w:p>
            <w:pPr>
              <w:jc w:val="right"/>
              <w:ind w:right="4"/>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(158)</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780" w:type="dxa"/>
            <w:vAlign w:val="bottom"/>
            <w:gridSpan w:val="4"/>
            <w:shd w:val="clear" w:color="auto" w:fill="CCEEFF"/>
          </w:tcPr>
          <w:p>
            <w:pPr>
              <w:ind w:left="160"/>
              <w:spacing w:after="0"/>
              <w:rPr>
                <w:sz w:val="20"/>
                <w:szCs w:val="20"/>
                <w:color w:val="auto"/>
              </w:rPr>
            </w:pPr>
            <w:r>
              <w:rPr>
                <w:rFonts w:ascii="Arial" w:cs="Arial" w:eastAsia="Arial" w:hAnsi="Arial"/>
                <w:sz w:val="11"/>
                <w:szCs w:val="11"/>
                <w:color w:val="auto"/>
              </w:rPr>
              <w:t>Litigation settlements (recoveries), net</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5780" w:type="dxa"/>
            <w:vAlign w:val="bottom"/>
            <w:tcBorders>
              <w:bottom w:val="single" w:sz="8" w:color="CCEEFF"/>
            </w:tcBorders>
            <w:gridSpan w:val="4"/>
          </w:tcPr>
          <w:p>
            <w:pPr>
              <w:ind w:left="160"/>
              <w:spacing w:after="0"/>
              <w:rPr>
                <w:sz w:val="20"/>
                <w:szCs w:val="20"/>
                <w:color w:val="auto"/>
              </w:rPr>
            </w:pPr>
            <w:r>
              <w:rPr>
                <w:rFonts w:ascii="Arial" w:cs="Arial" w:eastAsia="Arial" w:hAnsi="Arial"/>
                <w:sz w:val="11"/>
                <w:szCs w:val="11"/>
                <w:color w:val="auto"/>
              </w:rPr>
              <w:t>Other (income) expenses, net</w:t>
            </w: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5780" w:type="dxa"/>
            <w:vAlign w:val="bottom"/>
            <w:gridSpan w:val="4"/>
            <w:shd w:val="clear" w:color="auto" w:fill="CCEEFF"/>
          </w:tcPr>
          <w:p>
            <w:pPr>
              <w:spacing w:after="0"/>
              <w:rPr>
                <w:sz w:val="20"/>
                <w:szCs w:val="20"/>
                <w:color w:val="auto"/>
              </w:rPr>
            </w:pPr>
            <w:r>
              <w:rPr>
                <w:rFonts w:ascii="Arial" w:cs="Arial" w:eastAsia="Arial" w:hAnsi="Arial"/>
                <w:sz w:val="11"/>
                <w:szCs w:val="11"/>
                <w:b w:val="1"/>
                <w:bCs w:val="1"/>
                <w:color w:val="auto"/>
              </w:rPr>
              <w:t>Segment Pre-Tax Income (Loss)</w:t>
            </w: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112</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176</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237</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780" w:type="dxa"/>
            <w:vAlign w:val="bottom"/>
            <w:gridSpan w:val="4"/>
          </w:tcPr>
          <w:p>
            <w:pPr>
              <w:ind w:left="160"/>
              <w:spacing w:after="0"/>
              <w:rPr>
                <w:sz w:val="20"/>
                <w:szCs w:val="20"/>
                <w:color w:val="auto"/>
              </w:rPr>
            </w:pPr>
            <w:r>
              <w:rPr>
                <w:rFonts w:ascii="Arial" w:cs="Arial" w:eastAsia="Arial" w:hAnsi="Arial"/>
                <w:sz w:val="11"/>
                <w:szCs w:val="11"/>
                <w:color w:val="auto"/>
              </w:rPr>
              <w:t>Segment depreciation and amortization</w:t>
            </w:r>
          </w:p>
        </w:tc>
        <w:tc>
          <w:tcPr>
            <w:tcW w:w="420" w:type="dxa"/>
            <w:vAlign w:val="bottom"/>
          </w:tcPr>
          <w:p>
            <w:pPr>
              <w:spacing w:after="0"/>
              <w:rPr>
                <w:sz w:val="13"/>
                <w:szCs w:val="13"/>
                <w:color w:val="auto"/>
              </w:rPr>
            </w:pPr>
          </w:p>
        </w:tc>
        <w:tc>
          <w:tcPr>
            <w:tcW w:w="1340" w:type="dxa"/>
            <w:vAlign w:val="bottom"/>
          </w:tcPr>
          <w:p>
            <w:pPr>
              <w:jc w:val="right"/>
              <w:ind w:right="4"/>
              <w:spacing w:after="0"/>
              <w:rPr>
                <w:sz w:val="20"/>
                <w:szCs w:val="20"/>
                <w:color w:val="auto"/>
              </w:rPr>
            </w:pPr>
            <w:r>
              <w:rPr>
                <w:rFonts w:ascii="Arial" w:cs="Arial" w:eastAsia="Arial" w:hAnsi="Arial"/>
                <w:sz w:val="11"/>
                <w:szCs w:val="11"/>
                <w:color w:val="auto"/>
              </w:rPr>
              <w:t>260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220</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218</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780" w:type="dxa"/>
            <w:vAlign w:val="bottom"/>
            <w:gridSpan w:val="4"/>
            <w:shd w:val="clear" w:color="auto" w:fill="CCEEFF"/>
          </w:tcPr>
          <w:p>
            <w:pPr>
              <w:ind w:left="160"/>
              <w:spacing w:after="0"/>
              <w:rPr>
                <w:sz w:val="20"/>
                <w:szCs w:val="20"/>
                <w:color w:val="auto"/>
              </w:rPr>
            </w:pPr>
            <w:r>
              <w:rPr>
                <w:rFonts w:ascii="Arial" w:cs="Arial" w:eastAsia="Arial" w:hAnsi="Arial"/>
                <w:sz w:val="11"/>
                <w:szCs w:val="11"/>
                <w:color w:val="auto"/>
              </w:rPr>
              <w:t>Abandonment of internal project</w:t>
            </w:r>
          </w:p>
        </w:tc>
        <w:tc>
          <w:tcPr>
            <w:tcW w:w="42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17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780" w:type="dxa"/>
            <w:vAlign w:val="bottom"/>
            <w:gridSpan w:val="4"/>
          </w:tcPr>
          <w:p>
            <w:pPr>
              <w:ind w:left="160"/>
              <w:spacing w:after="0" w:line="156" w:lineRule="exact"/>
              <w:rPr>
                <w:sz w:val="20"/>
                <w:szCs w:val="20"/>
                <w:color w:val="auto"/>
              </w:rPr>
            </w:pPr>
            <w:r>
              <w:rPr>
                <w:rFonts w:ascii="Arial" w:cs="Arial" w:eastAsia="Arial" w:hAnsi="Arial"/>
                <w:sz w:val="11"/>
                <w:szCs w:val="11"/>
                <w:color w:val="auto"/>
              </w:rPr>
              <w:t>Other adjustments</w:t>
            </w:r>
            <w:r>
              <w:rPr>
                <w:rFonts w:ascii="Arial" w:cs="Arial" w:eastAsia="Arial" w:hAnsi="Arial"/>
                <w:sz w:val="14"/>
                <w:szCs w:val="14"/>
                <w:color w:val="auto"/>
                <w:vertAlign w:val="superscript"/>
              </w:rPr>
              <w:t>(1)</w:t>
            </w:r>
          </w:p>
        </w:tc>
        <w:tc>
          <w:tcPr>
            <w:tcW w:w="420" w:type="dxa"/>
            <w:vAlign w:val="bottom"/>
          </w:tcPr>
          <w:p>
            <w:pPr>
              <w:spacing w:after="0"/>
              <w:rPr>
                <w:sz w:val="13"/>
                <w:szCs w:val="13"/>
                <w:color w:val="auto"/>
              </w:rPr>
            </w:pPr>
          </w:p>
        </w:tc>
        <w:tc>
          <w:tcPr>
            <w:tcW w:w="1340" w:type="dxa"/>
            <w:vAlign w:val="bottom"/>
          </w:tcPr>
          <w:p>
            <w:pPr>
              <w:jc w:val="right"/>
              <w:ind w:right="4"/>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8"/>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7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Arial" w:cs="Arial" w:eastAsia="Arial" w:hAnsi="Arial"/>
                <w:sz w:val="11"/>
                <w:szCs w:val="11"/>
                <w:b w:val="1"/>
                <w:bCs w:val="1"/>
                <w:color w:val="auto"/>
              </w:rPr>
              <w:t>Adjusted EBITDA</w:t>
            </w:r>
          </w:p>
        </w:tc>
        <w:tc>
          <w:tcPr>
            <w:tcW w:w="420" w:type="dxa"/>
            <w:vAlign w:val="bottom"/>
            <w:tcBorders>
              <w:top w:val="single" w:sz="8" w:color="auto"/>
              <w:bottom w:val="single" w:sz="8" w:color="auto"/>
            </w:tcBorders>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378</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396</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120" w:hanging="117"/>
        <w:spacing w:after="0"/>
        <w:tabs>
          <w:tab w:leader="none" w:pos="120" w:val="left"/>
        </w:tabs>
        <w:numPr>
          <w:ilvl w:val="0"/>
          <w:numId w:val="34"/>
        </w:numPr>
        <w:rPr>
          <w:rFonts w:ascii="Times New Roman" w:cs="Times New Roman" w:eastAsia="Times New Roman" w:hAnsi="Times New Roman"/>
          <w:sz w:val="14"/>
          <w:szCs w:val="14"/>
          <w:color w:val="auto"/>
          <w:vertAlign w:val="superscript"/>
        </w:rPr>
      </w:pPr>
      <w:r>
        <w:rPr>
          <w:rFonts w:ascii="Arial" w:cs="Arial" w:eastAsia="Arial" w:hAnsi="Arial"/>
          <w:sz w:val="11"/>
          <w:szCs w:val="11"/>
          <w:color w:val="auto"/>
        </w:rPr>
        <w:t>Represents a termination for convenience fee related to the termination of a contract with a significant IT outsourcing provider, which is reported in Cost of Services on the Consolidated Statements of Income.</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Commercial Segment</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129" w:lineRule="exact"/>
        <w:rPr>
          <w:sz w:val="20"/>
          <w:szCs w:val="20"/>
          <w:color w:val="auto"/>
        </w:rPr>
      </w:pPr>
    </w:p>
    <w:p>
      <w:pPr>
        <w:ind w:right="320"/>
        <w:spacing w:after="0" w:line="282" w:lineRule="auto"/>
        <w:rPr>
          <w:sz w:val="20"/>
          <w:szCs w:val="20"/>
          <w:color w:val="auto"/>
        </w:rPr>
      </w:pPr>
      <w:r>
        <w:rPr>
          <w:rFonts w:ascii="Arial" w:cs="Arial" w:eastAsia="Arial" w:hAnsi="Arial"/>
          <w:sz w:val="14"/>
          <w:szCs w:val="14"/>
          <w:color w:val="auto"/>
        </w:rPr>
        <w:t>Commercial segment revenue for 2023 decreased, compared to the prior year, driven by lost business, lower volumes in certain industries within our client base and non-repeating items in the prior year, partially offset by new business ramp and higher interest rates positively impacting our BenefitWallet business.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Segment Profit and Adjusted EBITDA</w:t>
      </w:r>
    </w:p>
    <w:p>
      <w:pPr>
        <w:spacing w:after="0" w:line="129" w:lineRule="exact"/>
        <w:rPr>
          <w:sz w:val="20"/>
          <w:szCs w:val="20"/>
          <w:color w:val="auto"/>
        </w:rPr>
      </w:pPr>
    </w:p>
    <w:p>
      <w:pPr>
        <w:jc w:val="both"/>
        <w:ind w:right="20"/>
        <w:spacing w:after="0" w:line="265" w:lineRule="auto"/>
        <w:rPr>
          <w:sz w:val="20"/>
          <w:szCs w:val="20"/>
          <w:color w:val="auto"/>
        </w:rPr>
      </w:pPr>
      <w:r>
        <w:rPr>
          <w:rFonts w:ascii="Arial" w:cs="Arial" w:eastAsia="Arial" w:hAnsi="Arial"/>
          <w:sz w:val="14"/>
          <w:szCs w:val="14"/>
          <w:color w:val="auto"/>
        </w:rPr>
        <w:t>Commercial segment profit for 2023 increased compared to the prior year and was positively impacted by higher interest rates positively impacting our BenefitWallet business and cost efficiency, partially offset by a write-off of capitalized software totaling $25 million stemming from management’s decision to abandon an internal use software product and a decision by a customer to not implement a product software solution.</w:t>
      </w:r>
    </w:p>
    <w:p>
      <w:pPr>
        <w:spacing w:after="0" w:line="92" w:lineRule="exact"/>
        <w:rPr>
          <w:sz w:val="20"/>
          <w:szCs w:val="20"/>
          <w:color w:val="auto"/>
        </w:rPr>
      </w:pPr>
    </w:p>
    <w:p>
      <w:pPr>
        <w:ind w:right="420"/>
        <w:spacing w:after="0" w:line="282" w:lineRule="auto"/>
        <w:rPr>
          <w:sz w:val="20"/>
          <w:szCs w:val="20"/>
          <w:color w:val="auto"/>
        </w:rPr>
      </w:pPr>
      <w:r>
        <w:rPr>
          <w:rFonts w:ascii="Arial" w:cs="Arial" w:eastAsia="Arial" w:hAnsi="Arial"/>
          <w:sz w:val="14"/>
          <w:szCs w:val="14"/>
          <w:color w:val="auto"/>
        </w:rPr>
        <w:t>Commercial segment adjusted EBITDA and adjusted EBITDA margin for 2023 also increased compared to the prior year primarily driven by the segment profit drivers mentioned above, partially offset by the impact of reduced revenue and the non-repeating items in the prior year.</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Government Segment</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129" w:lineRule="exact"/>
        <w:rPr>
          <w:sz w:val="20"/>
          <w:szCs w:val="20"/>
          <w:color w:val="auto"/>
        </w:rPr>
      </w:pPr>
    </w:p>
    <w:p>
      <w:pPr>
        <w:ind w:right="240"/>
        <w:spacing w:after="0" w:line="265" w:lineRule="auto"/>
        <w:rPr>
          <w:sz w:val="20"/>
          <w:szCs w:val="20"/>
          <w:color w:val="auto"/>
        </w:rPr>
      </w:pPr>
      <w:r>
        <w:rPr>
          <w:rFonts w:ascii="Arial" w:cs="Arial" w:eastAsia="Arial" w:hAnsi="Arial"/>
          <w:sz w:val="14"/>
          <w:szCs w:val="14"/>
          <w:color w:val="auto"/>
        </w:rPr>
        <w:t>Government segment revenue for 2023 decreased, compared to the prior year, primarily driven by lost business from prior years, non-repeating federal stimulus revenue in the prior year and the impact of an out of period adjustment of $7 million in the first quarter of 2023. These were partially offset by the ramping of new business in Government Healthcare solutions, higher volumes in Government services solutions and a contractual change to a client implementation positively impacting revenue recognition.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Segment Profit and Adjusted EBITDA</w:t>
      </w:r>
    </w:p>
    <w:p>
      <w:pPr>
        <w:spacing w:after="0" w:line="129" w:lineRule="exact"/>
        <w:rPr>
          <w:sz w:val="20"/>
          <w:szCs w:val="20"/>
          <w:color w:val="auto"/>
        </w:rPr>
      </w:pPr>
    </w:p>
    <w:p>
      <w:pPr>
        <w:ind w:right="180"/>
        <w:spacing w:after="0" w:line="265" w:lineRule="auto"/>
        <w:rPr>
          <w:sz w:val="20"/>
          <w:szCs w:val="20"/>
          <w:color w:val="auto"/>
        </w:rPr>
      </w:pPr>
      <w:r>
        <w:rPr>
          <w:rFonts w:ascii="Arial" w:cs="Arial" w:eastAsia="Arial" w:hAnsi="Arial"/>
          <w:sz w:val="14"/>
          <w:szCs w:val="14"/>
          <w:color w:val="auto"/>
        </w:rPr>
        <w:t>Government segment profit for 2023 decreased slightly compared to the prior year and was impacted by lost business, the high margin non-repeating federal stimulus revenue in the prior year and the out of period adjustment in the first quarter of 2023 as well as by higher depreciation driven by the deployment of our new modularized CMdS platform in our Government Healthcare Solutions business.</w:t>
      </w: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40" w:name="page41"/>
    <w:bookmarkEnd w:id="40"/>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Government segment adjusted EBITDA for 2023 decreased slightly compared to the prior year due to the Government segment profit drivers, excluding depreciation, mentioned above. These were partially offset by the $17 million reversal of reserves due to the settlement of the Cognizant matter, a contractual change to a client implementation positively impacting revenue recognition and cost efficiency.</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Government segment adjusted EBITDA margin for 2023 increased compared to the prior year mainly due to the mix of adjusted EBITDA variances mentioned above on lower revenue.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Transportation Segment</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w:t>
      </w:r>
    </w:p>
    <w:p>
      <w:pPr>
        <w:spacing w:after="0" w:line="129" w:lineRule="exact"/>
        <w:rPr>
          <w:sz w:val="20"/>
          <w:szCs w:val="20"/>
          <w:color w:val="auto"/>
        </w:rPr>
      </w:pPr>
    </w:p>
    <w:p>
      <w:pPr>
        <w:jc w:val="both"/>
        <w:ind w:right="220"/>
        <w:spacing w:after="0" w:line="265" w:lineRule="auto"/>
        <w:rPr>
          <w:sz w:val="20"/>
          <w:szCs w:val="20"/>
          <w:color w:val="auto"/>
        </w:rPr>
      </w:pPr>
      <w:r>
        <w:rPr>
          <w:rFonts w:ascii="Arial" w:cs="Arial" w:eastAsia="Arial" w:hAnsi="Arial"/>
          <w:sz w:val="14"/>
          <w:szCs w:val="14"/>
          <w:color w:val="auto"/>
        </w:rPr>
        <w:t>Transportation revenue for 2023 decreased compared to the prior year, primarily driven by extended completion timelines on our larger implementations to meet client requirements, which affected the recognition timeframe for revenue, the completion of smaller projects in our Transit solutions service offering and lost business from prior years, partially offset by new business and favorable exchange rate movement, particularly the Euro.</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Segment Profit and Adjusted EBITDA</w:t>
      </w:r>
    </w:p>
    <w:p>
      <w:pPr>
        <w:spacing w:after="0" w:line="129" w:lineRule="exact"/>
        <w:rPr>
          <w:sz w:val="20"/>
          <w:szCs w:val="20"/>
          <w:color w:val="auto"/>
        </w:rPr>
      </w:pPr>
    </w:p>
    <w:p>
      <w:pPr>
        <w:ind w:right="160"/>
        <w:spacing w:after="0" w:line="282" w:lineRule="auto"/>
        <w:rPr>
          <w:sz w:val="20"/>
          <w:szCs w:val="20"/>
          <w:color w:val="auto"/>
        </w:rPr>
      </w:pPr>
      <w:r>
        <w:rPr>
          <w:rFonts w:ascii="Arial" w:cs="Arial" w:eastAsia="Arial" w:hAnsi="Arial"/>
          <w:sz w:val="14"/>
          <w:szCs w:val="14"/>
          <w:color w:val="auto"/>
        </w:rPr>
        <w:t>Transportation segment profit, adjusted EBITDA and adjusted EBITDA margin for 2023 all decreased primarily due to extended completion timelines on our larger implementations to meet client requirements, which affected the recognition timeframe for revenue and the completion of smaller projects in our Transit solutions service offering.</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Divestitures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 Segment Profit (Loss) and Adjusted EBITDA</w:t>
      </w:r>
    </w:p>
    <w:p>
      <w:pPr>
        <w:spacing w:after="0" w:line="129"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The decline in revenue, segment profit and Adjusted EBITDA for 2023 was primarily due to the sale of the Midas Suite of products in 2022. The prior year included activity through the date of disposition whereas there was no activity in the current year.</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Unallocated Costs</w:t>
      </w:r>
    </w:p>
    <w:p>
      <w:pPr>
        <w:spacing w:after="0" w:line="131" w:lineRule="exact"/>
        <w:rPr>
          <w:sz w:val="20"/>
          <w:szCs w:val="20"/>
          <w:color w:val="auto"/>
        </w:rPr>
      </w:pPr>
    </w:p>
    <w:p>
      <w:pPr>
        <w:ind w:right="320"/>
        <w:spacing w:after="0" w:line="282" w:lineRule="auto"/>
        <w:rPr>
          <w:sz w:val="20"/>
          <w:szCs w:val="20"/>
          <w:color w:val="auto"/>
        </w:rPr>
      </w:pPr>
      <w:r>
        <w:rPr>
          <w:rFonts w:ascii="Arial" w:cs="Arial" w:eastAsia="Arial" w:hAnsi="Arial"/>
          <w:sz w:val="14"/>
          <w:szCs w:val="14"/>
          <w:color w:val="auto"/>
        </w:rPr>
        <w:t>Unallocated Costs for 2023 increased compared to the prior year primarily due to the prior year reflecting the recovery of $14 million of defense costs as part of the settlement with insurance carriers relating to the previously disclosed State of Texas matter, and expense credits in the prior year.</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6CC"/>
        </w:rPr>
        <w:t>Metrics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Metrics</w:t>
      </w:r>
    </w:p>
    <w:p>
      <w:pPr>
        <w:spacing w:after="0" w:line="131" w:lineRule="exact"/>
        <w:rPr>
          <w:sz w:val="20"/>
          <w:szCs w:val="20"/>
          <w:color w:val="auto"/>
        </w:rPr>
      </w:pPr>
    </w:p>
    <w:p>
      <w:pPr>
        <w:ind w:right="40"/>
        <w:spacing w:after="0" w:line="322" w:lineRule="auto"/>
        <w:rPr>
          <w:sz w:val="20"/>
          <w:szCs w:val="20"/>
          <w:color w:val="auto"/>
        </w:rPr>
      </w:pPr>
      <w:r>
        <w:rPr>
          <w:rFonts w:ascii="Arial" w:cs="Arial" w:eastAsia="Arial" w:hAnsi="Arial"/>
          <w:sz w:val="13"/>
          <w:szCs w:val="13"/>
          <w:color w:val="auto"/>
        </w:rPr>
        <w:t>We use metrics to evaluate our business, determine the allocation of our resources, make decisions regarding corporate strategies and evaluate forward-looking projections and trends affecting our business. We disclose these metrics to provide transparency in our performance trends. We discuss certain key metrics, including Signings and Net ARR Activity below.</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Signings</w:t>
      </w:r>
    </w:p>
    <w:p>
      <w:pPr>
        <w:spacing w:after="0" w:line="129"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Signings are defined as estimated future revenues from contracts signed during the period, including renewals of existing contracts. TCV is the estimated total contractual revenue related to signed contracts. TCV signings is defined as estimated future revenues from contracts signed during the period, including renewals of existing contracts. Due to the inconsistency of when existing contracts end, quarterly and yearly comparisons may not provide an accurate measure of renewal performance. The Annual Contract Value ("ACV") for new business is calculated by dividing the TCV by the contract term, in months, and then multiplying by 12 to obtain an annual measure.</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color w:val="auto"/>
        </w:rPr>
        <w:t>For the year ended December 31, 2023, the Company signed $639 million of new business ACV, including the May 2023 award of a significant contract in the Transportation segment.</w:t>
      </w:r>
    </w:p>
    <w:p>
      <w:pPr>
        <w:spacing w:after="0" w:line="200" w:lineRule="exact"/>
        <w:rPr>
          <w:sz w:val="20"/>
          <w:szCs w:val="20"/>
          <w:color w:val="auto"/>
        </w:rPr>
      </w:pPr>
    </w:p>
    <w:p>
      <w:pPr>
        <w:spacing w:after="0" w:line="286"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41" w:name="page42"/>
    <w:bookmarkEnd w:id="41"/>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For the year ended December 31, 2023, the Company signed $2,257 million of new business TCV, representing a 20% increase compared to the prior year. Renewal TCV for the year ended December 31, 2023 was $2,341 million, a decrease of 5% compared to the prior year due to timing on renewals; however, the renewal rate for the year ended December 31, 2023 was consistent with the prior year.</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The amounts in the following table exclude the impact of divestitures.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5"/>
          </w:tcPr>
          <w:p>
            <w:pPr>
              <w:ind w:left="320"/>
              <w:spacing w:after="0"/>
              <w:rPr>
                <w:sz w:val="20"/>
                <w:szCs w:val="20"/>
                <w:color w:val="auto"/>
              </w:rPr>
            </w:pPr>
            <w:r>
              <w:rPr>
                <w:rFonts w:ascii="Arial" w:cs="Arial" w:eastAsia="Arial" w:hAnsi="Arial"/>
                <w:sz w:val="13"/>
                <w:szCs w:val="13"/>
                <w:color w:val="auto"/>
              </w:rPr>
              <w:t>Year Ended December 31,</w:t>
            </w:r>
          </w:p>
        </w:tc>
        <w:tc>
          <w:tcPr>
            <w:tcW w:w="220" w:type="dxa"/>
            <w:vAlign w:val="bottom"/>
          </w:tcPr>
          <w:p>
            <w:pPr>
              <w:spacing w:after="0"/>
              <w:rPr>
                <w:sz w:val="14"/>
                <w:szCs w:val="14"/>
                <w:color w:val="auto"/>
              </w:rPr>
            </w:pPr>
          </w:p>
        </w:tc>
        <w:tc>
          <w:tcPr>
            <w:tcW w:w="1560" w:type="dxa"/>
            <w:vAlign w:val="bottom"/>
            <w:gridSpan w:val="3"/>
          </w:tcPr>
          <w:p>
            <w:pPr>
              <w:ind w:left="780"/>
              <w:spacing w:after="0"/>
              <w:rPr>
                <w:sz w:val="20"/>
                <w:szCs w:val="20"/>
                <w:color w:val="auto"/>
              </w:rPr>
            </w:pPr>
            <w:r>
              <w:rPr>
                <w:rFonts w:ascii="Arial" w:cs="Arial" w:eastAsia="Arial" w:hAnsi="Arial"/>
                <w:sz w:val="13"/>
                <w:szCs w:val="13"/>
                <w:color w:val="auto"/>
                <w:w w:val="93"/>
              </w:rPr>
              <w:t>2023 vs. 2022</w:t>
            </w:r>
          </w:p>
        </w:tc>
        <w:tc>
          <w:tcPr>
            <w:tcW w:w="1000" w:type="dxa"/>
            <w:vAlign w:val="bottom"/>
          </w:tcPr>
          <w:p>
            <w:pPr>
              <w:spacing w:after="0"/>
              <w:rPr>
                <w:sz w:val="14"/>
                <w:szCs w:val="14"/>
                <w:color w:val="auto"/>
              </w:rPr>
            </w:pPr>
          </w:p>
        </w:tc>
      </w:tr>
      <w:tr>
        <w:trPr>
          <w:trHeight w:val="126"/>
        </w:trPr>
        <w:tc>
          <w:tcPr>
            <w:tcW w:w="20" w:type="dxa"/>
            <w:vAlign w:val="bottom"/>
          </w:tcPr>
          <w:p>
            <w:pPr>
              <w:spacing w:after="0"/>
              <w:rPr>
                <w:sz w:val="10"/>
                <w:szCs w:val="10"/>
                <w:color w:val="auto"/>
              </w:rPr>
            </w:pPr>
          </w:p>
        </w:tc>
        <w:tc>
          <w:tcPr>
            <w:tcW w:w="5620" w:type="dxa"/>
            <w:vAlign w:val="bottom"/>
            <w:gridSpan w:val="2"/>
          </w:tcPr>
          <w:p>
            <w:pPr>
              <w:spacing w:after="0"/>
              <w:rPr>
                <w:sz w:val="20"/>
                <w:szCs w:val="20"/>
                <w:color w:val="auto"/>
              </w:rPr>
            </w:pPr>
            <w:r>
              <w:rPr>
                <w:rFonts w:ascii="Arial" w:cs="Arial" w:eastAsia="Arial" w:hAnsi="Arial"/>
                <w:sz w:val="11"/>
                <w:szCs w:val="11"/>
                <w:color w:val="auto"/>
              </w:rPr>
              <w:t>(in millions)</w:t>
            </w:r>
          </w:p>
        </w:tc>
        <w:tc>
          <w:tcPr>
            <w:tcW w:w="3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437"/>
              <w:spacing w:after="0" w:line="126" w:lineRule="exact"/>
              <w:rPr>
                <w:sz w:val="20"/>
                <w:szCs w:val="20"/>
                <w:color w:val="auto"/>
              </w:rPr>
            </w:pPr>
            <w:r>
              <w:rPr>
                <w:rFonts w:ascii="Arial" w:cs="Arial" w:eastAsia="Arial" w:hAnsi="Arial"/>
                <w:sz w:val="13"/>
                <w:szCs w:val="13"/>
                <w:color w:val="auto"/>
              </w:rPr>
              <w:t>2023</w:t>
            </w:r>
          </w:p>
        </w:tc>
        <w:tc>
          <w:tcPr>
            <w:tcW w:w="1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jc w:val="right"/>
              <w:ind w:right="399"/>
              <w:spacing w:after="0" w:line="126" w:lineRule="exact"/>
              <w:rPr>
                <w:sz w:val="20"/>
                <w:szCs w:val="20"/>
                <w:color w:val="auto"/>
              </w:rPr>
            </w:pPr>
            <w:r>
              <w:rPr>
                <w:rFonts w:ascii="Arial" w:cs="Arial" w:eastAsia="Arial" w:hAnsi="Arial"/>
                <w:sz w:val="11"/>
                <w:szCs w:val="11"/>
                <w:color w:val="auto"/>
              </w:rPr>
              <w:t>2022</w:t>
            </w:r>
            <w:r>
              <w:rPr>
                <w:rFonts w:ascii="Arial" w:cs="Arial" w:eastAsia="Arial" w:hAnsi="Arial"/>
                <w:sz w:val="14"/>
                <w:szCs w:val="14"/>
                <w:color w:val="auto"/>
                <w:vertAlign w:val="superscript"/>
              </w:rPr>
              <w:t>(3)</w:t>
            </w:r>
          </w:p>
        </w:tc>
        <w:tc>
          <w:tcPr>
            <w:tcW w:w="10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560" w:type="dxa"/>
            <w:vAlign w:val="bottom"/>
            <w:tcBorders>
              <w:top w:val="single" w:sz="8" w:color="auto"/>
            </w:tcBorders>
            <w:gridSpan w:val="3"/>
          </w:tcPr>
          <w:p>
            <w:pPr>
              <w:ind w:left="160"/>
              <w:spacing w:after="0" w:line="126" w:lineRule="exact"/>
              <w:rPr>
                <w:sz w:val="20"/>
                <w:szCs w:val="20"/>
                <w:color w:val="auto"/>
              </w:rPr>
            </w:pPr>
            <w:r>
              <w:rPr>
                <w:rFonts w:ascii="Arial" w:cs="Arial" w:eastAsia="Arial" w:hAnsi="Arial"/>
                <w:sz w:val="13"/>
                <w:szCs w:val="13"/>
                <w:color w:val="auto"/>
              </w:rPr>
              <w:t>$ Change</w:t>
            </w:r>
          </w:p>
        </w:tc>
        <w:tc>
          <w:tcPr>
            <w:tcW w:w="1000" w:type="dxa"/>
            <w:vAlign w:val="bottom"/>
            <w:tcBorders>
              <w:top w:val="single" w:sz="8" w:color="auto"/>
            </w:tcBorders>
          </w:tcPr>
          <w:p>
            <w:pPr>
              <w:jc w:val="right"/>
              <w:ind w:right="337"/>
              <w:spacing w:after="0" w:line="126" w:lineRule="exact"/>
              <w:rPr>
                <w:sz w:val="20"/>
                <w:szCs w:val="20"/>
                <w:color w:val="auto"/>
              </w:rPr>
            </w:pPr>
            <w:r>
              <w:rPr>
                <w:rFonts w:ascii="Arial" w:cs="Arial" w:eastAsia="Arial" w:hAnsi="Arial"/>
                <w:sz w:val="13"/>
                <w:szCs w:val="13"/>
                <w:color w:val="auto"/>
                <w:w w:val="95"/>
              </w:rPr>
              <w:t>% Change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50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620" w:type="dxa"/>
            <w:vAlign w:val="bottom"/>
            <w:gridSpan w:val="2"/>
            <w:shd w:val="clear" w:color="auto" w:fill="CCEEFF"/>
          </w:tcPr>
          <w:p>
            <w:pPr>
              <w:spacing w:after="0" w:line="147" w:lineRule="exact"/>
              <w:rPr>
                <w:sz w:val="20"/>
                <w:szCs w:val="20"/>
                <w:color w:val="auto"/>
              </w:rPr>
            </w:pPr>
            <w:r>
              <w:rPr>
                <w:rFonts w:ascii="Arial" w:cs="Arial" w:eastAsia="Arial" w:hAnsi="Arial"/>
                <w:sz w:val="13"/>
                <w:szCs w:val="13"/>
                <w:color w:val="auto"/>
              </w:rPr>
              <w:t>New business ACV</w:t>
            </w:r>
          </w:p>
        </w:tc>
        <w:tc>
          <w:tcPr>
            <w:tcW w:w="300" w:type="dxa"/>
            <w:vAlign w:val="bottom"/>
            <w:shd w:val="clear" w:color="auto" w:fill="CCEEFF"/>
          </w:tcPr>
          <w:p>
            <w:pPr>
              <w:jc w:val="right"/>
              <w:ind w:right="137"/>
              <w:spacing w:after="0" w:line="149" w:lineRule="exact"/>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639</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17"/>
              <w:spacing w:after="0" w:line="149" w:lineRule="exact"/>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732</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77"/>
              <w:spacing w:after="0" w:line="149" w:lineRule="exact"/>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(93)</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3"/>
                <w:szCs w:val="13"/>
                <w:color w:val="auto"/>
              </w:rPr>
              <w:t>(13)%</w:t>
            </w:r>
          </w:p>
        </w:tc>
      </w:tr>
      <w:tr>
        <w:trPr>
          <w:trHeight w:val="198"/>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67"/>
        </w:trPr>
        <w:tc>
          <w:tcPr>
            <w:tcW w:w="20" w:type="dxa"/>
            <w:vAlign w:val="bottom"/>
            <w:shd w:val="clear" w:color="auto" w:fill="CCEEFF"/>
          </w:tcPr>
          <w:p>
            <w:pPr>
              <w:spacing w:after="0"/>
              <w:rPr>
                <w:sz w:val="14"/>
                <w:szCs w:val="14"/>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New business TCV</w:t>
            </w:r>
          </w:p>
        </w:tc>
        <w:tc>
          <w:tcPr>
            <w:tcW w:w="3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1,887</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20 %</w:t>
            </w:r>
          </w:p>
        </w:tc>
      </w:tr>
      <w:tr>
        <w:trPr>
          <w:trHeight w:val="166"/>
        </w:trPr>
        <w:tc>
          <w:tcPr>
            <w:tcW w:w="20" w:type="dxa"/>
            <w:vAlign w:val="bottom"/>
            <w:tcBorders>
              <w:bottom w:val="single" w:sz="8" w:color="CCEEFF"/>
            </w:tcBorders>
          </w:tcPr>
          <w:p>
            <w:pPr>
              <w:spacing w:after="0"/>
              <w:rPr>
                <w:sz w:val="14"/>
                <w:szCs w:val="14"/>
                <w:color w:val="auto"/>
              </w:rPr>
            </w:pPr>
          </w:p>
        </w:tc>
        <w:tc>
          <w:tcPr>
            <w:tcW w:w="5620" w:type="dxa"/>
            <w:vAlign w:val="bottom"/>
            <w:tcBorders>
              <w:bottom w:val="single" w:sz="8" w:color="CCEEFF"/>
            </w:tcBorders>
            <w:gridSpan w:val="2"/>
          </w:tcPr>
          <w:p>
            <w:pPr>
              <w:spacing w:after="0"/>
              <w:rPr>
                <w:sz w:val="20"/>
                <w:szCs w:val="20"/>
                <w:color w:val="auto"/>
              </w:rPr>
            </w:pPr>
            <w:r>
              <w:rPr>
                <w:rFonts w:ascii="Arial" w:cs="Arial" w:eastAsia="Arial" w:hAnsi="Arial"/>
                <w:sz w:val="13"/>
                <w:szCs w:val="13"/>
                <w:color w:val="auto"/>
              </w:rPr>
              <w:t>Renewals TCV</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2,341</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2,477</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(136)</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3"/>
                <w:szCs w:val="13"/>
                <w:color w:val="auto"/>
              </w:rPr>
              <w:t>(5)%</w:t>
            </w: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5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3"/>
                <w:szCs w:val="13"/>
                <w:color w:val="auto"/>
              </w:rPr>
              <w:t>Total Signings</w:t>
            </w:r>
          </w:p>
        </w:tc>
        <w:tc>
          <w:tcPr>
            <w:tcW w:w="30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4,598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4,364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234</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5 %</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0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67"/>
        </w:trPr>
        <w:tc>
          <w:tcPr>
            <w:tcW w:w="20" w:type="dxa"/>
            <w:vAlign w:val="bottom"/>
            <w:shd w:val="clear" w:color="auto" w:fill="CCEEFF"/>
          </w:tcPr>
          <w:p>
            <w:pPr>
              <w:spacing w:after="0"/>
              <w:rPr>
                <w:sz w:val="14"/>
                <w:szCs w:val="14"/>
                <w:color w:val="auto"/>
              </w:rPr>
            </w:pPr>
          </w:p>
        </w:tc>
        <w:tc>
          <w:tcPr>
            <w:tcW w:w="5620" w:type="dxa"/>
            <w:vAlign w:val="bottom"/>
            <w:gridSpan w:val="2"/>
            <w:shd w:val="clear" w:color="auto" w:fill="CCEEFF"/>
          </w:tcPr>
          <w:p>
            <w:pPr>
              <w:spacing w:after="0" w:line="167" w:lineRule="exact"/>
              <w:rPr>
                <w:sz w:val="20"/>
                <w:szCs w:val="20"/>
                <w:color w:val="auto"/>
              </w:rPr>
            </w:pPr>
            <w:r>
              <w:rPr>
                <w:rFonts w:ascii="Arial" w:cs="Arial" w:eastAsia="Arial" w:hAnsi="Arial"/>
                <w:sz w:val="13"/>
                <w:szCs w:val="13"/>
                <w:color w:val="auto"/>
              </w:rPr>
              <w:t>New business annual recurring revenue (ARR) signings</w:t>
            </w:r>
            <w:r>
              <w:rPr>
                <w:rFonts w:ascii="Arial" w:cs="Arial" w:eastAsia="Arial" w:hAnsi="Arial"/>
                <w:sz w:val="16"/>
                <w:szCs w:val="16"/>
                <w:color w:val="auto"/>
                <w:vertAlign w:val="superscript"/>
              </w:rPr>
              <w:t>(1)</w:t>
            </w:r>
          </w:p>
        </w:tc>
        <w:tc>
          <w:tcPr>
            <w:tcW w:w="3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403</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w:t>
            </w:r>
          </w:p>
        </w:tc>
      </w:tr>
      <w:tr>
        <w:trPr>
          <w:trHeight w:val="220"/>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3"/>
                <w:szCs w:val="13"/>
                <w:color w:val="auto"/>
              </w:rPr>
              <w:t>New business non-recurring revenue (NRR) signings</w:t>
            </w:r>
            <w:r>
              <w:rPr>
                <w:rFonts w:ascii="Arial" w:cs="Arial" w:eastAsia="Arial" w:hAnsi="Arial"/>
                <w:sz w:val="16"/>
                <w:szCs w:val="16"/>
                <w:color w:val="auto"/>
                <w:vertAlign w:val="superscript"/>
              </w:rPr>
              <w:t>(2)</w:t>
            </w:r>
          </w:p>
        </w:tc>
        <w:tc>
          <w:tcPr>
            <w:tcW w:w="300" w:type="dxa"/>
            <w:vAlign w:val="bottom"/>
          </w:tcPr>
          <w:p>
            <w:pPr>
              <w:jc w:val="right"/>
              <w:ind w:right="137"/>
              <w:spacing w:after="0"/>
              <w:rPr>
                <w:sz w:val="20"/>
                <w:szCs w:val="20"/>
                <w:color w:val="auto"/>
              </w:rPr>
            </w:pPr>
            <w:r>
              <w:rPr>
                <w:rFonts w:ascii="Arial" w:cs="Arial" w:eastAsia="Arial" w:hAnsi="Arial"/>
                <w:sz w:val="13"/>
                <w:szCs w:val="13"/>
                <w:color w:val="auto"/>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593</w:t>
            </w:r>
          </w:p>
        </w:tc>
        <w:tc>
          <w:tcPr>
            <w:tcW w:w="100" w:type="dxa"/>
            <w:vAlign w:val="bottom"/>
          </w:tcPr>
          <w:p>
            <w:pPr>
              <w:spacing w:after="0"/>
              <w:rPr>
                <w:sz w:val="19"/>
                <w:szCs w:val="19"/>
                <w:color w:val="auto"/>
              </w:rPr>
            </w:pPr>
          </w:p>
        </w:tc>
        <w:tc>
          <w:tcPr>
            <w:tcW w:w="260" w:type="dxa"/>
            <w:vAlign w:val="bottom"/>
          </w:tcPr>
          <w:p>
            <w:pPr>
              <w:jc w:val="right"/>
              <w:ind w:right="117"/>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444</w:t>
            </w:r>
          </w:p>
        </w:tc>
        <w:tc>
          <w:tcPr>
            <w:tcW w:w="100" w:type="dxa"/>
            <w:vAlign w:val="bottom"/>
          </w:tcPr>
          <w:p>
            <w:pPr>
              <w:spacing w:after="0"/>
              <w:rPr>
                <w:sz w:val="19"/>
                <w:szCs w:val="19"/>
                <w:color w:val="auto"/>
              </w:rPr>
            </w:pP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149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34 %</w:t>
            </w:r>
          </w:p>
        </w:tc>
      </w:tr>
    </w:tbl>
    <w:p>
      <w:pPr>
        <w:spacing w:after="0" w:line="7" w:lineRule="exact"/>
        <w:rPr>
          <w:sz w:val="20"/>
          <w:szCs w:val="20"/>
          <w:color w:val="auto"/>
        </w:rPr>
      </w:pPr>
    </w:p>
    <w:p>
      <w:pPr>
        <w:spacing w:after="0"/>
        <w:rPr>
          <w:sz w:val="20"/>
          <w:szCs w:val="20"/>
          <w:color w:val="auto"/>
        </w:rPr>
      </w:pPr>
      <w:r>
        <w:rPr>
          <w:rFonts w:ascii="Arial" w:cs="Arial" w:eastAsia="Arial" w:hAnsi="Arial"/>
          <w:sz w:val="10"/>
          <w:szCs w:val="10"/>
          <w:color w:val="auto"/>
        </w:rPr>
        <w:t>___________</w:t>
      </w:r>
    </w:p>
    <w:p>
      <w:pPr>
        <w:spacing w:after="0" w:line="48" w:lineRule="exact"/>
        <w:rPr>
          <w:sz w:val="20"/>
          <w:szCs w:val="20"/>
          <w:color w:val="auto"/>
        </w:rPr>
      </w:pPr>
    </w:p>
    <w:p>
      <w:pPr>
        <w:ind w:left="260" w:right="80" w:hanging="257"/>
        <w:spacing w:after="0" w:line="265" w:lineRule="auto"/>
        <w:tabs>
          <w:tab w:leader="none" w:pos="250" w:val="left"/>
        </w:tabs>
        <w:numPr>
          <w:ilvl w:val="0"/>
          <w:numId w:val="35"/>
        </w:numPr>
        <w:rPr>
          <w:rFonts w:ascii="Arial" w:cs="Arial" w:eastAsia="Arial" w:hAnsi="Arial"/>
          <w:sz w:val="11"/>
          <w:szCs w:val="11"/>
          <w:i w:val="1"/>
          <w:iCs w:val="1"/>
          <w:color w:val="auto"/>
        </w:rPr>
      </w:pPr>
      <w:r>
        <w:rPr>
          <w:rFonts w:ascii="Arial" w:cs="Arial" w:eastAsia="Arial" w:hAnsi="Arial"/>
          <w:sz w:val="11"/>
          <w:szCs w:val="11"/>
          <w:i w:val="1"/>
          <w:iCs w:val="1"/>
          <w:color w:val="auto"/>
        </w:rPr>
        <w:t>New business ARR measures the revenue from recurring services provided to the client for any new business signing. ARR represents the recurring services provided to a customer with the opportunity for renewal at the end of the contract term.</w:t>
      </w:r>
    </w:p>
    <w:p>
      <w:pPr>
        <w:ind w:left="260" w:right="100" w:hanging="257"/>
        <w:spacing w:after="0" w:line="238" w:lineRule="auto"/>
        <w:tabs>
          <w:tab w:leader="none" w:pos="250" w:val="left"/>
        </w:tabs>
        <w:numPr>
          <w:ilvl w:val="0"/>
          <w:numId w:val="35"/>
        </w:numPr>
        <w:rPr>
          <w:rFonts w:ascii="Arial" w:cs="Arial" w:eastAsia="Arial" w:hAnsi="Arial"/>
          <w:sz w:val="11"/>
          <w:szCs w:val="11"/>
          <w:i w:val="1"/>
          <w:iCs w:val="1"/>
          <w:color w:val="auto"/>
        </w:rPr>
      </w:pPr>
      <w:r>
        <w:rPr>
          <w:rFonts w:ascii="Arial" w:cs="Arial" w:eastAsia="Arial" w:hAnsi="Arial"/>
          <w:sz w:val="11"/>
          <w:szCs w:val="11"/>
          <w:i w:val="1"/>
          <w:iCs w:val="1"/>
          <w:color w:val="auto"/>
        </w:rPr>
        <w:t>New business NRR measures the non-recurring revenue for any new business signing, including (i) signing value of any contract with term less than 12 months and (ii) signing value of project-based revenue, not expected to continue long term.</w:t>
      </w:r>
    </w:p>
    <w:p>
      <w:pPr>
        <w:ind w:left="240" w:hanging="237"/>
        <w:spacing w:after="0"/>
        <w:tabs>
          <w:tab w:leader="none" w:pos="240" w:val="left"/>
        </w:tabs>
        <w:numPr>
          <w:ilvl w:val="0"/>
          <w:numId w:val="35"/>
        </w:numPr>
        <w:rPr>
          <w:rFonts w:ascii="Arial" w:cs="Arial" w:eastAsia="Arial" w:hAnsi="Arial"/>
          <w:sz w:val="11"/>
          <w:szCs w:val="11"/>
          <w:i w:val="1"/>
          <w:iCs w:val="1"/>
          <w:color w:val="auto"/>
        </w:rPr>
      </w:pPr>
      <w:r>
        <w:rPr>
          <w:rFonts w:ascii="Arial" w:cs="Arial" w:eastAsia="Arial" w:hAnsi="Arial"/>
          <w:sz w:val="11"/>
          <w:szCs w:val="11"/>
          <w:i w:val="1"/>
          <w:iCs w:val="1"/>
          <w:color w:val="auto"/>
        </w:rPr>
        <w:t>Adjusted to remove Midas new business signings.</w:t>
      </w:r>
    </w:p>
    <w:p>
      <w:pPr>
        <w:spacing w:after="0" w:line="105" w:lineRule="exact"/>
        <w:rPr>
          <w:sz w:val="20"/>
          <w:szCs w:val="20"/>
          <w:color w:val="auto"/>
        </w:rPr>
      </w:pPr>
    </w:p>
    <w:p>
      <w:pPr>
        <w:ind w:right="500"/>
        <w:spacing w:after="0" w:line="322" w:lineRule="auto"/>
        <w:rPr>
          <w:sz w:val="20"/>
          <w:szCs w:val="20"/>
          <w:color w:val="auto"/>
        </w:rPr>
      </w:pPr>
      <w:r>
        <w:rPr>
          <w:rFonts w:ascii="Arial" w:cs="Arial" w:eastAsia="Arial" w:hAnsi="Arial"/>
          <w:sz w:val="13"/>
          <w:szCs w:val="13"/>
          <w:color w:val="auto"/>
        </w:rPr>
        <w:t>The total new business pipeline at the end of December 31, 2023 and 2022 was $24.8 billion and $ 22.6 billion, respectively. Total new business pipeline is defined as total new business TCV pipeline of deals in all sell stages. This extends past the next twelve-month period to include total pipeline, excluding the impact of divested business as required.</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ARR Activity</w:t>
      </w:r>
    </w:p>
    <w:p>
      <w:pPr>
        <w:spacing w:after="0" w:line="129"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color w:val="auto"/>
        </w:rPr>
        <w:t>The Net ARR Activity metric is defined as Projected Annual Recurring Revenue for contracts signed in the prior 12 months, less the annualized impact of any client losses, contractual volume and price changes, and other known impacts for which the Company was notified in that same time period, which could positively or negatively impact results. The metric annualizes the net impact to revenue. Timing of revenue impact varies and may not be realized within the forward 12-month timeframe. The metric is for indicative purposes only. This metric excludes COVID-related volume impacts and non-recurring revenue signings. This metric is not indicative of any specific 12-month timeframe.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The Net ARR Activity metric for the trailing twelve months for each of the prior five quarters was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20" w:type="dxa"/>
            <w:vAlign w:val="bottom"/>
          </w:tcPr>
          <w:p>
            <w:pPr>
              <w:spacing w:after="0"/>
              <w:rPr>
                <w:sz w:val="11"/>
                <w:szCs w:val="11"/>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1"/>
                <w:szCs w:val="11"/>
                <w:color w:val="auto"/>
                <w:w w:val="97"/>
              </w:rPr>
              <w:t>(in millions)</w:t>
            </w:r>
          </w:p>
        </w:tc>
        <w:tc>
          <w:tcPr>
            <w:tcW w:w="4400" w:type="dxa"/>
            <w:vAlign w:val="bottom"/>
          </w:tcPr>
          <w:p>
            <w:pPr>
              <w:spacing w:after="0"/>
              <w:rPr>
                <w:sz w:val="11"/>
                <w:szCs w:val="11"/>
                <w:color w:val="auto"/>
              </w:rPr>
            </w:pPr>
          </w:p>
        </w:tc>
        <w:tc>
          <w:tcPr>
            <w:tcW w:w="482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62"/>
        </w:trPr>
        <w:tc>
          <w:tcPr>
            <w:tcW w:w="20" w:type="dxa"/>
            <w:vAlign w:val="bottom"/>
            <w:shd w:val="clear" w:color="auto" w:fill="CCEEFF"/>
          </w:tcPr>
          <w:p>
            <w:pPr>
              <w:spacing w:after="0"/>
              <w:rPr>
                <w:sz w:val="14"/>
                <w:szCs w:val="14"/>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December 31, 2023</w:t>
            </w:r>
          </w:p>
        </w:tc>
        <w:tc>
          <w:tcPr>
            <w:tcW w:w="4820" w:type="dxa"/>
            <w:vAlign w:val="bottom"/>
            <w:shd w:val="clear" w:color="auto" w:fill="CCEEFF"/>
          </w:tcPr>
          <w:p>
            <w:pPr>
              <w:jc w:val="right"/>
              <w:ind w:right="764"/>
              <w:spacing w:after="0"/>
              <w:rPr>
                <w:sz w:val="20"/>
                <w:szCs w:val="20"/>
                <w:color w:val="auto"/>
              </w:rPr>
            </w:pPr>
            <w:r>
              <w:rPr>
                <w:rFonts w:ascii="Arial" w:cs="Arial" w:eastAsia="Arial" w:hAnsi="Arial"/>
                <w:sz w:val="11"/>
                <w:szCs w:val="1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w:t>
            </w:r>
          </w:p>
        </w:tc>
      </w:tr>
      <w:tr>
        <w:trPr>
          <w:trHeight w:val="152"/>
        </w:trPr>
        <w:tc>
          <w:tcPr>
            <w:tcW w:w="20" w:type="dxa"/>
            <w:vAlign w:val="bottom"/>
          </w:tcPr>
          <w:p>
            <w:pPr>
              <w:spacing w:after="0"/>
              <w:rPr>
                <w:sz w:val="13"/>
                <w:szCs w:val="13"/>
                <w:color w:val="auto"/>
              </w:rPr>
            </w:pPr>
          </w:p>
        </w:tc>
        <w:tc>
          <w:tcPr>
            <w:tcW w:w="4960" w:type="dxa"/>
            <w:vAlign w:val="bottom"/>
            <w:gridSpan w:val="2"/>
          </w:tcPr>
          <w:p>
            <w:pPr>
              <w:spacing w:after="0"/>
              <w:rPr>
                <w:sz w:val="20"/>
                <w:szCs w:val="20"/>
                <w:color w:val="auto"/>
              </w:rPr>
            </w:pPr>
            <w:r>
              <w:rPr>
                <w:rFonts w:ascii="Arial" w:cs="Arial" w:eastAsia="Arial" w:hAnsi="Arial"/>
                <w:sz w:val="11"/>
                <w:szCs w:val="11"/>
                <w:color w:val="auto"/>
              </w:rPr>
              <w:t>September 30, 2023</w:t>
            </w:r>
          </w:p>
        </w:tc>
        <w:tc>
          <w:tcPr>
            <w:tcW w:w="48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103</w:t>
            </w:r>
          </w:p>
        </w:tc>
      </w:tr>
      <w:tr>
        <w:trPr>
          <w:trHeight w:val="160"/>
        </w:trPr>
        <w:tc>
          <w:tcPr>
            <w:tcW w:w="20" w:type="dxa"/>
            <w:vAlign w:val="bottom"/>
            <w:shd w:val="clear" w:color="auto" w:fill="CCEEFF"/>
          </w:tcPr>
          <w:p>
            <w:pPr>
              <w:spacing w:after="0"/>
              <w:rPr>
                <w:sz w:val="13"/>
                <w:szCs w:val="13"/>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June 30, 2023</w:t>
            </w:r>
          </w:p>
        </w:tc>
        <w:tc>
          <w:tcPr>
            <w:tcW w:w="48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137</w:t>
            </w:r>
          </w:p>
        </w:tc>
      </w:tr>
      <w:tr>
        <w:trPr>
          <w:trHeight w:val="152"/>
        </w:trPr>
        <w:tc>
          <w:tcPr>
            <w:tcW w:w="20" w:type="dxa"/>
            <w:vAlign w:val="bottom"/>
          </w:tcPr>
          <w:p>
            <w:pPr>
              <w:spacing w:after="0"/>
              <w:rPr>
                <w:sz w:val="13"/>
                <w:szCs w:val="13"/>
                <w:color w:val="auto"/>
              </w:rPr>
            </w:pPr>
          </w:p>
        </w:tc>
        <w:tc>
          <w:tcPr>
            <w:tcW w:w="4960" w:type="dxa"/>
            <w:vAlign w:val="bottom"/>
            <w:gridSpan w:val="2"/>
          </w:tcPr>
          <w:p>
            <w:pPr>
              <w:spacing w:after="0"/>
              <w:rPr>
                <w:sz w:val="20"/>
                <w:szCs w:val="20"/>
                <w:color w:val="auto"/>
              </w:rPr>
            </w:pPr>
            <w:r>
              <w:rPr>
                <w:rFonts w:ascii="Arial" w:cs="Arial" w:eastAsia="Arial" w:hAnsi="Arial"/>
                <w:sz w:val="11"/>
                <w:szCs w:val="11"/>
                <w:color w:val="auto"/>
              </w:rPr>
              <w:t>March 31, 2023</w:t>
            </w:r>
          </w:p>
        </w:tc>
        <w:tc>
          <w:tcPr>
            <w:tcW w:w="48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108</w:t>
            </w:r>
          </w:p>
        </w:tc>
      </w:tr>
      <w:tr>
        <w:trPr>
          <w:trHeight w:val="160"/>
        </w:trPr>
        <w:tc>
          <w:tcPr>
            <w:tcW w:w="20" w:type="dxa"/>
            <w:vAlign w:val="bottom"/>
            <w:shd w:val="clear" w:color="auto" w:fill="CCEEFF"/>
          </w:tcPr>
          <w:p>
            <w:pPr>
              <w:spacing w:after="0"/>
              <w:rPr>
                <w:sz w:val="13"/>
                <w:szCs w:val="13"/>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December 31, 2022</w:t>
            </w:r>
          </w:p>
        </w:tc>
        <w:tc>
          <w:tcPr>
            <w:tcW w:w="482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114</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6CC"/>
        </w:rPr>
        <w:t>Capital Resources and Liquidity</w:t>
      </w:r>
    </w:p>
    <w:p>
      <w:pPr>
        <w:spacing w:after="0" w:line="131" w:lineRule="exact"/>
        <w:rPr>
          <w:sz w:val="20"/>
          <w:szCs w:val="20"/>
          <w:color w:val="auto"/>
        </w:rPr>
      </w:pPr>
    </w:p>
    <w:p>
      <w:pPr>
        <w:ind w:right="180"/>
        <w:spacing w:after="0" w:line="259" w:lineRule="auto"/>
        <w:rPr>
          <w:sz w:val="20"/>
          <w:szCs w:val="20"/>
          <w:color w:val="auto"/>
        </w:rPr>
      </w:pPr>
      <w:r>
        <w:rPr>
          <w:rFonts w:ascii="Arial" w:cs="Arial" w:eastAsia="Arial" w:hAnsi="Arial"/>
          <w:sz w:val="14"/>
          <w:szCs w:val="14"/>
          <w:color w:val="auto"/>
        </w:rPr>
        <w:t>As of December 31, 2023 and 2022, total cash and cash equivalents were $498 million (of which approximately $143 million was cash in foreign locations) and $582 million (of which approximately $111 million was cash in foreign locations), respectively. We also have a $550 million Revolving Credit Facility for our various cash needs, of which none has been utilized for borrowings and $2 million has been utilized for letters of credit as of December 31, 2023. On February 11, 2022, we repaid the then-outstanding borrowing under the Revolving Credit Facility of $100 million.</w:t>
      </w:r>
    </w:p>
    <w:p>
      <w:pPr>
        <w:spacing w:after="0" w:line="200" w:lineRule="exact"/>
        <w:rPr>
          <w:sz w:val="20"/>
          <w:szCs w:val="20"/>
          <w:color w:val="auto"/>
        </w:rPr>
      </w:pPr>
    </w:p>
    <w:p>
      <w:pPr>
        <w:spacing w:after="0" w:line="24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42" w:name="page43"/>
    <w:bookmarkEnd w:id="42"/>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right="260"/>
        <w:spacing w:after="0" w:line="265" w:lineRule="auto"/>
        <w:rPr>
          <w:sz w:val="20"/>
          <w:szCs w:val="20"/>
          <w:color w:val="auto"/>
        </w:rPr>
      </w:pPr>
      <w:r>
        <w:rPr>
          <w:rFonts w:ascii="Arial" w:cs="Arial" w:eastAsia="Arial" w:hAnsi="Arial"/>
          <w:sz w:val="14"/>
          <w:szCs w:val="14"/>
          <w:color w:val="auto"/>
        </w:rPr>
        <w:t>As of December 31, 2023, there was a total of $1,263 million of outstanding borrowings under our Term Loan A, Term Loan B and Senior Notes, of which $18 million was due within one year. Additionally, as of December 31, 2023, we had $16 million of finance lease and other debt due within one year. Refer to Note 11 – Debt to the Consolidated Financial Statements for additional information regarding our debt.</w:t>
      </w:r>
    </w:p>
    <w:p>
      <w:pPr>
        <w:spacing w:after="0" w:line="92" w:lineRule="exact"/>
        <w:rPr>
          <w:sz w:val="20"/>
          <w:szCs w:val="20"/>
          <w:color w:val="auto"/>
        </w:rPr>
      </w:pPr>
    </w:p>
    <w:p>
      <w:pPr>
        <w:ind w:right="280"/>
        <w:spacing w:after="0" w:line="265" w:lineRule="auto"/>
        <w:rPr>
          <w:sz w:val="20"/>
          <w:szCs w:val="20"/>
          <w:color w:val="auto"/>
        </w:rPr>
      </w:pPr>
      <w:r>
        <w:rPr>
          <w:rFonts w:ascii="Arial" w:cs="Arial" w:eastAsia="Arial" w:hAnsi="Arial"/>
          <w:sz w:val="14"/>
          <w:szCs w:val="14"/>
          <w:color w:val="auto"/>
        </w:rPr>
        <w:t>To provide financial flexibility and finance certain investments and projects, we may continue to utilize external financing arrangements. However, we believe that our cash on hand, projected cash flow from operations, sound balance sheet and our Revolving Credit Facility will continue to provide sufficient financial resources to meet our expected business obligations for at least the next twelve months.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Cash Flow Analysis</w:t>
      </w:r>
    </w:p>
    <w:p>
      <w:pPr>
        <w:spacing w:after="0" w:line="131" w:lineRule="exact"/>
        <w:rPr>
          <w:sz w:val="20"/>
          <w:szCs w:val="20"/>
          <w:color w:val="auto"/>
        </w:rPr>
      </w:pPr>
    </w:p>
    <w:p>
      <w:pPr>
        <w:ind w:right="160"/>
        <w:spacing w:after="0" w:line="282" w:lineRule="auto"/>
        <w:rPr>
          <w:sz w:val="20"/>
          <w:szCs w:val="20"/>
          <w:color w:val="auto"/>
        </w:rPr>
      </w:pPr>
      <w:r>
        <w:rPr>
          <w:rFonts w:ascii="Arial" w:cs="Arial" w:eastAsia="Arial" w:hAnsi="Arial"/>
          <w:sz w:val="14"/>
          <w:szCs w:val="14"/>
          <w:color w:val="auto"/>
        </w:rPr>
        <w:t>The following summarizes our cash flows for the two years ended December 31, 2023, as reported in our Consolidated Statements of Cash Flows in the accompanying Consolidated Financial Statements: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5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1"/>
                <w:szCs w:val="11"/>
                <w:color w:val="auto"/>
              </w:rPr>
              <w:t>Year Ended December 31,</w:t>
            </w:r>
          </w:p>
        </w:tc>
        <w:tc>
          <w:tcPr>
            <w:tcW w:w="9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564"/>
              <w:spacing w:after="0"/>
              <w:rPr>
                <w:sz w:val="20"/>
                <w:szCs w:val="20"/>
                <w:color w:val="auto"/>
              </w:rPr>
            </w:pPr>
            <w:r>
              <w:rPr>
                <w:rFonts w:ascii="Arial" w:cs="Arial" w:eastAsia="Arial" w:hAnsi="Arial"/>
                <w:sz w:val="11"/>
                <w:szCs w:val="11"/>
                <w:color w:val="auto"/>
              </w:rPr>
              <w:t>Change</w:t>
            </w:r>
          </w:p>
        </w:tc>
      </w:tr>
      <w:tr>
        <w:trPr>
          <w:trHeight w:val="123"/>
        </w:trPr>
        <w:tc>
          <w:tcPr>
            <w:tcW w:w="20" w:type="dxa"/>
            <w:vAlign w:val="bottom"/>
          </w:tcPr>
          <w:p>
            <w:pPr>
              <w:spacing w:after="0"/>
              <w:rPr>
                <w:sz w:val="10"/>
                <w:szCs w:val="10"/>
                <w:color w:val="auto"/>
              </w:rPr>
            </w:pPr>
          </w:p>
        </w:tc>
        <w:tc>
          <w:tcPr>
            <w:tcW w:w="6140" w:type="dxa"/>
            <w:vAlign w:val="bottom"/>
            <w:gridSpan w:val="2"/>
          </w:tcPr>
          <w:p>
            <w:pPr>
              <w:spacing w:after="0" w:line="123" w:lineRule="exact"/>
              <w:rPr>
                <w:sz w:val="20"/>
                <w:szCs w:val="20"/>
                <w:color w:val="auto"/>
              </w:rPr>
            </w:pPr>
            <w:r>
              <w:rPr>
                <w:rFonts w:ascii="Arial" w:cs="Arial" w:eastAsia="Arial" w:hAnsi="Arial"/>
                <w:sz w:val="11"/>
                <w:szCs w:val="11"/>
                <w:color w:val="auto"/>
              </w:rPr>
              <w:t>(in millions)</w:t>
            </w:r>
          </w:p>
        </w:tc>
        <w:tc>
          <w:tcPr>
            <w:tcW w:w="380" w:type="dxa"/>
            <w:vAlign w:val="bottom"/>
          </w:tcPr>
          <w:p>
            <w:pPr>
              <w:spacing w:after="0"/>
              <w:rPr>
                <w:sz w:val="10"/>
                <w:szCs w:val="10"/>
                <w:color w:val="auto"/>
              </w:rPr>
            </w:pPr>
          </w:p>
        </w:tc>
        <w:tc>
          <w:tcPr>
            <w:tcW w:w="1260" w:type="dxa"/>
            <w:vAlign w:val="bottom"/>
          </w:tcPr>
          <w:p>
            <w:pPr>
              <w:jc w:val="right"/>
              <w:ind w:right="644"/>
              <w:spacing w:after="0" w:line="123" w:lineRule="exact"/>
              <w:rPr>
                <w:sz w:val="20"/>
                <w:szCs w:val="20"/>
                <w:color w:val="auto"/>
              </w:rPr>
            </w:pPr>
            <w:r>
              <w:rPr>
                <w:rFonts w:ascii="Arial" w:cs="Arial" w:eastAsia="Arial" w:hAnsi="Arial"/>
                <w:sz w:val="11"/>
                <w:szCs w:val="11"/>
                <w:color w:val="auto"/>
              </w:rPr>
              <w:t>2023</w:t>
            </w: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80" w:type="dxa"/>
            <w:vAlign w:val="bottom"/>
          </w:tcPr>
          <w:p>
            <w:pPr>
              <w:jc w:val="right"/>
              <w:ind w:right="644"/>
              <w:spacing w:after="0" w:line="123" w:lineRule="exact"/>
              <w:rPr>
                <w:sz w:val="20"/>
                <w:szCs w:val="20"/>
                <w:color w:val="auto"/>
              </w:rPr>
            </w:pPr>
            <w:r>
              <w:rPr>
                <w:rFonts w:ascii="Arial" w:cs="Arial" w:eastAsia="Arial" w:hAnsi="Arial"/>
                <w:sz w:val="11"/>
                <w:szCs w:val="11"/>
                <w:color w:val="auto"/>
              </w:rPr>
              <w:t>2022</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60" w:type="dxa"/>
            <w:vAlign w:val="bottom"/>
          </w:tcPr>
          <w:p>
            <w:pPr>
              <w:jc w:val="right"/>
              <w:ind w:right="404"/>
              <w:spacing w:after="0" w:line="123" w:lineRule="exact"/>
              <w:rPr>
                <w:sz w:val="20"/>
                <w:szCs w:val="20"/>
                <w:color w:val="auto"/>
              </w:rPr>
            </w:pPr>
            <w:r>
              <w:rPr>
                <w:rFonts w:ascii="Arial" w:cs="Arial" w:eastAsia="Arial" w:hAnsi="Arial"/>
                <w:sz w:val="11"/>
                <w:szCs w:val="11"/>
                <w:color w:val="auto"/>
              </w:rPr>
              <w:t>2023 vs. 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55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cash provided by (used in) operating activities</w:t>
            </w: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89</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ind w:right="524"/>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144</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w w:val="97"/>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w:t>
            </w:r>
          </w:p>
        </w:tc>
      </w:tr>
      <w:tr>
        <w:trPr>
          <w:trHeight w:val="152"/>
        </w:trPr>
        <w:tc>
          <w:tcPr>
            <w:tcW w:w="20" w:type="dxa"/>
            <w:vAlign w:val="bottom"/>
          </w:tcPr>
          <w:p>
            <w:pPr>
              <w:spacing w:after="0"/>
              <w:rPr>
                <w:sz w:val="13"/>
                <w:szCs w:val="13"/>
                <w:color w:val="auto"/>
              </w:rPr>
            </w:pPr>
          </w:p>
        </w:tc>
        <w:tc>
          <w:tcPr>
            <w:tcW w:w="6140" w:type="dxa"/>
            <w:vAlign w:val="bottom"/>
            <w:gridSpan w:val="2"/>
          </w:tcPr>
          <w:p>
            <w:pPr>
              <w:spacing w:after="0"/>
              <w:rPr>
                <w:sz w:val="20"/>
                <w:szCs w:val="20"/>
                <w:color w:val="auto"/>
              </w:rPr>
            </w:pPr>
            <w:r>
              <w:rPr>
                <w:rFonts w:ascii="Arial" w:cs="Arial" w:eastAsia="Arial" w:hAnsi="Arial"/>
                <w:sz w:val="11"/>
                <w:szCs w:val="11"/>
                <w:color w:val="auto"/>
              </w:rPr>
              <w:t>Net cash provided by (used in) investing activities</w:t>
            </w: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(93)</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173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60" w:type="dxa"/>
            <w:vAlign w:val="bottom"/>
          </w:tcPr>
          <w:p>
            <w:pPr>
              <w:jc w:val="right"/>
              <w:spacing w:after="0"/>
              <w:rPr>
                <w:sz w:val="20"/>
                <w:szCs w:val="20"/>
                <w:color w:val="auto"/>
              </w:rPr>
            </w:pPr>
            <w:r>
              <w:rPr>
                <w:rFonts w:ascii="Arial" w:cs="Arial" w:eastAsia="Arial" w:hAnsi="Arial"/>
                <w:sz w:val="11"/>
                <w:szCs w:val="11"/>
                <w:color w:val="auto"/>
              </w:rPr>
              <w:t>(266)</w:t>
            </w:r>
          </w:p>
        </w:tc>
      </w:tr>
      <w:tr>
        <w:trPr>
          <w:trHeight w:val="160"/>
        </w:trPr>
        <w:tc>
          <w:tcPr>
            <w:tcW w:w="20" w:type="dxa"/>
            <w:vAlign w:val="bottom"/>
            <w:shd w:val="clear" w:color="auto" w:fill="CCEEFF"/>
          </w:tcPr>
          <w:p>
            <w:pPr>
              <w:spacing w:after="0"/>
              <w:rPr>
                <w:sz w:val="13"/>
                <w:szCs w:val="13"/>
                <w:color w:val="auto"/>
              </w:rPr>
            </w:pPr>
          </w:p>
        </w:tc>
        <w:tc>
          <w:tcPr>
            <w:tcW w:w="61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Net cash provided by (used in) financing activities</w:t>
            </w: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w:t>
            </w: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(131)</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Operating Activities</w:t>
      </w:r>
    </w:p>
    <w:p>
      <w:pPr>
        <w:spacing w:after="0" w:line="131" w:lineRule="exact"/>
        <w:rPr>
          <w:sz w:val="20"/>
          <w:szCs w:val="20"/>
          <w:color w:val="auto"/>
        </w:rPr>
      </w:pPr>
    </w:p>
    <w:p>
      <w:pPr>
        <w:jc w:val="both"/>
        <w:ind w:right="40"/>
        <w:spacing w:after="0" w:line="265" w:lineRule="auto"/>
        <w:rPr>
          <w:sz w:val="20"/>
          <w:szCs w:val="20"/>
          <w:color w:val="auto"/>
        </w:rPr>
      </w:pPr>
      <w:r>
        <w:rPr>
          <w:rFonts w:ascii="Arial" w:cs="Arial" w:eastAsia="Arial" w:hAnsi="Arial"/>
          <w:sz w:val="14"/>
          <w:szCs w:val="14"/>
          <w:color w:val="auto"/>
        </w:rPr>
        <w:t>The net decrease in cash flow provided by operating activities of $55 million was primarily related to the absence of the $38 million of insurance recoveries related to the State of Texas matter in 2022, higher net cash interest payments, the negative impact of the sales of accounts receivable as described below and higher restructuring payments, all partially offset by lower cash income taxes.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Investing Activities</w:t>
      </w:r>
    </w:p>
    <w:p>
      <w:pPr>
        <w:spacing w:after="0" w:line="131" w:lineRule="exact"/>
        <w:rPr>
          <w:sz w:val="20"/>
          <w:szCs w:val="20"/>
          <w:color w:val="auto"/>
        </w:rPr>
      </w:pPr>
    </w:p>
    <w:p>
      <w:pPr>
        <w:ind w:right="240"/>
        <w:spacing w:after="0" w:line="282" w:lineRule="auto"/>
        <w:rPr>
          <w:sz w:val="20"/>
          <w:szCs w:val="20"/>
          <w:color w:val="auto"/>
        </w:rPr>
      </w:pPr>
      <w:r>
        <w:rPr>
          <w:rFonts w:ascii="Arial" w:cs="Arial" w:eastAsia="Arial" w:hAnsi="Arial"/>
          <w:sz w:val="14"/>
          <w:szCs w:val="14"/>
          <w:color w:val="auto"/>
        </w:rPr>
        <w:t>The decrease in cash provided by investing activities of $266 million was primarily due to the proceeds from the divestiture of the Midas business in the prior year. This was partially offset by planned decreased capital spending in the current year.</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Financing Activities</w:t>
      </w:r>
    </w:p>
    <w:p>
      <w:pPr>
        <w:spacing w:after="0" w:line="131" w:lineRule="exact"/>
        <w:rPr>
          <w:sz w:val="20"/>
          <w:szCs w:val="20"/>
          <w:color w:val="auto"/>
        </w:rPr>
      </w:pPr>
    </w:p>
    <w:p>
      <w:pPr>
        <w:jc w:val="both"/>
        <w:ind w:right="140"/>
        <w:spacing w:after="0" w:line="322" w:lineRule="auto"/>
        <w:rPr>
          <w:sz w:val="20"/>
          <w:szCs w:val="20"/>
          <w:color w:val="auto"/>
        </w:rPr>
      </w:pPr>
      <w:r>
        <w:rPr>
          <w:rFonts w:ascii="Arial" w:cs="Arial" w:eastAsia="Arial" w:hAnsi="Arial"/>
          <w:sz w:val="13"/>
          <w:szCs w:val="13"/>
          <w:color w:val="auto"/>
        </w:rPr>
        <w:t>The decrease in cash used in financing activities was mainly driven by the repayment of the $100 million borrowed under the revolver in the prior year. This was partially offset by the purchase of treasury stock under our share repurchase program of $27 million, higher scheduled debt repayments and higher taxes paid for settlement of stock-based compensation.</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Sales of Accounts Receivable</w:t>
      </w:r>
    </w:p>
    <w:p>
      <w:pPr>
        <w:spacing w:after="0" w:line="131" w:lineRule="exact"/>
        <w:rPr>
          <w:sz w:val="20"/>
          <w:szCs w:val="20"/>
          <w:color w:val="auto"/>
        </w:rPr>
      </w:pPr>
    </w:p>
    <w:p>
      <w:pPr>
        <w:ind w:right="200"/>
        <w:spacing w:after="0" w:line="265" w:lineRule="auto"/>
        <w:rPr>
          <w:sz w:val="20"/>
          <w:szCs w:val="20"/>
          <w:color w:val="auto"/>
        </w:rPr>
      </w:pPr>
      <w:r>
        <w:rPr>
          <w:rFonts w:ascii="Arial" w:cs="Arial" w:eastAsia="Arial" w:hAnsi="Arial"/>
          <w:sz w:val="14"/>
          <w:szCs w:val="14"/>
          <w:color w:val="auto"/>
        </w:rPr>
        <w:t>The net impact from the sales of accounts receivable on net cash provided by (used in) operating activities for the years ended December 31, 2023, 2022 and 2021 was $(4) million, $54 million and $(10) million, respectively. The net impact from the sales of accounts receivable represents the difference between current and prior year fourth quarter accounts receivable sales adjusted for the effects of collections prior to the end of the year.</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Financial Instruments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Refer to Note 12 – Financial Instruments to the Consolidated Financial Statements for additional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Material Cash Requirements from Contractual Obligations</w:t>
      </w:r>
    </w:p>
    <w:p>
      <w:pPr>
        <w:spacing w:after="0" w:line="131" w:lineRule="exact"/>
        <w:rPr>
          <w:sz w:val="20"/>
          <w:szCs w:val="20"/>
          <w:color w:val="auto"/>
        </w:rPr>
      </w:pPr>
    </w:p>
    <w:p>
      <w:pPr>
        <w:ind w:right="460"/>
        <w:spacing w:after="0" w:line="282" w:lineRule="auto"/>
        <w:rPr>
          <w:sz w:val="20"/>
          <w:szCs w:val="20"/>
          <w:color w:val="auto"/>
        </w:rPr>
      </w:pPr>
      <w:r>
        <w:rPr>
          <w:rFonts w:ascii="Arial" w:cs="Arial" w:eastAsia="Arial" w:hAnsi="Arial"/>
          <w:sz w:val="14"/>
          <w:szCs w:val="14"/>
          <w:color w:val="auto"/>
        </w:rPr>
        <w:t>We believe our balances of cash and cash equivalents, which totaled $498 million as of December 31, 2023, along with cash generated by operations and amounts available for borrowing under our Revolving Credit Facility, will be sufficient to satisfy our cash requirements over the next 12 months and beyond.</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At December 31, 2023, our material cash requirements include the following contractual and other obligations.</w:t>
      </w: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43" w:name="page44"/>
    <w:bookmarkEnd w:id="43"/>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Debt</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2023, we had total outstanding debt, including Finance leases, with floating and fixed rates totaling $1,300 million, of which $34 million was due within 12 months.</w:t>
      </w:r>
    </w:p>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Future interest payments associated with this debt, which has maturities through 2029, are forecast to be $559 million, of which $103 million is due within 12 months. Refer to Note 11 –</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Debt to the Consolidated Financial Statements for additional information.</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Leases</w:t>
      </w:r>
    </w:p>
    <w:p>
      <w:pPr>
        <w:spacing w:after="0" w:line="129" w:lineRule="exact"/>
        <w:rPr>
          <w:sz w:val="20"/>
          <w:szCs w:val="20"/>
          <w:color w:val="auto"/>
        </w:rPr>
      </w:pPr>
    </w:p>
    <w:p>
      <w:pPr>
        <w:ind w:right="660"/>
        <w:spacing w:after="0" w:line="282" w:lineRule="auto"/>
        <w:rPr>
          <w:sz w:val="20"/>
          <w:szCs w:val="20"/>
          <w:color w:val="auto"/>
        </w:rPr>
      </w:pPr>
      <w:r>
        <w:rPr>
          <w:rFonts w:ascii="Arial" w:cs="Arial" w:eastAsia="Arial" w:hAnsi="Arial"/>
          <w:sz w:val="14"/>
          <w:szCs w:val="14"/>
          <w:color w:val="auto"/>
        </w:rPr>
        <w:t>In the ordinary course of business, we enter into operating lease arrangements for certain equipment and facilities. As of December 31, 2023, total fixed lease payables were $251 million, of which $69 million was due within 12 months. Refer to Note 7 – Leases to the Consolidated Financial Statements for additional information.</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Estimated Purchase Commitments</w:t>
      </w:r>
    </w:p>
    <w:p>
      <w:pPr>
        <w:spacing w:after="0" w:line="129" w:lineRule="exact"/>
        <w:rPr>
          <w:sz w:val="20"/>
          <w:szCs w:val="20"/>
          <w:color w:val="auto"/>
        </w:rPr>
      </w:pPr>
    </w:p>
    <w:p>
      <w:pPr>
        <w:ind w:right="120"/>
        <w:spacing w:after="0" w:line="282" w:lineRule="auto"/>
        <w:rPr>
          <w:sz w:val="20"/>
          <w:szCs w:val="20"/>
          <w:color w:val="auto"/>
        </w:rPr>
      </w:pPr>
      <w:r>
        <w:rPr>
          <w:rFonts w:ascii="Arial" w:cs="Arial" w:eastAsia="Arial" w:hAnsi="Arial"/>
          <w:sz w:val="14"/>
          <w:szCs w:val="14"/>
          <w:color w:val="auto"/>
        </w:rPr>
        <w:t>We have committed to purchasing certain materials and services to support our operations. The total of these commitments was $312 million as of December 31, 2023, of which $104 million is due within the next 12 months.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Other Contingencies and Commitments</w:t>
      </w:r>
    </w:p>
    <w:p>
      <w:pPr>
        <w:spacing w:after="0" w:line="131" w:lineRule="exact"/>
        <w:rPr>
          <w:sz w:val="20"/>
          <w:szCs w:val="20"/>
          <w:color w:val="auto"/>
        </w:rPr>
      </w:pPr>
    </w:p>
    <w:p>
      <w:pPr>
        <w:ind w:right="180"/>
        <w:spacing w:after="0" w:line="259" w:lineRule="auto"/>
        <w:rPr>
          <w:sz w:val="20"/>
          <w:szCs w:val="20"/>
          <w:color w:val="auto"/>
        </w:rPr>
      </w:pPr>
      <w:r>
        <w:rPr>
          <w:rFonts w:ascii="Arial" w:cs="Arial" w:eastAsia="Arial" w:hAnsi="Arial"/>
          <w:sz w:val="14"/>
          <w:szCs w:val="14"/>
          <w:color w:val="auto"/>
        </w:rPr>
        <w:t>As more fully discussed in Note 16 – Contingencies and Litigation to the Consolidated Financial Statements, we are involved in a variety of claims, lawsuits, investigations and proceedings concerning: securities law; governmental entity contracting, servicing and procurement law; intellectual property law; employment law; the Employee Retirement Income Security Act ("ERISA"); and other laws and regulations. In addition, guarantees, indemnifications and claims may arise during the ordinary course of business from relationships with suppliers and customers. Nonperformance under a contract including a guarantee, indemnification or claim could trigger an obligation of the Company.</w:t>
      </w:r>
    </w:p>
    <w:p>
      <w:pPr>
        <w:spacing w:after="0" w:line="97" w:lineRule="exact"/>
        <w:rPr>
          <w:sz w:val="20"/>
          <w:szCs w:val="20"/>
          <w:color w:val="auto"/>
        </w:rPr>
      </w:pPr>
    </w:p>
    <w:p>
      <w:pPr>
        <w:ind w:right="120"/>
        <w:spacing w:after="0" w:line="256" w:lineRule="auto"/>
        <w:rPr>
          <w:sz w:val="20"/>
          <w:szCs w:val="20"/>
          <w:color w:val="auto"/>
        </w:rPr>
      </w:pPr>
      <w:r>
        <w:rPr>
          <w:rFonts w:ascii="Arial" w:cs="Arial" w:eastAsia="Arial" w:hAnsi="Arial"/>
          <w:sz w:val="14"/>
          <w:szCs w:val="14"/>
          <w:color w:val="auto"/>
        </w:rPr>
        <w:t>We determine whether an estimated loss from a contingency should be accrued by assessing whether a loss is deemed probable and can be reasonably estimated. Should developments in any of these areas cause a change in our determination as to an unfavorable outcome and result in the need to recognize a material accrual, or should any of these matters result in a final adverse judgment or be settled for significant amounts, they could have a material adverse effect on our results of operations, cash flows and financial position in the period or periods in which such change in determination, judgment or settlement occurs. Refer to Note 16 – Contingencies and Litigation to the Consolidated Financial Statements for additional information.</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Off-Balance Sheet Arrangements</w:t>
      </w:r>
    </w:p>
    <w:p>
      <w:pPr>
        <w:spacing w:after="0" w:line="131" w:lineRule="exact"/>
        <w:rPr>
          <w:sz w:val="20"/>
          <w:szCs w:val="20"/>
          <w:color w:val="auto"/>
        </w:rPr>
      </w:pPr>
    </w:p>
    <w:p>
      <w:pPr>
        <w:ind w:right="300"/>
        <w:spacing w:after="0" w:line="282" w:lineRule="auto"/>
        <w:rPr>
          <w:sz w:val="20"/>
          <w:szCs w:val="20"/>
          <w:color w:val="auto"/>
        </w:rPr>
      </w:pPr>
      <w:r>
        <w:rPr>
          <w:rFonts w:ascii="Arial" w:cs="Arial" w:eastAsia="Arial" w:hAnsi="Arial"/>
          <w:sz w:val="14"/>
          <w:szCs w:val="14"/>
          <w:color w:val="auto"/>
        </w:rPr>
        <w:t>As of December 31, 2023, we do not believe we have any off-balance sheet arrangements that have, or are reasonably likely to have, a material current or future effect on financial condition, changes in financial condition, revenues or expenses, results of operations, liquidity, capital expenditures or capital resources.</w:t>
      </w:r>
    </w:p>
    <w:p>
      <w:pPr>
        <w:spacing w:after="0" w:line="80" w:lineRule="exact"/>
        <w:rPr>
          <w:sz w:val="20"/>
          <w:szCs w:val="20"/>
          <w:color w:val="auto"/>
        </w:rPr>
      </w:pPr>
    </w:p>
    <w:p>
      <w:pPr>
        <w:ind w:right="360"/>
        <w:spacing w:after="0" w:line="282" w:lineRule="auto"/>
        <w:rPr>
          <w:sz w:val="20"/>
          <w:szCs w:val="20"/>
          <w:color w:val="auto"/>
        </w:rPr>
      </w:pPr>
      <w:r>
        <w:rPr>
          <w:rFonts w:ascii="Arial" w:cs="Arial" w:eastAsia="Arial" w:hAnsi="Arial"/>
          <w:sz w:val="14"/>
          <w:szCs w:val="14"/>
          <w:color w:val="auto"/>
        </w:rPr>
        <w:t>In addition, refer to the preceding discussion of the Company's contractual cash obligations and other commercial commitments and Note 16 – Contingencies and Litigation to the Consolidated Financial Statements for additional information regarding contingencies, guarantees and indemnifications.</w:t>
      </w:r>
    </w:p>
    <w:p>
      <w:pPr>
        <w:spacing w:after="0" w:line="200" w:lineRule="exact"/>
        <w:rPr>
          <w:sz w:val="20"/>
          <w:szCs w:val="20"/>
          <w:color w:val="auto"/>
        </w:rPr>
      </w:pPr>
    </w:p>
    <w:p>
      <w:pPr>
        <w:spacing w:after="0" w:line="22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44" w:name="page45"/>
    <w:bookmarkEnd w:id="44"/>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6CC"/>
        </w:rPr>
        <w:t>Critical Accounting Estimates and Policies</w:t>
      </w:r>
    </w:p>
    <w:p>
      <w:pPr>
        <w:spacing w:after="0" w:line="131" w:lineRule="exact"/>
        <w:rPr>
          <w:sz w:val="20"/>
          <w:szCs w:val="20"/>
          <w:color w:val="auto"/>
        </w:rPr>
      </w:pPr>
    </w:p>
    <w:p>
      <w:pPr>
        <w:ind w:right="20"/>
        <w:spacing w:after="0" w:line="252" w:lineRule="auto"/>
        <w:rPr>
          <w:sz w:val="20"/>
          <w:szCs w:val="20"/>
          <w:color w:val="auto"/>
        </w:rPr>
      </w:pPr>
      <w:r>
        <w:rPr>
          <w:rFonts w:ascii="Arial" w:cs="Arial" w:eastAsia="Arial" w:hAnsi="Arial"/>
          <w:sz w:val="14"/>
          <w:szCs w:val="14"/>
          <w:color w:val="auto"/>
        </w:rPr>
        <w:t>The preparation of financial statements in conformity with accounting principles generally accepted in the United States of America ("U.S. GAAP") requires us to make estimates and assumptions in certain circumstances that affect amounts reported in the accompanying Consolidated Financial Statements and notes thereto. In preparing our Consolidated Financial Statements, we have made our best estimates and judgments of certain amounts included in the Consolidated Financial Statements giving due consideration to materiality. However, application of these accounting policies involves the exercise of judgment and use of assumptions as to future uncertainties and, as a result, actual results could differ from these estimates. Senior management has discussed the development and selection of the critical accounting policies, estimates and related disclosures included herein with the Audit Committee of the Board of Directors. We consider these as critical to understanding our Consolidated Financial Statements, as their application places the most significant demands on management's judgment, since financial reporting results rely on estimates of the effects of matters that are inherently uncertain. In instances where different estimates could have reasonably been used, we disclose the impact of these different estimates on our operations. In certain instances, the accounting rules are prescriptive; therefore, it would not have been possible to reasonably use different estimates. Changes in assumptions and estimates are reflected in the period in which they occur. The impact of such changes could be material to our results of operations and financial condition in any quarterly or annual period.</w:t>
      </w:r>
    </w:p>
    <w:p>
      <w:pPr>
        <w:spacing w:after="0" w:line="101"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Specific risks associated with these critical accounting policies are discussed in MD&amp;A, where such policies affect our reported and expected financial results. For a detailed discussion of the application of these and other accounting policies, refer to Note 1 – Basis of Presentation and Summary of Significant Accounting Policies to the Consolidated Financial Statements.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Assets/Liabilities Held for Sale</w:t>
      </w:r>
    </w:p>
    <w:p>
      <w:pPr>
        <w:spacing w:after="0" w:line="131" w:lineRule="exact"/>
        <w:rPr>
          <w:sz w:val="20"/>
          <w:szCs w:val="20"/>
          <w:color w:val="auto"/>
        </w:rPr>
      </w:pPr>
    </w:p>
    <w:p>
      <w:pPr>
        <w:ind w:right="20"/>
        <w:spacing w:after="0" w:line="254" w:lineRule="auto"/>
        <w:rPr>
          <w:sz w:val="20"/>
          <w:szCs w:val="20"/>
          <w:color w:val="auto"/>
        </w:rPr>
      </w:pPr>
      <w:r>
        <w:rPr>
          <w:rFonts w:ascii="Arial" w:cs="Arial" w:eastAsia="Arial" w:hAnsi="Arial"/>
          <w:sz w:val="14"/>
          <w:szCs w:val="14"/>
          <w:color w:val="auto"/>
        </w:rPr>
        <w:t>We classify assets as held for sale in the period when the following conditions are met: (i) management, having the authority to approve the action, commits to a plan to sell the asset (disposal group); (ii) the asset (disposal group) is available for immediate sale in its present condition subject only to terms that are usual and customary for sales of such assets (disposal group); (iii) an active program to locate a buyer and other actions required to complete the plan to sell the asset (disposal group) have been initiated; (iv) the sale of the asset (disposal group) is probable, and transfer of the asset (disposal group) is expected to qualify for recognition as a completed sale within one year, except if events or circumstances beyond our control extend the period of time required to sell the asset (disposal group) beyond one year; (v) the asset (disposal group) is being actively marketed for sale at a price that is reasonable in relation to its current fair value; and (vi) actions required to complete the plan indicate that it is unlikely that significant changes to the plan will be made or that the plan will be withdrawn.</w:t>
      </w:r>
    </w:p>
    <w:p>
      <w:pPr>
        <w:spacing w:after="0" w:line="99"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A long-lived asset (disposal group) that is classified as held for sale is initially measured at the lower of its carrying value or fair value less any costs to sell. Any loss resulting from this measurement is recognized in the period in which the held for sale criteria are met. Conversely, gains are not recognized on the sale of a long-lived asset (disposal group) until the date of sale.</w:t>
      </w:r>
    </w:p>
    <w:p>
      <w:pPr>
        <w:spacing w:after="0" w:line="92" w:lineRule="exact"/>
        <w:rPr>
          <w:sz w:val="20"/>
          <w:szCs w:val="20"/>
          <w:color w:val="auto"/>
        </w:rPr>
      </w:pPr>
    </w:p>
    <w:p>
      <w:pPr>
        <w:ind w:right="320"/>
        <w:spacing w:after="0" w:line="259" w:lineRule="auto"/>
        <w:rPr>
          <w:sz w:val="20"/>
          <w:szCs w:val="20"/>
          <w:color w:val="auto"/>
        </w:rPr>
      </w:pPr>
      <w:r>
        <w:rPr>
          <w:rFonts w:ascii="Arial" w:cs="Arial" w:eastAsia="Arial" w:hAnsi="Arial"/>
          <w:sz w:val="14"/>
          <w:szCs w:val="14"/>
          <w:color w:val="auto"/>
        </w:rPr>
        <w:t>The fair value of a long-lived asset (disposal group) less any costs to sell is assessed each reporting period it remains classified as held for sale and any subsequent changes are reported as an adjustment to the carrying value of the asset (disposal group), as long as the new carrying value does not exceed the carrying value of the asset at the time it was initially classified as held for sale. Upon determining that a long-lived asset (disposal group) meets the criteria to be classified as held for sale, the Company reports the assets and liabilities of the disposal group in the line items Assets held for sale and Liabilities held for sale, respectively, in the Consolidated Balance Sheets.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Refer to Note 4 – Assets/Liabilities Held for Sale and Divestitures to the Consolidated Financial Statements for additional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Revenue Recognition</w:t>
      </w:r>
    </w:p>
    <w:p>
      <w:pPr>
        <w:spacing w:after="0" w:line="131"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Application of the accounting principles in U.S. GAAP related to the measurement and recognition of revenue requires us to make judgments and estimates. Complex arrangements with nonstandard terms and conditions may require significant contract interpretation to determine the appropriate accounting. Refer to Note 1 – Basis of Presentation and Summary of Significant Accounting Policies and Note 2 – Revenue to the Consolidated Financial Statements for additional information regarding our revenue recognition policies.</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45" w:name="page46"/>
    <w:bookmarkEnd w:id="45"/>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Goodwill</w:t>
      </w:r>
    </w:p>
    <w:p>
      <w:pPr>
        <w:spacing w:after="0" w:line="131" w:lineRule="exact"/>
        <w:rPr>
          <w:sz w:val="20"/>
          <w:szCs w:val="20"/>
          <w:color w:val="auto"/>
        </w:rPr>
      </w:pPr>
    </w:p>
    <w:p>
      <w:pPr>
        <w:ind w:right="80"/>
        <w:spacing w:after="0" w:line="256" w:lineRule="auto"/>
        <w:rPr>
          <w:sz w:val="20"/>
          <w:szCs w:val="20"/>
          <w:color w:val="auto"/>
        </w:rPr>
      </w:pPr>
      <w:r>
        <w:rPr>
          <w:rFonts w:ascii="Arial" w:cs="Arial" w:eastAsia="Arial" w:hAnsi="Arial"/>
          <w:sz w:val="14"/>
          <w:szCs w:val="14"/>
          <w:color w:val="auto"/>
        </w:rPr>
        <w:t>Goodwill is not amortized but rather tested for impairment annually, or more frequently if an event or circumstance indicates that impairment may have been incurred. Events or circumstances that might indicate an interim evaluation is warranted include, among other things, unexpected adverse business conditions, macro and reporting unit specific economic factors, supply costs, unanticipated adverse events or conditions impacting revenues, cash flows or profitability, unanticipated competitive activities and acts by governments and courts. Refer to Note 1 – Basis of Presentation and Summary of Significant Accounting Policies and Note 8 – Goodwill and Intangible Assets, Net to the Consolidated Financial Statements for additional information regarding our goodwill policies.</w:t>
      </w:r>
    </w:p>
    <w:p>
      <w:pPr>
        <w:spacing w:after="0" w:line="100" w:lineRule="exact"/>
        <w:rPr>
          <w:sz w:val="20"/>
          <w:szCs w:val="20"/>
          <w:color w:val="auto"/>
        </w:rPr>
      </w:pPr>
    </w:p>
    <w:p>
      <w:pPr>
        <w:jc w:val="both"/>
        <w:ind w:right="280"/>
        <w:spacing w:after="0" w:line="265" w:lineRule="auto"/>
        <w:rPr>
          <w:sz w:val="20"/>
          <w:szCs w:val="20"/>
          <w:color w:val="auto"/>
        </w:rPr>
      </w:pPr>
      <w:r>
        <w:rPr>
          <w:rFonts w:ascii="Arial" w:cs="Arial" w:eastAsia="Arial" w:hAnsi="Arial"/>
          <w:sz w:val="14"/>
          <w:szCs w:val="14"/>
          <w:color w:val="auto"/>
        </w:rPr>
        <w:t>Application of the interim and annual goodwill impairment test requires judgment, including the identification of reporting units, assignment of assets and liabilities to reporting units, assignment of goodwill to reporting units and the assessment of the fair value of each reporting unit. We currently have three reporting units which correlate to our three reportable segments: Commercial, Government and Transportation.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Interim Goodwill Impairment Evaluation</w:t>
      </w:r>
    </w:p>
    <w:p>
      <w:pPr>
        <w:spacing w:after="0" w:line="129" w:lineRule="exact"/>
        <w:rPr>
          <w:sz w:val="20"/>
          <w:szCs w:val="20"/>
          <w:color w:val="auto"/>
        </w:rPr>
      </w:pPr>
    </w:p>
    <w:p>
      <w:pPr>
        <w:jc w:val="both"/>
        <w:ind w:right="180"/>
        <w:spacing w:after="0" w:line="265" w:lineRule="auto"/>
        <w:rPr>
          <w:sz w:val="20"/>
          <w:szCs w:val="20"/>
          <w:color w:val="auto"/>
        </w:rPr>
      </w:pPr>
      <w:r>
        <w:rPr>
          <w:rFonts w:ascii="Arial" w:cs="Arial" w:eastAsia="Arial" w:hAnsi="Arial"/>
          <w:sz w:val="14"/>
          <w:szCs w:val="14"/>
          <w:color w:val="auto"/>
        </w:rPr>
        <w:t>In September 2023, we entered into the Purchase Agreement to transfer our BenefitWallet health savings account and medical savings account portfolio (collectively, the "Portfolio"), which is reported within our Commercial segment. Since the Purchase Agreement does not represent a disposition of a business, no goodwill was allocated to the Portfolio related to this transaction.</w:t>
      </w:r>
    </w:p>
    <w:p>
      <w:pPr>
        <w:spacing w:after="0" w:line="92" w:lineRule="exact"/>
        <w:rPr>
          <w:sz w:val="20"/>
          <w:szCs w:val="20"/>
          <w:color w:val="auto"/>
        </w:rPr>
      </w:pPr>
    </w:p>
    <w:p>
      <w:pPr>
        <w:ind w:right="400"/>
        <w:spacing w:after="0" w:line="256" w:lineRule="auto"/>
        <w:rPr>
          <w:sz w:val="20"/>
          <w:szCs w:val="20"/>
          <w:color w:val="auto"/>
        </w:rPr>
      </w:pPr>
      <w:r>
        <w:rPr>
          <w:rFonts w:ascii="Arial" w:cs="Arial" w:eastAsia="Arial" w:hAnsi="Arial"/>
          <w:sz w:val="14"/>
          <w:szCs w:val="14"/>
          <w:color w:val="auto"/>
        </w:rPr>
        <w:t>Consequently, the Purchase Agreement was identified as a triggering event for the Commercial reporting unit that required us to evaluate goodwill for impairment. This evaluation resulted in a full impairment of the Commercial reporting unit's goodwill, totaling $287 million. The impairment charge was primarily driven by the Purchase Agreement and was recognized during the quarter ended September 30, 2023. The fair values of the goodwill impairment charge were estimated based on a determination of the implied fair value of goodwill, leveraging the results from the Income Approach and Market Approach. The most significant assumptions used in the goodwill analysis relate to revenue growth rates, discount rate and long-term organic growth rate.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Annual Goodwill Impairment Evaluation</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Our annual quantitative impairment test of goodwill was performed as of October 1, 2023.</w:t>
      </w:r>
    </w:p>
    <w:p>
      <w:pPr>
        <w:spacing w:after="0" w:line="131" w:lineRule="exact"/>
        <w:rPr>
          <w:sz w:val="20"/>
          <w:szCs w:val="20"/>
          <w:color w:val="auto"/>
        </w:rPr>
      </w:pPr>
    </w:p>
    <w:p>
      <w:pPr>
        <w:ind w:right="60"/>
        <w:spacing w:after="0" w:line="255" w:lineRule="auto"/>
        <w:rPr>
          <w:sz w:val="20"/>
          <w:szCs w:val="20"/>
          <w:color w:val="auto"/>
        </w:rPr>
      </w:pPr>
      <w:r>
        <w:rPr>
          <w:rFonts w:ascii="Arial" w:cs="Arial" w:eastAsia="Arial" w:hAnsi="Arial"/>
          <w:sz w:val="14"/>
          <w:szCs w:val="14"/>
          <w:color w:val="auto"/>
        </w:rPr>
        <w:t>Goodwill is tested for impairment using a qualitative assessment and/or a quantitative assessment. In our quantitative assessment, we estimate the fair value of each reporting unit by weighting the results from the Income Approach (discounted cash flow methodology) and Market Approach. The Income Approach utilizes a discounted cash flow analysis based upon the forecasted future business results of its reporting units. The Market Approach utilizes the guideline public company method. These valuation approaches require significant judgment and consider several factors that include, but are not limited to, expected future cash flows, growth rates and discount rates and comparable multiples from publicly traded companies in our industry. In addition, we are required to make certain assumptions and estimates regarding the current economic environment, industry factors and the future profitability of our businesses.</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When performing our discounted cash flow analysis for each reporting unit, we incorporate the use of projected financial information and discount rates that are developed using market participant-based assumptions. The cash-flow projections are based on three-year financial forecasts developed by management that include revenue and expense projections, restructuring activities, capital spending trends and investment in working capital to support anticipated revenue growth or other changes in the business. The selected discount rates consider the risk and nature of the respective reporting units' cash flows, appropriate capital structure and rates of return that market participants would require to invest their capital in our reporting units.</w:t>
      </w:r>
    </w:p>
    <w:p>
      <w:pPr>
        <w:spacing w:after="0" w:line="100" w:lineRule="exact"/>
        <w:rPr>
          <w:sz w:val="20"/>
          <w:szCs w:val="20"/>
          <w:color w:val="auto"/>
        </w:rPr>
      </w:pPr>
    </w:p>
    <w:p>
      <w:pPr>
        <w:ind w:right="20"/>
        <w:spacing w:after="0" w:line="282" w:lineRule="auto"/>
        <w:rPr>
          <w:sz w:val="20"/>
          <w:szCs w:val="20"/>
          <w:color w:val="auto"/>
        </w:rPr>
      </w:pPr>
      <w:r>
        <w:rPr>
          <w:rFonts w:ascii="Arial" w:cs="Arial" w:eastAsia="Arial" w:hAnsi="Arial"/>
          <w:sz w:val="14"/>
          <w:szCs w:val="14"/>
          <w:color w:val="auto"/>
        </w:rPr>
        <w:t>We believe these assumptions are appropriate and reflect our forecasted long-term business model and consider our historical results as well as the current economic environment and markets that we serve. The most significant assumptions used in the goodwill analysis relate to discount rates and long-term organic growth rates.</w:t>
      </w:r>
    </w:p>
    <w:p>
      <w:pPr>
        <w:spacing w:after="0" w:line="200" w:lineRule="exact"/>
        <w:rPr>
          <w:sz w:val="20"/>
          <w:szCs w:val="20"/>
          <w:color w:val="auto"/>
        </w:rPr>
      </w:pPr>
    </w:p>
    <w:p>
      <w:pPr>
        <w:spacing w:after="0" w:line="22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46" w:name="page47"/>
    <w:bookmarkEnd w:id="46"/>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Based on our quantitative assessments, we concluded that the fair value of our Government and Transportation reporting units exceeded their respective carrying values and, accordingly, we did not record any goodwill impairment charge as a result of our annual quantitative impairment test of goodwill as of October 1, 2023. If we used different assumptions for discount rates or long-term organic growth rates in these annual assessments, our calculated fair values of our reporting units could be higher or lower which could result in a goodwill impairment.</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Income Taxes</w:t>
      </w:r>
    </w:p>
    <w:p>
      <w:pPr>
        <w:spacing w:after="0" w:line="131" w:lineRule="exact"/>
        <w:rPr>
          <w:sz w:val="20"/>
          <w:szCs w:val="20"/>
          <w:color w:val="auto"/>
        </w:rPr>
      </w:pPr>
    </w:p>
    <w:p>
      <w:pPr>
        <w:ind w:right="200"/>
        <w:spacing w:after="0" w:line="256" w:lineRule="auto"/>
        <w:rPr>
          <w:sz w:val="20"/>
          <w:szCs w:val="20"/>
          <w:color w:val="auto"/>
        </w:rPr>
      </w:pPr>
      <w:r>
        <w:rPr>
          <w:rFonts w:ascii="Arial" w:cs="Arial" w:eastAsia="Arial" w:hAnsi="Arial"/>
          <w:sz w:val="14"/>
          <w:szCs w:val="14"/>
          <w:color w:val="auto"/>
        </w:rPr>
        <w:t>We are subject to income taxes in the United States and numerous foreign jurisdictions. The determination of our provision for income taxes requires significant judgment, the use of estimates and the interpretation and application of complex tax laws. Our provision is based on nonrecurring events as well as recurring factors, including the taxation of foreign income. In addition, our provision will change based on discrete or other nonrecurring events such as audit settlements, tax law changes, changes in valuation allowances and other factors, that may not be predictable. In the event there is a significant unusual or one-time item recognized in our operating results, the taxes attributable to that item would be separately calculated and recorded at the same time as the unusual or one-time item.</w:t>
      </w:r>
    </w:p>
    <w:p>
      <w:pPr>
        <w:spacing w:after="0" w:line="100"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We record the estimated future tax effects of temporary differences between the tax bases of assets and liabilities and amounts reported in our Consolidated Balance Sheets, as well as operating loss and tax credit carryforwards. We follow very specific and detailed guidelines in each tax jurisdiction regarding the recoverability of any tax assets recorded in our Consolidated Balance Sheets and provide valuation allowances as required. We regularly review our deferred tax assets for recoverability considering historical profitability, projected future taxable income, the expected timing of the reversals of existing temporary differences and tax planning strategies. Gross deferred tax assets of $253 million and $239 million had valuation allowances of $100 million and $102 million at December 31, 2023 and 2022, respectively.</w:t>
      </w:r>
    </w:p>
    <w:p>
      <w:pPr>
        <w:spacing w:after="0" w:line="100"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We are subject to ongoing tax examinations and assessments in various jurisdictions. Accordingly, we may incur additional tax expense based upon our assessment of the more-likely-than-not outcomes of such matters. In addition, when applicable, we adjust previously recorded tax expense to reflect examination results. Our ongoing assessments of the more-likely-than-not outcomes of examinations and related tax positions require judgment and can materially increase or decrease our effective tax rate, as well as impact our operating results. Unrecognized tax benefits were $10 million, $12 million and $23 million at December 31, 2023, 2022 and 2021,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Refer to Note 15 – Income Taxes to the Consolidated Financial Statements for additional information regarding deferred income taxes and unrecognized tax benefits.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Loss Contingencies</w:t>
      </w:r>
    </w:p>
    <w:p>
      <w:pPr>
        <w:spacing w:after="0" w:line="131" w:lineRule="exact"/>
        <w:rPr>
          <w:sz w:val="20"/>
          <w:szCs w:val="20"/>
          <w:color w:val="auto"/>
        </w:rPr>
      </w:pPr>
    </w:p>
    <w:p>
      <w:pPr>
        <w:spacing w:after="0" w:line="252" w:lineRule="auto"/>
        <w:rPr>
          <w:sz w:val="20"/>
          <w:szCs w:val="20"/>
          <w:color w:val="auto"/>
        </w:rPr>
      </w:pPr>
      <w:r>
        <w:rPr>
          <w:rFonts w:ascii="Arial" w:cs="Arial" w:eastAsia="Arial" w:hAnsi="Arial"/>
          <w:sz w:val="14"/>
          <w:szCs w:val="14"/>
          <w:color w:val="auto"/>
        </w:rPr>
        <w:t>We are currently involved in various claims and legal proceedings. At least quarterly, we review the status of each significant matter and assess its potential financial exposure considering all available information including, but not limited to, the impact of negotiations, settlements, rulings, advice of legal counsel and other updated information and events pertaining to a particular matter. If the potential loss from any claim or legal proceeding is considered probable and the amount can be reasonably estimated, we accrue a liability for the estimated loss. The estimated losses are recorded within Litigation settlements (recoveries), net in the Company's income statement.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we reassess the potential liability related to pending claims and litigation and may revise estimates. These revisions in the estimates of the potential liabilities could have a material impact on the results of operations and financial position. Our policy is to expense legal defense costs related to such matters as incurred. These costs are recorded within Selling, general and administrative expenses in the Company's income statement. Any insurance recoveries for litigation settlements and defense costs are recorded when such recoveries are deemed probable and collectability is reasonably assured. Such recoveries are recorded in the same financial statement line as the related costs to which the recoveries relate.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Refer to Note 16 – Contingencies and Litigation to the Consolidated Financial Statements for additional information regarding loss contingencies.</w:t>
      </w:r>
    </w:p>
    <w:p>
      <w:pPr>
        <w:spacing w:after="0" w:line="200" w:lineRule="exact"/>
        <w:rPr>
          <w:sz w:val="20"/>
          <w:szCs w:val="20"/>
          <w:color w:val="auto"/>
        </w:rPr>
      </w:pPr>
    </w:p>
    <w:p>
      <w:pPr>
        <w:spacing w:after="0" w:line="27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47" w:name="page48"/>
    <w:bookmarkEnd w:id="47"/>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6CC"/>
        </w:rPr>
        <w:t>Recent Accounting Changes</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See Note 1 – Basis of Presentation and Summary of Significant Accounting Policies for information on accounting standards adopted during the current year, as well as recently issued accounting standards not yet required to be adopted and the expected impact of the adoption of these accounting standards. To the extent we believe the adoption of new accounting standards has had or will have a material impact on our consolidated results of operations, financial condition or liquidity, we also discuss the impact in the applicable section(s) of this MD&amp;A.</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0066CC"/>
        </w:rPr>
        <w:t>Non-GAAP Financial Measures</w:t>
      </w:r>
    </w:p>
    <w:p>
      <w:pPr>
        <w:spacing w:after="0" w:line="131" w:lineRule="exact"/>
        <w:rPr>
          <w:sz w:val="20"/>
          <w:szCs w:val="20"/>
          <w:color w:val="auto"/>
        </w:rPr>
      </w:pPr>
    </w:p>
    <w:p>
      <w:pPr>
        <w:ind w:right="560"/>
        <w:spacing w:after="0" w:line="282" w:lineRule="auto"/>
        <w:rPr>
          <w:sz w:val="20"/>
          <w:szCs w:val="20"/>
          <w:color w:val="auto"/>
        </w:rPr>
      </w:pPr>
      <w:r>
        <w:rPr>
          <w:rFonts w:ascii="Arial" w:cs="Arial" w:eastAsia="Arial" w:hAnsi="Arial"/>
          <w:sz w:val="14"/>
          <w:szCs w:val="14"/>
          <w:color w:val="auto"/>
        </w:rPr>
        <w:t>We reported our financial results in accordance with accounting principles generally accepted in the U.S. (U.S. GAAP). In addition, within this Form 10-K Part II Item 7 we have discussed our financial results using non-GAAP measures.</w:t>
      </w:r>
    </w:p>
    <w:p>
      <w:pPr>
        <w:spacing w:after="0" w:line="80" w:lineRule="exact"/>
        <w:rPr>
          <w:sz w:val="20"/>
          <w:szCs w:val="20"/>
          <w:color w:val="auto"/>
        </w:rPr>
      </w:pPr>
    </w:p>
    <w:p>
      <w:pPr>
        <w:ind w:right="80"/>
        <w:spacing w:after="0" w:line="252" w:lineRule="auto"/>
        <w:rPr>
          <w:sz w:val="20"/>
          <w:szCs w:val="20"/>
          <w:color w:val="auto"/>
        </w:rPr>
      </w:pPr>
      <w:r>
        <w:rPr>
          <w:rFonts w:ascii="Arial" w:cs="Arial" w:eastAsia="Arial" w:hAnsi="Arial"/>
          <w:sz w:val="14"/>
          <w:szCs w:val="14"/>
          <w:color w:val="auto"/>
        </w:rPr>
        <w:t>We believe these non-GAAP measures allow investors to better understand the trends in our business and to better understand and compare our results. Accordingly, we believe it is necessary to adjust several reported amounts, determined in accordance with U.S. GAAP, to exclude the effects of certain items as well as their related tax effects. Management believes that these non-GAAP financial measures provide an additional means of analyzing the results of the current period against the corresponding prior period. However, these non-GAAP financial measures should be viewed in addition to, and not as a substitute for, the Company’s reported results prepared in accordance with U.S. GAAP. Our non-GAAP financial measures are not meant to be considered in isolation or as a substitute for comparable U.S. GAAP measures and should be read only in conjunction with our Consolidated Financial Statements prepared in accordance with U.S. GAAP. Our management regularly uses our non-GAAP financial measures internally to understand, manage and evaluate our business and make operating decisions, and providing such non-GAAP financial measures to investors allows for a further level of transparency as to how management reviews and evaluates our business results and trends. These non-GAAP measures are among the primary factors management uses in planning for and forecasting future periods. Compensation of our executives is based in part on the performance of our business based on certain of these non-GAAP measures.</w:t>
      </w:r>
    </w:p>
    <w:p>
      <w:pPr>
        <w:spacing w:after="0" w:line="104"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A reconciliation of the non-GAAP financial measures Adjusted EBITDA and EBITDA Margin to the most directly comparable financial measures calculated and presented in accordance with U.S. GAAP are provided in the Segment Performance Review above.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Adjusted EBITDA and EBITDA Margin</w:t>
      </w:r>
    </w:p>
    <w:p>
      <w:pPr>
        <w:spacing w:after="0" w:line="131"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We use Adjusted EBITDA and Adjusted EBITDA Margin as an additional way of assessing certain aspects of our operations that, when viewed with the U.S. GAAP results and the accompanying reconciliations to corresponding U.S. GAAP financial measures, provide a more complete understanding of our on-going business. Adjusted EBITDA Margin is Adjusted EBITDA divided by revenue. Adjusted EBITDA represents income (loss) before interest, income taxes, depreciation and amortization and contract inducement amortization adjusted for the following items:</w:t>
      </w:r>
    </w:p>
    <w:p>
      <w:pPr>
        <w:spacing w:after="0" w:line="13" w:lineRule="exact"/>
        <w:rPr>
          <w:sz w:val="20"/>
          <w:szCs w:val="20"/>
          <w:color w:val="auto"/>
        </w:rPr>
      </w:pPr>
    </w:p>
    <w:p>
      <w:pPr>
        <w:ind w:left="500" w:right="660" w:hanging="247"/>
        <w:spacing w:after="0" w:line="279" w:lineRule="auto"/>
        <w:tabs>
          <w:tab w:leader="none" w:pos="496" w:val="left"/>
        </w:tabs>
        <w:numPr>
          <w:ilvl w:val="0"/>
          <w:numId w:val="36"/>
        </w:numPr>
        <w:rPr>
          <w:rFonts w:ascii="Arial" w:cs="Arial" w:eastAsia="Arial" w:hAnsi="Arial"/>
          <w:sz w:val="14"/>
          <w:szCs w:val="14"/>
          <w:color w:val="auto"/>
        </w:rPr>
      </w:pPr>
      <w:r>
        <w:rPr>
          <w:rFonts w:ascii="Arial" w:cs="Arial" w:eastAsia="Arial" w:hAnsi="Arial"/>
          <w:sz w:val="14"/>
          <w:szCs w:val="14"/>
          <w:color w:val="auto"/>
        </w:rPr>
        <w:t>Amortization of acquired intangible assets. The amortization of acquired intangible assets is driven by acquisition activity, which can vary in size, nature and timing as compared to other companies within our industry and from period to period.</w:t>
      </w:r>
    </w:p>
    <w:p>
      <w:pPr>
        <w:ind w:left="500" w:right="880" w:hanging="247"/>
        <w:spacing w:after="0" w:line="279" w:lineRule="auto"/>
        <w:tabs>
          <w:tab w:leader="none" w:pos="496"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Restructuring and related costs. Restructuring and related costs include restructuring and asset impairment charges as well as costs associated with our strategic transformation program.</w:t>
      </w:r>
    </w:p>
    <w:p>
      <w:pPr>
        <w:ind w:left="500" w:hanging="247"/>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Goodwill impairment. This represents goodwill impairment charges related to entering the agreement to transfer the BenefitWallet portfolio.</w:t>
      </w:r>
    </w:p>
    <w:p>
      <w:pPr>
        <w:spacing w:after="0" w:line="47" w:lineRule="exact"/>
        <w:rPr>
          <w:rFonts w:ascii="Arial" w:cs="Arial" w:eastAsia="Arial" w:hAnsi="Arial"/>
          <w:sz w:val="14"/>
          <w:szCs w:val="14"/>
          <w:color w:val="auto"/>
        </w:rPr>
      </w:pPr>
    </w:p>
    <w:p>
      <w:pPr>
        <w:ind w:left="500" w:hanging="247"/>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(Gain) loss on divestitures and transaction costs. Represents (gain) loss on divested businesses and transaction costs.</w:t>
      </w:r>
    </w:p>
    <w:p>
      <w:pPr>
        <w:spacing w:after="0" w:line="47" w:lineRule="exact"/>
        <w:rPr>
          <w:rFonts w:ascii="Arial" w:cs="Arial" w:eastAsia="Arial" w:hAnsi="Arial"/>
          <w:sz w:val="14"/>
          <w:szCs w:val="14"/>
          <w:color w:val="auto"/>
        </w:rPr>
      </w:pPr>
    </w:p>
    <w:p>
      <w:pPr>
        <w:ind w:left="500" w:hanging="247"/>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Litigation settlements (recoveries), net represents settlements or recoveries for various matters subject to litigation.</w:t>
      </w:r>
    </w:p>
    <w:p>
      <w:pPr>
        <w:spacing w:after="0" w:line="47" w:lineRule="exact"/>
        <w:rPr>
          <w:rFonts w:ascii="Arial" w:cs="Arial" w:eastAsia="Arial" w:hAnsi="Arial"/>
          <w:sz w:val="14"/>
          <w:szCs w:val="14"/>
          <w:color w:val="auto"/>
        </w:rPr>
      </w:pPr>
    </w:p>
    <w:p>
      <w:pPr>
        <w:ind w:left="500" w:right="340" w:hanging="247"/>
        <w:spacing w:after="0" w:line="279" w:lineRule="auto"/>
        <w:tabs>
          <w:tab w:leader="none" w:pos="496" w:val="left"/>
        </w:tabs>
        <w:numPr>
          <w:ilvl w:val="0"/>
          <w:numId w:val="36"/>
        </w:numPr>
        <w:rPr>
          <w:rFonts w:ascii="Arial" w:cs="Arial" w:eastAsia="Arial" w:hAnsi="Arial"/>
          <w:sz w:val="14"/>
          <w:szCs w:val="14"/>
          <w:color w:val="auto"/>
        </w:rPr>
      </w:pPr>
      <w:r>
        <w:rPr>
          <w:rFonts w:ascii="Arial" w:cs="Arial" w:eastAsia="Arial" w:hAnsi="Arial"/>
          <w:sz w:val="14"/>
          <w:szCs w:val="14"/>
          <w:color w:val="auto"/>
        </w:rPr>
        <w:t>Other charges (credits). This includes Other (income) expenses, net on the Consolidated Statements of Income (loss) and other insignificant (income) expenses and other adjustments.</w:t>
      </w:r>
    </w:p>
    <w:p>
      <w:pPr>
        <w:ind w:left="500" w:right="280" w:hanging="247"/>
        <w:spacing w:after="0" w:line="282" w:lineRule="auto"/>
        <w:tabs>
          <w:tab w:leader="none" w:pos="496" w:val="left"/>
        </w:tabs>
        <w:numPr>
          <w:ilvl w:val="0"/>
          <w:numId w:val="36"/>
        </w:numPr>
        <w:rPr>
          <w:rFonts w:ascii="Arial" w:cs="Arial" w:eastAsia="Arial" w:hAnsi="Arial"/>
          <w:sz w:val="14"/>
          <w:szCs w:val="14"/>
          <w:color w:val="auto"/>
        </w:rPr>
      </w:pPr>
      <w:r>
        <w:rPr>
          <w:rFonts w:ascii="Arial" w:cs="Arial" w:eastAsia="Arial" w:hAnsi="Arial"/>
          <w:sz w:val="14"/>
          <w:szCs w:val="14"/>
          <w:color w:val="auto"/>
        </w:rPr>
        <w:t>Abandonment of Cloud Computing Project. This includes charges in connection with the abandonment of a cloud computing project. The costs include writing off previously capitalized costs and accruing remaining hosting fees that continue to be incurred without any economic benefit.</w:t>
      </w:r>
    </w:p>
    <w:p>
      <w:pPr>
        <w:spacing w:after="0" w:line="200" w:lineRule="exact"/>
        <w:rPr>
          <w:sz w:val="20"/>
          <w:szCs w:val="20"/>
          <w:color w:val="auto"/>
        </w:rPr>
      </w:pPr>
    </w:p>
    <w:p>
      <w:pPr>
        <w:spacing w:after="0" w:line="22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48" w:name="page49"/>
    <w:bookmarkEnd w:id="48"/>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right="260"/>
        <w:spacing w:after="0" w:line="265" w:lineRule="auto"/>
        <w:rPr>
          <w:sz w:val="20"/>
          <w:szCs w:val="20"/>
          <w:color w:val="auto"/>
        </w:rPr>
      </w:pPr>
      <w:r>
        <w:rPr>
          <w:rFonts w:ascii="Arial" w:cs="Arial" w:eastAsia="Arial" w:hAnsi="Arial"/>
          <w:sz w:val="14"/>
          <w:szCs w:val="14"/>
          <w:color w:val="auto"/>
        </w:rPr>
        <w:t>Adjusted EBITDA is not intended to represent cash flows from operations, operating income (loss) or net income (loss) as defined by U.S. GAAP as indicators of operating performance. Management cautions that amounts presented in accordance with Conduent's definition of Adjusted EBITDA and Adjusted EBITDA Margin may not be comparable to similar measures disclosed by other companies because not all companies calculate Adjusted EBITDA and Adjusted EBITDA Margin in the same manner.</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49" w:name="page50"/>
    <w:bookmarkEnd w:id="49"/>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0066CC"/>
        </w:rPr>
        <w:t>ITEM 7A. QUANTITATIVE AND QUALITATIVE DISCLOSURES ABOUT MARKET RISK</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Market Risk</w:t>
      </w:r>
    </w:p>
    <w:p>
      <w:pPr>
        <w:spacing w:after="0" w:line="131" w:lineRule="exact"/>
        <w:rPr>
          <w:sz w:val="20"/>
          <w:szCs w:val="20"/>
          <w:color w:val="auto"/>
        </w:rPr>
      </w:pPr>
    </w:p>
    <w:p>
      <w:pPr>
        <w:ind w:right="120"/>
        <w:spacing w:after="0" w:line="259" w:lineRule="auto"/>
        <w:rPr>
          <w:sz w:val="20"/>
          <w:szCs w:val="20"/>
          <w:color w:val="auto"/>
        </w:rPr>
      </w:pPr>
      <w:r>
        <w:rPr>
          <w:rFonts w:ascii="Arial" w:cs="Arial" w:eastAsia="Arial" w:hAnsi="Arial"/>
          <w:sz w:val="14"/>
          <w:szCs w:val="14"/>
          <w:color w:val="auto"/>
        </w:rPr>
        <w:t>We are exposed to market risk from foreign currency exchange rates, which could affect operating results, financial position and cash flows. We manage our exposure to this market risk through our regular operating and financing activities and, when appropriate, using derivative financial instruments. We utilized derivative financial instruments to hedge economic exposures, as well as reduce earnings and cash flow volatility resulting from shifts in market rates. We also hedge the cost to fund material non-dollar entities by buying currencies periodically in advance of the funding date. This is accounted for using derivative accounting.</w:t>
      </w:r>
    </w:p>
    <w:p>
      <w:pPr>
        <w:spacing w:after="0" w:line="97" w:lineRule="exact"/>
        <w:rPr>
          <w:sz w:val="20"/>
          <w:szCs w:val="20"/>
          <w:color w:val="auto"/>
        </w:rPr>
      </w:pPr>
    </w:p>
    <w:p>
      <w:pPr>
        <w:ind w:right="60"/>
        <w:spacing w:after="0" w:line="282" w:lineRule="auto"/>
        <w:rPr>
          <w:sz w:val="20"/>
          <w:szCs w:val="20"/>
          <w:color w:val="auto"/>
        </w:rPr>
      </w:pPr>
      <w:r>
        <w:rPr>
          <w:rFonts w:ascii="Arial" w:cs="Arial" w:eastAsia="Arial" w:hAnsi="Arial"/>
          <w:sz w:val="14"/>
          <w:szCs w:val="14"/>
          <w:color w:val="auto"/>
        </w:rPr>
        <w:t>Recent market events have not caused us to materially modify or change our financial risk management strategies with respect to our exposures to foreign currency risk. Refer to Note 12 – Financial Instruments to the Consolidated Financial Statements for additional discussion on our financial risk management.</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Foreign Exchange Risk Management</w:t>
      </w:r>
    </w:p>
    <w:p>
      <w:pPr>
        <w:spacing w:after="0" w:line="131"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color w:val="auto"/>
        </w:rPr>
        <w:t>Assuming a 10% appreciation or depreciation in foreign currency exchange rates from the quoted foreign currency exchange rates at December 31, 2023, the potential change in the fair value of foreign currency-denominated assets and liabilities in each entity would not be significant because all material currency asset and liability exposures were economically hedged as of December 31, 2023. A 10% appreciation or depreciation of the U.S. Dollar against all currencies from the quoted foreign currency exchange rates at December 31, 2023 would have an impact on our cumulative translation adjustment portion of equity of approximately $79 million. The net amount invested in foreign subsidiaries and affiliates, primarily in the U.K. and Europe, and translated into U.S. Dollars using the year-end exchange rates, was approximately $789 million at December 31, 2023.</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Interest Rate Risk Management</w:t>
      </w:r>
    </w:p>
    <w:p>
      <w:pPr>
        <w:spacing w:after="0" w:line="131" w:lineRule="exact"/>
        <w:rPr>
          <w:sz w:val="20"/>
          <w:szCs w:val="20"/>
          <w:color w:val="auto"/>
        </w:rPr>
      </w:pPr>
    </w:p>
    <w:p>
      <w:pPr>
        <w:ind w:right="160"/>
        <w:spacing w:after="0" w:line="256" w:lineRule="auto"/>
        <w:rPr>
          <w:sz w:val="20"/>
          <w:szCs w:val="20"/>
          <w:color w:val="auto"/>
        </w:rPr>
      </w:pPr>
      <w:r>
        <w:rPr>
          <w:rFonts w:ascii="Arial" w:cs="Arial" w:eastAsia="Arial" w:hAnsi="Arial"/>
          <w:sz w:val="14"/>
          <w:szCs w:val="14"/>
          <w:color w:val="auto"/>
        </w:rPr>
        <w:t>The consolidated weighted-average interest rates related to our total debt for 2023 approximated 8.58% for 2021 Term A Loan due 2026, 9.78% for 2021 Term B Loan due 2028, 6.20% for 2021 Senior Notes due 2029 and 9.03% for finance lease obligations. As of December 31, 2023, we did not have any borrowings outstanding under our 2021 Revolving Credit Facility maturing 2026. As of December 31, 2023, $743 million of our total debt of $1,300 million carried variable interest rates. The fair values of our fixed rate financial instruments are sensitive to changes in interest rates and at December 31, 2023, a 10% increase in market interest rates would decrease the fair values of such financial instruments by approximately $18 million. A 10% decrease in market interest rates would increase the fair values of such financial instruments by approximately $19 million.</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50" w:name="page51"/>
    <w:bookmarkEnd w:id="50"/>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8. FINANCIAL STATEMENTS AND SUPPLEMENTARY DATA</w:t>
      </w:r>
    </w:p>
    <w:p>
      <w:pPr>
        <w:spacing w:after="0" w:line="186" w:lineRule="exact"/>
        <w:rPr>
          <w:sz w:val="20"/>
          <w:szCs w:val="20"/>
          <w:color w:val="auto"/>
        </w:rPr>
      </w:pPr>
    </w:p>
    <w:p>
      <w:pPr>
        <w:ind w:left="372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Shareholders of Conduent Incorporated</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Opinions on the Financial Statements and Internal Control over Financial Reporting</w:t>
      </w:r>
    </w:p>
    <w:p>
      <w:pPr>
        <w:spacing w:after="0" w:line="129" w:lineRule="exact"/>
        <w:rPr>
          <w:sz w:val="20"/>
          <w:szCs w:val="20"/>
          <w:color w:val="auto"/>
        </w:rPr>
      </w:pPr>
    </w:p>
    <w:p>
      <w:pPr>
        <w:ind w:right="140"/>
        <w:spacing w:after="0" w:line="281" w:lineRule="auto"/>
        <w:rPr>
          <w:sz w:val="20"/>
          <w:szCs w:val="20"/>
          <w:color w:val="auto"/>
        </w:rPr>
      </w:pPr>
      <w:r>
        <w:rPr>
          <w:rFonts w:ascii="Arial" w:cs="Arial" w:eastAsia="Arial" w:hAnsi="Arial"/>
          <w:sz w:val="13"/>
          <w:szCs w:val="13"/>
          <w:color w:val="auto"/>
        </w:rPr>
        <w:t>We have audited the accompanying consolidated balance sheets of Conduent Incorporated and its subsidiaries (the “Company”) as of December 31, 2023 and 2022, and the related consolidated statements of income (loss), of comprehensive income (loss), of shareholders' equity and of cash flows for each of the three years in the period ended December 31, 2023, including the related notes and schedule of valuation and qualifying accounts for each of the three years in the period ended December 31, 2023 appearing under Item 15(a)(2) (collectively referred to as the “consolidated financial statements”). We also have audited the Company's internal control over financial reporting as of December 31, 2023, based on criteria established in Internal Control - Integrated Framework (2013) issued by the Committee of Sponsoring Organizations of the Treadway Commission (COSO).</w:t>
      </w:r>
    </w:p>
    <w:p>
      <w:pPr>
        <w:spacing w:after="0" w:line="83"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Internal Control - Integrated Framework (2013) issued by the COSO.</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for Opinions</w:t>
      </w:r>
    </w:p>
    <w:p>
      <w:pPr>
        <w:spacing w:after="0" w:line="129"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0"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92" w:lineRule="exact"/>
        <w:rPr>
          <w:sz w:val="20"/>
          <w:szCs w:val="20"/>
          <w:color w:val="auto"/>
        </w:rPr>
      </w:pPr>
    </w:p>
    <w:p>
      <w:pPr>
        <w:ind w:right="80"/>
        <w:spacing w:after="0" w:line="278" w:lineRule="auto"/>
        <w:rPr>
          <w:sz w:val="20"/>
          <w:szCs w:val="20"/>
          <w:color w:val="auto"/>
        </w:rPr>
      </w:pPr>
      <w:r>
        <w:rPr>
          <w:rFonts w:ascii="Arial" w:cs="Arial" w:eastAsia="Arial" w:hAnsi="Arial"/>
          <w:sz w:val="13"/>
          <w:szCs w:val="13"/>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Definition and Limitations of Internal Control over Financial Reporting</w:t>
      </w:r>
    </w:p>
    <w:p>
      <w:pPr>
        <w:spacing w:after="0" w:line="129"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51" w:name="page52"/>
    <w:bookmarkEnd w:id="51"/>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200"/>
        <w:spacing w:after="0" w:line="282" w:lineRule="auto"/>
        <w:rPr>
          <w:sz w:val="20"/>
          <w:szCs w:val="20"/>
          <w:color w:val="auto"/>
        </w:rPr>
      </w:pPr>
      <w:r>
        <w:rPr>
          <w:rFonts w:ascii="Arial" w:cs="Arial" w:eastAsia="Arial" w:hAnsi="Arial"/>
          <w:sz w:val="14"/>
          <w:szCs w:val="14"/>
          <w:color w:val="auto"/>
        </w:rPr>
        <w:t>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0" w:lineRule="exact"/>
        <w:rPr>
          <w:sz w:val="20"/>
          <w:szCs w:val="20"/>
          <w:color w:val="auto"/>
        </w:rPr>
      </w:pPr>
    </w:p>
    <w:p>
      <w:pPr>
        <w:spacing w:after="0" w:line="322"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Critical Audit Matters</w:t>
      </w:r>
    </w:p>
    <w:p>
      <w:pPr>
        <w:spacing w:after="0" w:line="129" w:lineRule="exact"/>
        <w:rPr>
          <w:sz w:val="20"/>
          <w:szCs w:val="20"/>
          <w:color w:val="auto"/>
        </w:rPr>
      </w:pPr>
    </w:p>
    <w:p>
      <w:pPr>
        <w:ind w:right="200"/>
        <w:spacing w:after="0" w:line="285" w:lineRule="auto"/>
        <w:rPr>
          <w:sz w:val="20"/>
          <w:szCs w:val="20"/>
          <w:color w:val="auto"/>
        </w:rPr>
      </w:pPr>
      <w:r>
        <w:rPr>
          <w:rFonts w:ascii="Arial" w:cs="Arial" w:eastAsia="Arial" w:hAnsi="Arial"/>
          <w:sz w:val="13"/>
          <w:szCs w:val="13"/>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Goodwill Impairment Assessments – Commercial Reporting Unit</w:t>
      </w:r>
    </w:p>
    <w:p>
      <w:pPr>
        <w:spacing w:after="0" w:line="129" w:lineRule="exact"/>
        <w:rPr>
          <w:sz w:val="20"/>
          <w:szCs w:val="20"/>
          <w:color w:val="auto"/>
        </w:rPr>
      </w:pPr>
    </w:p>
    <w:p>
      <w:pPr>
        <w:ind w:right="20"/>
        <w:spacing w:after="0" w:line="272" w:lineRule="auto"/>
        <w:rPr>
          <w:sz w:val="20"/>
          <w:szCs w:val="20"/>
          <w:color w:val="auto"/>
        </w:rPr>
      </w:pPr>
      <w:r>
        <w:rPr>
          <w:rFonts w:ascii="Arial" w:cs="Arial" w:eastAsia="Arial" w:hAnsi="Arial"/>
          <w:sz w:val="13"/>
          <w:szCs w:val="13"/>
          <w:color w:val="auto"/>
        </w:rPr>
        <w:t>As described in Notes 1 and 8 to the consolidated financial statements, the Company’s consolidated goodwill balance was $651 million as of December 31, 2023. The goodwill associated with the Commercial reporting unit was nil. Management tests goodwill for impairment annually or more frequently if an event or change in circumstances indicate the asset may be impaired. Management performed the annual goodwill impairment test as of October 1, 2023. Impairment testing for goodwill is done at the reporting unit level. The fair value of the reporting unit is determined utilizing a combination of both an income approach and a market approach. The income approach utilizes a discounted cash flow analysis based upon the forecasted future business results of the reporting unit. The market approach utilizes the guideline public company method. If the fair value of a reporting unit is less than its carrying amount, an impairment charge would be recognized for the amount by which the carrying amount exceeds the reporting unit’s fair value, not to exceed the total amount of goodwill allocated to the reporting unit. In September 2023, the Company entered into a Custodial Transfer and Asset Purchase Agreement (the "Purchase Agreement") to transfer its BenefitWallet health savings account and medical savings account portfolio (the "Portfolio"), which is reported within the Company’s Commercial segment. Since the Purchase Agreement does not represent a disposition of a business, no goodwill was allocated to the Portfolio related to this transaction. Consequently, the Purchase Agreement was identified as a triggering event for the Commercial reporting unit that required the Company to evaluate goodwill for impairment. This evaluation resulted in a full impairment of the Commercial reporting unit's goodwill, totaling $ 287 million. The impairment charge was primarily driven by the Purchase Agreement and was recognized in the third quarter of 2023. As disclosed by management, the most significant assumptions used in the goodwill impairment assessment relate to revenue growth rates, the discount rate and the long-term organic growth rate.</w:t>
      </w:r>
    </w:p>
    <w:p>
      <w:pPr>
        <w:spacing w:after="0" w:line="92"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The principal considerations for our determination that performing procedures relating to the goodwill impairment assessments for the Commercial reporting unit is a critical audit matter are (i) the significant judgment by management when determining the fair value of the Commercial reporting unit; (ii) a high degree of auditor judgment, subjectivity, and effort in performing procedures and evaluating management’s significant assumptions related to revenue growth rates, the discount rate and the long-term organic growth rate; and (iii) the audit effort involved the use of professionals with specialized skill and knowledge.</w:t>
      </w:r>
    </w:p>
    <w:p>
      <w:pPr>
        <w:spacing w:after="0" w:line="97" w:lineRule="exact"/>
        <w:rPr>
          <w:sz w:val="20"/>
          <w:szCs w:val="20"/>
          <w:color w:val="auto"/>
        </w:rPr>
      </w:pPr>
    </w:p>
    <w:p>
      <w:pPr>
        <w:ind w:right="20"/>
        <w:spacing w:after="0" w:line="254" w:lineRule="auto"/>
        <w:rPr>
          <w:sz w:val="20"/>
          <w:szCs w:val="20"/>
          <w:color w:val="auto"/>
        </w:rPr>
      </w:pPr>
      <w:r>
        <w:rPr>
          <w:rFonts w:ascii="Arial" w:cs="Arial" w:eastAsia="Arial" w:hAnsi="Arial"/>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 the Company’s goodwill impairment assessments, including controls over the determination of the fair value of the Commercial reporting unit. These procedures also included, among others (i) testing management’s process for determining the fair value of the Commercial reporting unit; (ii) evaluating the appropriateness of the discounted cash flow analysis; (iii) testing the completeness and accuracy of underlying data used in the discounted cash flow analysis; and (iv) evaluating the reasonableness of the significant assumptions used by management related to revenue growth rates, the discount rate and the long-term organic growth rate. Evaluating management’s significant assumptions related to revenue growth rates and the long-term organic growth rate involved evaluating whether the assumptions used by management were reasonable considering (i) the current</w:t>
      </w:r>
    </w:p>
    <w:p>
      <w:pPr>
        <w:spacing w:after="0" w:line="200" w:lineRule="exact"/>
        <w:rPr>
          <w:sz w:val="20"/>
          <w:szCs w:val="20"/>
          <w:color w:val="auto"/>
        </w:rPr>
      </w:pPr>
    </w:p>
    <w:p>
      <w:pPr>
        <w:spacing w:after="0" w:line="243"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52" w:name="page53"/>
    <w:bookmarkEnd w:id="52"/>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ind w:right="240"/>
        <w:spacing w:after="0" w:line="265" w:lineRule="auto"/>
        <w:rPr>
          <w:sz w:val="20"/>
          <w:szCs w:val="20"/>
          <w:color w:val="auto"/>
        </w:rPr>
      </w:pPr>
      <w:r>
        <w:rPr>
          <w:rFonts w:ascii="Arial" w:cs="Arial" w:eastAsia="Arial" w:hAnsi="Arial"/>
          <w:sz w:val="14"/>
          <w:szCs w:val="14"/>
          <w:color w:val="auto"/>
        </w:rPr>
        <w:t>and past performance of the Commercial reporting unit; (ii) the consistency with external market and industry data; and (iii) whether the assumptions were consistent with evidence obtained in other areas of the audit. Professionals with specialized skill and knowledge were used to assist in evaluating (i) the appropriateness of the discounted cash flow analysis and (ii) the reasonableness of the long-term organic growth rate and the discount rate assumptions.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26035</wp:posOffset>
            </wp:positionV>
            <wp:extent cx="409448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094480" cy="6350"/>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Florham Park, New Jersey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February 21, 2024</w:t>
      </w:r>
    </w:p>
    <w:p>
      <w:pPr>
        <w:spacing w:after="0" w:line="260"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2016.</w:t>
      </w:r>
    </w:p>
    <w:p>
      <w:pPr>
        <w:spacing w:after="0" w:line="200" w:lineRule="exact"/>
        <w:rPr>
          <w:sz w:val="20"/>
          <w:szCs w:val="20"/>
          <w:color w:val="auto"/>
        </w:rPr>
      </w:pPr>
    </w:p>
    <w:p>
      <w:pPr>
        <w:spacing w:after="0" w:line="337"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53" w:name="page54"/>
    <w:bookmarkEnd w:id="53"/>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REPORTS OF MANAGEMENT</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0066CC"/>
        </w:rPr>
        <w:t>Management's Responsibility for Financial Statements</w:t>
      </w:r>
    </w:p>
    <w:p>
      <w:pPr>
        <w:spacing w:after="0" w:line="129"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Our management is responsible for the integrity and objectivity of all information presented in this annual report. The consolidated financial statements were prepared in conformity with accounting principles generally accepted in the United States of America and include amounts based on management's best estimates and judgments. Management believes the consolidated financial statements fairly reflect the form and substance of transactions and that the financial statements fairly represent the Company's financial position and results of operations.</w:t>
      </w:r>
    </w:p>
    <w:p>
      <w:pPr>
        <w:spacing w:after="0" w:line="159" w:lineRule="exact"/>
        <w:rPr>
          <w:sz w:val="20"/>
          <w:szCs w:val="20"/>
          <w:color w:val="auto"/>
        </w:rPr>
      </w:pPr>
    </w:p>
    <w:p>
      <w:pPr>
        <w:ind w:right="400"/>
        <w:spacing w:after="0" w:line="259" w:lineRule="auto"/>
        <w:rPr>
          <w:sz w:val="20"/>
          <w:szCs w:val="20"/>
          <w:color w:val="auto"/>
        </w:rPr>
      </w:pPr>
      <w:r>
        <w:rPr>
          <w:rFonts w:ascii="Arial" w:cs="Arial" w:eastAsia="Arial" w:hAnsi="Arial"/>
          <w:sz w:val="14"/>
          <w:szCs w:val="14"/>
          <w:color w:val="auto"/>
        </w:rPr>
        <w:t>The Audit Committee of the Board of Directors, which is composed solely of independent directors, meets regularly with the independent registered public accountants, PricewaterhouseCoopers LLP, the internal auditors and representatives of management to review accounting, financial reporting, internal control and audit matters, as well as the nature and extent of the audit effort. The Audit Committee is responsible for the engagement of the independent registered public accountants. The independent registered public accountants and internal auditors have free access to the Audit Committee.</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181"/>
        </w:trPr>
        <w:tc>
          <w:tcPr>
            <w:tcW w:w="5100" w:type="dxa"/>
            <w:vAlign w:val="bottom"/>
            <w:gridSpan w:val="2"/>
          </w:tcPr>
          <w:p>
            <w:pPr>
              <w:jc w:val="center"/>
              <w:ind w:right="80"/>
              <w:spacing w:after="0"/>
              <w:rPr>
                <w:sz w:val="20"/>
                <w:szCs w:val="20"/>
                <w:color w:val="auto"/>
              </w:rPr>
            </w:pPr>
            <w:r>
              <w:rPr>
                <w:rFonts w:ascii="Arial" w:cs="Arial" w:eastAsia="Arial" w:hAnsi="Arial"/>
                <w:sz w:val="14"/>
                <w:szCs w:val="14"/>
                <w:color w:val="auto"/>
              </w:rPr>
              <w:t>/s/  CLIFFORD SKELTON</w:t>
            </w:r>
          </w:p>
        </w:tc>
        <w:tc>
          <w:tcPr>
            <w:tcW w:w="5040" w:type="dxa"/>
            <w:vAlign w:val="bottom"/>
          </w:tcPr>
          <w:p>
            <w:pPr>
              <w:jc w:val="center"/>
              <w:spacing w:after="0"/>
              <w:rPr>
                <w:sz w:val="20"/>
                <w:szCs w:val="20"/>
                <w:color w:val="auto"/>
              </w:rPr>
            </w:pPr>
            <w:r>
              <w:rPr>
                <w:rFonts w:ascii="Arial" w:cs="Arial" w:eastAsia="Arial" w:hAnsi="Arial"/>
                <w:sz w:val="14"/>
                <w:szCs w:val="14"/>
                <w:color w:val="auto"/>
              </w:rPr>
              <w:t>/s/  STEPHEN WOOD</w:t>
            </w:r>
          </w:p>
        </w:tc>
      </w:tr>
      <w:tr>
        <w:trPr>
          <w:trHeight w:val="124"/>
        </w:trPr>
        <w:tc>
          <w:tcPr>
            <w:tcW w:w="502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Chief Executive Officer</w:t>
            </w:r>
          </w:p>
        </w:tc>
        <w:tc>
          <w:tcPr>
            <w:tcW w:w="80" w:type="dxa"/>
            <w:vAlign w:val="bottom"/>
          </w:tcPr>
          <w:p>
            <w:pPr>
              <w:spacing w:after="0"/>
              <w:rPr>
                <w:sz w:val="10"/>
                <w:szCs w:val="10"/>
                <w:color w:val="auto"/>
              </w:rPr>
            </w:pPr>
          </w:p>
        </w:tc>
        <w:tc>
          <w:tcPr>
            <w:tcW w:w="5040" w:type="dxa"/>
            <w:vAlign w:val="bottom"/>
            <w:tcBorders>
              <w:top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Chief Financial Officer &amp; Principal Accounting Officer</w:t>
            </w:r>
          </w:p>
        </w:tc>
      </w:tr>
    </w:tbl>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54" w:name="page55"/>
    <w:bookmarkEnd w:id="54"/>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CONDUENT INCORPORATED</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CONSOLIDATED STATEMENTS OF INCOME (LOSS)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color w:val="auto"/>
              </w:rPr>
              <w:t>Year Ended December 31,</w:t>
            </w: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5980" w:type="dxa"/>
            <w:vAlign w:val="bottom"/>
            <w:gridSpan w:val="2"/>
          </w:tcPr>
          <w:p>
            <w:pPr>
              <w:spacing w:after="0"/>
              <w:rPr>
                <w:sz w:val="20"/>
                <w:szCs w:val="20"/>
                <w:color w:val="auto"/>
              </w:rPr>
            </w:pPr>
            <w:r>
              <w:rPr>
                <w:rFonts w:ascii="Arial" w:cs="Arial" w:eastAsia="Arial" w:hAnsi="Arial"/>
                <w:sz w:val="10"/>
                <w:szCs w:val="10"/>
                <w:color w:val="auto"/>
              </w:rPr>
              <w:t>(in millions, except per-share data)</w:t>
            </w:r>
          </w:p>
        </w:tc>
        <w:tc>
          <w:tcPr>
            <w:tcW w:w="400" w:type="dxa"/>
            <w:vAlign w:val="bottom"/>
          </w:tcPr>
          <w:p>
            <w:pPr>
              <w:spacing w:after="0"/>
              <w:rPr>
                <w:sz w:val="10"/>
                <w:szCs w:val="10"/>
                <w:color w:val="auto"/>
              </w:rPr>
            </w:pPr>
          </w:p>
        </w:tc>
        <w:tc>
          <w:tcPr>
            <w:tcW w:w="1300" w:type="dxa"/>
            <w:vAlign w:val="bottom"/>
          </w:tcPr>
          <w:p>
            <w:pPr>
              <w:jc w:val="right"/>
              <w:ind w:right="664"/>
              <w:spacing w:after="0" w:line="120" w:lineRule="exact"/>
              <w:rPr>
                <w:sz w:val="20"/>
                <w:szCs w:val="20"/>
                <w:color w:val="auto"/>
              </w:rPr>
            </w:pPr>
            <w:r>
              <w:rPr>
                <w:rFonts w:ascii="Arial" w:cs="Arial" w:eastAsia="Arial" w:hAnsi="Arial"/>
                <w:sz w:val="11"/>
                <w:szCs w:val="11"/>
                <w:color w:val="auto"/>
              </w:rPr>
              <w:t>2023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tcPr>
          <w:p>
            <w:pPr>
              <w:jc w:val="right"/>
              <w:ind w:right="684"/>
              <w:spacing w:after="0" w:line="120" w:lineRule="exact"/>
              <w:rPr>
                <w:sz w:val="20"/>
                <w:szCs w:val="20"/>
                <w:color w:val="auto"/>
              </w:rPr>
            </w:pPr>
            <w:r>
              <w:rPr>
                <w:rFonts w:ascii="Arial" w:cs="Arial" w:eastAsia="Arial" w:hAnsi="Arial"/>
                <w:sz w:val="11"/>
                <w:szCs w:val="11"/>
                <w:color w:val="auto"/>
              </w:rPr>
              <w:t>2022</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00" w:type="dxa"/>
            <w:vAlign w:val="bottom"/>
          </w:tcPr>
          <w:p>
            <w:pPr>
              <w:jc w:val="right"/>
              <w:ind w:right="664"/>
              <w:spacing w:after="0" w:line="120" w:lineRule="exact"/>
              <w:rPr>
                <w:sz w:val="20"/>
                <w:szCs w:val="20"/>
                <w:color w:val="auto"/>
              </w:rPr>
            </w:pPr>
            <w:r>
              <w:rPr>
                <w:rFonts w:ascii="Arial" w:cs="Arial" w:eastAsia="Arial" w:hAnsi="Arial"/>
                <w:sz w:val="11"/>
                <w:szCs w:val="1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480" w:type="dxa"/>
            <w:vAlign w:val="bottom"/>
            <w:tcBorders>
              <w:top w:val="single" w:sz="8" w:color="auto"/>
              <w:bottom w:val="single" w:sz="8" w:color="CCEEFF"/>
            </w:tcBorders>
          </w:tcPr>
          <w:p>
            <w:pPr>
              <w:spacing w:after="0" w:line="20" w:lineRule="exact"/>
              <w:rPr>
                <w:sz w:val="1"/>
                <w:szCs w:val="1"/>
                <w:color w:val="auto"/>
              </w:rPr>
            </w:pPr>
          </w:p>
        </w:tc>
        <w:tc>
          <w:tcPr>
            <w:tcW w:w="45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Revenue</w:t>
            </w:r>
          </w:p>
        </w:tc>
        <w:tc>
          <w:tcPr>
            <w:tcW w:w="400" w:type="dxa"/>
            <w:vAlign w:val="bottom"/>
            <w:shd w:val="clear" w:color="auto" w:fill="CCEEFF"/>
          </w:tcPr>
          <w:p>
            <w:pPr>
              <w:jc w:val="right"/>
              <w:ind w:right="264"/>
              <w:spacing w:after="0"/>
              <w:rPr>
                <w:sz w:val="20"/>
                <w:szCs w:val="20"/>
                <w:color w:val="auto"/>
              </w:rPr>
            </w:pPr>
            <w:r>
              <w:rPr>
                <w:rFonts w:ascii="Arial" w:cs="Arial" w:eastAsia="Arial" w:hAnsi="Arial"/>
                <w:sz w:val="11"/>
                <w:szCs w:val="11"/>
                <w:color w:val="auto"/>
                <w:w w:val="97"/>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3,722</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15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3,858</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64"/>
              <w:spacing w:after="0"/>
              <w:rPr>
                <w:sz w:val="20"/>
                <w:szCs w:val="20"/>
                <w:color w:val="auto"/>
              </w:rPr>
            </w:pPr>
            <w:r>
              <w:rPr>
                <w:rFonts w:ascii="Arial" w:cs="Arial" w:eastAsia="Arial" w:hAnsi="Arial"/>
                <w:sz w:val="11"/>
                <w:szCs w:val="11"/>
                <w:color w:val="auto"/>
                <w:w w:val="97"/>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4,140</w:t>
            </w:r>
          </w:p>
        </w:tc>
      </w:tr>
      <w:tr>
        <w:trPr>
          <w:trHeight w:val="155"/>
        </w:trPr>
        <w:tc>
          <w:tcPr>
            <w:tcW w:w="20" w:type="dxa"/>
            <w:vAlign w:val="bottom"/>
          </w:tcPr>
          <w:p>
            <w:pPr>
              <w:spacing w:after="0"/>
              <w:rPr>
                <w:sz w:val="13"/>
                <w:szCs w:val="13"/>
                <w:color w:val="auto"/>
              </w:rPr>
            </w:pPr>
          </w:p>
        </w:tc>
        <w:tc>
          <w:tcPr>
            <w:tcW w:w="5980" w:type="dxa"/>
            <w:vAlign w:val="bottom"/>
            <w:gridSpan w:val="2"/>
          </w:tcPr>
          <w:p>
            <w:pPr>
              <w:spacing w:after="0"/>
              <w:rPr>
                <w:sz w:val="20"/>
                <w:szCs w:val="20"/>
                <w:color w:val="auto"/>
              </w:rPr>
            </w:pPr>
            <w:r>
              <w:rPr>
                <w:rFonts w:ascii="Arial" w:cs="Arial" w:eastAsia="Arial" w:hAnsi="Arial"/>
                <w:sz w:val="11"/>
                <w:szCs w:val="11"/>
                <w:b w:val="1"/>
                <w:bCs w:val="1"/>
                <w:color w:val="auto"/>
              </w:rPr>
              <w:t>Operating Costs and Expenses</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57"/>
        </w:trPr>
        <w:tc>
          <w:tcPr>
            <w:tcW w:w="20" w:type="dxa"/>
            <w:vAlign w:val="bottom"/>
            <w:shd w:val="clear" w:color="auto" w:fill="CCEEFF"/>
          </w:tcPr>
          <w:p>
            <w:pPr>
              <w:spacing w:after="0"/>
              <w:rPr>
                <w:sz w:val="13"/>
                <w:szCs w:val="13"/>
                <w:color w:val="auto"/>
              </w:rPr>
            </w:pPr>
          </w:p>
        </w:tc>
        <w:tc>
          <w:tcPr>
            <w:tcW w:w="59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Cost of services (excluding depreciation and amortization)</w:t>
            </w: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2,888</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3,018</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3,138</w:t>
            </w:r>
          </w:p>
        </w:tc>
      </w:tr>
      <w:tr>
        <w:trPr>
          <w:trHeight w:val="152"/>
        </w:trPr>
        <w:tc>
          <w:tcPr>
            <w:tcW w:w="20" w:type="dxa"/>
            <w:vAlign w:val="bottom"/>
          </w:tcPr>
          <w:p>
            <w:pPr>
              <w:spacing w:after="0"/>
              <w:rPr>
                <w:sz w:val="13"/>
                <w:szCs w:val="13"/>
                <w:color w:val="auto"/>
              </w:rPr>
            </w:pPr>
          </w:p>
        </w:tc>
        <w:tc>
          <w:tcPr>
            <w:tcW w:w="5980" w:type="dxa"/>
            <w:vAlign w:val="bottom"/>
            <w:gridSpan w:val="2"/>
          </w:tcPr>
          <w:p>
            <w:pPr>
              <w:ind w:left="80"/>
              <w:spacing w:after="0"/>
              <w:rPr>
                <w:sz w:val="20"/>
                <w:szCs w:val="20"/>
                <w:color w:val="auto"/>
              </w:rPr>
            </w:pPr>
            <w:r>
              <w:rPr>
                <w:rFonts w:ascii="Arial" w:cs="Arial" w:eastAsia="Arial" w:hAnsi="Arial"/>
                <w:sz w:val="11"/>
                <w:szCs w:val="11"/>
                <w:color w:val="auto"/>
              </w:rPr>
              <w:t>Selling, general and administrative (excluding depreciation and amortization)</w:t>
            </w:r>
          </w:p>
        </w:tc>
        <w:tc>
          <w:tcPr>
            <w:tcW w:w="400" w:type="dxa"/>
            <w:vAlign w:val="bottom"/>
          </w:tcPr>
          <w:p>
            <w:pPr>
              <w:spacing w:after="0"/>
              <w:rPr>
                <w:sz w:val="13"/>
                <w:szCs w:val="13"/>
                <w:color w:val="auto"/>
              </w:rPr>
            </w:pPr>
          </w:p>
        </w:tc>
        <w:tc>
          <w:tcPr>
            <w:tcW w:w="1300" w:type="dxa"/>
            <w:vAlign w:val="bottom"/>
          </w:tcPr>
          <w:p>
            <w:pPr>
              <w:jc w:val="right"/>
              <w:ind w:right="4"/>
              <w:spacing w:after="0"/>
              <w:rPr>
                <w:sz w:val="20"/>
                <w:szCs w:val="20"/>
                <w:color w:val="auto"/>
              </w:rPr>
            </w:pPr>
            <w:r>
              <w:rPr>
                <w:rFonts w:ascii="Arial" w:cs="Arial" w:eastAsia="Arial" w:hAnsi="Arial"/>
                <w:sz w:val="11"/>
                <w:szCs w:val="11"/>
                <w:color w:val="auto"/>
              </w:rPr>
              <w:t>458</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jc w:val="right"/>
              <w:ind w:right="4"/>
              <w:spacing w:after="0"/>
              <w:rPr>
                <w:sz w:val="20"/>
                <w:szCs w:val="20"/>
                <w:color w:val="auto"/>
              </w:rPr>
            </w:pPr>
            <w:r>
              <w:rPr>
                <w:rFonts w:ascii="Arial" w:cs="Arial" w:eastAsia="Arial" w:hAnsi="Arial"/>
                <w:sz w:val="11"/>
                <w:szCs w:val="11"/>
                <w:color w:val="auto"/>
              </w:rPr>
              <w:t>440</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544</w:t>
            </w:r>
          </w:p>
        </w:tc>
      </w:tr>
      <w:tr>
        <w:trPr>
          <w:trHeight w:val="160"/>
        </w:trPr>
        <w:tc>
          <w:tcPr>
            <w:tcW w:w="20" w:type="dxa"/>
            <w:vAlign w:val="bottom"/>
            <w:shd w:val="clear" w:color="auto" w:fill="CCEEFF"/>
          </w:tcPr>
          <w:p>
            <w:pPr>
              <w:spacing w:after="0"/>
              <w:rPr>
                <w:sz w:val="13"/>
                <w:szCs w:val="13"/>
                <w:color w:val="auto"/>
              </w:rPr>
            </w:pPr>
          </w:p>
        </w:tc>
        <w:tc>
          <w:tcPr>
            <w:tcW w:w="59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Research and development (excluding depreciation and amortization)</w:t>
            </w: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r>
      <w:tr>
        <w:trPr>
          <w:trHeight w:val="152"/>
        </w:trPr>
        <w:tc>
          <w:tcPr>
            <w:tcW w:w="20" w:type="dxa"/>
            <w:vAlign w:val="bottom"/>
          </w:tcPr>
          <w:p>
            <w:pPr>
              <w:spacing w:after="0"/>
              <w:rPr>
                <w:sz w:val="13"/>
                <w:szCs w:val="13"/>
                <w:color w:val="auto"/>
              </w:rPr>
            </w:pPr>
          </w:p>
        </w:tc>
        <w:tc>
          <w:tcPr>
            <w:tcW w:w="5980" w:type="dxa"/>
            <w:vAlign w:val="bottom"/>
            <w:gridSpan w:val="2"/>
          </w:tcPr>
          <w:p>
            <w:pPr>
              <w:ind w:left="80"/>
              <w:spacing w:after="0"/>
              <w:rPr>
                <w:sz w:val="20"/>
                <w:szCs w:val="20"/>
                <w:color w:val="auto"/>
              </w:rPr>
            </w:pPr>
            <w:r>
              <w:rPr>
                <w:rFonts w:ascii="Arial" w:cs="Arial" w:eastAsia="Arial" w:hAnsi="Arial"/>
                <w:sz w:val="11"/>
                <w:szCs w:val="11"/>
                <w:color w:val="auto"/>
              </w:rPr>
              <w:t>Depreciation and amortization</w:t>
            </w:r>
          </w:p>
        </w:tc>
        <w:tc>
          <w:tcPr>
            <w:tcW w:w="400" w:type="dxa"/>
            <w:vAlign w:val="bottom"/>
          </w:tcPr>
          <w:p>
            <w:pPr>
              <w:spacing w:after="0"/>
              <w:rPr>
                <w:sz w:val="13"/>
                <w:szCs w:val="13"/>
                <w:color w:val="auto"/>
              </w:rPr>
            </w:pPr>
          </w:p>
        </w:tc>
        <w:tc>
          <w:tcPr>
            <w:tcW w:w="1300" w:type="dxa"/>
            <w:vAlign w:val="bottom"/>
          </w:tcPr>
          <w:p>
            <w:pPr>
              <w:jc w:val="right"/>
              <w:ind w:right="4"/>
              <w:spacing w:after="0"/>
              <w:rPr>
                <w:sz w:val="20"/>
                <w:szCs w:val="20"/>
                <w:color w:val="auto"/>
              </w:rPr>
            </w:pPr>
            <w:r>
              <w:rPr>
                <w:rFonts w:ascii="Arial" w:cs="Arial" w:eastAsia="Arial" w:hAnsi="Arial"/>
                <w:sz w:val="11"/>
                <w:szCs w:val="11"/>
                <w:color w:val="auto"/>
              </w:rPr>
              <w:t>264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jc w:val="right"/>
              <w:ind w:right="4"/>
              <w:spacing w:after="0"/>
              <w:rPr>
                <w:sz w:val="20"/>
                <w:szCs w:val="20"/>
                <w:color w:val="auto"/>
              </w:rPr>
            </w:pPr>
            <w:r>
              <w:rPr>
                <w:rFonts w:ascii="Arial" w:cs="Arial" w:eastAsia="Arial" w:hAnsi="Arial"/>
                <w:sz w:val="11"/>
                <w:szCs w:val="11"/>
                <w:color w:val="auto"/>
              </w:rPr>
              <w:t>230</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352</w:t>
            </w:r>
          </w:p>
        </w:tc>
      </w:tr>
      <w:tr>
        <w:trPr>
          <w:trHeight w:val="160"/>
        </w:trPr>
        <w:tc>
          <w:tcPr>
            <w:tcW w:w="20" w:type="dxa"/>
            <w:vAlign w:val="bottom"/>
            <w:shd w:val="clear" w:color="auto" w:fill="CCEEFF"/>
          </w:tcPr>
          <w:p>
            <w:pPr>
              <w:spacing w:after="0"/>
              <w:rPr>
                <w:sz w:val="13"/>
                <w:szCs w:val="13"/>
                <w:color w:val="auto"/>
              </w:rPr>
            </w:pPr>
          </w:p>
        </w:tc>
        <w:tc>
          <w:tcPr>
            <w:tcW w:w="59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Restructuring and related costs</w:t>
            </w: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39</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45</w:t>
            </w:r>
          </w:p>
        </w:tc>
      </w:tr>
      <w:tr>
        <w:trPr>
          <w:trHeight w:val="152"/>
        </w:trPr>
        <w:tc>
          <w:tcPr>
            <w:tcW w:w="20" w:type="dxa"/>
            <w:vAlign w:val="bottom"/>
          </w:tcPr>
          <w:p>
            <w:pPr>
              <w:spacing w:after="0"/>
              <w:rPr>
                <w:sz w:val="13"/>
                <w:szCs w:val="13"/>
                <w:color w:val="auto"/>
              </w:rPr>
            </w:pPr>
          </w:p>
        </w:tc>
        <w:tc>
          <w:tcPr>
            <w:tcW w:w="5980" w:type="dxa"/>
            <w:vAlign w:val="bottom"/>
            <w:gridSpan w:val="2"/>
          </w:tcPr>
          <w:p>
            <w:pPr>
              <w:ind w:left="80"/>
              <w:spacing w:after="0"/>
              <w:rPr>
                <w:sz w:val="20"/>
                <w:szCs w:val="20"/>
                <w:color w:val="auto"/>
              </w:rPr>
            </w:pPr>
            <w:r>
              <w:rPr>
                <w:rFonts w:ascii="Arial" w:cs="Arial" w:eastAsia="Arial" w:hAnsi="Arial"/>
                <w:sz w:val="11"/>
                <w:szCs w:val="11"/>
                <w:color w:val="auto"/>
              </w:rPr>
              <w:t>Interest expense</w:t>
            </w:r>
          </w:p>
        </w:tc>
        <w:tc>
          <w:tcPr>
            <w:tcW w:w="400" w:type="dxa"/>
            <w:vAlign w:val="bottom"/>
          </w:tcPr>
          <w:p>
            <w:pPr>
              <w:spacing w:after="0"/>
              <w:rPr>
                <w:sz w:val="13"/>
                <w:szCs w:val="13"/>
                <w:color w:val="auto"/>
              </w:rPr>
            </w:pPr>
          </w:p>
        </w:tc>
        <w:tc>
          <w:tcPr>
            <w:tcW w:w="1300" w:type="dxa"/>
            <w:vAlign w:val="bottom"/>
          </w:tcPr>
          <w:p>
            <w:pPr>
              <w:jc w:val="right"/>
              <w:ind w:right="4"/>
              <w:spacing w:after="0"/>
              <w:rPr>
                <w:sz w:val="20"/>
                <w:szCs w:val="20"/>
                <w:color w:val="auto"/>
              </w:rPr>
            </w:pPr>
            <w:r>
              <w:rPr>
                <w:rFonts w:ascii="Arial" w:cs="Arial" w:eastAsia="Arial" w:hAnsi="Arial"/>
                <w:sz w:val="11"/>
                <w:szCs w:val="11"/>
                <w:color w:val="auto"/>
              </w:rPr>
              <w:t>111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jc w:val="right"/>
              <w:ind w:right="4"/>
              <w:spacing w:after="0"/>
              <w:rPr>
                <w:sz w:val="20"/>
                <w:szCs w:val="20"/>
                <w:color w:val="auto"/>
              </w:rPr>
            </w:pPr>
            <w:r>
              <w:rPr>
                <w:rFonts w:ascii="Arial" w:cs="Arial" w:eastAsia="Arial" w:hAnsi="Arial"/>
                <w:sz w:val="11"/>
                <w:szCs w:val="11"/>
                <w:color w:val="auto"/>
              </w:rPr>
              <w:t>84</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55</w:t>
            </w:r>
          </w:p>
        </w:tc>
      </w:tr>
      <w:tr>
        <w:trPr>
          <w:trHeight w:val="160"/>
        </w:trPr>
        <w:tc>
          <w:tcPr>
            <w:tcW w:w="20" w:type="dxa"/>
            <w:vAlign w:val="bottom"/>
            <w:shd w:val="clear" w:color="auto" w:fill="CCEEFF"/>
          </w:tcPr>
          <w:p>
            <w:pPr>
              <w:spacing w:after="0"/>
              <w:rPr>
                <w:sz w:val="13"/>
                <w:szCs w:val="13"/>
                <w:color w:val="auto"/>
              </w:rPr>
            </w:pPr>
          </w:p>
        </w:tc>
        <w:tc>
          <w:tcPr>
            <w:tcW w:w="59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Loss on extinguishment of debt</w:t>
            </w:r>
          </w:p>
        </w:tc>
        <w:tc>
          <w:tcPr>
            <w:tcW w:w="400" w:type="dxa"/>
            <w:vAlign w:val="bottom"/>
            <w:shd w:val="clear" w:color="auto" w:fill="CCEEFF"/>
          </w:tcPr>
          <w:p>
            <w:pPr>
              <w:spacing w:after="0"/>
              <w:rPr>
                <w:sz w:val="13"/>
                <w:szCs w:val="13"/>
                <w:color w:val="auto"/>
              </w:rPr>
            </w:pP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r>
      <w:tr>
        <w:trPr>
          <w:trHeight w:val="152"/>
        </w:trPr>
        <w:tc>
          <w:tcPr>
            <w:tcW w:w="20" w:type="dxa"/>
            <w:vAlign w:val="bottom"/>
          </w:tcPr>
          <w:p>
            <w:pPr>
              <w:spacing w:after="0"/>
              <w:rPr>
                <w:sz w:val="13"/>
                <w:szCs w:val="13"/>
                <w:color w:val="auto"/>
              </w:rPr>
            </w:pPr>
          </w:p>
        </w:tc>
        <w:tc>
          <w:tcPr>
            <w:tcW w:w="5980" w:type="dxa"/>
            <w:vAlign w:val="bottom"/>
            <w:gridSpan w:val="2"/>
          </w:tcPr>
          <w:p>
            <w:pPr>
              <w:ind w:left="80"/>
              <w:spacing w:after="0"/>
              <w:rPr>
                <w:sz w:val="20"/>
                <w:szCs w:val="20"/>
                <w:color w:val="auto"/>
              </w:rPr>
            </w:pPr>
            <w:r>
              <w:rPr>
                <w:rFonts w:ascii="Arial" w:cs="Arial" w:eastAsia="Arial" w:hAnsi="Arial"/>
                <w:sz w:val="11"/>
                <w:szCs w:val="11"/>
                <w:color w:val="auto"/>
              </w:rPr>
              <w:t>Goodwill impairment</w:t>
            </w:r>
          </w:p>
        </w:tc>
        <w:tc>
          <w:tcPr>
            <w:tcW w:w="400" w:type="dxa"/>
            <w:vAlign w:val="bottom"/>
          </w:tcPr>
          <w:p>
            <w:pPr>
              <w:spacing w:after="0"/>
              <w:rPr>
                <w:sz w:val="13"/>
                <w:szCs w:val="13"/>
                <w:color w:val="auto"/>
              </w:rPr>
            </w:pPr>
          </w:p>
        </w:tc>
        <w:tc>
          <w:tcPr>
            <w:tcW w:w="1300" w:type="dxa"/>
            <w:vAlign w:val="bottom"/>
          </w:tcPr>
          <w:p>
            <w:pPr>
              <w:jc w:val="right"/>
              <w:ind w:right="4"/>
              <w:spacing w:after="0"/>
              <w:rPr>
                <w:sz w:val="20"/>
                <w:szCs w:val="20"/>
                <w:color w:val="auto"/>
              </w:rPr>
            </w:pPr>
            <w:r>
              <w:rPr>
                <w:rFonts w:ascii="Arial" w:cs="Arial" w:eastAsia="Arial" w:hAnsi="Arial"/>
                <w:sz w:val="11"/>
                <w:szCs w:val="11"/>
                <w:color w:val="auto"/>
              </w:rPr>
              <w:t>287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jc w:val="right"/>
              <w:ind w:right="4"/>
              <w:spacing w:after="0"/>
              <w:rPr>
                <w:sz w:val="20"/>
                <w:szCs w:val="20"/>
                <w:color w:val="auto"/>
              </w:rPr>
            </w:pPr>
            <w:r>
              <w:rPr>
                <w:rFonts w:ascii="Arial" w:cs="Arial" w:eastAsia="Arial" w:hAnsi="Arial"/>
                <w:sz w:val="11"/>
                <w:szCs w:val="11"/>
                <w:color w:val="auto"/>
              </w:rPr>
              <w:t>358</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0"/>
        </w:trPr>
        <w:tc>
          <w:tcPr>
            <w:tcW w:w="20" w:type="dxa"/>
            <w:vAlign w:val="bottom"/>
            <w:shd w:val="clear" w:color="auto" w:fill="CCEEFF"/>
          </w:tcPr>
          <w:p>
            <w:pPr>
              <w:spacing w:after="0"/>
              <w:rPr>
                <w:sz w:val="13"/>
                <w:szCs w:val="13"/>
                <w:color w:val="auto"/>
              </w:rPr>
            </w:pPr>
          </w:p>
        </w:tc>
        <w:tc>
          <w:tcPr>
            <w:tcW w:w="59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(Gain) loss on divestitures and transaction costs, net</w:t>
            </w: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r>
      <w:tr>
        <w:trPr>
          <w:trHeight w:val="152"/>
        </w:trPr>
        <w:tc>
          <w:tcPr>
            <w:tcW w:w="20" w:type="dxa"/>
            <w:vAlign w:val="bottom"/>
          </w:tcPr>
          <w:p>
            <w:pPr>
              <w:spacing w:after="0"/>
              <w:rPr>
                <w:sz w:val="13"/>
                <w:szCs w:val="13"/>
                <w:color w:val="auto"/>
              </w:rPr>
            </w:pPr>
          </w:p>
        </w:tc>
        <w:tc>
          <w:tcPr>
            <w:tcW w:w="5980" w:type="dxa"/>
            <w:vAlign w:val="bottom"/>
            <w:gridSpan w:val="2"/>
          </w:tcPr>
          <w:p>
            <w:pPr>
              <w:ind w:left="80"/>
              <w:spacing w:after="0"/>
              <w:rPr>
                <w:sz w:val="20"/>
                <w:szCs w:val="20"/>
                <w:color w:val="auto"/>
              </w:rPr>
            </w:pPr>
            <w:r>
              <w:rPr>
                <w:rFonts w:ascii="Arial" w:cs="Arial" w:eastAsia="Arial" w:hAnsi="Arial"/>
                <w:sz w:val="11"/>
                <w:szCs w:val="11"/>
                <w:color w:val="auto"/>
              </w:rPr>
              <w:t>Litigation settlements (recoveries), net</w:t>
            </w: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(32)</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3</w:t>
            </w:r>
          </w:p>
        </w:tc>
      </w:tr>
      <w:tr>
        <w:trPr>
          <w:trHeight w:val="160"/>
        </w:trPr>
        <w:tc>
          <w:tcPr>
            <w:tcW w:w="20" w:type="dxa"/>
            <w:vAlign w:val="bottom"/>
            <w:shd w:val="clear" w:color="auto" w:fill="CCEEFF"/>
          </w:tcPr>
          <w:p>
            <w:pPr>
              <w:spacing w:after="0"/>
              <w:rPr>
                <w:sz w:val="13"/>
                <w:szCs w:val="13"/>
                <w:color w:val="auto"/>
              </w:rPr>
            </w:pPr>
          </w:p>
        </w:tc>
        <w:tc>
          <w:tcPr>
            <w:tcW w:w="5980" w:type="dxa"/>
            <w:vAlign w:val="bottom"/>
            <w:gridSpan w:val="2"/>
            <w:shd w:val="clear" w:color="auto" w:fill="CCEEFF"/>
          </w:tcPr>
          <w:p>
            <w:pPr>
              <w:ind w:left="80"/>
              <w:spacing w:after="0"/>
              <w:rPr>
                <w:sz w:val="20"/>
                <w:szCs w:val="20"/>
                <w:color w:val="auto"/>
              </w:rPr>
            </w:pPr>
            <w:r>
              <w:rPr>
                <w:rFonts w:ascii="Arial" w:cs="Arial" w:eastAsia="Arial" w:hAnsi="Arial"/>
                <w:sz w:val="11"/>
                <w:szCs w:val="11"/>
                <w:color w:val="auto"/>
              </w:rPr>
              <w:t>Other (income) expenses, net</w:t>
            </w:r>
          </w:p>
        </w:tc>
        <w:tc>
          <w:tcPr>
            <w:tcW w:w="4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w:t>
            </w:r>
          </w:p>
        </w:tc>
      </w:tr>
      <w:tr>
        <w:trPr>
          <w:trHeight w:val="146"/>
        </w:trPr>
        <w:tc>
          <w:tcPr>
            <w:tcW w:w="20" w:type="dxa"/>
            <w:vAlign w:val="bottom"/>
            <w:tcBorders>
              <w:bottom w:val="single" w:sz="8" w:color="CCEEFF"/>
            </w:tcBorders>
          </w:tcPr>
          <w:p>
            <w:pPr>
              <w:spacing w:after="0"/>
              <w:rPr>
                <w:sz w:val="12"/>
                <w:szCs w:val="12"/>
                <w:color w:val="auto"/>
              </w:rPr>
            </w:pPr>
          </w:p>
        </w:tc>
        <w:tc>
          <w:tcPr>
            <w:tcW w:w="59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b w:val="1"/>
                <w:bCs w:val="1"/>
                <w:color w:val="auto"/>
              </w:rPr>
              <w:t>Total Operating Costs and Expenses</w:t>
            </w: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4,054</w:t>
            </w: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3,985</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4,165</w:t>
            </w:r>
          </w:p>
        </w:tc>
      </w:tr>
      <w:tr>
        <w:trPr>
          <w:trHeight w:val="148"/>
        </w:trPr>
        <w:tc>
          <w:tcPr>
            <w:tcW w:w="20" w:type="dxa"/>
            <w:vAlign w:val="bottom"/>
            <w:shd w:val="clear" w:color="auto" w:fill="CCEEFF"/>
          </w:tcPr>
          <w:p>
            <w:pPr>
              <w:spacing w:after="0"/>
              <w:rPr>
                <w:sz w:val="12"/>
                <w:szCs w:val="12"/>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Income (Loss) Before Income Taxes</w:t>
            </w: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(332)</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r>
      <w:tr>
        <w:trPr>
          <w:trHeight w:val="152"/>
        </w:trPr>
        <w:tc>
          <w:tcPr>
            <w:tcW w:w="20" w:type="dxa"/>
            <w:vAlign w:val="bottom"/>
            <w:tcBorders>
              <w:bottom w:val="single" w:sz="8" w:color="CCEEFF"/>
            </w:tcBorders>
          </w:tcPr>
          <w:p>
            <w:pPr>
              <w:spacing w:after="0"/>
              <w:rPr>
                <w:sz w:val="13"/>
                <w:szCs w:val="13"/>
                <w:color w:val="auto"/>
              </w:rPr>
            </w:pPr>
          </w:p>
        </w:tc>
        <w:tc>
          <w:tcPr>
            <w:tcW w:w="598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Income tax expense (benefit)</w:t>
            </w: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55</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w:t>
            </w:r>
          </w:p>
        </w:tc>
      </w:tr>
      <w:tr>
        <w:trPr>
          <w:trHeight w:val="176"/>
        </w:trPr>
        <w:tc>
          <w:tcPr>
            <w:tcW w:w="20" w:type="dxa"/>
            <w:vAlign w:val="bottom"/>
            <w:tcBorders>
              <w:bottom w:val="single" w:sz="8" w:color="CCEEFF"/>
            </w:tcBorders>
            <w:shd w:val="clear" w:color="auto" w:fill="CCEEFF"/>
          </w:tcPr>
          <w:p>
            <w:pPr>
              <w:spacing w:after="0"/>
              <w:rPr>
                <w:sz w:val="14"/>
                <w:szCs w:val="14"/>
                <w:color w:val="auto"/>
              </w:rPr>
            </w:pPr>
          </w:p>
        </w:tc>
        <w:tc>
          <w:tcPr>
            <w:tcW w:w="5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Net Income (Loss)</w:t>
            </w:r>
          </w:p>
        </w:tc>
        <w:tc>
          <w:tcPr>
            <w:tcW w:w="40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(296)</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(182)</w:t>
            </w: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64"/>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45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4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300" w:type="dxa"/>
            <w:vAlign w:val="bottom"/>
          </w:tcPr>
          <w:p>
            <w:pPr>
              <w:spacing w:after="0"/>
              <w:rPr>
                <w:sz w:val="9"/>
                <w:szCs w:val="9"/>
                <w:color w:val="auto"/>
              </w:rPr>
            </w:pPr>
          </w:p>
        </w:tc>
      </w:tr>
      <w:tr>
        <w:trPr>
          <w:trHeight w:val="156"/>
        </w:trPr>
        <w:tc>
          <w:tcPr>
            <w:tcW w:w="20" w:type="dxa"/>
            <w:vAlign w:val="bottom"/>
            <w:shd w:val="clear" w:color="auto" w:fill="CCEEFF"/>
          </w:tcPr>
          <w:p>
            <w:pPr>
              <w:spacing w:after="0"/>
              <w:rPr>
                <w:sz w:val="13"/>
                <w:szCs w:val="13"/>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Net Income (Loss) per Share:</w:t>
            </w: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5980" w:type="dxa"/>
            <w:vAlign w:val="bottom"/>
            <w:gridSpan w:val="2"/>
          </w:tcPr>
          <w:p>
            <w:pPr>
              <w:ind w:left="160"/>
              <w:spacing w:after="0"/>
              <w:rPr>
                <w:sz w:val="20"/>
                <w:szCs w:val="20"/>
                <w:color w:val="auto"/>
              </w:rPr>
            </w:pPr>
            <w:r>
              <w:rPr>
                <w:rFonts w:ascii="Arial" w:cs="Arial" w:eastAsia="Arial" w:hAnsi="Arial"/>
                <w:sz w:val="11"/>
                <w:szCs w:val="11"/>
                <w:color w:val="auto"/>
              </w:rPr>
              <w:t>Basic</w:t>
            </w:r>
          </w:p>
        </w:tc>
        <w:tc>
          <w:tcPr>
            <w:tcW w:w="400" w:type="dxa"/>
            <w:vAlign w:val="bottom"/>
          </w:tcPr>
          <w:p>
            <w:pPr>
              <w:jc w:val="right"/>
              <w:ind w:right="264"/>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(1.41)</w:t>
            </w:r>
          </w:p>
        </w:tc>
        <w:tc>
          <w:tcPr>
            <w:tcW w:w="100" w:type="dxa"/>
            <w:vAlign w:val="bottom"/>
          </w:tcPr>
          <w:p>
            <w:pPr>
              <w:spacing w:after="0"/>
              <w:rPr>
                <w:sz w:val="13"/>
                <w:szCs w:val="13"/>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1560" w:type="dxa"/>
            <w:vAlign w:val="bottom"/>
          </w:tcPr>
          <w:p>
            <w:pPr>
              <w:jc w:val="right"/>
              <w:spacing w:after="0"/>
              <w:rPr>
                <w:sz w:val="20"/>
                <w:szCs w:val="20"/>
                <w:color w:val="auto"/>
              </w:rPr>
            </w:pPr>
            <w:r>
              <w:rPr>
                <w:rFonts w:ascii="Arial" w:cs="Arial" w:eastAsia="Arial" w:hAnsi="Arial"/>
                <w:sz w:val="11"/>
                <w:szCs w:val="11"/>
                <w:color w:val="auto"/>
              </w:rPr>
              <w:t>(0.89)</w:t>
            </w:r>
          </w:p>
        </w:tc>
        <w:tc>
          <w:tcPr>
            <w:tcW w:w="80" w:type="dxa"/>
            <w:vAlign w:val="bottom"/>
          </w:tcPr>
          <w:p>
            <w:pPr>
              <w:spacing w:after="0"/>
              <w:rPr>
                <w:sz w:val="13"/>
                <w:szCs w:val="13"/>
                <w:color w:val="auto"/>
              </w:rPr>
            </w:pPr>
          </w:p>
        </w:tc>
        <w:tc>
          <w:tcPr>
            <w:tcW w:w="400" w:type="dxa"/>
            <w:vAlign w:val="bottom"/>
          </w:tcPr>
          <w:p>
            <w:pPr>
              <w:jc w:val="right"/>
              <w:ind w:right="264"/>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(0.18)</w:t>
            </w:r>
          </w:p>
        </w:tc>
      </w:tr>
      <w:tr>
        <w:trPr>
          <w:trHeight w:val="160"/>
        </w:trPr>
        <w:tc>
          <w:tcPr>
            <w:tcW w:w="20" w:type="dxa"/>
            <w:vAlign w:val="bottom"/>
            <w:shd w:val="clear" w:color="auto" w:fill="CCEEFF"/>
          </w:tcPr>
          <w:p>
            <w:pPr>
              <w:spacing w:after="0"/>
              <w:rPr>
                <w:sz w:val="13"/>
                <w:szCs w:val="13"/>
                <w:color w:val="auto"/>
              </w:rPr>
            </w:pPr>
          </w:p>
        </w:tc>
        <w:tc>
          <w:tcPr>
            <w:tcW w:w="59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Diluted</w:t>
            </w:r>
          </w:p>
        </w:tc>
        <w:tc>
          <w:tcPr>
            <w:tcW w:w="400" w:type="dxa"/>
            <w:vAlign w:val="bottom"/>
            <w:shd w:val="clear" w:color="auto" w:fill="CCEEFF"/>
          </w:tcPr>
          <w:p>
            <w:pPr>
              <w:jc w:val="right"/>
              <w:ind w:right="264"/>
              <w:spacing w:after="0"/>
              <w:rPr>
                <w:sz w:val="20"/>
                <w:szCs w:val="20"/>
                <w:color w:val="auto"/>
              </w:rPr>
            </w:pPr>
            <w:r>
              <w:rPr>
                <w:rFonts w:ascii="Arial" w:cs="Arial" w:eastAsia="Arial" w:hAnsi="Arial"/>
                <w:sz w:val="11"/>
                <w:szCs w:val="11"/>
                <w:color w:val="auto"/>
                <w:w w:val="97"/>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(0.89)</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4"/>
              <w:spacing w:after="0"/>
              <w:rPr>
                <w:sz w:val="20"/>
                <w:szCs w:val="20"/>
                <w:color w:val="auto"/>
              </w:rPr>
            </w:pPr>
            <w:r>
              <w:rPr>
                <w:rFonts w:ascii="Arial" w:cs="Arial" w:eastAsia="Arial" w:hAnsi="Arial"/>
                <w:sz w:val="11"/>
                <w:szCs w:val="11"/>
                <w:color w:val="auto"/>
                <w:w w:val="97"/>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(0.18)</w:t>
            </w:r>
          </w:p>
        </w:tc>
      </w:tr>
    </w:tbl>
    <w:p>
      <w:pPr>
        <w:spacing w:after="0" w:line="254"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34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55" w:name="page56"/>
    <w:bookmarkEnd w:id="55"/>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CONDUENT INCORPORATED</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CONSOLIDATED STATEMENTS OF COMPREHENSIVE INCOME (LOSS)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color w:val="auto"/>
              </w:rPr>
              <w:t>Year Ended December 31,</w:t>
            </w:r>
          </w:p>
        </w:tc>
        <w:tc>
          <w:tcPr>
            <w:tcW w:w="40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8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400" w:type="dxa"/>
            <w:vAlign w:val="bottom"/>
          </w:tcPr>
          <w:p>
            <w:pPr>
              <w:spacing w:after="0"/>
              <w:rPr>
                <w:sz w:val="10"/>
                <w:szCs w:val="10"/>
                <w:color w:val="auto"/>
              </w:rPr>
            </w:pPr>
          </w:p>
        </w:tc>
        <w:tc>
          <w:tcPr>
            <w:tcW w:w="1300" w:type="dxa"/>
            <w:vAlign w:val="bottom"/>
          </w:tcPr>
          <w:p>
            <w:pPr>
              <w:jc w:val="right"/>
              <w:ind w:right="684"/>
              <w:spacing w:after="0" w:line="120" w:lineRule="exact"/>
              <w:rPr>
                <w:sz w:val="20"/>
                <w:szCs w:val="20"/>
                <w:color w:val="auto"/>
              </w:rPr>
            </w:pPr>
            <w:r>
              <w:rPr>
                <w:rFonts w:ascii="Arial" w:cs="Arial" w:eastAsia="Arial" w:hAnsi="Arial"/>
                <w:sz w:val="11"/>
                <w:szCs w:val="11"/>
                <w:color w:val="auto"/>
              </w:rPr>
              <w:t>2023</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60" w:type="dxa"/>
            <w:vAlign w:val="bottom"/>
          </w:tcPr>
          <w:p>
            <w:pPr>
              <w:jc w:val="right"/>
              <w:ind w:right="664"/>
              <w:spacing w:after="0" w:line="120" w:lineRule="exact"/>
              <w:rPr>
                <w:sz w:val="20"/>
                <w:szCs w:val="20"/>
                <w:color w:val="auto"/>
              </w:rPr>
            </w:pPr>
            <w:r>
              <w:rPr>
                <w:rFonts w:ascii="Arial" w:cs="Arial" w:eastAsia="Arial" w:hAnsi="Arial"/>
                <w:sz w:val="11"/>
                <w:szCs w:val="11"/>
                <w:color w:val="auto"/>
              </w:rPr>
              <w:t>2022</w:t>
            </w: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00" w:type="dxa"/>
            <w:vAlign w:val="bottom"/>
          </w:tcPr>
          <w:p>
            <w:pPr>
              <w:jc w:val="right"/>
              <w:ind w:right="684"/>
              <w:spacing w:after="0" w:line="120" w:lineRule="exact"/>
              <w:rPr>
                <w:sz w:val="20"/>
                <w:szCs w:val="20"/>
                <w:color w:val="auto"/>
              </w:rPr>
            </w:pPr>
            <w:r>
              <w:rPr>
                <w:rFonts w:ascii="Arial" w:cs="Arial" w:eastAsia="Arial" w:hAnsi="Arial"/>
                <w:sz w:val="11"/>
                <w:szCs w:val="11"/>
                <w:color w:val="auto"/>
              </w:rPr>
              <w:t>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54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tcPr>
          <w:p>
            <w:pPr>
              <w:spacing w:after="0"/>
              <w:rPr>
                <w:sz w:val="11"/>
                <w:szCs w:val="11"/>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Net Income (Loss)</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w:t>
            </w: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64"/>
              <w:spacing w:after="0"/>
              <w:rPr>
                <w:sz w:val="20"/>
                <w:szCs w:val="20"/>
                <w:color w:val="auto"/>
              </w:rPr>
            </w:pPr>
            <w:r>
              <w:rPr>
                <w:rFonts w:ascii="Arial" w:cs="Arial" w:eastAsia="Arial" w:hAnsi="Arial"/>
                <w:sz w:val="11"/>
                <w:szCs w:val="11"/>
                <w:color w:val="auto"/>
                <w:w w:val="97"/>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gridSpan w:val="2"/>
          </w:tcPr>
          <w:p>
            <w:pPr>
              <w:spacing w:after="0" w:line="156" w:lineRule="exact"/>
              <w:rPr>
                <w:sz w:val="20"/>
                <w:szCs w:val="20"/>
                <w:color w:val="auto"/>
              </w:rPr>
            </w:pPr>
            <w:r>
              <w:rPr>
                <w:rFonts w:ascii="Arial" w:cs="Arial" w:eastAsia="Arial" w:hAnsi="Arial"/>
                <w:sz w:val="11"/>
                <w:szCs w:val="11"/>
                <w:b w:val="1"/>
                <w:bCs w:val="1"/>
                <w:color w:val="auto"/>
              </w:rPr>
              <w:t>Other Comprehensive Income (Loss), Net</w:t>
            </w:r>
            <w:r>
              <w:rPr>
                <w:rFonts w:ascii="Arial" w:cs="Arial" w:eastAsia="Arial" w:hAnsi="Arial"/>
                <w:sz w:val="14"/>
                <w:szCs w:val="14"/>
                <w:b w:val="1"/>
                <w:bCs w:val="1"/>
                <w:color w:val="auto"/>
                <w:vertAlign w:val="superscript"/>
              </w:rPr>
              <w:t>(1)</w:t>
            </w: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9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Currency translation adjustments, net</w:t>
            </w: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31</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980" w:type="dxa"/>
            <w:vAlign w:val="bottom"/>
            <w:gridSpan w:val="2"/>
          </w:tcPr>
          <w:p>
            <w:pPr>
              <w:ind w:left="160"/>
              <w:spacing w:after="0"/>
              <w:rPr>
                <w:sz w:val="20"/>
                <w:szCs w:val="20"/>
                <w:color w:val="auto"/>
              </w:rPr>
            </w:pPr>
            <w:r>
              <w:rPr>
                <w:rFonts w:ascii="Arial" w:cs="Arial" w:eastAsia="Arial" w:hAnsi="Arial"/>
                <w:sz w:val="11"/>
                <w:szCs w:val="11"/>
                <w:color w:val="auto"/>
              </w:rPr>
              <w:t>Unrecognized gains (losses), net</w:t>
            </w:r>
          </w:p>
        </w:tc>
        <w:tc>
          <w:tcPr>
            <w:tcW w:w="400" w:type="dxa"/>
            <w:vAlign w:val="bottom"/>
          </w:tcPr>
          <w:p>
            <w:pPr>
              <w:spacing w:after="0"/>
              <w:rPr>
                <w:sz w:val="13"/>
                <w:szCs w:val="13"/>
                <w:color w:val="auto"/>
              </w:rPr>
            </w:pPr>
          </w:p>
        </w:tc>
        <w:tc>
          <w:tcPr>
            <w:tcW w:w="1300" w:type="dxa"/>
            <w:vAlign w:val="bottom"/>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59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Changes in benefit plans, net</w:t>
            </w:r>
          </w:p>
        </w:tc>
        <w:tc>
          <w:tcPr>
            <w:tcW w:w="4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5980" w:type="dxa"/>
            <w:vAlign w:val="bottom"/>
            <w:gridSpan w:val="2"/>
          </w:tcPr>
          <w:p>
            <w:pPr>
              <w:spacing w:after="0"/>
              <w:rPr>
                <w:sz w:val="20"/>
                <w:szCs w:val="20"/>
                <w:color w:val="auto"/>
              </w:rPr>
            </w:pPr>
            <w:r>
              <w:rPr>
                <w:rFonts w:ascii="Arial" w:cs="Arial" w:eastAsia="Arial" w:hAnsi="Arial"/>
                <w:sz w:val="11"/>
                <w:szCs w:val="11"/>
                <w:b w:val="1"/>
                <w:bCs w:val="1"/>
                <w:color w:val="auto"/>
              </w:rPr>
              <w:t>Other Comprehensive Income (Loss), Net</w:t>
            </w:r>
          </w:p>
        </w:tc>
        <w:tc>
          <w:tcPr>
            <w:tcW w:w="400" w:type="dxa"/>
            <w:vAlign w:val="bottom"/>
          </w:tcPr>
          <w:p>
            <w:pPr>
              <w:spacing w:after="0"/>
              <w:rPr>
                <w:sz w:val="12"/>
                <w:szCs w:val="12"/>
                <w:color w:val="auto"/>
              </w:rPr>
            </w:pPr>
          </w:p>
        </w:tc>
        <w:tc>
          <w:tcPr>
            <w:tcW w:w="1300" w:type="dxa"/>
            <w:vAlign w:val="bottom"/>
          </w:tcPr>
          <w:p>
            <w:pPr>
              <w:jc w:val="right"/>
              <w:ind w:right="4"/>
              <w:spacing w:after="0"/>
              <w:rPr>
                <w:sz w:val="20"/>
                <w:szCs w:val="20"/>
                <w:color w:val="auto"/>
              </w:rPr>
            </w:pPr>
            <w:r>
              <w:rPr>
                <w:rFonts w:ascii="Arial" w:cs="Arial" w:eastAsia="Arial" w:hAnsi="Arial"/>
                <w:sz w:val="11"/>
                <w:szCs w:val="11"/>
                <w:color w:val="auto"/>
              </w:rPr>
              <w:t>31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tcPr>
          <w:p>
            <w:pPr>
              <w:jc w:val="right"/>
              <w:spacing w:after="0"/>
              <w:rPr>
                <w:sz w:val="20"/>
                <w:szCs w:val="20"/>
                <w:color w:val="auto"/>
              </w:rPr>
            </w:pPr>
            <w:r>
              <w:rPr>
                <w:rFonts w:ascii="Arial" w:cs="Arial" w:eastAsia="Arial" w:hAnsi="Arial"/>
                <w:sz w:val="11"/>
                <w:szCs w:val="11"/>
                <w:color w:val="auto"/>
              </w:rPr>
              <w:t>(37)</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5980" w:type="dxa"/>
            <w:vAlign w:val="bottom"/>
            <w:gridSpan w:val="2"/>
          </w:tcPr>
          <w:p>
            <w:pPr>
              <w:spacing w:after="0"/>
              <w:rPr>
                <w:sz w:val="20"/>
                <w:szCs w:val="20"/>
                <w:color w:val="auto"/>
              </w:rPr>
            </w:pPr>
            <w:r>
              <w:rPr>
                <w:rFonts w:ascii="Arial" w:cs="Arial" w:eastAsia="Arial" w:hAnsi="Arial"/>
                <w:sz w:val="11"/>
                <w:szCs w:val="11"/>
                <w:b w:val="1"/>
                <w:bCs w:val="1"/>
                <w:color w:val="auto"/>
              </w:rPr>
              <w:t>Comprehensive Income (Loss), Net</w:t>
            </w:r>
          </w:p>
        </w:tc>
        <w:tc>
          <w:tcPr>
            <w:tcW w:w="400" w:type="dxa"/>
            <w:vAlign w:val="bottom"/>
            <w:tcBorders>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(265)</w:t>
            </w:r>
          </w:p>
        </w:tc>
        <w:tc>
          <w:tcPr>
            <w:tcW w:w="80" w:type="dxa"/>
            <w:vAlign w:val="bottom"/>
          </w:tcPr>
          <w:p>
            <w:pPr>
              <w:spacing w:after="0"/>
              <w:rPr>
                <w:sz w:val="12"/>
                <w:szCs w:val="12"/>
                <w:color w:val="auto"/>
              </w:rPr>
            </w:pPr>
          </w:p>
        </w:tc>
        <w:tc>
          <w:tcPr>
            <w:tcW w:w="1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w w:val="97"/>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(219)</w:t>
            </w:r>
          </w:p>
        </w:tc>
        <w:tc>
          <w:tcPr>
            <w:tcW w:w="100" w:type="dxa"/>
            <w:vAlign w:val="bottom"/>
          </w:tcPr>
          <w:p>
            <w:pPr>
              <w:spacing w:after="0"/>
              <w:rPr>
                <w:sz w:val="12"/>
                <w:szCs w:val="12"/>
                <w:color w:val="auto"/>
              </w:rPr>
            </w:pPr>
          </w:p>
        </w:tc>
        <w:tc>
          <w:tcPr>
            <w:tcW w:w="400" w:type="dxa"/>
            <w:vAlign w:val="bottom"/>
            <w:tcBorders>
              <w:bottom w:val="single" w:sz="8" w:color="auto"/>
            </w:tcBorders>
          </w:tcPr>
          <w:p>
            <w:pPr>
              <w:jc w:val="right"/>
              <w:ind w:right="264"/>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w:t>
            </w:r>
          </w:p>
        </w:tc>
        <w:tc>
          <w:tcPr>
            <w:tcW w:w="0" w:type="dxa"/>
            <w:vAlign w:val="bottom"/>
          </w:tcPr>
          <w:p>
            <w:pPr>
              <w:spacing w:after="0"/>
              <w:rPr>
                <w:sz w:val="1"/>
                <w:szCs w:val="1"/>
                <w:color w:val="auto"/>
              </w:rPr>
            </w:pPr>
          </w:p>
        </w:tc>
      </w:tr>
      <w:tr>
        <w:trPr>
          <w:trHeight w:val="20"/>
        </w:trPr>
        <w:tc>
          <w:tcPr>
            <w:tcW w:w="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color w:val="auto"/>
                <w:w w:val="91"/>
              </w:rPr>
              <w:t>__________</w:t>
            </w:r>
          </w:p>
        </w:tc>
        <w:tc>
          <w:tcPr>
            <w:tcW w:w="5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20" w:type="dxa"/>
            <w:vAlign w:val="bottom"/>
            <w:gridSpan w:val="2"/>
            <w:vMerge w:val="continue"/>
          </w:tcPr>
          <w:p>
            <w:pPr>
              <w:spacing w:after="0"/>
              <w:rPr>
                <w:sz w:val="14"/>
                <w:szCs w:val="14"/>
                <w:color w:val="auto"/>
              </w:rPr>
            </w:pPr>
          </w:p>
        </w:tc>
        <w:tc>
          <w:tcPr>
            <w:tcW w:w="5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3440" w:right="3440" w:hanging="3437"/>
        <w:spacing w:after="0" w:line="646" w:lineRule="auto"/>
        <w:tabs>
          <w:tab w:leader="none" w:pos="242" w:val="left"/>
        </w:tabs>
        <w:numPr>
          <w:ilvl w:val="0"/>
          <w:numId w:val="37"/>
        </w:numPr>
        <w:rPr>
          <w:rFonts w:ascii="Arial" w:cs="Arial" w:eastAsia="Arial" w:hAnsi="Arial"/>
          <w:sz w:val="11"/>
          <w:szCs w:val="11"/>
          <w:i w:val="1"/>
          <w:iCs w:val="1"/>
          <w:color w:val="auto"/>
        </w:rPr>
      </w:pPr>
      <w:r>
        <w:rPr>
          <w:rFonts w:ascii="Arial" w:cs="Arial" w:eastAsia="Arial" w:hAnsi="Arial"/>
          <w:sz w:val="11"/>
          <w:szCs w:val="11"/>
          <w:i w:val="1"/>
          <w:iCs w:val="1"/>
          <w:color w:val="auto"/>
        </w:rPr>
        <w:t>All amounts are net of tax. Tax effects were immaterial. Refer to Note 19 – Other Comprehensive Income (Loss) for information about pre-tax amounts. The accompanying notes are an integral part of these Consolidated Financial Statements.</w:t>
      </w:r>
    </w:p>
    <w:p>
      <w:pPr>
        <w:spacing w:after="0" w:line="113"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56" w:name="page57"/>
    <w:bookmarkEnd w:id="56"/>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CONDUENT INCORPORATED</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CONSOLIDATED BALANCE SHEETS</w:t>
      </w:r>
    </w:p>
    <w:p>
      <w:pPr>
        <w:spacing w:after="0" w:line="31" w:lineRule="exact"/>
        <w:rPr>
          <w:sz w:val="20"/>
          <w:szCs w:val="20"/>
          <w:color w:val="auto"/>
        </w:rPr>
      </w:pPr>
    </w:p>
    <w:p>
      <w:pPr>
        <w:ind w:left="9460"/>
        <w:spacing w:after="0"/>
        <w:rPr>
          <w:sz w:val="20"/>
          <w:szCs w:val="20"/>
          <w:color w:val="auto"/>
        </w:rPr>
      </w:pPr>
      <w:r>
        <w:rPr>
          <w:rFonts w:ascii="Arial" w:cs="Arial" w:eastAsia="Arial" w:hAnsi="Arial"/>
          <w:sz w:val="11"/>
          <w:szCs w:val="11"/>
          <w:color w:val="auto"/>
        </w:rPr>
        <w:t>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320" w:type="dxa"/>
            <w:vAlign w:val="bottom"/>
            <w:gridSpan w:val="2"/>
          </w:tcPr>
          <w:p>
            <w:pPr>
              <w:spacing w:after="0"/>
              <w:rPr>
                <w:sz w:val="20"/>
                <w:szCs w:val="20"/>
                <w:color w:val="auto"/>
              </w:rPr>
            </w:pPr>
            <w:r>
              <w:rPr>
                <w:rFonts w:ascii="Arial" w:cs="Arial" w:eastAsia="Arial" w:hAnsi="Arial"/>
                <w:sz w:val="10"/>
                <w:szCs w:val="10"/>
                <w:color w:val="auto"/>
              </w:rPr>
              <w:t>(in millions, except share data in thousands)</w:t>
            </w:r>
          </w:p>
        </w:tc>
        <w:tc>
          <w:tcPr>
            <w:tcW w:w="3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right"/>
              <w:ind w:right="544"/>
              <w:spacing w:after="0" w:line="123" w:lineRule="exact"/>
              <w:rPr>
                <w:sz w:val="20"/>
                <w:szCs w:val="20"/>
                <w:color w:val="auto"/>
              </w:rPr>
            </w:pPr>
            <w:r>
              <w:rPr>
                <w:rFonts w:ascii="Arial" w:cs="Arial" w:eastAsia="Arial" w:hAnsi="Arial"/>
                <w:sz w:val="11"/>
                <w:szCs w:val="11"/>
                <w:color w:val="auto"/>
              </w:rPr>
              <w:t>2023</w:t>
            </w:r>
          </w:p>
        </w:tc>
        <w:tc>
          <w:tcPr>
            <w:tcW w:w="8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524"/>
              <w:spacing w:after="0" w:line="123" w:lineRule="exact"/>
              <w:rPr>
                <w:sz w:val="20"/>
                <w:szCs w:val="20"/>
                <w:color w:val="auto"/>
              </w:rPr>
            </w:pPr>
            <w:r>
              <w:rPr>
                <w:rFonts w:ascii="Arial" w:cs="Arial" w:eastAsia="Arial" w:hAnsi="Arial"/>
                <w:sz w:val="11"/>
                <w:szCs w:val="11"/>
                <w:color w:val="auto"/>
              </w:rPr>
              <w:t>2022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00" w:type="dxa"/>
            <w:vAlign w:val="bottom"/>
            <w:tcBorders>
              <w:top w:val="single" w:sz="8" w:color="auto"/>
              <w:bottom w:val="single" w:sz="8" w:color="CCEEFF"/>
            </w:tcBorders>
          </w:tcPr>
          <w:p>
            <w:pPr>
              <w:spacing w:after="0" w:line="20" w:lineRule="exact"/>
              <w:rPr>
                <w:sz w:val="1"/>
                <w:szCs w:val="1"/>
                <w:color w:val="auto"/>
              </w:rPr>
            </w:pPr>
          </w:p>
        </w:tc>
        <w:tc>
          <w:tcPr>
            <w:tcW w:w="6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320" w:type="dxa"/>
            <w:vAlign w:val="bottom"/>
            <w:gridSpan w:val="2"/>
          </w:tcPr>
          <w:p>
            <w:pPr>
              <w:spacing w:after="0"/>
              <w:rPr>
                <w:sz w:val="20"/>
                <w:szCs w:val="20"/>
                <w:color w:val="auto"/>
              </w:rPr>
            </w:pPr>
            <w:r>
              <w:rPr>
                <w:rFonts w:ascii="Arial" w:cs="Arial" w:eastAsia="Arial" w:hAnsi="Arial"/>
                <w:sz w:val="11"/>
                <w:szCs w:val="11"/>
                <w:color w:val="auto"/>
              </w:rPr>
              <w:t>Cash and cash equivalents</w:t>
            </w:r>
          </w:p>
        </w:tc>
        <w:tc>
          <w:tcPr>
            <w:tcW w:w="320" w:type="dxa"/>
            <w:vAlign w:val="bottom"/>
          </w:tcPr>
          <w:p>
            <w:pPr>
              <w:jc w:val="right"/>
              <w:ind w:right="184"/>
              <w:spacing w:after="0"/>
              <w:rPr>
                <w:sz w:val="20"/>
                <w:szCs w:val="20"/>
                <w:color w:val="auto"/>
              </w:rPr>
            </w:pPr>
            <w:r>
              <w:rPr>
                <w:rFonts w:ascii="Arial" w:cs="Arial" w:eastAsia="Arial" w:hAnsi="Arial"/>
                <w:sz w:val="11"/>
                <w:szCs w:val="11"/>
                <w:color w:val="auto"/>
                <w:w w:val="97"/>
              </w:rPr>
              <w:t>$</w:t>
            </w:r>
          </w:p>
        </w:tc>
        <w:tc>
          <w:tcPr>
            <w:tcW w:w="1100" w:type="dxa"/>
            <w:vAlign w:val="bottom"/>
          </w:tcPr>
          <w:p>
            <w:pPr>
              <w:jc w:val="right"/>
              <w:ind w:right="4"/>
              <w:spacing w:after="0"/>
              <w:rPr>
                <w:sz w:val="20"/>
                <w:szCs w:val="20"/>
                <w:color w:val="auto"/>
              </w:rPr>
            </w:pPr>
            <w:r>
              <w:rPr>
                <w:rFonts w:ascii="Arial" w:cs="Arial" w:eastAsia="Arial" w:hAnsi="Arial"/>
                <w:sz w:val="11"/>
                <w:szCs w:val="11"/>
                <w:color w:val="auto"/>
              </w:rPr>
              <w:t>498</w:t>
            </w:r>
          </w:p>
        </w:tc>
        <w:tc>
          <w:tcPr>
            <w:tcW w:w="80" w:type="dxa"/>
            <w:vAlign w:val="bottom"/>
          </w:tcPr>
          <w:p>
            <w:pPr>
              <w:spacing w:after="0"/>
              <w:rPr>
                <w:sz w:val="13"/>
                <w:szCs w:val="13"/>
                <w:color w:val="auto"/>
              </w:rPr>
            </w:pPr>
          </w:p>
        </w:tc>
        <w:tc>
          <w:tcPr>
            <w:tcW w:w="340" w:type="dxa"/>
            <w:vAlign w:val="bottom"/>
          </w:tcPr>
          <w:p>
            <w:pPr>
              <w:jc w:val="right"/>
              <w:ind w:right="204"/>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582</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Accounts receivable, net</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559</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320" w:type="dxa"/>
            <w:vAlign w:val="bottom"/>
            <w:gridSpan w:val="2"/>
          </w:tcPr>
          <w:p>
            <w:pPr>
              <w:spacing w:after="0"/>
              <w:rPr>
                <w:sz w:val="20"/>
                <w:szCs w:val="20"/>
                <w:color w:val="auto"/>
              </w:rPr>
            </w:pPr>
            <w:r>
              <w:rPr>
                <w:rFonts w:ascii="Arial" w:cs="Arial" w:eastAsia="Arial" w:hAnsi="Arial"/>
                <w:sz w:val="11"/>
                <w:szCs w:val="11"/>
                <w:color w:val="auto"/>
              </w:rPr>
              <w:t>Assets held for sale</w:t>
            </w:r>
          </w:p>
        </w:tc>
        <w:tc>
          <w:tcPr>
            <w:tcW w:w="32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Arial" w:cs="Arial" w:eastAsia="Arial" w:hAnsi="Arial"/>
                <w:sz w:val="11"/>
                <w:szCs w:val="11"/>
                <w:color w:val="auto"/>
              </w:rPr>
              <w:t>180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Contract assets</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178</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832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Other current assets</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240</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242</w:t>
            </w: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832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Total current assets</w:t>
            </w: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1,655</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1,625</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320" w:type="dxa"/>
            <w:vAlign w:val="bottom"/>
            <w:gridSpan w:val="2"/>
          </w:tcPr>
          <w:p>
            <w:pPr>
              <w:spacing w:after="0"/>
              <w:rPr>
                <w:sz w:val="20"/>
                <w:szCs w:val="20"/>
                <w:color w:val="auto"/>
              </w:rPr>
            </w:pPr>
            <w:r>
              <w:rPr>
                <w:rFonts w:ascii="Arial" w:cs="Arial" w:eastAsia="Arial" w:hAnsi="Arial"/>
                <w:sz w:val="11"/>
                <w:szCs w:val="11"/>
                <w:color w:val="auto"/>
              </w:rPr>
              <w:t>Land, buildings and equipment, net</w:t>
            </w:r>
          </w:p>
        </w:tc>
        <w:tc>
          <w:tcPr>
            <w:tcW w:w="320" w:type="dxa"/>
            <w:vAlign w:val="bottom"/>
          </w:tcPr>
          <w:p>
            <w:pPr>
              <w:spacing w:after="0"/>
              <w:rPr>
                <w:sz w:val="12"/>
                <w:szCs w:val="12"/>
                <w:color w:val="auto"/>
              </w:rPr>
            </w:pPr>
          </w:p>
        </w:tc>
        <w:tc>
          <w:tcPr>
            <w:tcW w:w="1100" w:type="dxa"/>
            <w:vAlign w:val="bottom"/>
          </w:tcPr>
          <w:p>
            <w:pPr>
              <w:jc w:val="right"/>
              <w:ind w:right="4"/>
              <w:spacing w:after="0"/>
              <w:rPr>
                <w:sz w:val="20"/>
                <w:szCs w:val="20"/>
                <w:color w:val="auto"/>
              </w:rPr>
            </w:pPr>
            <w:r>
              <w:rPr>
                <w:rFonts w:ascii="Arial" w:cs="Arial" w:eastAsia="Arial" w:hAnsi="Arial"/>
                <w:sz w:val="11"/>
                <w:szCs w:val="11"/>
                <w:color w:val="auto"/>
              </w:rPr>
              <w:t>197</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266</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Operating lease right-of-use assets</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191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197</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320" w:type="dxa"/>
            <w:vAlign w:val="bottom"/>
            <w:gridSpan w:val="2"/>
          </w:tcPr>
          <w:p>
            <w:pPr>
              <w:spacing w:after="0"/>
              <w:rPr>
                <w:sz w:val="20"/>
                <w:szCs w:val="20"/>
                <w:color w:val="auto"/>
              </w:rPr>
            </w:pPr>
            <w:r>
              <w:rPr>
                <w:rFonts w:ascii="Arial" w:cs="Arial" w:eastAsia="Arial" w:hAnsi="Arial"/>
                <w:sz w:val="11"/>
                <w:szCs w:val="11"/>
                <w:color w:val="auto"/>
              </w:rPr>
              <w:t>Intangible assets, net</w:t>
            </w:r>
          </w:p>
        </w:tc>
        <w:tc>
          <w:tcPr>
            <w:tcW w:w="32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Arial" w:cs="Arial" w:eastAsia="Arial" w:hAnsi="Arial"/>
                <w:sz w:val="11"/>
                <w:szCs w:val="11"/>
                <w:color w:val="auto"/>
              </w:rPr>
              <w:t>32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39</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Goodwill</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651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955</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832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Other long-term assets</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436</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489</w:t>
            </w: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4"/>
                <w:szCs w:val="14"/>
                <w:color w:val="auto"/>
              </w:rPr>
            </w:pPr>
          </w:p>
        </w:tc>
        <w:tc>
          <w:tcPr>
            <w:tcW w:w="8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b w:val="1"/>
                <w:bCs w:val="1"/>
                <w:color w:val="auto"/>
              </w:rPr>
              <w:t>Total Assets</w:t>
            </w:r>
          </w:p>
        </w:tc>
        <w:tc>
          <w:tcPr>
            <w:tcW w:w="32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3,162</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3,571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3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1"/>
                <w:szCs w:val="11"/>
                <w:b w:val="1"/>
                <w:bCs w:val="1"/>
                <w:color w:val="auto"/>
              </w:rPr>
              <w:t>Liabilities and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vMerge w:val="continue"/>
          </w:tcPr>
          <w:p>
            <w:pPr>
              <w:spacing w:after="0"/>
              <w:rPr>
                <w:sz w:val="8"/>
                <w:szCs w:val="8"/>
                <w:color w:val="auto"/>
              </w:rPr>
            </w:pPr>
          </w:p>
        </w:tc>
        <w:tc>
          <w:tcPr>
            <w:tcW w:w="832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Current portion of long-term debt</w:t>
            </w:r>
          </w:p>
        </w:tc>
        <w:tc>
          <w:tcPr>
            <w:tcW w:w="32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34</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4"/>
              <w:spacing w:after="0"/>
              <w:rPr>
                <w:sz w:val="20"/>
                <w:szCs w:val="20"/>
                <w:color w:val="auto"/>
              </w:rPr>
            </w:pPr>
            <w:r>
              <w:rPr>
                <w:rFonts w:ascii="Arial" w:cs="Arial" w:eastAsia="Arial" w:hAnsi="Arial"/>
                <w:sz w:val="11"/>
                <w:szCs w:val="11"/>
                <w:color w:val="auto"/>
                <w:w w:val="97"/>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320" w:type="dxa"/>
            <w:vAlign w:val="bottom"/>
            <w:gridSpan w:val="2"/>
          </w:tcPr>
          <w:p>
            <w:pPr>
              <w:spacing w:after="0"/>
              <w:rPr>
                <w:sz w:val="20"/>
                <w:szCs w:val="20"/>
                <w:color w:val="auto"/>
              </w:rPr>
            </w:pPr>
            <w:r>
              <w:rPr>
                <w:rFonts w:ascii="Arial" w:cs="Arial" w:eastAsia="Arial" w:hAnsi="Arial"/>
                <w:sz w:val="11"/>
                <w:szCs w:val="11"/>
                <w:color w:val="auto"/>
              </w:rPr>
              <w:t>Accounts payable</w:t>
            </w:r>
          </w:p>
        </w:tc>
        <w:tc>
          <w:tcPr>
            <w:tcW w:w="32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Arial" w:cs="Arial" w:eastAsia="Arial" w:hAnsi="Arial"/>
                <w:sz w:val="11"/>
                <w:szCs w:val="11"/>
                <w:color w:val="auto"/>
              </w:rPr>
              <w:t>174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228</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Accrued compensation and benefits costs</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183</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197</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320" w:type="dxa"/>
            <w:vAlign w:val="bottom"/>
            <w:gridSpan w:val="2"/>
          </w:tcPr>
          <w:p>
            <w:pPr>
              <w:spacing w:after="0"/>
              <w:rPr>
                <w:sz w:val="20"/>
                <w:szCs w:val="20"/>
                <w:color w:val="auto"/>
              </w:rPr>
            </w:pPr>
            <w:r>
              <w:rPr>
                <w:rFonts w:ascii="Arial" w:cs="Arial" w:eastAsia="Arial" w:hAnsi="Arial"/>
                <w:sz w:val="11"/>
                <w:szCs w:val="11"/>
                <w:color w:val="auto"/>
              </w:rPr>
              <w:t>Unearned income</w:t>
            </w:r>
          </w:p>
        </w:tc>
        <w:tc>
          <w:tcPr>
            <w:tcW w:w="32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Arial" w:cs="Arial" w:eastAsia="Arial" w:hAnsi="Arial"/>
                <w:sz w:val="11"/>
                <w:szCs w:val="11"/>
                <w:color w:val="auto"/>
              </w:rPr>
              <w:t>91</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81</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Liabilities held for sale</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58</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832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Other current liabilities</w:t>
            </w: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328</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382</w:t>
            </w: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832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Total current liabilities</w:t>
            </w: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868</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923</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320" w:type="dxa"/>
            <w:vAlign w:val="bottom"/>
            <w:gridSpan w:val="2"/>
          </w:tcPr>
          <w:p>
            <w:pPr>
              <w:spacing w:after="0"/>
              <w:rPr>
                <w:sz w:val="20"/>
                <w:szCs w:val="20"/>
                <w:color w:val="auto"/>
              </w:rPr>
            </w:pPr>
            <w:r>
              <w:rPr>
                <w:rFonts w:ascii="Arial" w:cs="Arial" w:eastAsia="Arial" w:hAnsi="Arial"/>
                <w:sz w:val="11"/>
                <w:szCs w:val="11"/>
                <w:color w:val="auto"/>
              </w:rPr>
              <w:t>Long-term debt</w:t>
            </w:r>
          </w:p>
        </w:tc>
        <w:tc>
          <w:tcPr>
            <w:tcW w:w="320" w:type="dxa"/>
            <w:vAlign w:val="bottom"/>
          </w:tcPr>
          <w:p>
            <w:pPr>
              <w:spacing w:after="0"/>
              <w:rPr>
                <w:sz w:val="12"/>
                <w:szCs w:val="12"/>
                <w:color w:val="auto"/>
              </w:rPr>
            </w:pPr>
          </w:p>
        </w:tc>
        <w:tc>
          <w:tcPr>
            <w:tcW w:w="1100" w:type="dxa"/>
            <w:vAlign w:val="bottom"/>
          </w:tcPr>
          <w:p>
            <w:pPr>
              <w:jc w:val="right"/>
              <w:ind w:right="4"/>
              <w:spacing w:after="0"/>
              <w:rPr>
                <w:sz w:val="20"/>
                <w:szCs w:val="20"/>
                <w:color w:val="auto"/>
              </w:rPr>
            </w:pPr>
            <w:r>
              <w:rPr>
                <w:rFonts w:ascii="Arial" w:cs="Arial" w:eastAsia="Arial" w:hAnsi="Arial"/>
                <w:sz w:val="11"/>
                <w:szCs w:val="11"/>
                <w:color w:val="auto"/>
              </w:rPr>
              <w:t>1,248</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1,277</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Deferred taxes</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30</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83</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320" w:type="dxa"/>
            <w:vAlign w:val="bottom"/>
            <w:gridSpan w:val="2"/>
          </w:tcPr>
          <w:p>
            <w:pPr>
              <w:spacing w:after="0"/>
              <w:rPr>
                <w:sz w:val="20"/>
                <w:szCs w:val="20"/>
                <w:color w:val="auto"/>
              </w:rPr>
            </w:pPr>
            <w:r>
              <w:rPr>
                <w:rFonts w:ascii="Arial" w:cs="Arial" w:eastAsia="Arial" w:hAnsi="Arial"/>
                <w:sz w:val="11"/>
                <w:szCs w:val="11"/>
                <w:color w:val="auto"/>
              </w:rPr>
              <w:t>Operating lease liabilities</w:t>
            </w:r>
          </w:p>
        </w:tc>
        <w:tc>
          <w:tcPr>
            <w:tcW w:w="32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Arial" w:cs="Arial" w:eastAsia="Arial" w:hAnsi="Arial"/>
                <w:sz w:val="11"/>
                <w:szCs w:val="11"/>
                <w:color w:val="auto"/>
              </w:rPr>
              <w:t>157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160</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 long-term liabilities</w:t>
            </w: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84</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69</w:t>
            </w:r>
          </w:p>
        </w:tc>
        <w:tc>
          <w:tcPr>
            <w:tcW w:w="0" w:type="dxa"/>
            <w:vAlign w:val="bottom"/>
          </w:tcPr>
          <w:p>
            <w:pPr>
              <w:spacing w:after="0"/>
              <w:rPr>
                <w:sz w:val="1"/>
                <w:szCs w:val="1"/>
                <w:color w:val="auto"/>
              </w:rPr>
            </w:pPr>
          </w:p>
        </w:tc>
      </w:tr>
      <w:tr>
        <w:trPr>
          <w:trHeight w:val="146"/>
        </w:trPr>
        <w:tc>
          <w:tcPr>
            <w:tcW w:w="20" w:type="dxa"/>
            <w:vAlign w:val="bottom"/>
            <w:tcBorders>
              <w:bottom w:val="single" w:sz="8" w:color="CCEEFF"/>
            </w:tcBorders>
          </w:tcPr>
          <w:p>
            <w:pPr>
              <w:spacing w:after="0"/>
              <w:rPr>
                <w:sz w:val="12"/>
                <w:szCs w:val="12"/>
                <w:color w:val="auto"/>
              </w:rPr>
            </w:pPr>
          </w:p>
        </w:tc>
        <w:tc>
          <w:tcPr>
            <w:tcW w:w="8320" w:type="dxa"/>
            <w:vAlign w:val="bottom"/>
            <w:tcBorders>
              <w:bottom w:val="single" w:sz="8" w:color="CCEEFF"/>
            </w:tcBorders>
            <w:gridSpan w:val="2"/>
          </w:tcPr>
          <w:p>
            <w:pPr>
              <w:ind w:left="240"/>
              <w:spacing w:after="0"/>
              <w:rPr>
                <w:sz w:val="20"/>
                <w:szCs w:val="20"/>
                <w:color w:val="auto"/>
              </w:rPr>
            </w:pPr>
            <w:r>
              <w:rPr>
                <w:rFonts w:ascii="Arial" w:cs="Arial" w:eastAsia="Arial" w:hAnsi="Arial"/>
                <w:sz w:val="11"/>
                <w:szCs w:val="11"/>
                <w:b w:val="1"/>
                <w:bCs w:val="1"/>
                <w:color w:val="auto"/>
              </w:rPr>
              <w:t>Total Liabilities</w:t>
            </w: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2,387</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2,512</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1900" w:type="dxa"/>
            <w:vAlign w:val="bottom"/>
            <w:shd w:val="clear" w:color="auto" w:fill="CCEEFF"/>
          </w:tcPr>
          <w:p>
            <w:pPr>
              <w:spacing w:after="0"/>
              <w:rPr>
                <w:sz w:val="12"/>
                <w:szCs w:val="12"/>
                <w:color w:val="auto"/>
              </w:rPr>
            </w:pPr>
          </w:p>
        </w:tc>
        <w:tc>
          <w:tcPr>
            <w:tcW w:w="6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320" w:type="dxa"/>
            <w:vAlign w:val="bottom"/>
            <w:gridSpan w:val="2"/>
          </w:tcPr>
          <w:p>
            <w:pPr>
              <w:spacing w:after="0"/>
              <w:rPr>
                <w:sz w:val="20"/>
                <w:szCs w:val="20"/>
                <w:color w:val="auto"/>
              </w:rPr>
            </w:pPr>
            <w:r>
              <w:rPr>
                <w:rFonts w:ascii="Arial" w:cs="Arial" w:eastAsia="Arial" w:hAnsi="Arial"/>
                <w:sz w:val="11"/>
                <w:szCs w:val="11"/>
                <w:color w:val="auto"/>
              </w:rPr>
              <w:t>Contingencies (See Note 16)</w:t>
            </w: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Series A convertible preferred stock</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142</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Common stock</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320" w:type="dxa"/>
            <w:vAlign w:val="bottom"/>
            <w:gridSpan w:val="2"/>
          </w:tcPr>
          <w:p>
            <w:pPr>
              <w:spacing w:after="0"/>
              <w:rPr>
                <w:sz w:val="20"/>
                <w:szCs w:val="20"/>
                <w:color w:val="auto"/>
              </w:rPr>
            </w:pPr>
            <w:r>
              <w:rPr>
                <w:rFonts w:ascii="Arial" w:cs="Arial" w:eastAsia="Arial" w:hAnsi="Arial"/>
                <w:sz w:val="11"/>
                <w:szCs w:val="11"/>
                <w:color w:val="auto"/>
              </w:rPr>
              <w:t>Treasury stock, at cost</w:t>
            </w: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Additional paid-in capital</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3,938</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3,924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320" w:type="dxa"/>
            <w:vAlign w:val="bottom"/>
            <w:gridSpan w:val="2"/>
          </w:tcPr>
          <w:p>
            <w:pPr>
              <w:spacing w:after="0"/>
              <w:rPr>
                <w:sz w:val="20"/>
                <w:szCs w:val="20"/>
                <w:color w:val="auto"/>
              </w:rPr>
            </w:pPr>
            <w:r>
              <w:rPr>
                <w:rFonts w:ascii="Arial" w:cs="Arial" w:eastAsia="Arial" w:hAnsi="Arial"/>
                <w:sz w:val="11"/>
                <w:szCs w:val="11"/>
                <w:color w:val="auto"/>
              </w:rPr>
              <w:t>Retained earnings (deficit)</w:t>
            </w:r>
          </w:p>
        </w:tc>
        <w:tc>
          <w:tcPr>
            <w:tcW w:w="32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(2,849)</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(2,543)</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Accumulated other comprehensive loss</w:t>
            </w: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(435)</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(466)</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320" w:type="dxa"/>
            <w:vAlign w:val="bottom"/>
            <w:gridSpan w:val="2"/>
          </w:tcPr>
          <w:p>
            <w:pPr>
              <w:ind w:left="240"/>
              <w:spacing w:after="0"/>
              <w:rPr>
                <w:sz w:val="20"/>
                <w:szCs w:val="20"/>
                <w:color w:val="auto"/>
              </w:rPr>
            </w:pPr>
            <w:r>
              <w:rPr>
                <w:rFonts w:ascii="Arial" w:cs="Arial" w:eastAsia="Arial" w:hAnsi="Arial"/>
                <w:sz w:val="11"/>
                <w:szCs w:val="11"/>
                <w:b w:val="1"/>
                <w:bCs w:val="1"/>
                <w:color w:val="auto"/>
              </w:rPr>
              <w:t>Total Conduent Inc. Equity</w:t>
            </w:r>
          </w:p>
        </w:tc>
        <w:tc>
          <w:tcPr>
            <w:tcW w:w="320" w:type="dxa"/>
            <w:vAlign w:val="bottom"/>
          </w:tcPr>
          <w:p>
            <w:pPr>
              <w:spacing w:after="0"/>
              <w:rPr>
                <w:sz w:val="12"/>
                <w:szCs w:val="12"/>
                <w:color w:val="auto"/>
              </w:rPr>
            </w:pPr>
          </w:p>
        </w:tc>
        <w:tc>
          <w:tcPr>
            <w:tcW w:w="1100" w:type="dxa"/>
            <w:vAlign w:val="bottom"/>
          </w:tcPr>
          <w:p>
            <w:pPr>
              <w:jc w:val="right"/>
              <w:ind w:right="4"/>
              <w:spacing w:after="0"/>
              <w:rPr>
                <w:sz w:val="20"/>
                <w:szCs w:val="20"/>
                <w:color w:val="auto"/>
              </w:rPr>
            </w:pPr>
            <w:r>
              <w:rPr>
                <w:rFonts w:ascii="Arial" w:cs="Arial" w:eastAsia="Arial" w:hAnsi="Arial"/>
                <w:sz w:val="11"/>
                <w:szCs w:val="11"/>
                <w:color w:val="auto"/>
              </w:rPr>
              <w:t>629</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917</w:t>
            </w: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Non-controlling Interest</w:t>
            </w:r>
          </w:p>
        </w:tc>
        <w:tc>
          <w:tcPr>
            <w:tcW w:w="32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6"/>
        </w:trPr>
        <w:tc>
          <w:tcPr>
            <w:tcW w:w="20" w:type="dxa"/>
            <w:vAlign w:val="bottom"/>
            <w:tcBorders>
              <w:bottom w:val="single" w:sz="8" w:color="CCEEFF"/>
            </w:tcBorders>
          </w:tcPr>
          <w:p>
            <w:pPr>
              <w:spacing w:after="0"/>
              <w:rPr>
                <w:sz w:val="12"/>
                <w:szCs w:val="12"/>
                <w:color w:val="auto"/>
              </w:rPr>
            </w:pPr>
          </w:p>
        </w:tc>
        <w:tc>
          <w:tcPr>
            <w:tcW w:w="8320" w:type="dxa"/>
            <w:vAlign w:val="bottom"/>
            <w:tcBorders>
              <w:bottom w:val="single" w:sz="8" w:color="CCEEFF"/>
            </w:tcBorders>
            <w:gridSpan w:val="2"/>
          </w:tcPr>
          <w:p>
            <w:pPr>
              <w:ind w:left="240"/>
              <w:spacing w:after="0"/>
              <w:rPr>
                <w:sz w:val="20"/>
                <w:szCs w:val="20"/>
                <w:color w:val="auto"/>
              </w:rPr>
            </w:pPr>
            <w:r>
              <w:rPr>
                <w:rFonts w:ascii="Arial" w:cs="Arial" w:eastAsia="Arial" w:hAnsi="Arial"/>
                <w:sz w:val="11"/>
                <w:szCs w:val="11"/>
                <w:b w:val="1"/>
                <w:bCs w:val="1"/>
                <w:color w:val="auto"/>
              </w:rPr>
              <w:t>Total Equity</w:t>
            </w:r>
          </w:p>
        </w:tc>
        <w:tc>
          <w:tcPr>
            <w:tcW w:w="3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633</w:t>
            </w: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917</w:t>
            </w:r>
          </w:p>
        </w:tc>
        <w:tc>
          <w:tcPr>
            <w:tcW w:w="0" w:type="dxa"/>
            <w:vAlign w:val="bottom"/>
          </w:tcPr>
          <w:p>
            <w:pPr>
              <w:spacing w:after="0"/>
              <w:rPr>
                <w:sz w:val="1"/>
                <w:szCs w:val="1"/>
                <w:color w:val="auto"/>
              </w:rPr>
            </w:pPr>
          </w:p>
        </w:tc>
      </w:tr>
      <w:tr>
        <w:trPr>
          <w:trHeight w:val="173"/>
        </w:trPr>
        <w:tc>
          <w:tcPr>
            <w:tcW w:w="20" w:type="dxa"/>
            <w:vAlign w:val="bottom"/>
            <w:tcBorders>
              <w:bottom w:val="single" w:sz="8" w:color="CCEEFF"/>
            </w:tcBorders>
            <w:shd w:val="clear" w:color="auto" w:fill="CCEEFF"/>
          </w:tcPr>
          <w:p>
            <w:pPr>
              <w:spacing w:after="0"/>
              <w:rPr>
                <w:sz w:val="14"/>
                <w:szCs w:val="14"/>
                <w:color w:val="auto"/>
              </w:rPr>
            </w:pPr>
          </w:p>
        </w:tc>
        <w:tc>
          <w:tcPr>
            <w:tcW w:w="832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1"/>
                <w:szCs w:val="11"/>
                <w:b w:val="1"/>
                <w:bCs w:val="1"/>
                <w:color w:val="auto"/>
              </w:rPr>
              <w:t>Total Liabilities and Equity</w:t>
            </w:r>
          </w:p>
        </w:tc>
        <w:tc>
          <w:tcPr>
            <w:tcW w:w="320" w:type="dxa"/>
            <w:vAlign w:val="bottom"/>
            <w:tcBorders>
              <w:bottom w:val="single" w:sz="8" w:color="auto"/>
            </w:tcBorders>
            <w:shd w:val="clear" w:color="auto" w:fill="CCEEFF"/>
          </w:tcPr>
          <w:p>
            <w:pPr>
              <w:jc w:val="right"/>
              <w:ind w:right="184"/>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3,162</w:t>
            </w: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3,571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64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
        </w:trPr>
        <w:tc>
          <w:tcPr>
            <w:tcW w:w="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6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Shares of common stock issued and outstanding</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211,509</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218,348</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320" w:type="dxa"/>
            <w:vAlign w:val="bottom"/>
            <w:gridSpan w:val="2"/>
          </w:tcPr>
          <w:p>
            <w:pPr>
              <w:spacing w:after="0"/>
              <w:rPr>
                <w:sz w:val="20"/>
                <w:szCs w:val="20"/>
                <w:color w:val="auto"/>
              </w:rPr>
            </w:pPr>
            <w:r>
              <w:rPr>
                <w:rFonts w:ascii="Arial" w:cs="Arial" w:eastAsia="Arial" w:hAnsi="Arial"/>
                <w:sz w:val="11"/>
                <w:szCs w:val="11"/>
                <w:color w:val="auto"/>
              </w:rPr>
              <w:t>Shares of series A convertible preferred stock issued and outstanding</w:t>
            </w:r>
          </w:p>
        </w:tc>
        <w:tc>
          <w:tcPr>
            <w:tcW w:w="32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Arial" w:cs="Arial" w:eastAsia="Arial" w:hAnsi="Arial"/>
                <w:sz w:val="11"/>
                <w:szCs w:val="11"/>
                <w:color w:val="auto"/>
              </w:rPr>
              <w:t>120</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120</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8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Shares of common stock held in treasury</w:t>
            </w: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8,841</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34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57" w:name="page58"/>
    <w:bookmarkEnd w:id="57"/>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308"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CONDUENT INCORPORATED</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CONSOLIDATED STATEMENTS OF CASH FLOWS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color w:val="auto"/>
              </w:rPr>
              <w:t>Year Ended December 31,</w:t>
            </w: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638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380" w:type="dxa"/>
            <w:vAlign w:val="bottom"/>
          </w:tcPr>
          <w:p>
            <w:pPr>
              <w:spacing w:after="0"/>
              <w:rPr>
                <w:sz w:val="10"/>
                <w:szCs w:val="10"/>
                <w:color w:val="auto"/>
              </w:rPr>
            </w:pPr>
          </w:p>
        </w:tc>
        <w:tc>
          <w:tcPr>
            <w:tcW w:w="1200" w:type="dxa"/>
            <w:vAlign w:val="bottom"/>
          </w:tcPr>
          <w:p>
            <w:pPr>
              <w:jc w:val="right"/>
              <w:ind w:right="604"/>
              <w:spacing w:after="0" w:line="120" w:lineRule="exact"/>
              <w:rPr>
                <w:sz w:val="20"/>
                <w:szCs w:val="20"/>
                <w:color w:val="auto"/>
              </w:rPr>
            </w:pPr>
            <w:r>
              <w:rPr>
                <w:rFonts w:ascii="Arial" w:cs="Arial" w:eastAsia="Arial" w:hAnsi="Arial"/>
                <w:sz w:val="11"/>
                <w:szCs w:val="11"/>
                <w:color w:val="auto"/>
              </w:rPr>
              <w:t>2023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jc w:val="right"/>
              <w:ind w:right="584"/>
              <w:spacing w:after="0" w:line="120" w:lineRule="exact"/>
              <w:rPr>
                <w:sz w:val="20"/>
                <w:szCs w:val="20"/>
                <w:color w:val="auto"/>
              </w:rPr>
            </w:pPr>
            <w:r>
              <w:rPr>
                <w:rFonts w:ascii="Arial" w:cs="Arial" w:eastAsia="Arial" w:hAnsi="Arial"/>
                <w:sz w:val="11"/>
                <w:szCs w:val="11"/>
                <w:color w:val="auto"/>
              </w:rPr>
              <w:t>2022</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jc w:val="right"/>
              <w:ind w:right="604"/>
              <w:spacing w:after="0" w:line="120" w:lineRule="exact"/>
              <w:rPr>
                <w:sz w:val="20"/>
                <w:szCs w:val="20"/>
                <w:color w:val="auto"/>
              </w:rPr>
            </w:pPr>
            <w:r>
              <w:rPr>
                <w:rFonts w:ascii="Arial" w:cs="Arial" w:eastAsia="Arial" w:hAnsi="Arial"/>
                <w:sz w:val="11"/>
                <w:szCs w:val="1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Cash Flows from Operating Activities:</w:t>
            </w: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r>
      <w:tr>
        <w:trPr>
          <w:trHeight w:val="152"/>
        </w:trPr>
        <w:tc>
          <w:tcPr>
            <w:tcW w:w="20" w:type="dxa"/>
            <w:vAlign w:val="bottom"/>
          </w:tcPr>
          <w:p>
            <w:pPr>
              <w:spacing w:after="0"/>
              <w:rPr>
                <w:sz w:val="13"/>
                <w:szCs w:val="13"/>
                <w:color w:val="auto"/>
              </w:rPr>
            </w:pPr>
          </w:p>
        </w:tc>
        <w:tc>
          <w:tcPr>
            <w:tcW w:w="6380" w:type="dxa"/>
            <w:vAlign w:val="bottom"/>
            <w:gridSpan w:val="2"/>
          </w:tcPr>
          <w:p>
            <w:pPr>
              <w:spacing w:after="0"/>
              <w:rPr>
                <w:sz w:val="20"/>
                <w:szCs w:val="20"/>
                <w:color w:val="auto"/>
              </w:rPr>
            </w:pPr>
            <w:r>
              <w:rPr>
                <w:rFonts w:ascii="Arial" w:cs="Arial" w:eastAsia="Arial" w:hAnsi="Arial"/>
                <w:sz w:val="11"/>
                <w:szCs w:val="11"/>
                <w:color w:val="auto"/>
              </w:rPr>
              <w:t>Net income (loss)</w:t>
            </w:r>
          </w:p>
        </w:tc>
        <w:tc>
          <w:tcPr>
            <w:tcW w:w="380" w:type="dxa"/>
            <w:vAlign w:val="bottom"/>
          </w:tcPr>
          <w:p>
            <w:pPr>
              <w:jc w:val="right"/>
              <w:ind w:right="244"/>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(296)</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460" w:type="dxa"/>
            <w:vAlign w:val="bottom"/>
          </w:tcPr>
          <w:p>
            <w:pPr>
              <w:jc w:val="right"/>
              <w:spacing w:after="0"/>
              <w:rPr>
                <w:sz w:val="20"/>
                <w:szCs w:val="20"/>
                <w:color w:val="auto"/>
              </w:rPr>
            </w:pPr>
            <w:r>
              <w:rPr>
                <w:rFonts w:ascii="Arial" w:cs="Arial" w:eastAsia="Arial" w:hAnsi="Arial"/>
                <w:sz w:val="11"/>
                <w:szCs w:val="11"/>
                <w:color w:val="auto"/>
              </w:rPr>
              <w:t>(182)</w:t>
            </w:r>
          </w:p>
        </w:tc>
        <w:tc>
          <w:tcPr>
            <w:tcW w:w="100" w:type="dxa"/>
            <w:vAlign w:val="bottom"/>
          </w:tcPr>
          <w:p>
            <w:pPr>
              <w:spacing w:after="0"/>
              <w:rPr>
                <w:sz w:val="13"/>
                <w:szCs w:val="13"/>
                <w:color w:val="auto"/>
              </w:rPr>
            </w:pPr>
          </w:p>
        </w:tc>
        <w:tc>
          <w:tcPr>
            <w:tcW w:w="360" w:type="dxa"/>
            <w:vAlign w:val="bottom"/>
          </w:tcPr>
          <w:p>
            <w:pPr>
              <w:jc w:val="right"/>
              <w:ind w:right="224"/>
              <w:spacing w:after="0"/>
              <w:rPr>
                <w:sz w:val="20"/>
                <w:szCs w:val="20"/>
                <w:color w:val="auto"/>
              </w:rPr>
            </w:pPr>
            <w:r>
              <w:rPr>
                <w:rFonts w:ascii="Arial" w:cs="Arial" w:eastAsia="Arial" w:hAnsi="Arial"/>
                <w:sz w:val="11"/>
                <w:szCs w:val="11"/>
                <w:color w:val="auto"/>
                <w:w w:val="97"/>
              </w:rPr>
              <w:t>$</w:t>
            </w:r>
          </w:p>
        </w:tc>
        <w:tc>
          <w:tcPr>
            <w:tcW w:w="1200" w:type="dxa"/>
            <w:vAlign w:val="bottom"/>
          </w:tcPr>
          <w:p>
            <w:pPr>
              <w:jc w:val="right"/>
              <w:spacing w:after="0"/>
              <w:rPr>
                <w:sz w:val="20"/>
                <w:szCs w:val="20"/>
                <w:color w:val="auto"/>
              </w:rPr>
            </w:pPr>
            <w:r>
              <w:rPr>
                <w:rFonts w:ascii="Arial" w:cs="Arial" w:eastAsia="Arial" w:hAnsi="Arial"/>
                <w:sz w:val="11"/>
                <w:szCs w:val="11"/>
                <w:color w:val="auto"/>
              </w:rPr>
              <w:t>(28)</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Adjustments required to reconcile net loss to cash flows from operating activities: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Depreciation and amortization</w:t>
            </w:r>
          </w:p>
        </w:tc>
        <w:tc>
          <w:tcPr>
            <w:tcW w:w="380" w:type="dxa"/>
            <w:vAlign w:val="bottom"/>
          </w:tcPr>
          <w:p>
            <w:pPr>
              <w:spacing w:after="0"/>
              <w:rPr>
                <w:sz w:val="13"/>
                <w:szCs w:val="13"/>
                <w:color w:val="auto"/>
              </w:rPr>
            </w:pPr>
          </w:p>
        </w:tc>
        <w:tc>
          <w:tcPr>
            <w:tcW w:w="1200" w:type="dxa"/>
            <w:vAlign w:val="bottom"/>
          </w:tcPr>
          <w:p>
            <w:pPr>
              <w:jc w:val="right"/>
              <w:ind w:right="4"/>
              <w:spacing w:after="0"/>
              <w:rPr>
                <w:sz w:val="20"/>
                <w:szCs w:val="20"/>
                <w:color w:val="auto"/>
              </w:rPr>
            </w:pPr>
            <w:r>
              <w:rPr>
                <w:rFonts w:ascii="Arial" w:cs="Arial" w:eastAsia="Arial" w:hAnsi="Arial"/>
                <w:sz w:val="11"/>
                <w:szCs w:val="11"/>
                <w:color w:val="auto"/>
              </w:rPr>
              <w:t>264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230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352</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Contract inducement amortization</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Goodwill impairment</w:t>
            </w:r>
          </w:p>
        </w:tc>
        <w:tc>
          <w:tcPr>
            <w:tcW w:w="380" w:type="dxa"/>
            <w:vAlign w:val="bottom"/>
          </w:tcPr>
          <w:p>
            <w:pPr>
              <w:spacing w:after="0"/>
              <w:rPr>
                <w:sz w:val="13"/>
                <w:szCs w:val="13"/>
                <w:color w:val="auto"/>
              </w:rPr>
            </w:pPr>
          </w:p>
        </w:tc>
        <w:tc>
          <w:tcPr>
            <w:tcW w:w="1200" w:type="dxa"/>
            <w:vAlign w:val="bottom"/>
          </w:tcPr>
          <w:p>
            <w:pPr>
              <w:jc w:val="right"/>
              <w:ind w:right="4"/>
              <w:spacing w:after="0"/>
              <w:rPr>
                <w:sz w:val="20"/>
                <w:szCs w:val="20"/>
                <w:color w:val="auto"/>
              </w:rPr>
            </w:pPr>
            <w:r>
              <w:rPr>
                <w:rFonts w:ascii="Arial" w:cs="Arial" w:eastAsia="Arial" w:hAnsi="Arial"/>
                <w:sz w:val="11"/>
                <w:szCs w:val="11"/>
                <w:color w:val="auto"/>
              </w:rPr>
              <w:t>287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358</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Write-off of implementation costs</w:t>
            </w:r>
          </w:p>
        </w:tc>
        <w:tc>
          <w:tcPr>
            <w:tcW w:w="3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w:t>
            </w: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Deferred income taxes</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(21)</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(Gain) loss from investments</w:t>
            </w:r>
          </w:p>
        </w:tc>
        <w:tc>
          <w:tcPr>
            <w:tcW w:w="3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Amortization of debt financing costs</w:t>
            </w:r>
          </w:p>
        </w:tc>
        <w:tc>
          <w:tcPr>
            <w:tcW w:w="380" w:type="dxa"/>
            <w:vAlign w:val="bottom"/>
          </w:tcPr>
          <w:p>
            <w:pPr>
              <w:spacing w:after="0"/>
              <w:rPr>
                <w:sz w:val="13"/>
                <w:szCs w:val="13"/>
                <w:color w:val="auto"/>
              </w:rPr>
            </w:pPr>
          </w:p>
        </w:tc>
        <w:tc>
          <w:tcPr>
            <w:tcW w:w="1200" w:type="dxa"/>
            <w:vAlign w:val="bottom"/>
          </w:tcPr>
          <w:p>
            <w:pPr>
              <w:jc w:val="right"/>
              <w:ind w:right="4"/>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6</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Loss on extinguishment of debt</w:t>
            </w:r>
          </w:p>
        </w:tc>
        <w:tc>
          <w:tcPr>
            <w:tcW w:w="3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(Gain) loss on divestitures and sales of fixed assets, net</w:t>
            </w:r>
          </w:p>
        </w:tc>
        <w:tc>
          <w:tcPr>
            <w:tcW w:w="38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(165)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Stock-based compensation</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w:t>
            </w: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Allowance for credit losses</w:t>
            </w:r>
          </w:p>
        </w:tc>
        <w:tc>
          <w:tcPr>
            <w:tcW w:w="38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Changes in operating assets and liabilities: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380" w:type="dxa"/>
            <w:vAlign w:val="bottom"/>
            <w:gridSpan w:val="2"/>
          </w:tcPr>
          <w:p>
            <w:pPr>
              <w:ind w:left="220"/>
              <w:spacing w:after="0"/>
              <w:rPr>
                <w:sz w:val="20"/>
                <w:szCs w:val="20"/>
                <w:color w:val="auto"/>
              </w:rPr>
            </w:pPr>
            <w:r>
              <w:rPr>
                <w:rFonts w:ascii="Arial" w:cs="Arial" w:eastAsia="Arial" w:hAnsi="Arial"/>
                <w:sz w:val="11"/>
                <w:szCs w:val="11"/>
                <w:color w:val="auto"/>
              </w:rPr>
              <w:t>Accounts receivable</w:t>
            </w:r>
          </w:p>
        </w:tc>
        <w:tc>
          <w:tcPr>
            <w:tcW w:w="380" w:type="dxa"/>
            <w:vAlign w:val="bottom"/>
          </w:tcPr>
          <w:p>
            <w:pPr>
              <w:spacing w:after="0"/>
              <w:rPr>
                <w:sz w:val="13"/>
                <w:szCs w:val="13"/>
                <w:color w:val="auto"/>
              </w:rPr>
            </w:pPr>
          </w:p>
        </w:tc>
        <w:tc>
          <w:tcPr>
            <w:tcW w:w="1200" w:type="dxa"/>
            <w:vAlign w:val="bottom"/>
          </w:tcPr>
          <w:p>
            <w:pPr>
              <w:jc w:val="right"/>
              <w:ind w:right="4"/>
              <w:spacing w:after="0"/>
              <w:rPr>
                <w:sz w:val="20"/>
                <w:szCs w:val="20"/>
                <w:color w:val="auto"/>
              </w:rPr>
            </w:pPr>
            <w:r>
              <w:rPr>
                <w:rFonts w:ascii="Arial" w:cs="Arial" w:eastAsia="Arial" w:hAnsi="Arial"/>
                <w:sz w:val="11"/>
                <w:szCs w:val="11"/>
                <w:color w:val="auto"/>
              </w:rPr>
              <w:t>26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(45)</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Other current and long-term assets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w:t>
            </w:r>
          </w:p>
        </w:tc>
      </w:tr>
      <w:tr>
        <w:trPr>
          <w:trHeight w:val="152"/>
        </w:trPr>
        <w:tc>
          <w:tcPr>
            <w:tcW w:w="20" w:type="dxa"/>
            <w:vAlign w:val="bottom"/>
          </w:tcPr>
          <w:p>
            <w:pPr>
              <w:spacing w:after="0"/>
              <w:rPr>
                <w:sz w:val="13"/>
                <w:szCs w:val="13"/>
                <w:color w:val="auto"/>
              </w:rPr>
            </w:pPr>
          </w:p>
        </w:tc>
        <w:tc>
          <w:tcPr>
            <w:tcW w:w="6380" w:type="dxa"/>
            <w:vAlign w:val="bottom"/>
            <w:gridSpan w:val="2"/>
          </w:tcPr>
          <w:p>
            <w:pPr>
              <w:ind w:left="240"/>
              <w:spacing w:after="0"/>
              <w:rPr>
                <w:sz w:val="20"/>
                <w:szCs w:val="20"/>
                <w:color w:val="auto"/>
              </w:rPr>
            </w:pPr>
            <w:r>
              <w:rPr>
                <w:rFonts w:ascii="Arial" w:cs="Arial" w:eastAsia="Arial" w:hAnsi="Arial"/>
                <w:sz w:val="11"/>
                <w:szCs w:val="11"/>
                <w:color w:val="auto"/>
              </w:rPr>
              <w:t>Accounts payable and accrued compensation and benefits costs</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23</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Other current and long-term liabilities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(44)</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w:t>
            </w:r>
          </w:p>
        </w:tc>
      </w:tr>
      <w:tr>
        <w:trPr>
          <w:trHeight w:val="152"/>
        </w:trPr>
        <w:tc>
          <w:tcPr>
            <w:tcW w:w="20" w:type="dxa"/>
            <w:vAlign w:val="bottom"/>
            <w:tcBorders>
              <w:bottom w:val="single" w:sz="8" w:color="CCEEFF"/>
            </w:tcBorders>
          </w:tcPr>
          <w:p>
            <w:pPr>
              <w:spacing w:after="0"/>
              <w:rPr>
                <w:sz w:val="13"/>
                <w:szCs w:val="13"/>
                <w:color w:val="auto"/>
              </w:rPr>
            </w:pPr>
          </w:p>
        </w:tc>
        <w:tc>
          <w:tcPr>
            <w:tcW w:w="6380" w:type="dxa"/>
            <w:vAlign w:val="bottom"/>
            <w:tcBorders>
              <w:bottom w:val="single" w:sz="8" w:color="CCEEFF"/>
            </w:tcBorders>
            <w:gridSpan w:val="2"/>
          </w:tcPr>
          <w:p>
            <w:pPr>
              <w:ind w:left="240"/>
              <w:spacing w:after="0"/>
              <w:rPr>
                <w:sz w:val="20"/>
                <w:szCs w:val="20"/>
                <w:color w:val="auto"/>
              </w:rPr>
            </w:pPr>
            <w:r>
              <w:rPr>
                <w:rFonts w:ascii="Arial" w:cs="Arial" w:eastAsia="Arial" w:hAnsi="Arial"/>
                <w:sz w:val="11"/>
                <w:szCs w:val="11"/>
                <w:color w:val="auto"/>
              </w:rPr>
              <w:t>Net change in income tax assets and liabilities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w:t>
            </w:r>
          </w:p>
        </w:tc>
      </w:tr>
      <w:tr>
        <w:trPr>
          <w:trHeight w:val="151"/>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240"/>
              <w:spacing w:after="0"/>
              <w:rPr>
                <w:sz w:val="20"/>
                <w:szCs w:val="20"/>
                <w:color w:val="auto"/>
              </w:rPr>
            </w:pPr>
            <w:r>
              <w:rPr>
                <w:rFonts w:ascii="Arial" w:cs="Arial" w:eastAsia="Arial" w:hAnsi="Arial"/>
                <w:sz w:val="11"/>
                <w:szCs w:val="11"/>
                <w:color w:val="auto"/>
              </w:rPr>
              <w:t>Net cash provided by (used in) operating activities</w:t>
            </w:r>
          </w:p>
        </w:tc>
        <w:tc>
          <w:tcPr>
            <w:tcW w:w="3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89</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144</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243</w:t>
            </w:r>
          </w:p>
        </w:tc>
      </w:tr>
      <w:tr>
        <w:trPr>
          <w:trHeight w:val="135"/>
        </w:trPr>
        <w:tc>
          <w:tcPr>
            <w:tcW w:w="20" w:type="dxa"/>
            <w:vAlign w:val="bottom"/>
          </w:tcPr>
          <w:p>
            <w:pPr>
              <w:spacing w:after="0"/>
              <w:rPr>
                <w:sz w:val="11"/>
                <w:szCs w:val="11"/>
                <w:color w:val="auto"/>
              </w:rPr>
            </w:pPr>
          </w:p>
        </w:tc>
        <w:tc>
          <w:tcPr>
            <w:tcW w:w="6380" w:type="dxa"/>
            <w:vAlign w:val="bottom"/>
            <w:gridSpan w:val="2"/>
          </w:tcPr>
          <w:p>
            <w:pPr>
              <w:spacing w:after="0"/>
              <w:rPr>
                <w:sz w:val="20"/>
                <w:szCs w:val="20"/>
                <w:color w:val="auto"/>
              </w:rPr>
            </w:pPr>
            <w:r>
              <w:rPr>
                <w:rFonts w:ascii="Arial" w:cs="Arial" w:eastAsia="Arial" w:hAnsi="Arial"/>
                <w:sz w:val="11"/>
                <w:szCs w:val="11"/>
                <w:b w:val="1"/>
                <w:bCs w:val="1"/>
                <w:color w:val="auto"/>
              </w:rPr>
              <w:t>Cash Flows from Investing Activities:</w:t>
            </w: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57"/>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Cost of additions to land, buildings and equipment</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w:t>
            </w: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Cost of additions to internal use software</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(42)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(61)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(67)</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Proceeds from divestitures</w:t>
            </w:r>
          </w:p>
        </w:tc>
        <w:tc>
          <w:tcPr>
            <w:tcW w:w="3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326</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r>
      <w:tr>
        <w:trPr>
          <w:trHeight w:val="143"/>
        </w:trPr>
        <w:tc>
          <w:tcPr>
            <w:tcW w:w="20" w:type="dxa"/>
            <w:vAlign w:val="bottom"/>
            <w:tcBorders>
              <w:bottom w:val="single" w:sz="8" w:color="CCEEFF"/>
            </w:tcBorders>
          </w:tcPr>
          <w:p>
            <w:pPr>
              <w:spacing w:after="0"/>
              <w:rPr>
                <w:sz w:val="12"/>
                <w:szCs w:val="12"/>
                <w:color w:val="auto"/>
              </w:rPr>
            </w:pPr>
          </w:p>
        </w:tc>
        <w:tc>
          <w:tcPr>
            <w:tcW w:w="6380" w:type="dxa"/>
            <w:vAlign w:val="bottom"/>
            <w:tcBorders>
              <w:bottom w:val="single" w:sz="8" w:color="CCEEFF"/>
            </w:tcBorders>
            <w:gridSpan w:val="2"/>
          </w:tcPr>
          <w:p>
            <w:pPr>
              <w:ind w:left="240"/>
              <w:spacing w:after="0"/>
              <w:rPr>
                <w:sz w:val="20"/>
                <w:szCs w:val="20"/>
                <w:color w:val="auto"/>
              </w:rPr>
            </w:pPr>
            <w:r>
              <w:rPr>
                <w:rFonts w:ascii="Arial" w:cs="Arial" w:eastAsia="Arial" w:hAnsi="Arial"/>
                <w:sz w:val="11"/>
                <w:szCs w:val="11"/>
                <w:color w:val="auto"/>
              </w:rPr>
              <w:t>Net cash provided by (used in) investing activities</w:t>
            </w: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(93)</w:t>
            </w: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173</w:t>
            </w:r>
          </w:p>
        </w:tc>
        <w:tc>
          <w:tcPr>
            <w:tcW w:w="10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(142)</w:t>
            </w:r>
          </w:p>
        </w:tc>
      </w:tr>
      <w:tr>
        <w:trPr>
          <w:trHeight w:val="140"/>
        </w:trPr>
        <w:tc>
          <w:tcPr>
            <w:tcW w:w="20" w:type="dxa"/>
            <w:vAlign w:val="bottom"/>
            <w:shd w:val="clear" w:color="auto" w:fill="CCEEFF"/>
          </w:tcPr>
          <w:p>
            <w:pPr>
              <w:spacing w:after="0"/>
              <w:rPr>
                <w:sz w:val="12"/>
                <w:szCs w:val="12"/>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Cash Flows from Financing Activities:</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Proceeds from revolving credit facility</w:t>
            </w:r>
          </w:p>
        </w:tc>
        <w:tc>
          <w:tcPr>
            <w:tcW w:w="38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100</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Payments on revolving credit facility</w:t>
            </w:r>
          </w:p>
        </w:tc>
        <w:tc>
          <w:tcPr>
            <w:tcW w:w="3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Proceeds from the issuance of debt, net</w:t>
            </w:r>
          </w:p>
        </w:tc>
        <w:tc>
          <w:tcPr>
            <w:tcW w:w="38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13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1,299</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Payments on debt</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(1,500)</w:t>
            </w: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Debt issuance costs</w:t>
            </w:r>
          </w:p>
        </w:tc>
        <w:tc>
          <w:tcPr>
            <w:tcW w:w="38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(9)</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Premium on debt redemption</w:t>
            </w:r>
          </w:p>
        </w:tc>
        <w:tc>
          <w:tcPr>
            <w:tcW w:w="3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Treasury stock purchases</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Taxes paid for settlement of stock-based compensation</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Dividends paid on preferred stock</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(10)</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Contribution from noncontrolling interest</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3"/>
        </w:trPr>
        <w:tc>
          <w:tcPr>
            <w:tcW w:w="20" w:type="dxa"/>
            <w:vAlign w:val="bottom"/>
            <w:tcBorders>
              <w:bottom w:val="single" w:sz="8" w:color="CCEEFF"/>
            </w:tcBorders>
          </w:tcPr>
          <w:p>
            <w:pPr>
              <w:spacing w:after="0"/>
              <w:rPr>
                <w:sz w:val="12"/>
                <w:szCs w:val="12"/>
                <w:color w:val="auto"/>
              </w:rPr>
            </w:pPr>
          </w:p>
        </w:tc>
        <w:tc>
          <w:tcPr>
            <w:tcW w:w="6380" w:type="dxa"/>
            <w:vAlign w:val="bottom"/>
            <w:tcBorders>
              <w:bottom w:val="single" w:sz="8" w:color="CCEEFF"/>
            </w:tcBorders>
            <w:gridSpan w:val="2"/>
          </w:tcPr>
          <w:p>
            <w:pPr>
              <w:ind w:left="240"/>
              <w:spacing w:after="0"/>
              <w:rPr>
                <w:sz w:val="20"/>
                <w:szCs w:val="20"/>
                <w:color w:val="auto"/>
              </w:rPr>
            </w:pPr>
            <w:r>
              <w:rPr>
                <w:rFonts w:ascii="Arial" w:cs="Arial" w:eastAsia="Arial" w:hAnsi="Arial"/>
                <w:sz w:val="11"/>
                <w:szCs w:val="11"/>
                <w:color w:val="auto"/>
              </w:rPr>
              <w:t>Net cash provided by (used in) financing activities</w:t>
            </w: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(81)</w:t>
            </w: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(131)</w:t>
            </w:r>
          </w:p>
        </w:tc>
        <w:tc>
          <w:tcPr>
            <w:tcW w:w="100" w:type="dxa"/>
            <w:vAlign w:val="bottom"/>
            <w:tcBorders>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(132)</w:t>
            </w:r>
          </w:p>
        </w:tc>
      </w:tr>
      <w:tr>
        <w:trPr>
          <w:trHeight w:val="151"/>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Effect of exchange rate changes on cash, cash equivalents and restricted cash</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r>
      <w:tr>
        <w:trPr>
          <w:trHeight w:val="152"/>
        </w:trPr>
        <w:tc>
          <w:tcPr>
            <w:tcW w:w="20" w:type="dxa"/>
            <w:vAlign w:val="bottom"/>
          </w:tcPr>
          <w:p>
            <w:pPr>
              <w:spacing w:after="0"/>
              <w:rPr>
                <w:sz w:val="13"/>
                <w:szCs w:val="13"/>
                <w:color w:val="auto"/>
              </w:rPr>
            </w:pPr>
          </w:p>
        </w:tc>
        <w:tc>
          <w:tcPr>
            <w:tcW w:w="6380" w:type="dxa"/>
            <w:vAlign w:val="bottom"/>
            <w:gridSpan w:val="2"/>
          </w:tcPr>
          <w:p>
            <w:pPr>
              <w:spacing w:after="0"/>
              <w:rPr>
                <w:sz w:val="20"/>
                <w:szCs w:val="20"/>
                <w:color w:val="auto"/>
              </w:rPr>
            </w:pPr>
            <w:r>
              <w:rPr>
                <w:rFonts w:ascii="Arial" w:cs="Arial" w:eastAsia="Arial" w:hAnsi="Arial"/>
                <w:sz w:val="11"/>
                <w:szCs w:val="11"/>
                <w:color w:val="auto"/>
              </w:rPr>
              <w:t>Increase (decrease) in cash, cash equivalents and restricted cash</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(79)</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178</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(38)</w:t>
            </w:r>
          </w:p>
        </w:tc>
      </w:tr>
      <w:tr>
        <w:trPr>
          <w:trHeight w:val="156"/>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Cash, Cash Equivalents and Restricted Cash at Beginning of Period</w:t>
            </w:r>
          </w:p>
        </w:tc>
        <w:tc>
          <w:tcPr>
            <w:tcW w:w="3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598</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420</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458</w:t>
            </w:r>
          </w:p>
        </w:tc>
      </w:tr>
      <w:tr>
        <w:trPr>
          <w:trHeight w:val="151"/>
        </w:trPr>
        <w:tc>
          <w:tcPr>
            <w:tcW w:w="20" w:type="dxa"/>
            <w:vAlign w:val="bottom"/>
          </w:tcPr>
          <w:p>
            <w:pPr>
              <w:spacing w:after="0"/>
              <w:rPr>
                <w:sz w:val="13"/>
                <w:szCs w:val="13"/>
                <w:color w:val="auto"/>
              </w:rPr>
            </w:pPr>
          </w:p>
        </w:tc>
        <w:tc>
          <w:tcPr>
            <w:tcW w:w="6380" w:type="dxa"/>
            <w:vAlign w:val="bottom"/>
            <w:gridSpan w:val="2"/>
          </w:tcPr>
          <w:p>
            <w:pPr>
              <w:spacing w:after="0" w:line="151" w:lineRule="exact"/>
              <w:rPr>
                <w:sz w:val="20"/>
                <w:szCs w:val="20"/>
                <w:color w:val="auto"/>
              </w:rPr>
            </w:pPr>
            <w:r>
              <w:rPr>
                <w:rFonts w:ascii="Arial" w:cs="Arial" w:eastAsia="Arial" w:hAnsi="Arial"/>
                <w:sz w:val="11"/>
                <w:szCs w:val="11"/>
                <w:b w:val="1"/>
                <w:bCs w:val="1"/>
                <w:color w:val="auto"/>
              </w:rPr>
              <w:t>Cash, Cash Equivalents and Restricted Cash at End of period</w:t>
            </w:r>
            <w:r>
              <w:rPr>
                <w:rFonts w:ascii="Arial" w:cs="Arial" w:eastAsia="Arial" w:hAnsi="Arial"/>
                <w:sz w:val="14"/>
                <w:szCs w:val="14"/>
                <w:b w:val="1"/>
                <w:bCs w:val="1"/>
                <w:color w:val="auto"/>
                <w:vertAlign w:val="superscript"/>
              </w:rPr>
              <w:t>(1)</w:t>
            </w:r>
          </w:p>
        </w:tc>
        <w:tc>
          <w:tcPr>
            <w:tcW w:w="38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519</w:t>
            </w:r>
          </w:p>
        </w:tc>
        <w:tc>
          <w:tcPr>
            <w:tcW w:w="8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598</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24"/>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420</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0"/>
          <w:szCs w:val="10"/>
          <w:color w:val="auto"/>
        </w:rPr>
        <w:t>___________</w:t>
      </w:r>
    </w:p>
    <w:p>
      <w:pPr>
        <w:spacing w:after="0" w:line="48" w:lineRule="exact"/>
        <w:rPr>
          <w:sz w:val="20"/>
          <w:szCs w:val="20"/>
          <w:color w:val="auto"/>
        </w:rPr>
      </w:pPr>
    </w:p>
    <w:p>
      <w:pPr>
        <w:ind w:left="260" w:right="200" w:hanging="257"/>
        <w:spacing w:after="0" w:line="291" w:lineRule="auto"/>
        <w:tabs>
          <w:tab w:leader="none" w:pos="250" w:val="left"/>
        </w:tabs>
        <w:numPr>
          <w:ilvl w:val="0"/>
          <w:numId w:val="38"/>
        </w:numPr>
        <w:rPr>
          <w:rFonts w:ascii="Arial" w:cs="Arial" w:eastAsia="Arial" w:hAnsi="Arial"/>
          <w:sz w:val="11"/>
          <w:szCs w:val="11"/>
          <w:i w:val="1"/>
          <w:iCs w:val="1"/>
          <w:color w:val="auto"/>
        </w:rPr>
      </w:pPr>
      <w:r>
        <w:rPr>
          <w:rFonts w:ascii="Arial" w:cs="Arial" w:eastAsia="Arial" w:hAnsi="Arial"/>
          <w:sz w:val="11"/>
          <w:szCs w:val="11"/>
          <w:i w:val="1"/>
          <w:iCs w:val="1"/>
          <w:color w:val="auto"/>
        </w:rPr>
        <w:t>Includes $21 million, $16 million and $5 million of restricted cash as of the years ended December 31, 2023, 2022 and 2021, respectively, that was included in Other current assets on their respective Consolidated Balance Sheets.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167"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58" w:name="page59"/>
    <w:bookmarkEnd w:id="58"/>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CONDUENT INCORPORATED</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CONSOLIDATED STATEMENTS OF SHAREHOLDERS' EQUITY</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0"/>
                <w:szCs w:val="10"/>
                <w:color w:val="auto"/>
              </w:rPr>
              <w:t>Additional</w:t>
            </w:r>
          </w:p>
        </w:tc>
        <w:tc>
          <w:tcPr>
            <w:tcW w:w="180" w:type="dxa"/>
            <w:vAlign w:val="bottom"/>
          </w:tcPr>
          <w:p>
            <w:pPr>
              <w:spacing w:after="0"/>
              <w:rPr>
                <w:sz w:val="10"/>
                <w:szCs w:val="10"/>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0"/>
                <w:szCs w:val="10"/>
                <w:color w:val="auto"/>
              </w:rPr>
              <w:t>Retained</w:t>
            </w: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0"/>
                <w:szCs w:val="10"/>
                <w:color w:val="auto"/>
                <w:w w:val="95"/>
              </w:rPr>
              <w:t>Non-controlling</w:t>
            </w:r>
          </w:p>
        </w:tc>
        <w:tc>
          <w:tcPr>
            <w:tcW w:w="200" w:type="dxa"/>
            <w:vAlign w:val="bottom"/>
          </w:tcPr>
          <w:p>
            <w:pPr>
              <w:spacing w:after="0"/>
              <w:rPr>
                <w:sz w:val="10"/>
                <w:szCs w:val="10"/>
                <w:color w:val="auto"/>
              </w:rPr>
            </w:pPr>
          </w:p>
        </w:tc>
        <w:tc>
          <w:tcPr>
            <w:tcW w:w="1000" w:type="dxa"/>
            <w:vAlign w:val="bottom"/>
            <w:vMerge w:val="restart"/>
          </w:tcPr>
          <w:p>
            <w:pPr>
              <w:jc w:val="right"/>
              <w:ind w:right="251"/>
              <w:spacing w:after="0"/>
              <w:rPr>
                <w:sz w:val="20"/>
                <w:szCs w:val="20"/>
                <w:color w:val="auto"/>
              </w:rPr>
            </w:pPr>
            <w:r>
              <w:rPr>
                <w:rFonts w:ascii="Arial" w:cs="Arial" w:eastAsia="Arial" w:hAnsi="Arial"/>
                <w:sz w:val="10"/>
                <w:szCs w:val="10"/>
                <w:color w:val="auto"/>
              </w:rPr>
              <w:t>Shareholders’</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gridSpan w:val="2"/>
          </w:tcPr>
          <w:p>
            <w:pPr>
              <w:jc w:val="center"/>
              <w:ind w:right="280"/>
              <w:spacing w:after="0" w:line="94" w:lineRule="exact"/>
              <w:rPr>
                <w:sz w:val="20"/>
                <w:szCs w:val="20"/>
                <w:color w:val="auto"/>
              </w:rPr>
            </w:pPr>
            <w:r>
              <w:rPr>
                <w:rFonts w:ascii="Arial" w:cs="Arial" w:eastAsia="Arial" w:hAnsi="Arial"/>
                <w:sz w:val="10"/>
                <w:szCs w:val="10"/>
                <w:color w:val="auto"/>
                <w:w w:val="96"/>
              </w:rPr>
              <w:t>Paid-in</w:t>
            </w:r>
          </w:p>
        </w:tc>
        <w:tc>
          <w:tcPr>
            <w:tcW w:w="180" w:type="dxa"/>
            <w:vAlign w:val="bottom"/>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332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120" w:type="dxa"/>
            <w:vAlign w:val="bottom"/>
          </w:tcPr>
          <w:p>
            <w:pPr>
              <w:spacing w:after="0"/>
              <w:rPr>
                <w:sz w:val="9"/>
                <w:szCs w:val="9"/>
                <w:color w:val="auto"/>
              </w:rPr>
            </w:pPr>
          </w:p>
        </w:tc>
        <w:tc>
          <w:tcPr>
            <w:tcW w:w="1000" w:type="dxa"/>
            <w:vAlign w:val="bottom"/>
            <w:gridSpan w:val="2"/>
          </w:tcPr>
          <w:p>
            <w:pPr>
              <w:ind w:left="60"/>
              <w:spacing w:after="0"/>
              <w:rPr>
                <w:sz w:val="20"/>
                <w:szCs w:val="20"/>
                <w:color w:val="auto"/>
              </w:rPr>
            </w:pPr>
            <w:r>
              <w:rPr>
                <w:rFonts w:ascii="Arial" w:cs="Arial" w:eastAsia="Arial" w:hAnsi="Arial"/>
                <w:sz w:val="10"/>
                <w:szCs w:val="10"/>
                <w:color w:val="auto"/>
              </w:rPr>
              <w:t>Common Stock</w:t>
            </w:r>
          </w:p>
        </w:tc>
        <w:tc>
          <w:tcPr>
            <w:tcW w:w="140" w:type="dxa"/>
            <w:vAlign w:val="bottom"/>
          </w:tcPr>
          <w:p>
            <w:pPr>
              <w:spacing w:after="0"/>
              <w:rPr>
                <w:sz w:val="9"/>
                <w:szCs w:val="9"/>
                <w:color w:val="auto"/>
              </w:rPr>
            </w:pPr>
          </w:p>
        </w:tc>
        <w:tc>
          <w:tcPr>
            <w:tcW w:w="980" w:type="dxa"/>
            <w:vAlign w:val="bottom"/>
            <w:gridSpan w:val="2"/>
          </w:tcPr>
          <w:p>
            <w:pPr>
              <w:ind w:left="60"/>
              <w:spacing w:after="0"/>
              <w:rPr>
                <w:sz w:val="20"/>
                <w:szCs w:val="20"/>
                <w:color w:val="auto"/>
              </w:rPr>
            </w:pPr>
            <w:r>
              <w:rPr>
                <w:rFonts w:ascii="Arial" w:cs="Arial" w:eastAsia="Arial" w:hAnsi="Arial"/>
                <w:sz w:val="10"/>
                <w:szCs w:val="10"/>
                <w:color w:val="auto"/>
              </w:rPr>
              <w:t>Treasury Stock</w:t>
            </w:r>
          </w:p>
        </w:tc>
        <w:tc>
          <w:tcPr>
            <w:tcW w:w="200" w:type="dxa"/>
            <w:vAlign w:val="bottom"/>
          </w:tcPr>
          <w:p>
            <w:pPr>
              <w:spacing w:after="0"/>
              <w:rPr>
                <w:sz w:val="9"/>
                <w:szCs w:val="9"/>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0"/>
                <w:szCs w:val="10"/>
                <w:color w:val="auto"/>
                <w:w w:val="96"/>
              </w:rPr>
              <w:t>Capital</w:t>
            </w:r>
          </w:p>
        </w:tc>
        <w:tc>
          <w:tcPr>
            <w:tcW w:w="180" w:type="dxa"/>
            <w:vAlign w:val="bottom"/>
          </w:tcPr>
          <w:p>
            <w:pPr>
              <w:spacing w:after="0"/>
              <w:rPr>
                <w:sz w:val="9"/>
                <w:szCs w:val="9"/>
                <w:color w:val="auto"/>
              </w:rPr>
            </w:pPr>
          </w:p>
        </w:tc>
        <w:tc>
          <w:tcPr>
            <w:tcW w:w="940" w:type="dxa"/>
            <w:vAlign w:val="bottom"/>
            <w:gridSpan w:val="2"/>
          </w:tcPr>
          <w:p>
            <w:pPr>
              <w:ind w:left="140"/>
              <w:spacing w:after="0"/>
              <w:rPr>
                <w:sz w:val="20"/>
                <w:szCs w:val="20"/>
                <w:color w:val="auto"/>
              </w:rPr>
            </w:pPr>
            <w:r>
              <w:rPr>
                <w:rFonts w:ascii="Arial" w:cs="Arial" w:eastAsia="Arial" w:hAnsi="Arial"/>
                <w:sz w:val="10"/>
                <w:szCs w:val="10"/>
                <w:color w:val="auto"/>
              </w:rPr>
              <w:t>Earnings</w:t>
            </w:r>
          </w:p>
        </w:tc>
        <w:tc>
          <w:tcPr>
            <w:tcW w:w="200" w:type="dxa"/>
            <w:vAlign w:val="bottom"/>
          </w:tcPr>
          <w:p>
            <w:pPr>
              <w:spacing w:after="0"/>
              <w:rPr>
                <w:sz w:val="9"/>
                <w:szCs w:val="9"/>
                <w:color w:val="auto"/>
              </w:rPr>
            </w:pPr>
          </w:p>
        </w:tc>
        <w:tc>
          <w:tcPr>
            <w:tcW w:w="920" w:type="dxa"/>
            <w:vAlign w:val="bottom"/>
            <w:gridSpan w:val="2"/>
          </w:tcPr>
          <w:p>
            <w:pPr>
              <w:ind w:left="140"/>
              <w:spacing w:after="0" w:line="115" w:lineRule="exact"/>
              <w:rPr>
                <w:sz w:val="20"/>
                <w:szCs w:val="20"/>
                <w:color w:val="auto"/>
              </w:rPr>
            </w:pPr>
            <w:r>
              <w:rPr>
                <w:rFonts w:ascii="Arial" w:cs="Arial" w:eastAsia="Arial" w:hAnsi="Arial"/>
                <w:sz w:val="10"/>
                <w:szCs w:val="10"/>
                <w:color w:val="auto"/>
              </w:rPr>
              <w:t>AOCL</w:t>
            </w:r>
            <w:r>
              <w:rPr>
                <w:rFonts w:ascii="Arial" w:cs="Arial" w:eastAsia="Arial" w:hAnsi="Arial"/>
                <w:sz w:val="12"/>
                <w:szCs w:val="12"/>
                <w:color w:val="auto"/>
                <w:vertAlign w:val="superscript"/>
              </w:rPr>
              <w:t>(1)</w:t>
            </w:r>
          </w:p>
        </w:tc>
        <w:tc>
          <w:tcPr>
            <w:tcW w:w="160" w:type="dxa"/>
            <w:vAlign w:val="bottom"/>
          </w:tcPr>
          <w:p>
            <w:pPr>
              <w:spacing w:after="0"/>
              <w:rPr>
                <w:sz w:val="9"/>
                <w:szCs w:val="9"/>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0"/>
                <w:szCs w:val="10"/>
                <w:color w:val="auto"/>
                <w:w w:val="95"/>
              </w:rPr>
              <w:t>Interest</w:t>
            </w:r>
          </w:p>
        </w:tc>
        <w:tc>
          <w:tcPr>
            <w:tcW w:w="200" w:type="dxa"/>
            <w:vAlign w:val="bottom"/>
          </w:tcPr>
          <w:p>
            <w:pPr>
              <w:spacing w:after="0"/>
              <w:rPr>
                <w:sz w:val="9"/>
                <w:szCs w:val="9"/>
                <w:color w:val="auto"/>
              </w:rPr>
            </w:pPr>
          </w:p>
        </w:tc>
        <w:tc>
          <w:tcPr>
            <w:tcW w:w="1000" w:type="dxa"/>
            <w:vAlign w:val="bottom"/>
          </w:tcPr>
          <w:p>
            <w:pPr>
              <w:jc w:val="right"/>
              <w:ind w:right="411"/>
              <w:spacing w:after="0"/>
              <w:rPr>
                <w:sz w:val="20"/>
                <w:szCs w:val="20"/>
                <w:color w:val="auto"/>
              </w:rPr>
            </w:pPr>
            <w:r>
              <w:rPr>
                <w:rFonts w:ascii="Arial" w:cs="Arial" w:eastAsia="Arial" w:hAnsi="Arial"/>
                <w:sz w:val="10"/>
                <w:szCs w:val="10"/>
                <w:color w:val="auto"/>
              </w:rPr>
              <w:t>Equity</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shd w:val="clear" w:color="auto" w:fill="CCEEFF"/>
          </w:tcPr>
          <w:p>
            <w:pPr>
              <w:spacing w:after="0"/>
              <w:rPr>
                <w:sz w:val="10"/>
                <w:szCs w:val="10"/>
                <w:color w:val="auto"/>
              </w:rPr>
            </w:pPr>
          </w:p>
        </w:tc>
        <w:tc>
          <w:tcPr>
            <w:tcW w:w="3320" w:type="dxa"/>
            <w:vAlign w:val="bottom"/>
            <w:gridSpan w:val="2"/>
            <w:shd w:val="clear" w:color="auto" w:fill="CCEEFF"/>
          </w:tcPr>
          <w:p>
            <w:pPr>
              <w:spacing w:after="0" w:line="114" w:lineRule="exact"/>
              <w:rPr>
                <w:sz w:val="20"/>
                <w:szCs w:val="20"/>
                <w:color w:val="auto"/>
              </w:rPr>
            </w:pPr>
            <w:r>
              <w:rPr>
                <w:rFonts w:ascii="Arial" w:cs="Arial" w:eastAsia="Arial" w:hAnsi="Arial"/>
                <w:sz w:val="10"/>
                <w:szCs w:val="10"/>
                <w:b w:val="1"/>
                <w:bCs w:val="1"/>
                <w:color w:val="auto"/>
              </w:rPr>
              <w:t>Balance at December 31, 2020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3,899</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(2,313)</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(398)</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1,190</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20" w:type="dxa"/>
            <w:vAlign w:val="bottom"/>
            <w:gridSpan w:val="2"/>
          </w:tcPr>
          <w:p>
            <w:pPr>
              <w:spacing w:after="0"/>
              <w:rPr>
                <w:sz w:val="20"/>
                <w:szCs w:val="20"/>
                <w:color w:val="auto"/>
              </w:rPr>
            </w:pPr>
            <w:r>
              <w:rPr>
                <w:rFonts w:ascii="Arial" w:cs="Arial" w:eastAsia="Arial" w:hAnsi="Arial"/>
                <w:sz w:val="10"/>
                <w:szCs w:val="10"/>
                <w:color w:val="auto"/>
              </w:rPr>
              <w:t>Dividend - preferred stock, $80/per share</w:t>
            </w:r>
          </w:p>
        </w:tc>
        <w:tc>
          <w:tcPr>
            <w:tcW w:w="12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Stock incentive plans, net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20" w:type="dxa"/>
            <w:vAlign w:val="bottom"/>
            <w:gridSpan w:val="2"/>
          </w:tcPr>
          <w:p>
            <w:pPr>
              <w:spacing w:after="0"/>
              <w:rPr>
                <w:sz w:val="20"/>
                <w:szCs w:val="20"/>
                <w:color w:val="auto"/>
              </w:rPr>
            </w:pPr>
            <w:r>
              <w:rPr>
                <w:rFonts w:ascii="Arial" w:cs="Arial" w:eastAsia="Arial" w:hAnsi="Arial"/>
                <w:sz w:val="10"/>
                <w:szCs w:val="10"/>
                <w:color w:val="auto"/>
              </w:rPr>
              <w:t>Treasury stock purchases</w:t>
            </w:r>
          </w:p>
        </w:tc>
        <w:tc>
          <w:tcPr>
            <w:tcW w:w="12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Contribution from noncontrolling interest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20" w:type="dxa"/>
            <w:vAlign w:val="bottom"/>
            <w:gridSpan w:val="2"/>
          </w:tcPr>
          <w:p>
            <w:pPr>
              <w:spacing w:after="0"/>
              <w:rPr>
                <w:sz w:val="20"/>
                <w:szCs w:val="20"/>
                <w:color w:val="auto"/>
              </w:rPr>
            </w:pPr>
            <w:r>
              <w:rPr>
                <w:rFonts w:ascii="Arial" w:cs="Arial" w:eastAsia="Arial" w:hAnsi="Arial"/>
                <w:sz w:val="10"/>
                <w:szCs w:val="10"/>
                <w:color w:val="auto"/>
              </w:rPr>
              <w:t>Comprehensive Income (Loss):</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Net Loss</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20" w:type="dxa"/>
            <w:vAlign w:val="bottom"/>
            <w:gridSpan w:val="2"/>
          </w:tcPr>
          <w:p>
            <w:pPr>
              <w:ind w:left="280"/>
              <w:spacing w:after="0"/>
              <w:rPr>
                <w:sz w:val="20"/>
                <w:szCs w:val="20"/>
                <w:color w:val="auto"/>
              </w:rPr>
            </w:pPr>
            <w:r>
              <w:rPr>
                <w:rFonts w:ascii="Arial" w:cs="Arial" w:eastAsia="Arial" w:hAnsi="Arial"/>
                <w:sz w:val="10"/>
                <w:szCs w:val="10"/>
                <w:color w:val="auto"/>
              </w:rPr>
              <w:t>Other comprehensive income (loss), net</w:t>
            </w:r>
          </w:p>
        </w:tc>
        <w:tc>
          <w:tcPr>
            <w:tcW w:w="12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(31)</w:t>
            </w:r>
          </w:p>
        </w:tc>
        <w:tc>
          <w:tcPr>
            <w:tcW w:w="100" w:type="dxa"/>
            <w:vAlign w:val="bottom"/>
          </w:tcPr>
          <w:p>
            <w:pPr>
              <w:spacing w:after="0"/>
              <w:rPr>
                <w:sz w:val="11"/>
                <w:szCs w:val="11"/>
                <w:color w:val="auto"/>
              </w:rPr>
            </w:pPr>
          </w:p>
        </w:tc>
        <w:tc>
          <w:tcPr>
            <w:tcW w:w="160" w:type="dxa"/>
            <w:vAlign w:val="bottom"/>
          </w:tcPr>
          <w:p>
            <w:pPr>
              <w:ind w:left="20"/>
              <w:spacing w:after="0"/>
              <w:rPr>
                <w:sz w:val="20"/>
                <w:szCs w:val="20"/>
                <w:color w:val="auto"/>
              </w:rPr>
            </w:pPr>
            <w:r>
              <w:rPr>
                <w:rFonts w:ascii="Arial" w:cs="Arial" w:eastAsia="Arial" w:hAnsi="Arial"/>
                <w:sz w:val="10"/>
                <w:szCs w:val="10"/>
                <w:color w:val="auto"/>
              </w:rPr>
              <w:t>—</w:t>
            </w: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(31)</w:t>
            </w:r>
          </w:p>
        </w:tc>
        <w:tc>
          <w:tcPr>
            <w:tcW w:w="0" w:type="dxa"/>
            <w:vAlign w:val="bottom"/>
          </w:tcPr>
          <w:p>
            <w:pPr>
              <w:spacing w:after="0"/>
              <w:rPr>
                <w:sz w:val="1"/>
                <w:szCs w:val="1"/>
                <w:color w:val="auto"/>
              </w:rPr>
            </w:pPr>
          </w:p>
        </w:tc>
      </w:tr>
      <w:tr>
        <w:trPr>
          <w:trHeight w:val="131"/>
        </w:trPr>
        <w:tc>
          <w:tcPr>
            <w:tcW w:w="20" w:type="dxa"/>
            <w:vAlign w:val="bottom"/>
            <w:tcBorders>
              <w:top w:val="single" w:sz="8" w:color="CCEEFF"/>
            </w:tcBorders>
            <w:shd w:val="clear" w:color="auto" w:fill="CCEEFF"/>
          </w:tcPr>
          <w:p>
            <w:pPr>
              <w:spacing w:after="0"/>
              <w:rPr>
                <w:sz w:val="11"/>
                <w:szCs w:val="11"/>
                <w:color w:val="auto"/>
              </w:rPr>
            </w:pPr>
          </w:p>
        </w:tc>
        <w:tc>
          <w:tcPr>
            <w:tcW w:w="3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Total Comprehensive Income (Loss), Net</w:t>
            </w: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9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(31)</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(59)</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320" w:type="dxa"/>
            <w:vAlign w:val="bottom"/>
            <w:gridSpan w:val="2"/>
          </w:tcPr>
          <w:p>
            <w:pPr>
              <w:spacing w:after="0"/>
              <w:rPr>
                <w:sz w:val="20"/>
                <w:szCs w:val="20"/>
                <w:color w:val="auto"/>
              </w:rPr>
            </w:pPr>
            <w:r>
              <w:rPr>
                <w:rFonts w:ascii="Arial" w:cs="Arial" w:eastAsia="Arial" w:hAnsi="Arial"/>
                <w:sz w:val="10"/>
                <w:szCs w:val="10"/>
                <w:b w:val="1"/>
                <w:bCs w:val="1"/>
                <w:color w:val="auto"/>
              </w:rPr>
              <w:t>Balance at December 31, 2021</w:t>
            </w: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0"/>
                <w:szCs w:val="10"/>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20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3,910</w:t>
            </w:r>
          </w:p>
        </w:tc>
        <w:tc>
          <w:tcPr>
            <w:tcW w:w="100" w:type="dxa"/>
            <w:vAlign w:val="bottom"/>
          </w:tcPr>
          <w:p>
            <w:pPr>
              <w:spacing w:after="0"/>
              <w:rPr>
                <w:sz w:val="10"/>
                <w:szCs w:val="10"/>
                <w:color w:val="auto"/>
              </w:rPr>
            </w:pPr>
          </w:p>
        </w:tc>
        <w:tc>
          <w:tcPr>
            <w:tcW w:w="1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(2,351)</w:t>
            </w:r>
          </w:p>
        </w:tc>
        <w:tc>
          <w:tcPr>
            <w:tcW w:w="100" w:type="dxa"/>
            <w:vAlign w:val="bottom"/>
          </w:tcPr>
          <w:p>
            <w:pPr>
              <w:spacing w:after="0"/>
              <w:rPr>
                <w:sz w:val="10"/>
                <w:szCs w:val="10"/>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(429)</w:t>
            </w:r>
          </w:p>
        </w:tc>
        <w:tc>
          <w:tcPr>
            <w:tcW w:w="100" w:type="dxa"/>
            <w:vAlign w:val="bottom"/>
          </w:tcPr>
          <w:p>
            <w:pPr>
              <w:spacing w:after="0"/>
              <w:rPr>
                <w:sz w:val="10"/>
                <w:szCs w:val="10"/>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10"/>
                <w:szCs w:val="10"/>
                <w:color w:val="auto"/>
              </w:rPr>
            </w:pPr>
          </w:p>
        </w:tc>
        <w:tc>
          <w:tcPr>
            <w:tcW w:w="20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1,132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shd w:val="clear" w:color="auto" w:fill="CCEEFF"/>
          </w:tcPr>
          <w:p>
            <w:pPr>
              <w:spacing w:after="0"/>
              <w:rPr>
                <w:sz w:val="10"/>
                <w:szCs w:val="10"/>
                <w:color w:val="auto"/>
              </w:rPr>
            </w:pPr>
          </w:p>
        </w:tc>
        <w:tc>
          <w:tcPr>
            <w:tcW w:w="3320" w:type="dxa"/>
            <w:vAlign w:val="bottom"/>
            <w:gridSpan w:val="2"/>
            <w:shd w:val="clear" w:color="auto" w:fill="CCEEFF"/>
          </w:tcPr>
          <w:p>
            <w:pPr>
              <w:spacing w:after="0" w:line="106" w:lineRule="exact"/>
              <w:rPr>
                <w:sz w:val="20"/>
                <w:szCs w:val="20"/>
                <w:color w:val="auto"/>
              </w:rPr>
            </w:pPr>
            <w:r>
              <w:rPr>
                <w:rFonts w:ascii="Arial" w:cs="Arial" w:eastAsia="Arial" w:hAnsi="Arial"/>
                <w:sz w:val="10"/>
                <w:szCs w:val="10"/>
                <w:color w:val="auto"/>
              </w:rPr>
              <w:t>Dividend - preferred stock, $80/per share</w:t>
            </w: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90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20" w:type="dxa"/>
            <w:vAlign w:val="bottom"/>
            <w:gridSpan w:val="2"/>
          </w:tcPr>
          <w:p>
            <w:pPr>
              <w:spacing w:after="0"/>
              <w:rPr>
                <w:sz w:val="20"/>
                <w:szCs w:val="20"/>
                <w:color w:val="auto"/>
              </w:rPr>
            </w:pPr>
            <w:r>
              <w:rPr>
                <w:rFonts w:ascii="Arial" w:cs="Arial" w:eastAsia="Arial" w:hAnsi="Arial"/>
                <w:sz w:val="10"/>
                <w:szCs w:val="10"/>
                <w:color w:val="auto"/>
              </w:rPr>
              <w:t>Stock incentive plans, net</w:t>
            </w:r>
          </w:p>
        </w:tc>
        <w:tc>
          <w:tcPr>
            <w:tcW w:w="12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Treasury stock purchases</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20" w:type="dxa"/>
            <w:vAlign w:val="bottom"/>
            <w:gridSpan w:val="2"/>
          </w:tcPr>
          <w:p>
            <w:pPr>
              <w:spacing w:after="0"/>
              <w:rPr>
                <w:sz w:val="20"/>
                <w:szCs w:val="20"/>
                <w:color w:val="auto"/>
              </w:rPr>
            </w:pPr>
            <w:r>
              <w:rPr>
                <w:rFonts w:ascii="Arial" w:cs="Arial" w:eastAsia="Arial" w:hAnsi="Arial"/>
                <w:sz w:val="10"/>
                <w:szCs w:val="10"/>
                <w:color w:val="auto"/>
              </w:rPr>
              <w:t>Contribution from noncontrolling interest</w:t>
            </w:r>
          </w:p>
        </w:tc>
        <w:tc>
          <w:tcPr>
            <w:tcW w:w="12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Comprehensive Income (Loss):</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20" w:type="dxa"/>
            <w:vAlign w:val="bottom"/>
            <w:gridSpan w:val="2"/>
          </w:tcPr>
          <w:p>
            <w:pPr>
              <w:ind w:left="160"/>
              <w:spacing w:after="0"/>
              <w:rPr>
                <w:sz w:val="20"/>
                <w:szCs w:val="20"/>
                <w:color w:val="auto"/>
              </w:rPr>
            </w:pPr>
            <w:r>
              <w:rPr>
                <w:rFonts w:ascii="Arial" w:cs="Arial" w:eastAsia="Arial" w:hAnsi="Arial"/>
                <w:sz w:val="10"/>
                <w:szCs w:val="10"/>
                <w:color w:val="auto"/>
              </w:rPr>
              <w:t>Net Loss</w:t>
            </w:r>
          </w:p>
        </w:tc>
        <w:tc>
          <w:tcPr>
            <w:tcW w:w="12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(182)</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(182)</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ind w:left="280"/>
              <w:spacing w:after="0"/>
              <w:rPr>
                <w:sz w:val="20"/>
                <w:szCs w:val="20"/>
                <w:color w:val="auto"/>
              </w:rPr>
            </w:pPr>
            <w:r>
              <w:rPr>
                <w:rFonts w:ascii="Arial" w:cs="Arial" w:eastAsia="Arial" w:hAnsi="Arial"/>
                <w:sz w:val="10"/>
                <w:szCs w:val="10"/>
                <w:color w:val="auto"/>
              </w:rPr>
              <w:t>Other comprehensive income (loss), net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w:t>
            </w:r>
          </w:p>
        </w:tc>
        <w:tc>
          <w:tcPr>
            <w:tcW w:w="0" w:type="dxa"/>
            <w:vAlign w:val="bottom"/>
          </w:tcPr>
          <w:p>
            <w:pPr>
              <w:spacing w:after="0"/>
              <w:rPr>
                <w:sz w:val="1"/>
                <w:szCs w:val="1"/>
                <w:color w:val="auto"/>
              </w:rPr>
            </w:pPr>
          </w:p>
        </w:tc>
      </w:tr>
      <w:tr>
        <w:trPr>
          <w:trHeight w:val="121"/>
        </w:trPr>
        <w:tc>
          <w:tcPr>
            <w:tcW w:w="20" w:type="dxa"/>
            <w:vAlign w:val="bottom"/>
            <w:tcBorders>
              <w:bottom w:val="single" w:sz="8" w:color="CCEEFF"/>
            </w:tcBorders>
          </w:tcPr>
          <w:p>
            <w:pPr>
              <w:spacing w:after="0"/>
              <w:rPr>
                <w:sz w:val="10"/>
                <w:szCs w:val="10"/>
                <w:color w:val="auto"/>
              </w:rPr>
            </w:pPr>
          </w:p>
        </w:tc>
        <w:tc>
          <w:tcPr>
            <w:tcW w:w="3320" w:type="dxa"/>
            <w:vAlign w:val="bottom"/>
            <w:tcBorders>
              <w:bottom w:val="single" w:sz="8" w:color="CCEEFF"/>
            </w:tcBorders>
            <w:gridSpan w:val="2"/>
          </w:tcPr>
          <w:p>
            <w:pPr>
              <w:spacing w:after="0"/>
              <w:rPr>
                <w:sz w:val="20"/>
                <w:szCs w:val="20"/>
                <w:color w:val="auto"/>
              </w:rPr>
            </w:pPr>
            <w:r>
              <w:rPr>
                <w:rFonts w:ascii="Arial" w:cs="Arial" w:eastAsia="Arial" w:hAnsi="Arial"/>
                <w:sz w:val="10"/>
                <w:szCs w:val="10"/>
                <w:color w:val="auto"/>
              </w:rPr>
              <w:t>Total Comprehensive Income (Loss), Net</w:t>
            </w:r>
          </w:p>
        </w:tc>
        <w:tc>
          <w:tcPr>
            <w:tcW w:w="12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0"/>
                <w:szCs w:val="10"/>
                <w:color w:val="auto"/>
              </w:rPr>
            </w:pPr>
          </w:p>
        </w:tc>
        <w:tc>
          <w:tcPr>
            <w:tcW w:w="140" w:type="dxa"/>
            <w:vAlign w:val="bottom"/>
            <w:tcBorders>
              <w:top w:val="single" w:sz="8" w:color="auto"/>
              <w:bottom w:val="single" w:sz="8" w:color="auto"/>
            </w:tcBorders>
          </w:tcPr>
          <w:p>
            <w:pPr>
              <w:spacing w:after="0"/>
              <w:rPr>
                <w:sz w:val="10"/>
                <w:szCs w:val="10"/>
                <w:color w:val="auto"/>
              </w:rPr>
            </w:pP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(182)</w:t>
            </w:r>
          </w:p>
        </w:tc>
        <w:tc>
          <w:tcPr>
            <w:tcW w:w="100" w:type="dxa"/>
            <w:vAlign w:val="bottom"/>
            <w:tcBorders>
              <w:bottom w:val="single" w:sz="8" w:color="CCEEFF"/>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(37)</w:t>
            </w:r>
          </w:p>
        </w:tc>
        <w:tc>
          <w:tcPr>
            <w:tcW w:w="100" w:type="dxa"/>
            <w:vAlign w:val="bottom"/>
            <w:tcBorders>
              <w:bottom w:val="single" w:sz="8" w:color="CCEEFF"/>
            </w:tcBorders>
          </w:tcPr>
          <w:p>
            <w:pPr>
              <w:spacing w:after="0"/>
              <w:rPr>
                <w:sz w:val="10"/>
                <w:szCs w:val="10"/>
                <w:color w:val="auto"/>
              </w:rPr>
            </w:pPr>
          </w:p>
        </w:tc>
        <w:tc>
          <w:tcPr>
            <w:tcW w:w="160" w:type="dxa"/>
            <w:vAlign w:val="bottom"/>
            <w:tcBorders>
              <w:top w:val="single" w:sz="8" w:color="auto"/>
              <w:bottom w:val="single" w:sz="8" w:color="auto"/>
            </w:tcBorders>
          </w:tcPr>
          <w:p>
            <w:pPr>
              <w:spacing w:after="0"/>
              <w:rPr>
                <w:sz w:val="10"/>
                <w:szCs w:val="10"/>
                <w:color w:val="auto"/>
              </w:rPr>
            </w:pP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tcPr>
          <w:p>
            <w:pPr>
              <w:spacing w:after="0"/>
              <w:rPr>
                <w:sz w:val="10"/>
                <w:szCs w:val="10"/>
                <w:color w:val="auto"/>
              </w:rPr>
            </w:pPr>
          </w:p>
        </w:tc>
        <w:tc>
          <w:tcPr>
            <w:tcW w:w="200" w:type="dxa"/>
            <w:vAlign w:val="bottom"/>
            <w:tcBorders>
              <w:top w:val="single" w:sz="8" w:color="auto"/>
              <w:bottom w:val="single" w:sz="8" w:color="auto"/>
            </w:tcBorders>
          </w:tcPr>
          <w:p>
            <w:pPr>
              <w:spacing w:after="0"/>
              <w:rPr>
                <w:sz w:val="10"/>
                <w:szCs w:val="1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rPr>
              <w:t>(219)</w:t>
            </w:r>
          </w:p>
        </w:tc>
        <w:tc>
          <w:tcPr>
            <w:tcW w:w="0" w:type="dxa"/>
            <w:vAlign w:val="bottom"/>
          </w:tcPr>
          <w:p>
            <w:pPr>
              <w:spacing w:after="0"/>
              <w:rPr>
                <w:sz w:val="1"/>
                <w:szCs w:val="1"/>
                <w:color w:val="auto"/>
              </w:rPr>
            </w:pPr>
          </w:p>
        </w:tc>
      </w:tr>
      <w:tr>
        <w:trPr>
          <w:trHeight w:val="156"/>
        </w:trPr>
        <w:tc>
          <w:tcPr>
            <w:tcW w:w="20" w:type="dxa"/>
            <w:vAlign w:val="bottom"/>
            <w:tcBorders>
              <w:bottom w:val="single" w:sz="8" w:color="CCEEFF"/>
            </w:tcBorders>
            <w:shd w:val="clear" w:color="auto" w:fill="CCEEFF"/>
          </w:tcPr>
          <w:p>
            <w:pPr>
              <w:spacing w:after="0"/>
              <w:rPr>
                <w:sz w:val="13"/>
                <w:szCs w:val="13"/>
                <w:color w:val="auto"/>
              </w:rPr>
            </w:pPr>
          </w:p>
        </w:tc>
        <w:tc>
          <w:tcPr>
            <w:tcW w:w="33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0"/>
                <w:szCs w:val="10"/>
                <w:b w:val="1"/>
                <w:bCs w:val="1"/>
                <w:color w:val="auto"/>
              </w:rPr>
              <w:t>Balance at December 31, 2022</w:t>
            </w:r>
          </w:p>
        </w:tc>
        <w:tc>
          <w:tcPr>
            <w:tcW w:w="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3,924</w:t>
            </w:r>
          </w:p>
        </w:tc>
        <w:tc>
          <w:tcPr>
            <w:tcW w:w="10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(2,543)</w:t>
            </w: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(466)</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917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0"/>
                <w:szCs w:val="10"/>
                <w:color w:val="auto"/>
              </w:rPr>
              <w:t>Dividend - preferred stock, $80/per share</w:t>
            </w: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0" w:type="dxa"/>
            <w:vAlign w:val="bottom"/>
          </w:tcPr>
          <w:p>
            <w:pPr>
              <w:spacing w:after="0"/>
              <w:rPr>
                <w:sz w:val="8"/>
                <w:szCs w:val="8"/>
                <w:color w:val="auto"/>
              </w:rPr>
            </w:pPr>
          </w:p>
        </w:tc>
        <w:tc>
          <w:tcPr>
            <w:tcW w:w="3320" w:type="dxa"/>
            <w:vAlign w:val="bottom"/>
            <w:tcBorders>
              <w:top w:val="single" w:sz="8" w:color="CCEEFF"/>
            </w:tcBorders>
            <w:gridSpan w:val="2"/>
            <w:vMerge w:val="continue"/>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jc w:val="right"/>
              <w:spacing w:after="0" w:line="92"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jc w:val="right"/>
              <w:ind w:right="11"/>
              <w:spacing w:after="0" w:line="92"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jc w:val="right"/>
              <w:spacing w:after="0" w:line="92"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40" w:type="dxa"/>
            <w:vAlign w:val="bottom"/>
            <w:tcBorders>
              <w:top w:val="single" w:sz="8" w:color="auto"/>
            </w:tcBorders>
          </w:tcPr>
          <w:p>
            <w:pPr>
              <w:jc w:val="right"/>
              <w:spacing w:after="0" w:line="92" w:lineRule="exact"/>
              <w:rPr>
                <w:sz w:val="20"/>
                <w:szCs w:val="20"/>
                <w:color w:val="auto"/>
              </w:rPr>
            </w:pPr>
            <w:r>
              <w:rPr>
                <w:rFonts w:ascii="Arial" w:cs="Arial" w:eastAsia="Arial" w:hAnsi="Arial"/>
                <w:sz w:val="10"/>
                <w:szCs w:val="10"/>
                <w:color w:val="auto"/>
              </w:rPr>
              <w:t>(10)</w:t>
            </w:r>
          </w:p>
        </w:tc>
        <w:tc>
          <w:tcPr>
            <w:tcW w:w="10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jc w:val="right"/>
              <w:spacing w:after="0" w:line="92" w:lineRule="exact"/>
              <w:rPr>
                <w:sz w:val="20"/>
                <w:szCs w:val="20"/>
                <w:color w:val="auto"/>
              </w:rPr>
            </w:pPr>
            <w:r>
              <w:rPr>
                <w:rFonts w:ascii="Arial" w:cs="Arial" w:eastAsia="Arial" w:hAnsi="Arial"/>
                <w:sz w:val="10"/>
                <w:szCs w:val="10"/>
                <w:color w:val="auto"/>
              </w:rPr>
              <w:t>—</w:t>
            </w:r>
          </w:p>
        </w:tc>
        <w:tc>
          <w:tcPr>
            <w:tcW w:w="10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80" w:type="dxa"/>
            <w:vAlign w:val="bottom"/>
            <w:tcBorders>
              <w:top w:val="single" w:sz="8" w:color="auto"/>
            </w:tcBorders>
          </w:tcPr>
          <w:p>
            <w:pPr>
              <w:jc w:val="right"/>
              <w:ind w:right="11"/>
              <w:spacing w:after="0" w:line="92" w:lineRule="exact"/>
              <w:rPr>
                <w:sz w:val="20"/>
                <w:szCs w:val="20"/>
                <w:color w:val="auto"/>
              </w:rPr>
            </w:pPr>
            <w:r>
              <w:rPr>
                <w:rFonts w:ascii="Arial" w:cs="Arial" w:eastAsia="Arial" w:hAnsi="Arial"/>
                <w:sz w:val="10"/>
                <w:szCs w:val="10"/>
                <w:color w:val="auto"/>
              </w:rPr>
              <w:t>—</w:t>
            </w:r>
          </w:p>
        </w:tc>
        <w:tc>
          <w:tcPr>
            <w:tcW w:w="8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000" w:type="dxa"/>
            <w:vAlign w:val="bottom"/>
            <w:tcBorders>
              <w:top w:val="single" w:sz="8" w:color="auto"/>
            </w:tcBorders>
          </w:tcPr>
          <w:p>
            <w:pPr>
              <w:jc w:val="right"/>
              <w:spacing w:after="0" w:line="92" w:lineRule="exact"/>
              <w:rPr>
                <w:sz w:val="20"/>
                <w:szCs w:val="20"/>
                <w:color w:val="auto"/>
              </w:rPr>
            </w:pPr>
            <w:r>
              <w:rPr>
                <w:rFonts w:ascii="Arial" w:cs="Arial" w:eastAsia="Arial" w:hAnsi="Arial"/>
                <w:sz w:val="10"/>
                <w:szCs w:val="10"/>
                <w:color w:val="auto"/>
              </w:rPr>
              <w:t>(10)</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Stock incentive plans, net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20" w:type="dxa"/>
            <w:vAlign w:val="bottom"/>
            <w:gridSpan w:val="2"/>
          </w:tcPr>
          <w:p>
            <w:pPr>
              <w:spacing w:after="0"/>
              <w:rPr>
                <w:sz w:val="20"/>
                <w:szCs w:val="20"/>
                <w:color w:val="auto"/>
              </w:rPr>
            </w:pPr>
            <w:r>
              <w:rPr>
                <w:rFonts w:ascii="Arial" w:cs="Arial" w:eastAsia="Arial" w:hAnsi="Arial"/>
                <w:sz w:val="10"/>
                <w:szCs w:val="10"/>
                <w:color w:val="auto"/>
              </w:rPr>
              <w:t>Treasury stock purchases</w:t>
            </w:r>
          </w:p>
        </w:tc>
        <w:tc>
          <w:tcPr>
            <w:tcW w:w="12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(27)</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(27)</w:t>
            </w: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Contribution from noncontrolling interest</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20" w:type="dxa"/>
            <w:vAlign w:val="bottom"/>
            <w:gridSpan w:val="2"/>
          </w:tcPr>
          <w:p>
            <w:pPr>
              <w:spacing w:after="0"/>
              <w:rPr>
                <w:sz w:val="20"/>
                <w:szCs w:val="20"/>
                <w:color w:val="auto"/>
              </w:rPr>
            </w:pPr>
            <w:r>
              <w:rPr>
                <w:rFonts w:ascii="Arial" w:cs="Arial" w:eastAsia="Arial" w:hAnsi="Arial"/>
                <w:sz w:val="10"/>
                <w:szCs w:val="10"/>
                <w:color w:val="auto"/>
              </w:rPr>
              <w:t>Comprehensive Income (Loss):</w:t>
            </w: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shd w:val="clear" w:color="auto" w:fill="CCEEFF"/>
          </w:tcPr>
          <w:p>
            <w:pPr>
              <w:spacing w:after="0"/>
              <w:rPr>
                <w:sz w:val="12"/>
                <w:szCs w:val="12"/>
                <w:color w:val="auto"/>
              </w:rPr>
            </w:pPr>
          </w:p>
        </w:tc>
        <w:tc>
          <w:tcPr>
            <w:tcW w:w="3320" w:type="dxa"/>
            <w:vAlign w:val="bottom"/>
            <w:gridSpan w:val="2"/>
            <w:shd w:val="clear" w:color="auto" w:fill="CCEEFF"/>
          </w:tcPr>
          <w:p>
            <w:pPr>
              <w:ind w:left="160"/>
              <w:spacing w:after="0"/>
              <w:rPr>
                <w:sz w:val="20"/>
                <w:szCs w:val="20"/>
                <w:color w:val="auto"/>
              </w:rPr>
            </w:pPr>
            <w:r>
              <w:rPr>
                <w:rFonts w:ascii="Arial" w:cs="Arial" w:eastAsia="Arial" w:hAnsi="Arial"/>
                <w:sz w:val="10"/>
                <w:szCs w:val="10"/>
                <w:color w:val="auto"/>
              </w:rPr>
              <w:t>Net Loss</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(296)</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(296)</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20" w:type="dxa"/>
            <w:vAlign w:val="bottom"/>
            <w:gridSpan w:val="2"/>
          </w:tcPr>
          <w:p>
            <w:pPr>
              <w:ind w:left="280"/>
              <w:spacing w:after="0"/>
              <w:rPr>
                <w:sz w:val="20"/>
                <w:szCs w:val="20"/>
                <w:color w:val="auto"/>
              </w:rPr>
            </w:pPr>
            <w:r>
              <w:rPr>
                <w:rFonts w:ascii="Arial" w:cs="Arial" w:eastAsia="Arial" w:hAnsi="Arial"/>
                <w:sz w:val="10"/>
                <w:szCs w:val="10"/>
                <w:color w:val="auto"/>
              </w:rPr>
              <w:t>Other comprehensive income (loss), net</w:t>
            </w:r>
          </w:p>
        </w:tc>
        <w:tc>
          <w:tcPr>
            <w:tcW w:w="120" w:type="dxa"/>
            <w:vAlign w:val="bottom"/>
          </w:tcPr>
          <w:p>
            <w:pPr>
              <w:spacing w:after="0"/>
              <w:rPr>
                <w:sz w:val="11"/>
                <w:szCs w:val="11"/>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31</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0"/>
                <w:szCs w:val="10"/>
                <w:color w:val="auto"/>
              </w:rPr>
              <w:t>31</w:t>
            </w:r>
          </w:p>
        </w:tc>
        <w:tc>
          <w:tcPr>
            <w:tcW w:w="0" w:type="dxa"/>
            <w:vAlign w:val="bottom"/>
          </w:tcPr>
          <w:p>
            <w:pPr>
              <w:spacing w:after="0"/>
              <w:rPr>
                <w:sz w:val="1"/>
                <w:szCs w:val="1"/>
                <w:color w:val="auto"/>
              </w:rPr>
            </w:pPr>
          </w:p>
        </w:tc>
      </w:tr>
      <w:tr>
        <w:trPr>
          <w:trHeight w:val="126"/>
        </w:trPr>
        <w:tc>
          <w:tcPr>
            <w:tcW w:w="20" w:type="dxa"/>
            <w:vAlign w:val="bottom"/>
            <w:tcBorders>
              <w:top w:val="single" w:sz="8" w:color="CCEEFF"/>
            </w:tcBorders>
            <w:shd w:val="clear" w:color="auto" w:fill="CCEEFF"/>
          </w:tcPr>
          <w:p>
            <w:pPr>
              <w:spacing w:after="0"/>
              <w:rPr>
                <w:sz w:val="10"/>
                <w:szCs w:val="10"/>
                <w:color w:val="auto"/>
              </w:rPr>
            </w:pPr>
          </w:p>
        </w:tc>
        <w:tc>
          <w:tcPr>
            <w:tcW w:w="33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0"/>
                <w:szCs w:val="10"/>
                <w:color w:val="auto"/>
              </w:rPr>
              <w:t>Total Comprehensive Income (Loss), Net</w:t>
            </w:r>
          </w:p>
        </w:tc>
        <w:tc>
          <w:tcPr>
            <w:tcW w:w="120" w:type="dxa"/>
            <w:vAlign w:val="bottom"/>
            <w:tcBorders>
              <w:top w:val="single" w:sz="8" w:color="auto"/>
              <w:bottom w:val="single" w:sz="8" w:color="auto"/>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spacing w:after="0"/>
              <w:rPr>
                <w:sz w:val="10"/>
                <w:szCs w:val="10"/>
                <w:color w:val="auto"/>
              </w:rPr>
            </w:pPr>
          </w:p>
        </w:tc>
        <w:tc>
          <w:tcPr>
            <w:tcW w:w="90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spacing w:after="0"/>
              <w:rPr>
                <w:sz w:val="10"/>
                <w:szCs w:val="1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bottom w:val="single" w:sz="8" w:color="auto"/>
            </w:tcBorders>
            <w:shd w:val="clear" w:color="auto" w:fill="CCEEFF"/>
          </w:tcPr>
          <w:p>
            <w:pPr>
              <w:spacing w:after="0"/>
              <w:rPr>
                <w:sz w:val="10"/>
                <w:szCs w:val="1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(296)</w:t>
            </w: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spacing w:after="0"/>
              <w:rPr>
                <w:sz w:val="10"/>
                <w:szCs w:val="1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31</w:t>
            </w:r>
          </w:p>
        </w:tc>
        <w:tc>
          <w:tcPr>
            <w:tcW w:w="10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bottom w:val="single" w:sz="8" w:color="auto"/>
            </w:tcBorders>
            <w:shd w:val="clear" w:color="auto" w:fill="CCEEFF"/>
          </w:tcPr>
          <w:p>
            <w:pPr>
              <w:spacing w:after="0"/>
              <w:rPr>
                <w:sz w:val="10"/>
                <w:szCs w:val="10"/>
                <w:color w:val="auto"/>
              </w:rPr>
            </w:pPr>
          </w:p>
        </w:tc>
        <w:tc>
          <w:tcPr>
            <w:tcW w:w="8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8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bottom w:val="single" w:sz="8" w:color="auto"/>
            </w:tcBorders>
            <w:shd w:val="clear" w:color="auto" w:fill="CCEEFF"/>
          </w:tcPr>
          <w:p>
            <w:pPr>
              <w:spacing w:after="0"/>
              <w:rPr>
                <w:sz w:val="10"/>
                <w:szCs w:val="10"/>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(265)</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20" w:type="dxa"/>
            <w:vAlign w:val="bottom"/>
            <w:gridSpan w:val="2"/>
          </w:tcPr>
          <w:p>
            <w:pPr>
              <w:spacing w:after="0"/>
              <w:rPr>
                <w:sz w:val="20"/>
                <w:szCs w:val="20"/>
                <w:color w:val="auto"/>
              </w:rPr>
            </w:pPr>
            <w:r>
              <w:rPr>
                <w:rFonts w:ascii="Arial" w:cs="Arial" w:eastAsia="Arial" w:hAnsi="Arial"/>
                <w:sz w:val="10"/>
                <w:szCs w:val="10"/>
                <w:b w:val="1"/>
                <w:bCs w:val="1"/>
                <w:color w:val="auto"/>
              </w:rPr>
              <w:t>Balance at December 31, 2023</w:t>
            </w: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w:t>
            </w:r>
          </w:p>
        </w:tc>
        <w:tc>
          <w:tcPr>
            <w:tcW w:w="100" w:type="dxa"/>
            <w:vAlign w:val="bottom"/>
          </w:tcPr>
          <w:p>
            <w:pPr>
              <w:spacing w:after="0"/>
              <w:rPr>
                <w:sz w:val="11"/>
                <w:szCs w:val="11"/>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w:t>
            </w:r>
          </w:p>
        </w:tc>
        <w:tc>
          <w:tcPr>
            <w:tcW w:w="80" w:type="dxa"/>
            <w:vAlign w:val="bottom"/>
          </w:tcPr>
          <w:p>
            <w:pPr>
              <w:spacing w:after="0"/>
              <w:rPr>
                <w:sz w:val="11"/>
                <w:szCs w:val="11"/>
                <w:color w:val="auto"/>
              </w:rPr>
            </w:pPr>
          </w:p>
        </w:tc>
        <w:tc>
          <w:tcPr>
            <w:tcW w:w="20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3,938</w:t>
            </w:r>
          </w:p>
        </w:tc>
        <w:tc>
          <w:tcPr>
            <w:tcW w:w="100" w:type="dxa"/>
            <w:vAlign w:val="bottom"/>
          </w:tcPr>
          <w:p>
            <w:pPr>
              <w:spacing w:after="0"/>
              <w:rPr>
                <w:sz w:val="11"/>
                <w:szCs w:val="11"/>
                <w:color w:val="auto"/>
              </w:rPr>
            </w:pPr>
          </w:p>
        </w:tc>
        <w:tc>
          <w:tcPr>
            <w:tcW w:w="18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(2,849)</w:t>
            </w:r>
          </w:p>
        </w:tc>
        <w:tc>
          <w:tcPr>
            <w:tcW w:w="100" w:type="dxa"/>
            <w:vAlign w:val="bottom"/>
          </w:tcPr>
          <w:p>
            <w:pPr>
              <w:spacing w:after="0"/>
              <w:rPr>
                <w:sz w:val="11"/>
                <w:szCs w:val="11"/>
                <w:color w:val="auto"/>
              </w:rPr>
            </w:pPr>
          </w:p>
        </w:tc>
        <w:tc>
          <w:tcPr>
            <w:tcW w:w="20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(435)</w:t>
            </w:r>
          </w:p>
        </w:tc>
        <w:tc>
          <w:tcPr>
            <w:tcW w:w="100" w:type="dxa"/>
            <w:vAlign w:val="bottom"/>
          </w:tcPr>
          <w:p>
            <w:pPr>
              <w:spacing w:after="0"/>
              <w:rPr>
                <w:sz w:val="11"/>
                <w:szCs w:val="11"/>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w:t>
            </w:r>
          </w:p>
        </w:tc>
        <w:tc>
          <w:tcPr>
            <w:tcW w:w="88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4</w:t>
            </w:r>
          </w:p>
        </w:tc>
        <w:tc>
          <w:tcPr>
            <w:tcW w:w="80" w:type="dxa"/>
            <w:vAlign w:val="bottom"/>
          </w:tcPr>
          <w:p>
            <w:pPr>
              <w:spacing w:after="0"/>
              <w:rPr>
                <w:sz w:val="11"/>
                <w:szCs w:val="11"/>
                <w:color w:val="auto"/>
              </w:rPr>
            </w:pPr>
          </w:p>
        </w:tc>
        <w:tc>
          <w:tcPr>
            <w:tcW w:w="20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0"/>
        <w:spacing w:after="0"/>
        <w:rPr>
          <w:sz w:val="20"/>
          <w:szCs w:val="20"/>
          <w:color w:val="auto"/>
        </w:rPr>
      </w:pPr>
      <w:r>
        <w:rPr>
          <w:rFonts w:ascii="Arial" w:cs="Arial" w:eastAsia="Arial" w:hAnsi="Arial"/>
          <w:sz w:val="10"/>
          <w:szCs w:val="10"/>
          <w:color w:val="auto"/>
        </w:rPr>
        <w:t>___________</w:t>
      </w:r>
    </w:p>
    <w:p>
      <w:pPr>
        <w:spacing w:after="0" w:line="48"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i w:val="1"/>
          <w:iCs w:val="1"/>
          <w:color w:val="auto"/>
        </w:rPr>
        <w:t>(1)</w:t>
        <w:tab/>
        <w:t>AOCL - Accumulated other comprehensive loss.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The accompanying notes are an integral part of these Consolidated Financial Statements.</w:t>
      </w:r>
    </w:p>
    <w:p>
      <w:pPr>
        <w:spacing w:after="0" w:line="200" w:lineRule="exact"/>
        <w:rPr>
          <w:sz w:val="20"/>
          <w:szCs w:val="20"/>
          <w:color w:val="auto"/>
        </w:rPr>
      </w:pPr>
    </w:p>
    <w:p>
      <w:pPr>
        <w:spacing w:after="0" w:line="332"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59" w:name="page60"/>
    <w:bookmarkEnd w:id="59"/>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CONDUENT INCORPORATED</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NOTES TO CONSOLIDATED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 – Basis of Presentation and Summary of Significant Accounting Policies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References herein to “we,” “us,” “our,” the “Company” and “Conduent” refer to Conduent Incorporated and its consolidated subsidiaries unless the context suggests otherwise.</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Description of Business</w:t>
      </w:r>
    </w:p>
    <w:p>
      <w:pPr>
        <w:spacing w:after="0" w:line="131" w:lineRule="exact"/>
        <w:rPr>
          <w:sz w:val="20"/>
          <w:szCs w:val="20"/>
          <w:color w:val="auto"/>
        </w:rPr>
      </w:pPr>
    </w:p>
    <w:p>
      <w:pPr>
        <w:ind w:right="80"/>
        <w:spacing w:after="0" w:line="256" w:lineRule="auto"/>
        <w:rPr>
          <w:sz w:val="20"/>
          <w:szCs w:val="20"/>
          <w:color w:val="auto"/>
        </w:rPr>
      </w:pPr>
      <w:r>
        <w:rPr>
          <w:rFonts w:ascii="Arial" w:cs="Arial" w:eastAsia="Arial" w:hAnsi="Arial"/>
          <w:sz w:val="14"/>
          <w:szCs w:val="14"/>
          <w:color w:val="auto"/>
        </w:rPr>
        <w:t>Conduent Incorporated is a New York corporation, organized in 2016. Conduent delivers digital business solutions and services spanning the commercial, government and transportation spectrum – creating valuable outcomes for its clients and the millions of people who count on them. Conduent leverages cloud computing, artificial intelligence, machine learning, automation and advanced analytics to deliver mission-critical business process solutions. Through a dedicated global team of associates, process expertise, and advanced technologies, Conduent's solutions and services digitally transform its clients’ operations to enhance customer experiences, improve performance, increase efficiencies and reduce costs.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Basis of Presentation</w:t>
      </w:r>
    </w:p>
    <w:p>
      <w:pPr>
        <w:spacing w:after="0" w:line="131" w:lineRule="exact"/>
        <w:rPr>
          <w:sz w:val="20"/>
          <w:szCs w:val="20"/>
          <w:color w:val="auto"/>
        </w:rPr>
      </w:pPr>
    </w:p>
    <w:p>
      <w:pPr>
        <w:ind w:right="140"/>
        <w:spacing w:after="0" w:line="259" w:lineRule="auto"/>
        <w:rPr>
          <w:sz w:val="20"/>
          <w:szCs w:val="20"/>
          <w:color w:val="auto"/>
        </w:rPr>
      </w:pPr>
      <w:r>
        <w:rPr>
          <w:rFonts w:ascii="Arial" w:cs="Arial" w:eastAsia="Arial" w:hAnsi="Arial"/>
          <w:sz w:val="14"/>
          <w:szCs w:val="14"/>
          <w:color w:val="auto"/>
        </w:rPr>
        <w:t>The Company's Consolidated Financial Statements included the historical basis of assets, liabilities, revenues and expenses of the individual businesses of the Company, including joint ventures and partnerships over which the Company has a controlling financial interest. The Company has prepared the Consolidated Financial Statements pursuant to the rules and regulations of the SEC. Certain reclassifications have been made to prior years' amounts to conform to the current year presentation. All intercompany transactions and balances have been eliminated.</w:t>
      </w:r>
    </w:p>
    <w:p>
      <w:pPr>
        <w:spacing w:after="0" w:line="97" w:lineRule="exact"/>
        <w:rPr>
          <w:sz w:val="20"/>
          <w:szCs w:val="20"/>
          <w:color w:val="auto"/>
        </w:rPr>
      </w:pPr>
    </w:p>
    <w:p>
      <w:pPr>
        <w:ind w:right="320"/>
        <w:spacing w:after="0" w:line="278" w:lineRule="auto"/>
        <w:rPr>
          <w:sz w:val="20"/>
          <w:szCs w:val="20"/>
          <w:color w:val="auto"/>
        </w:rPr>
      </w:pPr>
      <w:r>
        <w:rPr>
          <w:rFonts w:ascii="Arial" w:cs="Arial" w:eastAsia="Arial" w:hAnsi="Arial"/>
          <w:sz w:val="13"/>
          <w:szCs w:val="13"/>
          <w:color w:val="auto"/>
        </w:rPr>
        <w:t>In the first quarter of 2023, the Company identified an error and recorded an out-of-period adjustment to correct the recognition of revenue on a Government segment contract that originated in 2020 and impacted all quarterly periods through December 31, 2022. This adjustment resulted in a reduction to revenue and income (loss) before income taxes of</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4"/>
          <w:szCs w:val="14"/>
          <w:color w:val="auto"/>
        </w:rPr>
        <w:t>$7 million and a corresponding decrease to accounts receivable of $1 million and an increase to other current liabilities of $6 million in the first quarter of 2023. The Company evaluated the impact of the out-of-period adjustment and concluded it was not material to any previously issued interim or annual consolidated financial statements and the adjustment is not material to the year ending December 31, 2023.</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evaluated subsequent events through February 21, 2024.</w:t>
      </w:r>
    </w:p>
    <w:p>
      <w:pPr>
        <w:spacing w:after="0" w:line="131" w:lineRule="exact"/>
        <w:rPr>
          <w:sz w:val="20"/>
          <w:szCs w:val="20"/>
          <w:color w:val="auto"/>
        </w:rPr>
      </w:pPr>
    </w:p>
    <w:p>
      <w:pPr>
        <w:ind w:right="420"/>
        <w:spacing w:after="0" w:line="282" w:lineRule="auto"/>
        <w:rPr>
          <w:sz w:val="20"/>
          <w:szCs w:val="20"/>
          <w:color w:val="auto"/>
        </w:rPr>
      </w:pPr>
      <w:r>
        <w:rPr>
          <w:rFonts w:ascii="Arial" w:cs="Arial" w:eastAsia="Arial" w:hAnsi="Arial"/>
          <w:sz w:val="14"/>
          <w:szCs w:val="14"/>
          <w:color w:val="auto"/>
        </w:rPr>
        <w:t>Conduent's common stock began trading on January 3, 2017, on the New York Stock Exchange, under the ticker "CNDT". In December 2019, Conduent changed the listing of its publicly traded common stock from the New York Stock Exchange to the Nasdaq Global Select Market ("Nasdaq"), where it remains listed under the ticker "CNDT".</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Use of Estimates</w:t>
      </w:r>
    </w:p>
    <w:p>
      <w:pPr>
        <w:spacing w:after="0" w:line="131" w:lineRule="exact"/>
        <w:rPr>
          <w:sz w:val="20"/>
          <w:szCs w:val="20"/>
          <w:color w:val="auto"/>
        </w:rPr>
      </w:pPr>
    </w:p>
    <w:p>
      <w:pPr>
        <w:ind w:right="240"/>
        <w:spacing w:after="0" w:line="259" w:lineRule="auto"/>
        <w:rPr>
          <w:sz w:val="20"/>
          <w:szCs w:val="20"/>
          <w:color w:val="auto"/>
        </w:rPr>
      </w:pPr>
      <w:r>
        <w:rPr>
          <w:rFonts w:ascii="Arial" w:cs="Arial" w:eastAsia="Arial" w:hAnsi="Arial"/>
          <w:sz w:val="14"/>
          <w:szCs w:val="14"/>
          <w:color w:val="auto"/>
        </w:rPr>
        <w:t>The Company prepared the Consolidated Financial Statements using financial information available at the time of preparation, which requires it to make estimates and assumptions that affect the amounts reported. The Company's most significant estimates pertain to intangible assets, valuation of goodwill, contingencies and litigation and income taxes. These estimates are based on management's best knowledge of current events, historical experience, and on various other assumptions that are believed to be reasonable under the circumstances. As a result, actual results may be different from these estimates.</w:t>
      </w:r>
    </w:p>
    <w:p>
      <w:pPr>
        <w:spacing w:after="0" w:line="97"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As of December 31, 2023, the effects of global macroeconomic and geopolitical uncertainty on the Company's business, results of operations and financial condition continue to evolve. As a result, many of the Company's estimates and assumptions continue to require increased judgment and carry a higher degree of variability and volatility. As events continue to evolve and additional information becomes available, the Company's estimates may change materially in the future.</w:t>
      </w:r>
    </w:p>
    <w:p>
      <w:pPr>
        <w:spacing w:after="0" w:line="200" w:lineRule="exact"/>
        <w:rPr>
          <w:sz w:val="20"/>
          <w:szCs w:val="20"/>
          <w:color w:val="auto"/>
        </w:rPr>
      </w:pPr>
    </w:p>
    <w:p>
      <w:pPr>
        <w:spacing w:after="0" w:line="235"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60" w:name="page61"/>
    <w:bookmarkEnd w:id="60"/>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1269BC"/>
        </w:rPr>
        <w:t>New Accounting Standards</w:t>
      </w:r>
    </w:p>
    <w:p>
      <w:pPr>
        <w:spacing w:after="0" w:line="131" w:lineRule="exact"/>
        <w:rPr>
          <w:sz w:val="20"/>
          <w:szCs w:val="20"/>
          <w:color w:val="auto"/>
        </w:rPr>
      </w:pPr>
    </w:p>
    <w:p>
      <w:pPr>
        <w:ind w:right="200"/>
        <w:spacing w:after="0" w:line="259" w:lineRule="auto"/>
        <w:rPr>
          <w:sz w:val="20"/>
          <w:szCs w:val="20"/>
          <w:color w:val="auto"/>
        </w:rPr>
      </w:pPr>
      <w:r>
        <w:rPr>
          <w:rFonts w:ascii="Arial" w:cs="Arial" w:eastAsia="Arial" w:hAnsi="Arial"/>
          <w:sz w:val="14"/>
          <w:szCs w:val="14"/>
          <w:b w:val="1"/>
          <w:bCs w:val="1"/>
          <w:color w:val="auto"/>
        </w:rPr>
        <w:t xml:space="preserve">Segment Reporting: </w:t>
      </w:r>
      <w:r>
        <w:rPr>
          <w:rFonts w:ascii="Arial" w:cs="Arial" w:eastAsia="Arial" w:hAnsi="Arial"/>
          <w:sz w:val="14"/>
          <w:szCs w:val="14"/>
          <w:color w:val="auto"/>
        </w:rPr>
        <w:t>In November 2023, the Financial Accounting Standards Board ("FASB") issued final guidance that expands reportable segment disclosures, particularly</w:t>
      </w:r>
      <w:r>
        <w:rPr>
          <w:rFonts w:ascii="Arial" w:cs="Arial" w:eastAsia="Arial" w:hAnsi="Arial"/>
          <w:sz w:val="14"/>
          <w:szCs w:val="14"/>
          <w:b w:val="1"/>
          <w:bCs w:val="1"/>
          <w:color w:val="auto"/>
        </w:rPr>
        <w:t xml:space="preserve"> </w:t>
      </w:r>
      <w:r>
        <w:rPr>
          <w:rFonts w:ascii="Arial" w:cs="Arial" w:eastAsia="Arial" w:hAnsi="Arial"/>
          <w:sz w:val="14"/>
          <w:szCs w:val="14"/>
          <w:color w:val="auto"/>
        </w:rPr>
        <w:t>incremental segment expense disclosures. This guidance is effective for fiscal years beginning after December 15, 2023 and interim periods within fiscal years beginning after December 15, 2024. The Company is not early adopting this guidance. The Company is currently in the process of gathering the data required to be disclosed upon adoption. As the guidance is disclosure related, adoption will not have any impact on the Company's Consolidated Financial Statements.</w:t>
      </w:r>
    </w:p>
    <w:p>
      <w:pPr>
        <w:spacing w:after="0" w:line="97" w:lineRule="exact"/>
        <w:rPr>
          <w:sz w:val="20"/>
          <w:szCs w:val="20"/>
          <w:color w:val="auto"/>
        </w:rPr>
      </w:pPr>
    </w:p>
    <w:p>
      <w:pPr>
        <w:ind w:right="60"/>
        <w:spacing w:after="0" w:line="256" w:lineRule="auto"/>
        <w:rPr>
          <w:sz w:val="20"/>
          <w:szCs w:val="20"/>
          <w:color w:val="auto"/>
        </w:rPr>
      </w:pPr>
      <w:r>
        <w:rPr>
          <w:rFonts w:ascii="Arial" w:cs="Arial" w:eastAsia="Arial" w:hAnsi="Arial"/>
          <w:sz w:val="14"/>
          <w:szCs w:val="14"/>
          <w:b w:val="1"/>
          <w:bCs w:val="1"/>
          <w:color w:val="auto"/>
        </w:rPr>
        <w:t xml:space="preserve">Income Taxes: </w:t>
      </w:r>
      <w:r>
        <w:rPr>
          <w:rFonts w:ascii="Arial" w:cs="Arial" w:eastAsia="Arial" w:hAnsi="Arial"/>
          <w:sz w:val="14"/>
          <w:szCs w:val="14"/>
          <w:color w:val="auto"/>
        </w:rPr>
        <w:t>In December 2023, the FASB issued final guidance designed to improve income tax disclosures, particularly disclosures around business entities' income tax rate</w:t>
      </w:r>
      <w:r>
        <w:rPr>
          <w:rFonts w:ascii="Arial" w:cs="Arial" w:eastAsia="Arial" w:hAnsi="Arial"/>
          <w:sz w:val="14"/>
          <w:szCs w:val="14"/>
          <w:b w:val="1"/>
          <w:bCs w:val="1"/>
          <w:color w:val="auto"/>
        </w:rPr>
        <w:t xml:space="preserve"> </w:t>
      </w:r>
      <w:r>
        <w:rPr>
          <w:rFonts w:ascii="Arial" w:cs="Arial" w:eastAsia="Arial" w:hAnsi="Arial"/>
          <w:sz w:val="14"/>
          <w:szCs w:val="14"/>
          <w:color w:val="auto"/>
        </w:rPr>
        <w:t>reconciliation and income taxes paid. The guidance requires consistent categories and greater disaggregation of information in the reconciliation of an entity's statutory tax rate to its effective tax rate and information about income taxes paid disaggregated by jurisdiction. This guidance is effective for fiscal years beginning after December 15, 2024. The Company is not early adopting this guidance. The Company is currently in the process of gathering the data required to be disclosed upon adoption. As the guidance is disclosure related, adoption will not have any impact on the Company's Consolidated Financial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Recently Adopted Accounting Standards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Company did not adopt any new accounting standards in 2023 that had a material impact on its Consolidated 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1269BD"/>
        </w:rPr>
        <w:t>Summary of Accounting Policies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Cash and Cash Equivalents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 consist of cash on hand, including money market funds and investments with original maturities of three months or less.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Receivable Sales</w:t>
      </w:r>
    </w:p>
    <w:p>
      <w:pPr>
        <w:spacing w:after="0" w:line="131"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In 2023, 2022 and 2021, the Company sold certain accounts receivable and derecognized the corresponding receivable balance. Refer to Note 5 – Accounts Receivable, Net for more details on the Company's receivable sales.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Assets/Liabilities Held for Sale</w:t>
      </w:r>
    </w:p>
    <w:p>
      <w:pPr>
        <w:spacing w:after="0" w:line="131" w:lineRule="exact"/>
        <w:rPr>
          <w:sz w:val="20"/>
          <w:szCs w:val="20"/>
          <w:color w:val="auto"/>
        </w:rPr>
      </w:pPr>
    </w:p>
    <w:p>
      <w:pPr>
        <w:spacing w:after="0" w:line="254" w:lineRule="auto"/>
        <w:rPr>
          <w:sz w:val="20"/>
          <w:szCs w:val="20"/>
          <w:color w:val="auto"/>
        </w:rPr>
      </w:pPr>
      <w:r>
        <w:rPr>
          <w:rFonts w:ascii="Arial" w:cs="Arial" w:eastAsia="Arial" w:hAnsi="Arial"/>
          <w:sz w:val="14"/>
          <w:szCs w:val="14"/>
          <w:color w:val="auto"/>
        </w:rPr>
        <w:t>The Company classifies assets as held for sale in the period when the following conditions are met: (i) management, having the authority to approve the action, commits to a plan to sell the asset (disposal group); (ii) the asset (disposal group) is available for immediate sale in its present condition subject only to terms that are usual and customary for sales of such assets (disposal group); (iii) an active program to locate a buyer and other actions required to complete the plan to sell the asset (disposal group) have been initiated; (iv) the sale of the asset (disposal group) is probable, and transfer of the asset (disposal group) is expected to qualify for recognition as a completed sale within one year, except if events or circumstances beyond our control extend the period of time required to sell the asset (disposal group) beyond one year; (v) the asset (disposal group) is being actively marketed for sale at a price that is reasonable in relation to its current fair value; and (vi) actions required to complete the plan indicate that it is unlikely that significant changes to the plan will be made or that the plan will be withdrawn.</w:t>
      </w:r>
    </w:p>
    <w:p>
      <w:pPr>
        <w:spacing w:after="0" w:line="99"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A long-lived asset (disposal group) that is classified as held for sale is initially measured at the lower of its carrying value or fair value less any costs to sell. Any loss resulting from this measurement is recognized in the period in which the held for sale criteria are met. Conversely, gains are not recognized on the sale of a long-lived asset (disposal group) until the date of sale.</w:t>
      </w:r>
    </w:p>
    <w:p>
      <w:pPr>
        <w:spacing w:after="0" w:line="92" w:lineRule="exact"/>
        <w:rPr>
          <w:sz w:val="20"/>
          <w:szCs w:val="20"/>
          <w:color w:val="auto"/>
        </w:rPr>
      </w:pPr>
    </w:p>
    <w:p>
      <w:pPr>
        <w:jc w:val="both"/>
        <w:ind w:right="380"/>
        <w:spacing w:after="0" w:line="265" w:lineRule="auto"/>
        <w:rPr>
          <w:sz w:val="20"/>
          <w:szCs w:val="20"/>
          <w:color w:val="auto"/>
        </w:rPr>
      </w:pPr>
      <w:r>
        <w:rPr>
          <w:rFonts w:ascii="Arial" w:cs="Arial" w:eastAsia="Arial" w:hAnsi="Arial"/>
          <w:sz w:val="14"/>
          <w:szCs w:val="14"/>
          <w:color w:val="auto"/>
        </w:rPr>
        <w:t>The fair value of a long-lived asset (disposal group) less any costs to sell is assessed each reporting period it remains classified as held for sale and any subsequent changes are reported as an adjustment to the carrying value of the asset (disposal group), as long as the new carrying value does not exceed the carrying value of the asset at the time it was initially classified as held for sale.</w:t>
      </w:r>
    </w:p>
    <w:p>
      <w:pPr>
        <w:spacing w:after="0" w:line="200" w:lineRule="exact"/>
        <w:rPr>
          <w:sz w:val="20"/>
          <w:szCs w:val="20"/>
          <w:color w:val="auto"/>
        </w:rPr>
      </w:pPr>
    </w:p>
    <w:p>
      <w:pPr>
        <w:spacing w:after="0" w:line="235"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61" w:name="page62"/>
    <w:bookmarkEnd w:id="61"/>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Refer to Note 4 – Assets/Liabilities Held for Sale and Divestitures to the Consolidated Financial Statements for additional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Land, Buildings and Equipment</w:t>
      </w:r>
    </w:p>
    <w:p>
      <w:pPr>
        <w:spacing w:after="0" w:line="131" w:lineRule="exact"/>
        <w:rPr>
          <w:sz w:val="20"/>
          <w:szCs w:val="20"/>
          <w:color w:val="auto"/>
        </w:rPr>
      </w:pPr>
    </w:p>
    <w:p>
      <w:pPr>
        <w:ind w:right="360"/>
        <w:spacing w:after="0" w:line="282" w:lineRule="auto"/>
        <w:rPr>
          <w:sz w:val="20"/>
          <w:szCs w:val="20"/>
          <w:color w:val="auto"/>
        </w:rPr>
      </w:pPr>
      <w:r>
        <w:rPr>
          <w:rFonts w:ascii="Arial" w:cs="Arial" w:eastAsia="Arial" w:hAnsi="Arial"/>
          <w:sz w:val="14"/>
          <w:szCs w:val="14"/>
          <w:color w:val="auto"/>
        </w:rPr>
        <w:t>Land, buildings and equipment are recorded at cost. Buildings and equipment are depreciated over their estimated useful lives. Leasehold improvements are depreciated over the shorter of the lease term or the estimated useful life. Significant improvements are capitalized and maintenance and repairs are expensed when incurred.</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Refer to Note 6 – Land, Buildings, Equipment and Software, Net for further discussion.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Internal Use and Product Software</w:t>
      </w:r>
    </w:p>
    <w:p>
      <w:pPr>
        <w:spacing w:after="0" w:line="131"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b w:val="1"/>
          <w:bCs w:val="1"/>
          <w:color w:val="auto"/>
        </w:rPr>
        <w:t xml:space="preserve">Internal Use Software: </w:t>
      </w:r>
      <w:r>
        <w:rPr>
          <w:rFonts w:ascii="Arial" w:cs="Arial" w:eastAsia="Arial" w:hAnsi="Arial"/>
          <w:sz w:val="14"/>
          <w:szCs w:val="14"/>
          <w:color w:val="auto"/>
        </w:rPr>
        <w:t>The Company capitalizes direct costs associated with developing, purchasing or otherwise acquiring software for internal use and amortizes these costs on a</w:t>
      </w:r>
      <w:r>
        <w:rPr>
          <w:rFonts w:ascii="Arial" w:cs="Arial" w:eastAsia="Arial" w:hAnsi="Arial"/>
          <w:sz w:val="14"/>
          <w:szCs w:val="14"/>
          <w:b w:val="1"/>
          <w:bCs w:val="1"/>
          <w:color w:val="auto"/>
        </w:rPr>
        <w:t xml:space="preserve"> </w:t>
      </w:r>
      <w:r>
        <w:rPr>
          <w:rFonts w:ascii="Arial" w:cs="Arial" w:eastAsia="Arial" w:hAnsi="Arial"/>
          <w:sz w:val="14"/>
          <w:szCs w:val="14"/>
          <w:color w:val="auto"/>
        </w:rPr>
        <w:t>straight-line basis over the expected useful life of the software, beginning when the software is implemented. Costs for upgrades and enhancements that will not result in additional functionality are expensed as incurred. Amounts incurred for Internal Use Software are included in Cash Flows from Investing Activities.</w:t>
      </w:r>
    </w:p>
    <w:p>
      <w:pPr>
        <w:spacing w:after="0" w:line="92" w:lineRule="exact"/>
        <w:rPr>
          <w:sz w:val="20"/>
          <w:szCs w:val="20"/>
          <w:color w:val="auto"/>
        </w:rPr>
      </w:pPr>
    </w:p>
    <w:p>
      <w:pPr>
        <w:ind w:right="100"/>
        <w:spacing w:after="0" w:line="259" w:lineRule="auto"/>
        <w:rPr>
          <w:sz w:val="20"/>
          <w:szCs w:val="20"/>
          <w:color w:val="auto"/>
        </w:rPr>
      </w:pPr>
      <w:r>
        <w:rPr>
          <w:rFonts w:ascii="Arial" w:cs="Arial" w:eastAsia="Arial" w:hAnsi="Arial"/>
          <w:sz w:val="14"/>
          <w:szCs w:val="14"/>
          <w:b w:val="1"/>
          <w:bCs w:val="1"/>
          <w:color w:val="auto"/>
        </w:rPr>
        <w:t>Produc</w:t>
      </w:r>
      <w:r>
        <w:rPr>
          <w:rFonts w:ascii="Arial" w:cs="Arial" w:eastAsia="Arial" w:hAnsi="Arial"/>
          <w:sz w:val="14"/>
          <w:szCs w:val="14"/>
          <w:b w:val="1"/>
          <w:bCs w:val="1"/>
          <w:color w:val="333333"/>
        </w:rPr>
        <w:t>t Software</w:t>
      </w:r>
      <w:r>
        <w:rPr>
          <w:rFonts w:ascii="Arial" w:cs="Arial" w:eastAsia="Arial" w:hAnsi="Arial"/>
          <w:sz w:val="14"/>
          <w:szCs w:val="14"/>
          <w:color w:val="auto"/>
        </w:rPr>
        <w:t>: The Company also capitalizes certain costs related to the development of software solutions to be sold to its customers upon reaching technological feasibility.</w:t>
      </w:r>
      <w:r>
        <w:rPr>
          <w:rFonts w:ascii="Arial" w:cs="Arial" w:eastAsia="Arial" w:hAnsi="Arial"/>
          <w:sz w:val="14"/>
          <w:szCs w:val="14"/>
          <w:b w:val="1"/>
          <w:bCs w:val="1"/>
          <w:color w:val="auto"/>
        </w:rPr>
        <w:t xml:space="preserve"> </w:t>
      </w:r>
      <w:r>
        <w:rPr>
          <w:rFonts w:ascii="Arial" w:cs="Arial" w:eastAsia="Arial" w:hAnsi="Arial"/>
          <w:sz w:val="14"/>
          <w:szCs w:val="14"/>
          <w:color w:val="auto"/>
        </w:rPr>
        <w:t>These costs are amortized on a straight-line basis over the estimated economic life of the software. Amounts incurred for Product Software are included in Cash Flows from Operating activities. The Company performs annual reviews to ensure that unamortized Product Software costs remain recoverable from estimated future operating profits (net realizable value). Costs to support or service licensed software are charged to Costs of services as incurred.</w:t>
      </w:r>
    </w:p>
    <w:p>
      <w:pPr>
        <w:spacing w:after="0" w:line="97"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Internal use and Product software are included in Other long-term assets on the Company's Consolidated Balance Sheets. Refer to Note 6 – Land, Buildings, Equipment and Software, Net for further information.</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Cloud Computing Arrangements</w:t>
      </w:r>
    </w:p>
    <w:p>
      <w:pPr>
        <w:spacing w:after="0" w:line="131" w:lineRule="exact"/>
        <w:rPr>
          <w:sz w:val="20"/>
          <w:szCs w:val="20"/>
          <w:color w:val="auto"/>
        </w:rPr>
      </w:pPr>
    </w:p>
    <w:p>
      <w:pPr>
        <w:ind w:right="140"/>
        <w:spacing w:after="0" w:line="281" w:lineRule="auto"/>
        <w:rPr>
          <w:sz w:val="20"/>
          <w:szCs w:val="20"/>
          <w:color w:val="auto"/>
        </w:rPr>
      </w:pPr>
      <w:r>
        <w:rPr>
          <w:rFonts w:ascii="Arial" w:cs="Arial" w:eastAsia="Arial" w:hAnsi="Arial"/>
          <w:sz w:val="13"/>
          <w:szCs w:val="13"/>
          <w:color w:val="auto"/>
        </w:rPr>
        <w:t>The Company incurs costs to implement cloud computing arrangements that are hosted by third party vendors. Implementation costs associated with cloud computing arrangements are capitalized when incurred during the application development phase. Amortization is calculated on a straight-line basis over the contractual term of the cloud computing arrangement, which includes renewal options that are reasonably certain to be exercised. Capitalized amounts related to such arrangements are recorded within Other current assets and Other long-term assets in the Consolidated Balance Sheets. The amortization expense and the associated hosting fees are included in Cost of services and Selling, general and administrative expenses, depending on the nature of the underlying use of the cloud computing arrangement, in the Company’s Consolidated Statements of Income (Loss).</w:t>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In the fourth quarter of 2021, the Company wrote-off approximately $28 million of previously capitalized implementation costs. There were no such write-offs in either 2023 or 2022.</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Refer to Note 6 – Land, Buildings, Equipment and Software, Net for further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color w:val="1269BD"/>
        </w:rPr>
        <w:t>Leases</w:t>
      </w:r>
    </w:p>
    <w:p>
      <w:pPr>
        <w:spacing w:after="0" w:line="131" w:lineRule="exact"/>
        <w:rPr>
          <w:sz w:val="20"/>
          <w:szCs w:val="20"/>
          <w:color w:val="auto"/>
        </w:rPr>
      </w:pPr>
    </w:p>
    <w:p>
      <w:pPr>
        <w:ind w:right="200"/>
        <w:spacing w:after="0" w:line="259" w:lineRule="auto"/>
        <w:rPr>
          <w:sz w:val="20"/>
          <w:szCs w:val="20"/>
          <w:color w:val="auto"/>
        </w:rPr>
      </w:pPr>
      <w:r>
        <w:rPr>
          <w:rFonts w:ascii="Arial" w:cs="Arial" w:eastAsia="Arial" w:hAnsi="Arial"/>
          <w:sz w:val="14"/>
          <w:szCs w:val="14"/>
          <w:color w:val="auto"/>
        </w:rPr>
        <w:t>The Company determines if an arrangement is a lease at the inception of the contract and whether that lease meets the classification criteria of a finance or operating lease. The Company has operating and finance leases for real estate and equipment. Operating leases are included in Operating lease right of use ("ROU") assets, Other current liabilities, and Operating lease liabilities in the Company's Consolidated Balance Sheets. Finance leases are included in Land, buildings and equipment, net, Current portion of long-term debt, and Long-term debt in the Company's Consolidated Balance Sheets.</w:t>
      </w:r>
    </w:p>
    <w:p>
      <w:pPr>
        <w:spacing w:after="0" w:line="97" w:lineRule="exact"/>
        <w:rPr>
          <w:sz w:val="20"/>
          <w:szCs w:val="20"/>
          <w:color w:val="auto"/>
        </w:rPr>
      </w:pPr>
    </w:p>
    <w:p>
      <w:pPr>
        <w:ind w:right="120"/>
        <w:spacing w:after="0" w:line="256" w:lineRule="auto"/>
        <w:rPr>
          <w:sz w:val="20"/>
          <w:szCs w:val="20"/>
          <w:color w:val="auto"/>
        </w:rPr>
      </w:pPr>
      <w:r>
        <w:rPr>
          <w:rFonts w:ascii="Arial" w:cs="Arial" w:eastAsia="Arial" w:hAnsi="Arial"/>
          <w:sz w:val="14"/>
          <w:szCs w:val="14"/>
          <w:color w:val="auto"/>
        </w:rPr>
        <w:t>ROU assets represent the Company's right to use an underlying asset for the lease term and lease liabilities represent the Company's obligation to make lease payments arising from the lease. ROU assets and liabilities are recognized at the commencement date based on the net present value of lease payments over the lease term using the Company’s incremental borrowing rates as the Company's leases generally do not provide an implicit rate. The incremental borrowing rate represents an estimate of the interest rate that the Company would incur at lease commencement to borrow an amount equal to the lease payments on a collateralized basis over the term of a lease within a particular currency environment.</w:t>
      </w:r>
    </w:p>
    <w:p>
      <w:pPr>
        <w:spacing w:after="0" w:line="200" w:lineRule="exact"/>
        <w:rPr>
          <w:sz w:val="20"/>
          <w:szCs w:val="20"/>
          <w:color w:val="auto"/>
        </w:rPr>
      </w:pPr>
    </w:p>
    <w:p>
      <w:pPr>
        <w:spacing w:after="0" w:line="243"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62" w:name="page63"/>
    <w:bookmarkEnd w:id="62"/>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The Company's lease terms may include options to extend or terminate the lease when it is reasonably certain that the Company will exercise that option based on economic factors. The Company recognizes operating fixed lease expense and finance lease depreciation on a straight-line basis over the lease term. Variable lease expense is recognized in the period in which the obligation for those payments is incurred. Leases with an initial term of one year or less are expensed on a straight-line basis over the lease term. The Company accounts for lease and non-lease components separately for its equipment leases, based on the estimated standalone price of each component, and combines lease and non-lease components for its real estate leases.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Refer to Note 7 – Leases for further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1269BD"/>
        </w:rPr>
        <w:t>Contingencies and Litigation</w:t>
      </w:r>
    </w:p>
    <w:p>
      <w:pPr>
        <w:spacing w:after="0" w:line="131" w:lineRule="exact"/>
        <w:rPr>
          <w:sz w:val="20"/>
          <w:szCs w:val="20"/>
          <w:color w:val="auto"/>
        </w:rPr>
      </w:pPr>
    </w:p>
    <w:p>
      <w:pPr>
        <w:ind w:right="100"/>
        <w:spacing w:after="0" w:line="252" w:lineRule="auto"/>
        <w:rPr>
          <w:sz w:val="20"/>
          <w:szCs w:val="20"/>
          <w:color w:val="auto"/>
        </w:rPr>
      </w:pPr>
      <w:r>
        <w:rPr>
          <w:rFonts w:ascii="Arial" w:cs="Arial" w:eastAsia="Arial" w:hAnsi="Arial"/>
          <w:sz w:val="14"/>
          <w:szCs w:val="14"/>
          <w:color w:val="auto"/>
        </w:rPr>
        <w:t>The Company is currently involved in various claims and legal proceedings. At least quarterly, it reviews the status of each significant matter and assesses its potential financial exposure considering all available information including, but not limited to, the impact of negotiations, settlements, rulings, advice of legal counsel and other updated information and events pertaining to a particular matter. If the potential loss from any claim or legal proceeding is considered probable and the amount can be reasonably estimated, the Company accrues a liability for the estimated loss. The estimated losses are recorded within Litigation settlements (recoveries), net in the Company's income statement. Significant judgment is required in both the determination of probability and the determination as to whether an exposure is reasonably estimable. Because of uncertainties related to these matters, accruals are based only on the best information available at the time. As additional information becomes available, the Company reassesses the potential liability related to pending claims and litigation and may revise its estimates. These revisions in the estimates of the potential liabilities could have a material impact on the results of operations and financial position. The Company's policy is to expense legal defense costs related to such matters as incurred. These costs are recorded within Selling, general and administrative expenses in the Company's income statement. Any insurance recoveries for litigation settlements and defense costs are recorded when such recoveries are deemed probable and collectability is reasonably assured. Such recoveries are recorded in the same financial statement line as the related costs to which the recoveries relate.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Refer to Note 16 – Contingencies and Litigation to the Consolidated Financial Statements for additional information regarding loss contingencies.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Goodwill</w:t>
      </w:r>
    </w:p>
    <w:p>
      <w:pPr>
        <w:spacing w:after="0" w:line="131" w:lineRule="exact"/>
        <w:rPr>
          <w:sz w:val="20"/>
          <w:szCs w:val="20"/>
          <w:color w:val="auto"/>
        </w:rPr>
      </w:pPr>
    </w:p>
    <w:p>
      <w:pPr>
        <w:ind w:right="180"/>
        <w:spacing w:after="0" w:line="259" w:lineRule="auto"/>
        <w:rPr>
          <w:sz w:val="20"/>
          <w:szCs w:val="20"/>
          <w:color w:val="auto"/>
        </w:rPr>
      </w:pPr>
      <w:r>
        <w:rPr>
          <w:rFonts w:ascii="Arial" w:cs="Arial" w:eastAsia="Arial" w:hAnsi="Arial"/>
          <w:sz w:val="14"/>
          <w:szCs w:val="14"/>
          <w:color w:val="auto"/>
        </w:rPr>
        <w:t>For acquired businesses, the Company records the acquired assets and assumed liabilities based on their relative fair values at the date of acquisitions (commonly referred to as the purchase price allocation). Goodwill represents the excess of the purchase price paid in excess of the fair value of net tangible and intangible assets acquired. For the Company’s business acquisitions, the purchase price is allocated to identifiable intangible assets separate from goodwill if they are from contractual or other legal rights, or if they could be separated from the acquired business and sold, transferred, licensed, rented or exchanged.</w:t>
      </w:r>
    </w:p>
    <w:p>
      <w:pPr>
        <w:spacing w:after="0" w:line="97" w:lineRule="exact"/>
        <w:rPr>
          <w:sz w:val="20"/>
          <w:szCs w:val="20"/>
          <w:color w:val="auto"/>
        </w:rPr>
      </w:pPr>
    </w:p>
    <w:p>
      <w:pPr>
        <w:ind w:right="80"/>
        <w:spacing w:after="0" w:line="255" w:lineRule="auto"/>
        <w:rPr>
          <w:sz w:val="20"/>
          <w:szCs w:val="20"/>
          <w:color w:val="auto"/>
        </w:rPr>
      </w:pPr>
      <w:r>
        <w:rPr>
          <w:rFonts w:ascii="Arial" w:cs="Arial" w:eastAsia="Arial" w:hAnsi="Arial"/>
          <w:sz w:val="14"/>
          <w:szCs w:val="14"/>
          <w:color w:val="auto"/>
        </w:rPr>
        <w:t>The Company tests goodwill for impairment annually or more frequently if an event or change in circumstances indicate the asset may be impaired. Impairment testing for goodwill is done at the reporting unit level. Goodwill is tested for impairment using a qualitative and/or quantitative assessment. For the quantitative assessment, the Company determines the fair value of its reporting units utilizing a combination of both an Income Approach and a Market Approach. The Income Approach utilizes a discounted cash flow analysis based upon the forecasted future business results of its reporting units. The Market Approach utilizes the guideline public company method. If the fair value of a reporting unit is less than its carrying amount, an impairment charge would be recognized for the amount by which the carrying amount exceeds the reporting unit's fair value, not to exceed the total amount of goodwill allocated to the reporting unit.</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Refer to Note 8 – Goodwill and Intangible Assets, Net for further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Other Intangible Assets</w:t>
      </w:r>
    </w:p>
    <w:p>
      <w:pPr>
        <w:spacing w:after="0" w:line="131" w:lineRule="exact"/>
        <w:rPr>
          <w:sz w:val="20"/>
          <w:szCs w:val="20"/>
          <w:color w:val="auto"/>
        </w:rPr>
      </w:pPr>
    </w:p>
    <w:p>
      <w:pPr>
        <w:ind w:right="160"/>
        <w:spacing w:after="0" w:line="282" w:lineRule="auto"/>
        <w:rPr>
          <w:sz w:val="20"/>
          <w:szCs w:val="20"/>
          <w:color w:val="auto"/>
        </w:rPr>
      </w:pPr>
      <w:r>
        <w:rPr>
          <w:rFonts w:ascii="Arial" w:cs="Arial" w:eastAsia="Arial" w:hAnsi="Arial"/>
          <w:sz w:val="14"/>
          <w:szCs w:val="14"/>
          <w:color w:val="auto"/>
        </w:rPr>
        <w:t>Other intangible assets primarily consist of assets acquired through business combinations, primarily installed customer base. Other intangible assets are amortized on a straight-line basis over their estimated economic lives unless impairment is identified.</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Refer to Note 8 – Goodwill and Intangible Assets, Net for further information.</w:t>
      </w: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63" w:name="page64"/>
    <w:bookmarkEnd w:id="63"/>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Impairment of Long-Lived Assets</w:t>
      </w:r>
    </w:p>
    <w:p>
      <w:pPr>
        <w:spacing w:after="0" w:line="131"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The Company reviews the recoverability of its long-lived assets, including buildings, equipment, internal use software, product software, right-of-use assets and other intangible assets, when events or changes in circumstances occur that indicate that the carrying value of the asset may not be recoverable. The assessment of possible impairment is based on the Company's ability to recover the carrying value of the asset from the expected future cash flows (undiscounted and without interest charges) of the related operations. If these cash flows are less than the carrying value of such asset, an impairment loss is recognized for the difference between estimated fair value and carrying value. The Company's primary measure of fair value is based on forecasted cash flows.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Income Taxes</w:t>
      </w:r>
    </w:p>
    <w:p>
      <w:pPr>
        <w:spacing w:after="0" w:line="131" w:lineRule="exact"/>
        <w:rPr>
          <w:sz w:val="20"/>
          <w:szCs w:val="20"/>
          <w:color w:val="auto"/>
        </w:rPr>
      </w:pPr>
    </w:p>
    <w:p>
      <w:pPr>
        <w:ind w:right="60"/>
        <w:spacing w:after="0" w:line="282" w:lineRule="auto"/>
        <w:rPr>
          <w:sz w:val="20"/>
          <w:szCs w:val="20"/>
          <w:color w:val="auto"/>
        </w:rPr>
      </w:pPr>
      <w:r>
        <w:rPr>
          <w:rFonts w:ascii="Arial" w:cs="Arial" w:eastAsia="Arial" w:hAnsi="Arial"/>
          <w:sz w:val="14"/>
          <w:szCs w:val="14"/>
          <w:color w:val="auto"/>
        </w:rPr>
        <w:t>The Company accounts for income taxes under the asset and liability method. Deferred tax assets and liabilities are based on differences between U.S. GAAP reporting and tax bases of assets or liabilities and based on current tax laws, regulations and rates.</w:t>
      </w:r>
    </w:p>
    <w:p>
      <w:pPr>
        <w:spacing w:after="0" w:line="80"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The recognition of deferred tax assets requires an assessment to determine the realization of such assets. Management establishes valuation allowances on deferred tax assets when it is determined “more-likely-than-not” that some portion or all of the deferred tax assets may not be realized. Management considers positive and negative evidence in evaluating the ability of the Company to realize its deferred tax assets, including its historical results and forecasts of future ability to realize its deferred tax assets, including projected future taxable income, the expected timing of the reversals of existing temporary differences and tax planning strategies.</w:t>
      </w:r>
    </w:p>
    <w:p>
      <w:pPr>
        <w:spacing w:after="0" w:line="97" w:lineRule="exact"/>
        <w:rPr>
          <w:sz w:val="20"/>
          <w:szCs w:val="20"/>
          <w:color w:val="auto"/>
        </w:rPr>
      </w:pPr>
    </w:p>
    <w:p>
      <w:pPr>
        <w:jc w:val="both"/>
        <w:ind w:right="100"/>
        <w:spacing w:after="0" w:line="259" w:lineRule="auto"/>
        <w:rPr>
          <w:sz w:val="20"/>
          <w:szCs w:val="20"/>
          <w:color w:val="auto"/>
        </w:rPr>
      </w:pPr>
      <w:r>
        <w:rPr>
          <w:rFonts w:ascii="Arial" w:cs="Arial" w:eastAsia="Arial" w:hAnsi="Arial"/>
          <w:sz w:val="14"/>
          <w:szCs w:val="14"/>
          <w:color w:val="auto"/>
        </w:rPr>
        <w:t>The Company is subject to ongoing tax examinations and assessments in various jurisdictions. The Company has unrecognized tax benefits for uncertain tax positions. The Company follows U.S. GAAP which prescribes a recognition threshold and measurement attribute for the financial statement recognition and measurement of a tax position taken or expected to be taken in a tax return. The Company's ongoing assessments of the more-likely-than-not outcomes of the examinations and related tax positions require judgment and can materially increase or decrease its effective tax rate, as well as impact its operating results.</w:t>
      </w:r>
    </w:p>
    <w:p>
      <w:pPr>
        <w:spacing w:after="0" w:line="97"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On December 22, 2017, the U.S. enacted the Tax Cuts and Jobs Act ("Tax Reform"). The Tax Reform includes a tax on global intangible low-taxed income (“GILTI”), which imposes a U.S. tax on certain income earned by the Company’s foreign subsidiaries. The Company elected to treat the tax on GILTI as a period cost when incurred and therefore, no deferred taxes for GILTI were recognized for the year ended December 31, 2023.</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Refer to Note 15 – Income Taxes for further discussion.</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Share Repurchase Program</w:t>
      </w:r>
    </w:p>
    <w:p>
      <w:pPr>
        <w:spacing w:after="0" w:line="120" w:lineRule="exact"/>
        <w:rPr>
          <w:sz w:val="20"/>
          <w:szCs w:val="20"/>
          <w:color w:val="auto"/>
        </w:rPr>
      </w:pPr>
    </w:p>
    <w:p>
      <w:pPr>
        <w:ind w:right="40"/>
        <w:spacing w:after="0" w:line="266" w:lineRule="auto"/>
        <w:rPr>
          <w:sz w:val="20"/>
          <w:szCs w:val="20"/>
          <w:color w:val="auto"/>
        </w:rPr>
      </w:pPr>
      <w:r>
        <w:rPr>
          <w:rFonts w:ascii="Arial" w:cs="Arial" w:eastAsia="Arial" w:hAnsi="Arial"/>
          <w:sz w:val="14"/>
          <w:szCs w:val="14"/>
          <w:color w:val="auto"/>
        </w:rPr>
        <w:t>On May 16, 2023, the Board of Directors authorized a share repurchase program, granting approval for the Company to repurchase up to $75 million of its common stock over the next three years. The Company has the discretion to repurchase shares periodically through open market transactions and may include Rule 10b5-1 trading plans.</w:t>
      </w:r>
    </w:p>
    <w:p>
      <w:pPr>
        <w:spacing w:after="0" w:line="81" w:lineRule="exact"/>
        <w:rPr>
          <w:sz w:val="20"/>
          <w:szCs w:val="20"/>
          <w:color w:val="auto"/>
        </w:rPr>
      </w:pPr>
    </w:p>
    <w:p>
      <w:pPr>
        <w:ind w:right="40"/>
        <w:spacing w:after="0" w:line="266" w:lineRule="auto"/>
        <w:rPr>
          <w:sz w:val="20"/>
          <w:szCs w:val="20"/>
          <w:color w:val="auto"/>
        </w:rPr>
      </w:pPr>
      <w:r>
        <w:rPr>
          <w:rFonts w:ascii="Arial" w:cs="Arial" w:eastAsia="Arial" w:hAnsi="Arial"/>
          <w:sz w:val="14"/>
          <w:szCs w:val="14"/>
          <w:color w:val="auto"/>
        </w:rPr>
        <w:t>This share repurchase program does not obligate the Company to acquire a specific number of shares and the program may be modified, suspended or discontinued at any time at the Company’s discretion without prior notice.</w:t>
      </w:r>
    </w:p>
    <w:p>
      <w:pPr>
        <w:spacing w:after="0" w:line="91"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The Company holds repurchased shares of common stock as treasury stock. The Company accounts for treasury stock under the cost method and includes treasury stock as a component of shareholders' equity. The Company accrues the cost of repurchased shares and excludes such shares from the calculation of basic and diluted earnings per share, as of the trade date. The Company recognizes a liability for share repurchases which have not settled and for which cash has not been paid in Other current liabilities on the Company's Consolidated Balance Sheets.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Noncontrolling Interest</w:t>
      </w:r>
    </w:p>
    <w:p>
      <w:pPr>
        <w:spacing w:after="0" w:line="131"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The Company's Consolidated Financial Statements include the historical basis of assets, liabilities, revenues and expenses of the individual businesses of the Company, including joint ventures over which the Company has a controlling financial interest. Control is based on ownership interest. The ownership interest held by an owner other than the Company in a less than wholly owned subsidiary is classified as a non-controlling interest. Net income (loss) is allocated to the noncontrolling interest based on ownership interest.</w:t>
      </w: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64" w:name="page65"/>
    <w:bookmarkEnd w:id="64"/>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220"/>
        <w:spacing w:after="0" w:line="265" w:lineRule="auto"/>
        <w:rPr>
          <w:sz w:val="20"/>
          <w:szCs w:val="20"/>
          <w:color w:val="auto"/>
        </w:rPr>
      </w:pPr>
      <w:r>
        <w:rPr>
          <w:rFonts w:ascii="Arial" w:cs="Arial" w:eastAsia="Arial" w:hAnsi="Arial"/>
          <w:sz w:val="14"/>
          <w:szCs w:val="14"/>
          <w:color w:val="auto"/>
        </w:rPr>
        <w:t>In May 2023, the Company signed a new customer contract with the State of Victoria, Australia to provide the next generation of the state's public transport ticketing system. As a result, the Company and Convergint Australia Pty Ltd (“Convergint”) entered into a shareholder agreement to form Conduent Victoria Ticketing System Pty Ltd (“Conduent Victoria”). The Company holds an 80% equity investment in Conduent Victoria and the remaining 20% is owned by Convergint.</w:t>
      </w:r>
    </w:p>
    <w:p>
      <w:pPr>
        <w:spacing w:after="0" w:line="92" w:lineRule="exact"/>
        <w:rPr>
          <w:sz w:val="20"/>
          <w:szCs w:val="20"/>
          <w:color w:val="auto"/>
        </w:rPr>
      </w:pPr>
    </w:p>
    <w:p>
      <w:pPr>
        <w:ind w:right="280"/>
        <w:spacing w:after="0" w:line="322" w:lineRule="auto"/>
        <w:rPr>
          <w:sz w:val="20"/>
          <w:szCs w:val="20"/>
          <w:color w:val="auto"/>
        </w:rPr>
      </w:pPr>
      <w:r>
        <w:rPr>
          <w:rFonts w:ascii="Arial" w:cs="Arial" w:eastAsia="Arial" w:hAnsi="Arial"/>
          <w:sz w:val="13"/>
          <w:szCs w:val="13"/>
          <w:color w:val="auto"/>
        </w:rPr>
        <w:t>For the year ended December 31, 2023, noncontrolling interest in Conduent Victoria was not material to the Company's Consolidated Statements of Income (Loss) or Consolidated Statements of Comprehensive Income (Loss) and, therefore, the Company did not present any separate disclosures for such noncontrolling interest in those statements.</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Foreign Currency Translation and Re-measurement</w:t>
      </w:r>
    </w:p>
    <w:p>
      <w:pPr>
        <w:spacing w:after="0" w:line="131"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The functional currency for most foreign operations is the local currency. Net assets are translated at current rates of exchange and income, expense and cash flow items are translated at average exchange rates for the applicable period. The translation adjustments are recorded in Accumulated other comprehensive loss.</w:t>
      </w:r>
    </w:p>
    <w:p>
      <w:pPr>
        <w:spacing w:after="0" w:line="80" w:lineRule="exact"/>
        <w:rPr>
          <w:sz w:val="20"/>
          <w:szCs w:val="20"/>
          <w:color w:val="auto"/>
        </w:rPr>
      </w:pPr>
    </w:p>
    <w:p>
      <w:pPr>
        <w:jc w:val="both"/>
        <w:ind w:right="160"/>
        <w:spacing w:after="0" w:line="265" w:lineRule="auto"/>
        <w:rPr>
          <w:sz w:val="20"/>
          <w:szCs w:val="20"/>
          <w:color w:val="auto"/>
        </w:rPr>
      </w:pPr>
      <w:r>
        <w:rPr>
          <w:rFonts w:ascii="Arial" w:cs="Arial" w:eastAsia="Arial" w:hAnsi="Arial"/>
          <w:sz w:val="14"/>
          <w:szCs w:val="14"/>
          <w:color w:val="auto"/>
        </w:rPr>
        <w:t>The U.S. Dollar is used as the functional currency for certain foreign subsidiaries that conduct their business in U.S. Dollars. A combination of current and historical exchange rates is used in re-measuring the local currency transactions of these subsidiaries and the resulting exchange adjustments are recorded in Currency (gains) and losses within Other (income) expenses, net together with other foreign currency re-measurements.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Revenue Recognition</w:t>
      </w:r>
    </w:p>
    <w:p>
      <w:pPr>
        <w:spacing w:after="0" w:line="131" w:lineRule="exact"/>
        <w:rPr>
          <w:sz w:val="20"/>
          <w:szCs w:val="20"/>
          <w:color w:val="auto"/>
        </w:rPr>
      </w:pPr>
    </w:p>
    <w:p>
      <w:pPr>
        <w:ind w:right="480"/>
        <w:spacing w:after="0" w:line="282" w:lineRule="auto"/>
        <w:rPr>
          <w:sz w:val="20"/>
          <w:szCs w:val="20"/>
          <w:color w:val="auto"/>
        </w:rPr>
      </w:pPr>
      <w:r>
        <w:rPr>
          <w:rFonts w:ascii="Arial" w:cs="Arial" w:eastAsia="Arial" w:hAnsi="Arial"/>
          <w:sz w:val="14"/>
          <w:szCs w:val="14"/>
          <w:color w:val="auto"/>
        </w:rPr>
        <w:t>The Company recognizes revenue when control of the promised goods or services is transferred to its customers, in an amount that reflects the consideration that the Company expects to receive in exchange for those goods or services.</w:t>
      </w:r>
    </w:p>
    <w:p>
      <w:pPr>
        <w:spacing w:after="0" w:line="80" w:lineRule="exact"/>
        <w:rPr>
          <w:sz w:val="20"/>
          <w:szCs w:val="20"/>
          <w:color w:val="auto"/>
        </w:rPr>
      </w:pPr>
    </w:p>
    <w:p>
      <w:pPr>
        <w:spacing w:after="0" w:line="259" w:lineRule="auto"/>
        <w:rPr>
          <w:sz w:val="20"/>
          <w:szCs w:val="20"/>
          <w:color w:val="auto"/>
        </w:rPr>
      </w:pPr>
      <w:r>
        <w:rPr>
          <w:rFonts w:ascii="Arial" w:cs="Arial" w:eastAsia="Arial" w:hAnsi="Arial"/>
          <w:sz w:val="14"/>
          <w:szCs w:val="14"/>
          <w:color w:val="auto"/>
        </w:rPr>
        <w:t>The Company's contracts with customers often include promises to transfer multiple products and services to a customer. Determining whether products and services are considered distinct performance obligations that should be accounted for separately, versus together, may require judgment. Typically, the Company’s contracts include performance obligation(s) to stand-ready on a daily or monthly basis to provide services to the customers. Under a stand-ready obligation, the evaluation of the nature of our performance obligation is focused on each time increment rather than the underlying activities. Accordingly, the promise to stand-ready is accounted for as a single-series performance obligation.</w:t>
      </w:r>
    </w:p>
    <w:p>
      <w:pPr>
        <w:spacing w:after="0" w:line="97" w:lineRule="exact"/>
        <w:rPr>
          <w:sz w:val="20"/>
          <w:szCs w:val="20"/>
          <w:color w:val="auto"/>
        </w:rPr>
      </w:pPr>
    </w:p>
    <w:p>
      <w:pPr>
        <w:ind w:right="80"/>
        <w:spacing w:after="0" w:line="253" w:lineRule="auto"/>
        <w:rPr>
          <w:sz w:val="20"/>
          <w:szCs w:val="20"/>
          <w:color w:val="auto"/>
        </w:rPr>
      </w:pPr>
      <w:r>
        <w:rPr>
          <w:rFonts w:ascii="Arial" w:cs="Arial" w:eastAsia="Arial" w:hAnsi="Arial"/>
          <w:sz w:val="14"/>
          <w:szCs w:val="14"/>
          <w:color w:val="auto"/>
        </w:rPr>
        <w:t>Once the Company determines the performance obligations, the Company determines the transaction price, which is based on fixed and/or variable consideration. Typical forms of variable consideration include variable pricing based on the number of transactions processed or usage-based pricing arrangements. Variable consideration is also present in the form of volume discounts, tiered and declining pricing, penalties for service level agreements, performance bonuses and credits. In circumstances where the Company meets certain requirements to allocate variable consideration to a distinct service within a series of related services, it allocates variable consideration to each distinct period of service within</w:t>
      </w:r>
    </w:p>
    <w:p>
      <w:pPr>
        <w:spacing w:after="0" w:line="2" w:lineRule="exact"/>
        <w:rPr>
          <w:sz w:val="20"/>
          <w:szCs w:val="20"/>
          <w:color w:val="auto"/>
        </w:rPr>
      </w:pPr>
    </w:p>
    <w:p>
      <w:pPr>
        <w:ind w:right="140"/>
        <w:spacing w:after="0" w:line="252" w:lineRule="auto"/>
        <w:rPr>
          <w:sz w:val="20"/>
          <w:szCs w:val="20"/>
          <w:color w:val="auto"/>
        </w:rPr>
      </w:pPr>
      <w:r>
        <w:rPr>
          <w:rFonts w:ascii="Arial" w:cs="Arial" w:eastAsia="Arial" w:hAnsi="Arial"/>
          <w:sz w:val="14"/>
          <w:szCs w:val="14"/>
          <w:color w:val="auto"/>
        </w:rPr>
        <w:t>the series. In limited circumstances, if the Company does not meet those requirements, it includes an estimate of variable consideration in the transaction price to the extent it is probable that a significant reversal of cumulative revenue recognized will not occur when the uncertainty is resolved. For contracts with multiple performance obligations, the transaction price is allocated to the separate performance obligations on a relative standalone selling price basis. The Company generally determines standalone selling prices based on the prices charged to customers or by using expected cost plus a reasonable margin.</w:t>
      </w:r>
    </w:p>
    <w:p>
      <w:pPr>
        <w:spacing w:after="0" w:line="101"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The Company typically satisfies its performance obligations over time as the services are provided. A time-elapsed output method is used to measure progress because the nature of the Company’s promise is a stand-ready service and efforts are expended evenly throughout the period. In limited circumstances, such as contracts for implementation or development projects, the Company also uses a cost-to-cost based input method. The Company has determined that the above methods provide a faithful depiction of the transfer of services to the customer.</w:t>
      </w:r>
    </w:p>
    <w:p>
      <w:pPr>
        <w:spacing w:after="0" w:line="97" w:lineRule="exact"/>
        <w:rPr>
          <w:sz w:val="20"/>
          <w:szCs w:val="20"/>
          <w:color w:val="auto"/>
        </w:rPr>
      </w:pPr>
    </w:p>
    <w:p>
      <w:pPr>
        <w:ind w:right="320"/>
        <w:spacing w:after="0" w:line="259" w:lineRule="auto"/>
        <w:rPr>
          <w:sz w:val="20"/>
          <w:szCs w:val="20"/>
          <w:color w:val="auto"/>
        </w:rPr>
      </w:pPr>
      <w:r>
        <w:rPr>
          <w:rFonts w:ascii="Arial" w:cs="Arial" w:eastAsia="Arial" w:hAnsi="Arial"/>
          <w:sz w:val="14"/>
          <w:szCs w:val="14"/>
          <w:color w:val="auto"/>
        </w:rPr>
        <w:t>Estimates of revenue expected to be recognized in future periods exclude unexercised customer options to purchase additional services that do not represent material rights to the customer. Customer options that do not represent a material right are only accounted for when the customer exercises its option to purchase additional goods or services. The Company recognizes revenue for non-refundable upfront implementation fees on a straight-line basis over the period between the initiation of the services through the end of the contract term.</w:t>
      </w:r>
    </w:p>
    <w:p>
      <w:pPr>
        <w:spacing w:after="0" w:line="200" w:lineRule="exact"/>
        <w:rPr>
          <w:sz w:val="20"/>
          <w:szCs w:val="20"/>
          <w:color w:val="auto"/>
        </w:rPr>
      </w:pPr>
    </w:p>
    <w:p>
      <w:pPr>
        <w:spacing w:after="0" w:line="240"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65" w:name="page66"/>
    <w:bookmarkEnd w:id="65"/>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jc w:val="both"/>
        <w:ind w:right="220"/>
        <w:spacing w:after="0" w:line="265" w:lineRule="auto"/>
        <w:rPr>
          <w:sz w:val="20"/>
          <w:szCs w:val="20"/>
          <w:color w:val="auto"/>
        </w:rPr>
      </w:pPr>
      <w:r>
        <w:rPr>
          <w:rFonts w:ascii="Arial" w:cs="Arial" w:eastAsia="Arial" w:hAnsi="Arial"/>
          <w:sz w:val="14"/>
          <w:szCs w:val="14"/>
          <w:color w:val="auto"/>
        </w:rPr>
        <w:t>When more than one party is involved in providing services to a customer, the Company evaluates whether it is the principal, and reports revenue on a gross basis, or an agent, and reports revenue on a net basis. In this assessment, the Company considers the following: if it obtains control of the specified services before they are transferred to the customer; is primarily responsible for fulfillment and inventory risk; and has discretion in establishing price.</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The Company reports revenue net of any revenue-based taxes assessed by governmental authorities that are imposed on and concurrent with specific revenue-producing transactions.</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The primary revenue-based taxes are sales tax and value-added tax ("VAT").</w:t>
      </w:r>
    </w:p>
    <w:p>
      <w:pPr>
        <w:spacing w:after="0" w:line="117" w:lineRule="exact"/>
        <w:rPr>
          <w:sz w:val="20"/>
          <w:szCs w:val="20"/>
          <w:color w:val="auto"/>
        </w:rPr>
      </w:pPr>
    </w:p>
    <w:p>
      <w:pPr>
        <w:ind w:right="180"/>
        <w:spacing w:after="0" w:line="282" w:lineRule="auto"/>
        <w:rPr>
          <w:sz w:val="20"/>
          <w:szCs w:val="20"/>
          <w:color w:val="auto"/>
        </w:rPr>
      </w:pPr>
      <w:r>
        <w:rPr>
          <w:rFonts w:ascii="Arial" w:cs="Arial" w:eastAsia="Arial" w:hAnsi="Arial"/>
          <w:sz w:val="14"/>
          <w:szCs w:val="14"/>
          <w:color w:val="auto"/>
        </w:rPr>
        <w:t>The Company's payment terms vary by type of services offered. The time between invoicing and when payment is due is not significant. For certain services and customer types, the Company requires payment before services are rendered.</w:t>
      </w:r>
    </w:p>
    <w:p>
      <w:pPr>
        <w:spacing w:after="0" w:line="80" w:lineRule="exact"/>
        <w:rPr>
          <w:sz w:val="20"/>
          <w:szCs w:val="20"/>
          <w:color w:val="auto"/>
        </w:rPr>
      </w:pPr>
    </w:p>
    <w:p>
      <w:pPr>
        <w:ind w:right="360"/>
        <w:spacing w:after="0" w:line="282" w:lineRule="auto"/>
        <w:rPr>
          <w:sz w:val="20"/>
          <w:szCs w:val="20"/>
          <w:color w:val="auto"/>
        </w:rPr>
      </w:pPr>
      <w:r>
        <w:rPr>
          <w:rFonts w:ascii="Arial" w:cs="Arial" w:eastAsia="Arial" w:hAnsi="Arial"/>
          <w:sz w:val="14"/>
          <w:szCs w:val="14"/>
          <w:color w:val="auto"/>
        </w:rPr>
        <w:t>From time to time, the Company's contracts are modified to account for additions or changes to existing performance obligations. The Company's contract modifications related to stand-ready performance obligations are generally accounted for prospectively.</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Refer to Note 2 – Revenue for further discussion.</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2 – Revenue</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Disaggregation of Revenue</w:t>
      </w:r>
    </w:p>
    <w:p>
      <w:pPr>
        <w:spacing w:after="0" w:line="131" w:lineRule="exact"/>
        <w:rPr>
          <w:sz w:val="20"/>
          <w:szCs w:val="20"/>
          <w:color w:val="auto"/>
        </w:rPr>
      </w:pPr>
    </w:p>
    <w:p>
      <w:pPr>
        <w:ind w:right="480"/>
        <w:spacing w:after="0" w:line="277" w:lineRule="auto"/>
        <w:rPr>
          <w:sz w:val="20"/>
          <w:szCs w:val="20"/>
          <w:color w:val="auto"/>
        </w:rPr>
      </w:pPr>
      <w:r>
        <w:rPr>
          <w:rFonts w:ascii="Arial" w:cs="Arial" w:eastAsia="Arial" w:hAnsi="Arial"/>
          <w:sz w:val="14"/>
          <w:szCs w:val="14"/>
          <w:color w:val="auto"/>
        </w:rPr>
        <w:t>The following table provides information about disaggregated revenue by major service offering and reportable segment and the timing of revenue recognition. Refer to Note 3 – Segment Reporting for additional information on the Company's reportable segments.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color w:val="auto"/>
              </w:rPr>
              <w:t>Year Ended December 31,</w:t>
            </w: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38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380" w:type="dxa"/>
            <w:vAlign w:val="bottom"/>
          </w:tcPr>
          <w:p>
            <w:pPr>
              <w:spacing w:after="0"/>
              <w:rPr>
                <w:sz w:val="10"/>
                <w:szCs w:val="10"/>
                <w:color w:val="auto"/>
              </w:rPr>
            </w:pPr>
          </w:p>
        </w:tc>
        <w:tc>
          <w:tcPr>
            <w:tcW w:w="1200" w:type="dxa"/>
            <w:vAlign w:val="bottom"/>
          </w:tcPr>
          <w:p>
            <w:pPr>
              <w:jc w:val="right"/>
              <w:ind w:right="604"/>
              <w:spacing w:after="0" w:line="120" w:lineRule="exact"/>
              <w:rPr>
                <w:sz w:val="20"/>
                <w:szCs w:val="20"/>
                <w:color w:val="auto"/>
              </w:rPr>
            </w:pPr>
            <w:r>
              <w:rPr>
                <w:rFonts w:ascii="Arial" w:cs="Arial" w:eastAsia="Arial" w:hAnsi="Arial"/>
                <w:sz w:val="11"/>
                <w:szCs w:val="11"/>
                <w:color w:val="auto"/>
              </w:rPr>
              <w:t>2023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jc w:val="right"/>
              <w:ind w:right="584"/>
              <w:spacing w:after="0" w:line="120" w:lineRule="exact"/>
              <w:rPr>
                <w:sz w:val="20"/>
                <w:szCs w:val="20"/>
                <w:color w:val="auto"/>
              </w:rPr>
            </w:pPr>
            <w:r>
              <w:rPr>
                <w:rFonts w:ascii="Arial" w:cs="Arial" w:eastAsia="Arial" w:hAnsi="Arial"/>
                <w:sz w:val="11"/>
                <w:szCs w:val="11"/>
                <w:color w:val="auto"/>
              </w:rPr>
              <w:t>2022</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jc w:val="right"/>
              <w:ind w:right="604"/>
              <w:spacing w:after="0" w:line="120" w:lineRule="exact"/>
              <w:rPr>
                <w:sz w:val="20"/>
                <w:szCs w:val="20"/>
                <w:color w:val="auto"/>
              </w:rPr>
            </w:pPr>
            <w:r>
              <w:rPr>
                <w:rFonts w:ascii="Arial" w:cs="Arial" w:eastAsia="Arial" w:hAnsi="Arial"/>
                <w:sz w:val="11"/>
                <w:szCs w:val="11"/>
                <w:color w:val="auto"/>
              </w:rPr>
              <w:t>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Commercial:</w:t>
            </w: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380" w:type="dxa"/>
            <w:vAlign w:val="bottom"/>
            <w:gridSpan w:val="2"/>
            <w:vMerge w:val="continue"/>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Customer experience management</w:t>
            </w: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619</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636</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4"/>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Business operations solutions</w:t>
            </w:r>
          </w:p>
        </w:tc>
        <w:tc>
          <w:tcPr>
            <w:tcW w:w="380" w:type="dxa"/>
            <w:vAlign w:val="bottom"/>
          </w:tcPr>
          <w:p>
            <w:pPr>
              <w:spacing w:after="0"/>
              <w:rPr>
                <w:sz w:val="13"/>
                <w:szCs w:val="13"/>
                <w:color w:val="auto"/>
              </w:rPr>
            </w:pPr>
          </w:p>
        </w:tc>
        <w:tc>
          <w:tcPr>
            <w:tcW w:w="1200" w:type="dxa"/>
            <w:vAlign w:val="bottom"/>
          </w:tcPr>
          <w:p>
            <w:pPr>
              <w:jc w:val="right"/>
              <w:ind w:right="4"/>
              <w:spacing w:after="0"/>
              <w:rPr>
                <w:sz w:val="20"/>
                <w:szCs w:val="20"/>
                <w:color w:val="auto"/>
              </w:rPr>
            </w:pPr>
            <w:r>
              <w:rPr>
                <w:rFonts w:ascii="Arial" w:cs="Arial" w:eastAsia="Arial" w:hAnsi="Arial"/>
                <w:sz w:val="11"/>
                <w:szCs w:val="11"/>
                <w:color w:val="auto"/>
              </w:rPr>
              <w:t>516</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553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567</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Healthcare claims and administration solutions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357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368</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367</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6380" w:type="dxa"/>
            <w:vAlign w:val="bottom"/>
            <w:tcBorders>
              <w:bottom w:val="single" w:sz="8" w:color="CCEEFF"/>
            </w:tcBorders>
            <w:gridSpan w:val="2"/>
          </w:tcPr>
          <w:p>
            <w:pPr>
              <w:ind w:left="100"/>
              <w:spacing w:after="0"/>
              <w:rPr>
                <w:sz w:val="20"/>
                <w:szCs w:val="20"/>
                <w:color w:val="auto"/>
              </w:rPr>
            </w:pPr>
            <w:r>
              <w:rPr>
                <w:rFonts w:ascii="Arial" w:cs="Arial" w:eastAsia="Arial" w:hAnsi="Arial"/>
                <w:sz w:val="11"/>
                <w:szCs w:val="11"/>
                <w:color w:val="auto"/>
              </w:rPr>
              <w:t>Human capital solutions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440</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435</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454</w:t>
            </w: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 Commercial</w:t>
            </w:r>
          </w:p>
        </w:tc>
        <w:tc>
          <w:tcPr>
            <w:tcW w:w="3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1,932</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1,992</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2,017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gridSpan w:val="2"/>
          </w:tcPr>
          <w:p>
            <w:pPr>
              <w:spacing w:after="0"/>
              <w:rPr>
                <w:sz w:val="20"/>
                <w:szCs w:val="20"/>
                <w:color w:val="auto"/>
              </w:rPr>
            </w:pPr>
            <w:r>
              <w:rPr>
                <w:rFonts w:ascii="Arial" w:cs="Arial" w:eastAsia="Arial" w:hAnsi="Arial"/>
                <w:sz w:val="11"/>
                <w:szCs w:val="11"/>
                <w:b w:val="1"/>
                <w:bCs w:val="1"/>
                <w:color w:val="auto"/>
              </w:rPr>
              <w:t>Government:</w:t>
            </w: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Government healthcare solutions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605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589</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576</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6380" w:type="dxa"/>
            <w:vAlign w:val="bottom"/>
            <w:tcBorders>
              <w:bottom w:val="single" w:sz="8" w:color="CCEEFF"/>
            </w:tcBorders>
            <w:gridSpan w:val="2"/>
          </w:tcPr>
          <w:p>
            <w:pPr>
              <w:ind w:left="100"/>
              <w:spacing w:after="0"/>
              <w:rPr>
                <w:sz w:val="20"/>
                <w:szCs w:val="20"/>
                <w:color w:val="auto"/>
              </w:rPr>
            </w:pPr>
            <w:r>
              <w:rPr>
                <w:rFonts w:ascii="Arial" w:cs="Arial" w:eastAsia="Arial" w:hAnsi="Arial"/>
                <w:sz w:val="11"/>
                <w:szCs w:val="11"/>
                <w:color w:val="auto"/>
              </w:rPr>
              <w:t>Government services solutions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489</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561</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731</w:t>
            </w: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 Government</w:t>
            </w:r>
          </w:p>
        </w:tc>
        <w:tc>
          <w:tcPr>
            <w:tcW w:w="3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1,094</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1,150</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1,307</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380" w:type="dxa"/>
            <w:vAlign w:val="bottom"/>
            <w:gridSpan w:val="2"/>
          </w:tcPr>
          <w:p>
            <w:pPr>
              <w:spacing w:after="0"/>
              <w:rPr>
                <w:sz w:val="20"/>
                <w:szCs w:val="20"/>
                <w:color w:val="auto"/>
              </w:rPr>
            </w:pPr>
            <w:r>
              <w:rPr>
                <w:rFonts w:ascii="Arial" w:cs="Arial" w:eastAsia="Arial" w:hAnsi="Arial"/>
                <w:sz w:val="11"/>
                <w:szCs w:val="11"/>
                <w:b w:val="1"/>
                <w:bCs w:val="1"/>
                <w:color w:val="auto"/>
              </w:rPr>
              <w:t>Transportation:</w:t>
            </w: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Road usage charging &amp; management solutions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317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328</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327</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Transit solutions</w:t>
            </w:r>
          </w:p>
        </w:tc>
        <w:tc>
          <w:tcPr>
            <w:tcW w:w="380" w:type="dxa"/>
            <w:vAlign w:val="bottom"/>
          </w:tcPr>
          <w:p>
            <w:pPr>
              <w:spacing w:after="0"/>
              <w:rPr>
                <w:sz w:val="13"/>
                <w:szCs w:val="13"/>
                <w:color w:val="auto"/>
              </w:rPr>
            </w:pPr>
          </w:p>
        </w:tc>
        <w:tc>
          <w:tcPr>
            <w:tcW w:w="1200" w:type="dxa"/>
            <w:vAlign w:val="bottom"/>
          </w:tcPr>
          <w:p>
            <w:pPr>
              <w:jc w:val="right"/>
              <w:ind w:right="4"/>
              <w:spacing w:after="0"/>
              <w:rPr>
                <w:sz w:val="20"/>
                <w:szCs w:val="20"/>
                <w:color w:val="auto"/>
              </w:rPr>
            </w:pPr>
            <w:r>
              <w:rPr>
                <w:rFonts w:ascii="Arial" w:cs="Arial" w:eastAsia="Arial" w:hAnsi="Arial"/>
                <w:sz w:val="11"/>
                <w:szCs w:val="11"/>
                <w:color w:val="auto"/>
              </w:rPr>
              <w:t>237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226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262</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Curbside management solutions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380" w:type="dxa"/>
            <w:vAlign w:val="bottom"/>
            <w:gridSpan w:val="2"/>
          </w:tcPr>
          <w:p>
            <w:pPr>
              <w:ind w:left="100"/>
              <w:spacing w:after="0"/>
              <w:rPr>
                <w:sz w:val="20"/>
                <w:szCs w:val="20"/>
                <w:color w:val="auto"/>
              </w:rPr>
            </w:pPr>
            <w:r>
              <w:rPr>
                <w:rFonts w:ascii="Arial" w:cs="Arial" w:eastAsia="Arial" w:hAnsi="Arial"/>
                <w:sz w:val="11"/>
                <w:szCs w:val="11"/>
                <w:color w:val="auto"/>
              </w:rPr>
              <w:t>Public safety solutions</w:t>
            </w:r>
          </w:p>
        </w:tc>
        <w:tc>
          <w:tcPr>
            <w:tcW w:w="380" w:type="dxa"/>
            <w:vAlign w:val="bottom"/>
          </w:tcPr>
          <w:p>
            <w:pPr>
              <w:spacing w:after="0"/>
              <w:rPr>
                <w:sz w:val="13"/>
                <w:szCs w:val="13"/>
                <w:color w:val="auto"/>
              </w:rPr>
            </w:pPr>
          </w:p>
        </w:tc>
        <w:tc>
          <w:tcPr>
            <w:tcW w:w="1200" w:type="dxa"/>
            <w:vAlign w:val="bottom"/>
          </w:tcPr>
          <w:p>
            <w:pPr>
              <w:jc w:val="right"/>
              <w:ind w:right="4"/>
              <w:spacing w:after="0"/>
              <w:rPr>
                <w:sz w:val="20"/>
                <w:szCs w:val="20"/>
                <w:color w:val="auto"/>
              </w:rPr>
            </w:pPr>
            <w:r>
              <w:rPr>
                <w:rFonts w:ascii="Arial" w:cs="Arial" w:eastAsia="Arial" w:hAnsi="Arial"/>
                <w:sz w:val="11"/>
                <w:szCs w:val="11"/>
                <w:color w:val="auto"/>
              </w:rPr>
              <w:t>58</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62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67</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ind w:left="100"/>
              <w:spacing w:after="0"/>
              <w:rPr>
                <w:sz w:val="20"/>
                <w:szCs w:val="20"/>
                <w:color w:val="auto"/>
              </w:rPr>
            </w:pPr>
            <w:r>
              <w:rPr>
                <w:rFonts w:ascii="Arial" w:cs="Arial" w:eastAsia="Arial" w:hAnsi="Arial"/>
                <w:sz w:val="11"/>
                <w:szCs w:val="11"/>
                <w:color w:val="auto"/>
              </w:rPr>
              <w:t>Commercial vehicles</w:t>
            </w:r>
          </w:p>
        </w:tc>
        <w:tc>
          <w:tcPr>
            <w:tcW w:w="38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8</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46"/>
        </w:trPr>
        <w:tc>
          <w:tcPr>
            <w:tcW w:w="20" w:type="dxa"/>
            <w:vAlign w:val="bottom"/>
            <w:tcBorders>
              <w:bottom w:val="single" w:sz="8" w:color="CCEEFF"/>
            </w:tcBorders>
          </w:tcPr>
          <w:p>
            <w:pPr>
              <w:spacing w:after="0"/>
              <w:rPr>
                <w:sz w:val="12"/>
                <w:szCs w:val="12"/>
                <w:color w:val="auto"/>
              </w:rPr>
            </w:pPr>
          </w:p>
        </w:tc>
        <w:tc>
          <w:tcPr>
            <w:tcW w:w="63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b w:val="1"/>
                <w:bCs w:val="1"/>
                <w:color w:val="auto"/>
              </w:rPr>
              <w:t>Total Transportation</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696</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709</w:t>
            </w:r>
          </w:p>
        </w:tc>
        <w:tc>
          <w:tcPr>
            <w:tcW w:w="1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746</w:t>
            </w:r>
          </w:p>
        </w:tc>
        <w:tc>
          <w:tcPr>
            <w:tcW w:w="0" w:type="dxa"/>
            <w:vAlign w:val="bottom"/>
          </w:tcPr>
          <w:p>
            <w:pPr>
              <w:spacing w:after="0"/>
              <w:rPr>
                <w:sz w:val="1"/>
                <w:szCs w:val="1"/>
                <w:color w:val="auto"/>
              </w:rPr>
            </w:pPr>
          </w:p>
        </w:tc>
      </w:tr>
      <w:tr>
        <w:trPr>
          <w:trHeight w:val="137"/>
        </w:trPr>
        <w:tc>
          <w:tcPr>
            <w:tcW w:w="20" w:type="dxa"/>
            <w:vAlign w:val="bottom"/>
            <w:shd w:val="clear" w:color="auto" w:fill="CCEEFF"/>
          </w:tcPr>
          <w:p>
            <w:pPr>
              <w:spacing w:after="0"/>
              <w:rPr>
                <w:sz w:val="11"/>
                <w:szCs w:val="11"/>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Other:</w:t>
            </w:r>
          </w:p>
        </w:tc>
        <w:tc>
          <w:tcPr>
            <w:tcW w:w="38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6380" w:type="dxa"/>
            <w:vAlign w:val="bottom"/>
            <w:tcBorders>
              <w:bottom w:val="single" w:sz="8" w:color="CCEEFF"/>
            </w:tcBorders>
            <w:gridSpan w:val="2"/>
          </w:tcPr>
          <w:p>
            <w:pPr>
              <w:ind w:left="100"/>
              <w:spacing w:after="0"/>
              <w:rPr>
                <w:sz w:val="20"/>
                <w:szCs w:val="20"/>
                <w:color w:val="auto"/>
              </w:rPr>
            </w:pPr>
            <w:r>
              <w:rPr>
                <w:rFonts w:ascii="Arial" w:cs="Arial" w:eastAsia="Arial" w:hAnsi="Arial"/>
                <w:sz w:val="11"/>
                <w:szCs w:val="11"/>
                <w:color w:val="auto"/>
              </w:rPr>
              <w:t>Divestitures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w:t>
            </w:r>
          </w:p>
        </w:tc>
        <w:tc>
          <w:tcPr>
            <w:tcW w:w="0" w:type="dxa"/>
            <w:vAlign w:val="bottom"/>
          </w:tcPr>
          <w:p>
            <w:pPr>
              <w:spacing w:after="0"/>
              <w:rPr>
                <w:sz w:val="1"/>
                <w:szCs w:val="1"/>
                <w:color w:val="auto"/>
              </w:rPr>
            </w:pPr>
          </w:p>
        </w:tc>
      </w:tr>
      <w:tr>
        <w:trPr>
          <w:trHeight w:val="15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 Other</w:t>
            </w:r>
          </w:p>
        </w:tc>
        <w:tc>
          <w:tcPr>
            <w:tcW w:w="3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80" w:type="dxa"/>
            <w:vAlign w:val="bottom"/>
            <w:gridSpan w:val="2"/>
          </w:tcPr>
          <w:p>
            <w:pPr>
              <w:spacing w:after="0"/>
              <w:rPr>
                <w:sz w:val="20"/>
                <w:szCs w:val="20"/>
                <w:color w:val="auto"/>
              </w:rPr>
            </w:pPr>
            <w:r>
              <w:rPr>
                <w:rFonts w:ascii="Arial" w:cs="Arial" w:eastAsia="Arial" w:hAnsi="Arial"/>
                <w:sz w:val="11"/>
                <w:szCs w:val="11"/>
                <w:b w:val="1"/>
                <w:bCs w:val="1"/>
                <w:color w:val="auto"/>
              </w:rPr>
              <w:t>Total Consolidated Revenue</w:t>
            </w:r>
          </w:p>
        </w:tc>
        <w:tc>
          <w:tcPr>
            <w:tcW w:w="38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3,722</w:t>
            </w: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3,858</w:t>
            </w:r>
          </w:p>
        </w:tc>
        <w:tc>
          <w:tcPr>
            <w:tcW w:w="10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4,140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59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590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4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380" w:type="dxa"/>
            <w:vAlign w:val="bottom"/>
            <w:gridSpan w:val="2"/>
          </w:tcPr>
          <w:p>
            <w:pPr>
              <w:spacing w:after="0"/>
              <w:rPr>
                <w:sz w:val="20"/>
                <w:szCs w:val="20"/>
                <w:color w:val="auto"/>
              </w:rPr>
            </w:pPr>
            <w:r>
              <w:rPr>
                <w:rFonts w:ascii="Arial" w:cs="Arial" w:eastAsia="Arial" w:hAnsi="Arial"/>
                <w:sz w:val="11"/>
                <w:szCs w:val="11"/>
                <w:b w:val="1"/>
                <w:bCs w:val="1"/>
                <w:color w:val="auto"/>
              </w:rPr>
              <w:t>Timing of Revenue Recognition:</w:t>
            </w: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Point in time</w:t>
            </w: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107</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115</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4"/>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63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Over time</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3,615</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3,743</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4,029</w:t>
            </w: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4"/>
                <w:szCs w:val="14"/>
                <w:color w:val="auto"/>
              </w:rPr>
            </w:pPr>
          </w:p>
        </w:tc>
        <w:tc>
          <w:tcPr>
            <w:tcW w:w="6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Total Revenue</w:t>
            </w:r>
          </w:p>
        </w:tc>
        <w:tc>
          <w:tcPr>
            <w:tcW w:w="38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3,722</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3,858</w:t>
            </w: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66" w:name="page67"/>
    <w:bookmarkEnd w:id="66"/>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The Company's contracts with customers are broadly similar in nature throughout the Company's major service offerings. The following is a description of the major service offerings:</w:t>
      </w:r>
    </w:p>
    <w:p>
      <w:pPr>
        <w:spacing w:after="0" w:line="131"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b w:val="1"/>
          <w:bCs w:val="1"/>
          <w:color w:val="auto"/>
        </w:rPr>
        <w:t>Customer Experience Management</w:t>
      </w:r>
      <w:r>
        <w:rPr>
          <w:rFonts w:ascii="Arial" w:cs="Arial" w:eastAsia="Arial" w:hAnsi="Arial"/>
          <w:sz w:val="11"/>
          <w:szCs w:val="11"/>
          <w:b w:val="1"/>
          <w:b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delivers a full range of omni-channel customer contact services and customer communications, including customer care, technical</w:t>
      </w:r>
      <w:r>
        <w:rPr>
          <w:rFonts w:ascii="Arial" w:cs="Arial" w:eastAsia="Arial" w:hAnsi="Arial"/>
          <w:sz w:val="14"/>
          <w:szCs w:val="14"/>
          <w:b w:val="1"/>
          <w:bCs w:val="1"/>
          <w:color w:val="auto"/>
        </w:rPr>
        <w:t xml:space="preserve"> </w:t>
      </w:r>
      <w:r>
        <w:rPr>
          <w:rFonts w:ascii="Arial" w:cs="Arial" w:eastAsia="Arial" w:hAnsi="Arial"/>
          <w:sz w:val="14"/>
          <w:szCs w:val="14"/>
          <w:color w:val="auto"/>
        </w:rPr>
        <w:t>support, loyalty management, and outbound and inbound sales. The Company creates better experiences across the customer lifecycle through a variety of channels including social media, chat, email, voice and virtual agent to help customers where and how they want to engage.</w:t>
      </w:r>
    </w:p>
    <w:p>
      <w:pPr>
        <w:spacing w:after="0" w:line="92" w:lineRule="exact"/>
        <w:rPr>
          <w:sz w:val="20"/>
          <w:szCs w:val="20"/>
          <w:color w:val="auto"/>
        </w:rPr>
      </w:pPr>
    </w:p>
    <w:p>
      <w:pPr>
        <w:ind w:right="160"/>
        <w:spacing w:after="0" w:line="259" w:lineRule="auto"/>
        <w:rPr>
          <w:sz w:val="20"/>
          <w:szCs w:val="20"/>
          <w:color w:val="auto"/>
        </w:rPr>
      </w:pPr>
      <w:r>
        <w:rPr>
          <w:rFonts w:ascii="Arial" w:cs="Arial" w:eastAsia="Arial" w:hAnsi="Arial"/>
          <w:sz w:val="14"/>
          <w:szCs w:val="14"/>
          <w:b w:val="1"/>
          <w:bCs w:val="1"/>
          <w:color w:val="auto"/>
        </w:rPr>
        <w:t>Business Operations Solutions</w:t>
      </w:r>
      <w:r>
        <w:rPr>
          <w:rFonts w:ascii="Arial" w:cs="Arial" w:eastAsia="Arial" w:hAnsi="Arial"/>
          <w:sz w:val="14"/>
          <w:szCs w:val="14"/>
          <w:color w:val="auto"/>
        </w:rPr>
        <w:t>: The Company helps its clients transform business processes and drive efficiency, automation and scale across essential business functions.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streamlines mission-critical operations through its deep industry experience, understanding of its clients’ operations and the latest technology solutions, to reduce costs, improve security, performance and accuracy and enable revenue growth, while enhancing the end-user experience. The Company's portfolio of solutions spans automated document and data management, payments processing, finance, accounting, and procurement and financial industry solutions.</w:t>
      </w:r>
    </w:p>
    <w:p>
      <w:pPr>
        <w:spacing w:after="0" w:line="97" w:lineRule="exact"/>
        <w:rPr>
          <w:sz w:val="20"/>
          <w:szCs w:val="20"/>
          <w:color w:val="auto"/>
        </w:rPr>
      </w:pPr>
    </w:p>
    <w:p>
      <w:pPr>
        <w:ind w:right="160"/>
        <w:spacing w:after="0" w:line="256" w:lineRule="auto"/>
        <w:rPr>
          <w:sz w:val="20"/>
          <w:szCs w:val="20"/>
          <w:color w:val="auto"/>
        </w:rPr>
      </w:pPr>
      <w:r>
        <w:rPr>
          <w:rFonts w:ascii="Arial" w:cs="Arial" w:eastAsia="Arial" w:hAnsi="Arial"/>
          <w:sz w:val="14"/>
          <w:szCs w:val="14"/>
          <w:b w:val="1"/>
          <w:bCs w:val="1"/>
          <w:color w:val="auto"/>
        </w:rPr>
        <w:t>Healthcare Claims and Administration Solutions</w:t>
      </w:r>
      <w:r>
        <w:rPr>
          <w:rFonts w:ascii="Arial" w:cs="Arial" w:eastAsia="Arial" w:hAnsi="Arial"/>
          <w:sz w:val="11"/>
          <w:szCs w:val="11"/>
          <w:b w:val="1"/>
          <w:b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On behalf of the healthcare and casualty insurance industries, the Company delivers administration, clinical support, bill review</w:t>
      </w:r>
      <w:r>
        <w:rPr>
          <w:rFonts w:ascii="Arial" w:cs="Arial" w:eastAsia="Arial" w:hAnsi="Arial"/>
          <w:sz w:val="14"/>
          <w:szCs w:val="14"/>
          <w:b w:val="1"/>
          <w:bCs w:val="1"/>
          <w:color w:val="auto"/>
        </w:rPr>
        <w:t xml:space="preserve"> </w:t>
      </w:r>
      <w:r>
        <w:rPr>
          <w:rFonts w:ascii="Arial" w:cs="Arial" w:eastAsia="Arial" w:hAnsi="Arial"/>
          <w:sz w:val="14"/>
          <w:szCs w:val="14"/>
          <w:color w:val="auto"/>
        </w:rPr>
        <w:t>and medical management solutions across the health ecosystem to reduce costs, increase compliance and enhance utilization, while improving health outcomes and experiences for members and patients. The Company's solutions span: trials, sales, access, and adherence to pharmaceutical clients; medical bill review, claim processing, care integration, subrogation and payment integrity solutions to managed care companies; and workers compensation medical bill review, intake mailroom/data capture and medical management services to claims payers and third-party administrators</w:t>
      </w:r>
      <w:r>
        <w:rPr>
          <w:rFonts w:ascii="Arial" w:cs="Arial" w:eastAsia="Arial" w:hAnsi="Arial"/>
          <w:sz w:val="11"/>
          <w:szCs w:val="11"/>
          <w:color w:val="auto"/>
        </w:rPr>
        <w:t>.</w:t>
      </w:r>
    </w:p>
    <w:p>
      <w:pPr>
        <w:spacing w:after="0" w:line="100" w:lineRule="exact"/>
        <w:rPr>
          <w:sz w:val="20"/>
          <w:szCs w:val="20"/>
          <w:color w:val="auto"/>
        </w:rPr>
      </w:pPr>
    </w:p>
    <w:p>
      <w:pPr>
        <w:ind w:right="140"/>
        <w:spacing w:after="0" w:line="256" w:lineRule="auto"/>
        <w:rPr>
          <w:sz w:val="20"/>
          <w:szCs w:val="20"/>
          <w:color w:val="auto"/>
        </w:rPr>
      </w:pPr>
      <w:r>
        <w:rPr>
          <w:rFonts w:ascii="Arial" w:cs="Arial" w:eastAsia="Arial" w:hAnsi="Arial"/>
          <w:sz w:val="14"/>
          <w:szCs w:val="14"/>
          <w:b w:val="1"/>
          <w:bCs w:val="1"/>
          <w:color w:val="auto"/>
        </w:rPr>
        <w:t>Human Capital Solutions</w:t>
      </w:r>
      <w:r>
        <w:rPr>
          <w:rFonts w:ascii="Arial" w:cs="Arial" w:eastAsia="Arial" w:hAnsi="Arial"/>
          <w:sz w:val="11"/>
          <w:szCs w:val="11"/>
          <w:b w:val="1"/>
          <w:bCs w:val="1"/>
          <w:color w:val="auto"/>
        </w:rPr>
        <w:t>:</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provides services to support its clients' employees at all stages of their employment from on-boarding through retirement. The Company's</w:t>
      </w:r>
      <w:r>
        <w:rPr>
          <w:rFonts w:ascii="Arial" w:cs="Arial" w:eastAsia="Arial" w:hAnsi="Arial"/>
          <w:sz w:val="14"/>
          <w:szCs w:val="14"/>
          <w:b w:val="1"/>
          <w:bCs w:val="1"/>
          <w:color w:val="auto"/>
        </w:rPr>
        <w:t xml:space="preserve"> </w:t>
      </w:r>
      <w:r>
        <w:rPr>
          <w:rFonts w:ascii="Arial" w:cs="Arial" w:eastAsia="Arial" w:hAnsi="Arial"/>
          <w:sz w:val="14"/>
          <w:szCs w:val="14"/>
          <w:color w:val="auto"/>
        </w:rPr>
        <w:t>solutions span Benefits Administration Solutions, Human Resources ("HR") and Payroll Solutions, Health Savings Account Solutions and Learning Solutions. On behalf of global organizations and governments, the Company delivers mission-critical, technology-led HR services and solutions that improve business processes across the employee journey to maximize business performance, while increasing employee satisfaction, engagement, and overall well-being. These solutions span health, benefits, payroll, onboarding and learning administration, annual enrollment, wealth and retirement, HR, talent, and workforce management.</w:t>
      </w:r>
    </w:p>
    <w:p>
      <w:pPr>
        <w:spacing w:after="0" w:line="100"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b w:val="1"/>
          <w:bCs w:val="1"/>
          <w:color w:val="auto"/>
        </w:rPr>
        <w:t>Government Healthcare Solutions</w:t>
      </w:r>
      <w:r>
        <w:rPr>
          <w:rFonts w:ascii="Arial" w:cs="Arial" w:eastAsia="Arial" w:hAnsi="Arial"/>
          <w:sz w:val="14"/>
          <w:szCs w:val="14"/>
          <w:color w:val="auto"/>
        </w:rPr>
        <w:t>: The Company provides mission-critical program administration solutions for government healthcare programs with a range of innovative solutions</w:t>
      </w:r>
      <w:r>
        <w:rPr>
          <w:rFonts w:ascii="Arial" w:cs="Arial" w:eastAsia="Arial" w:hAnsi="Arial"/>
          <w:sz w:val="14"/>
          <w:szCs w:val="14"/>
          <w:b w:val="1"/>
          <w:bCs w:val="1"/>
          <w:color w:val="auto"/>
        </w:rPr>
        <w:t xml:space="preserve"> </w:t>
      </w:r>
      <w:r>
        <w:rPr>
          <w:rFonts w:ascii="Arial" w:cs="Arial" w:eastAsia="Arial" w:hAnsi="Arial"/>
          <w:sz w:val="14"/>
          <w:szCs w:val="14"/>
          <w:color w:val="auto"/>
        </w:rPr>
        <w:t>such as Medicaid management, provider services, Medicaid business intelligence, pharmacy benefits management, eligibility and enrollment support, customer contact services, application processing, premium billing, and case management solutions.</w:t>
      </w:r>
    </w:p>
    <w:p>
      <w:pPr>
        <w:spacing w:after="0" w:line="92" w:lineRule="exact"/>
        <w:rPr>
          <w:sz w:val="20"/>
          <w:szCs w:val="20"/>
          <w:color w:val="auto"/>
        </w:rPr>
      </w:pPr>
    </w:p>
    <w:p>
      <w:pPr>
        <w:ind w:right="160"/>
        <w:spacing w:after="0" w:line="259" w:lineRule="auto"/>
        <w:rPr>
          <w:sz w:val="20"/>
          <w:szCs w:val="20"/>
          <w:color w:val="auto"/>
        </w:rPr>
      </w:pPr>
      <w:r>
        <w:rPr>
          <w:rFonts w:ascii="Arial" w:cs="Arial" w:eastAsia="Arial" w:hAnsi="Arial"/>
          <w:sz w:val="14"/>
          <w:szCs w:val="14"/>
          <w:b w:val="1"/>
          <w:bCs w:val="1"/>
          <w:color w:val="auto"/>
        </w:rPr>
        <w:t>Government Services Solutions</w:t>
      </w:r>
      <w:r>
        <w:rPr>
          <w:rFonts w:ascii="Arial" w:cs="Arial" w:eastAsia="Arial" w:hAnsi="Arial"/>
          <w:sz w:val="14"/>
          <w:szCs w:val="14"/>
          <w:color w:val="auto"/>
        </w:rPr>
        <w:t>: The Company is a leader in government payment disbursements for federally sponsored programs including Supplemental Nutrition Assistance</w:t>
      </w:r>
      <w:r>
        <w:rPr>
          <w:rFonts w:ascii="Arial" w:cs="Arial" w:eastAsia="Arial" w:hAnsi="Arial"/>
          <w:sz w:val="14"/>
          <w:szCs w:val="14"/>
          <w:b w:val="1"/>
          <w:bCs w:val="1"/>
          <w:color w:val="auto"/>
        </w:rPr>
        <w:t xml:space="preserve"> </w:t>
      </w:r>
      <w:r>
        <w:rPr>
          <w:rFonts w:ascii="Arial" w:cs="Arial" w:eastAsia="Arial" w:hAnsi="Arial"/>
          <w:sz w:val="14"/>
          <w:szCs w:val="14"/>
          <w:color w:val="auto"/>
        </w:rPr>
        <w:t>Program ("SNAP"), and Women, Infant and Children ("WIC") as well as government-initiated cash disbursements including child support and Unemployment Insurance ("UI"). The Company also offers a broad set of child support services predominately to State Disbursement Units ("SDUs"), including processing and distributing payment, child support payment cards, childcare credentialing, and case management, among others, to help states comply with federal standards.</w:t>
      </w:r>
    </w:p>
    <w:p>
      <w:pPr>
        <w:spacing w:after="0" w:line="97" w:lineRule="exact"/>
        <w:rPr>
          <w:sz w:val="20"/>
          <w:szCs w:val="20"/>
          <w:color w:val="auto"/>
        </w:rPr>
      </w:pPr>
    </w:p>
    <w:p>
      <w:pPr>
        <w:ind w:right="140"/>
        <w:spacing w:after="0" w:line="265" w:lineRule="auto"/>
        <w:rPr>
          <w:sz w:val="20"/>
          <w:szCs w:val="20"/>
          <w:color w:val="auto"/>
        </w:rPr>
      </w:pPr>
      <w:r>
        <w:rPr>
          <w:rFonts w:ascii="Arial" w:cs="Arial" w:eastAsia="Arial" w:hAnsi="Arial"/>
          <w:sz w:val="14"/>
          <w:szCs w:val="14"/>
          <w:b w:val="1"/>
          <w:bCs w:val="1"/>
          <w:color w:val="auto"/>
        </w:rPr>
        <w:t>Road Usage Charging &amp; Management Services</w:t>
      </w:r>
      <w:r>
        <w:rPr>
          <w:rFonts w:ascii="Arial" w:cs="Arial" w:eastAsia="Arial" w:hAnsi="Arial"/>
          <w:sz w:val="14"/>
          <w:szCs w:val="14"/>
          <w:color w:val="auto"/>
        </w:rPr>
        <w:t>: The Company's electronic tolling, urban congestion management and mileage-based user solutions help its clients get travelers to</w:t>
      </w:r>
      <w:r>
        <w:rPr>
          <w:rFonts w:ascii="Arial" w:cs="Arial" w:eastAsia="Arial" w:hAnsi="Arial"/>
          <w:sz w:val="14"/>
          <w:szCs w:val="14"/>
          <w:b w:val="1"/>
          <w:bCs w:val="1"/>
          <w:color w:val="auto"/>
        </w:rPr>
        <w:t xml:space="preserve"> </w:t>
      </w:r>
      <w:r>
        <w:rPr>
          <w:rFonts w:ascii="Arial" w:cs="Arial" w:eastAsia="Arial" w:hAnsi="Arial"/>
          <w:sz w:val="14"/>
          <w:szCs w:val="14"/>
          <w:color w:val="auto"/>
        </w:rPr>
        <w:t>where they need to go while generating revenue for infrastructure improvements. The Company's solutions include vehicle passenger detection systems, electronic toll collection, automated license plate recognition and congestion management solutions.</w:t>
      </w:r>
    </w:p>
    <w:p>
      <w:pPr>
        <w:spacing w:after="0" w:line="92"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b w:val="1"/>
          <w:bCs w:val="1"/>
          <w:color w:val="auto"/>
        </w:rPr>
        <w:t>Transit Solutions</w:t>
      </w:r>
      <w:r>
        <w:rPr>
          <w:rFonts w:ascii="Arial" w:cs="Arial" w:eastAsia="Arial" w:hAnsi="Arial"/>
          <w:sz w:val="14"/>
          <w:szCs w:val="14"/>
          <w:color w:val="auto"/>
        </w:rPr>
        <w:t>: For train, bus, subway, metro and other transit travelers, the Company helps make journeys more personalized and convenient while increasing fare collections for</w:t>
      </w:r>
      <w:r>
        <w:rPr>
          <w:rFonts w:ascii="Arial" w:cs="Arial" w:eastAsia="Arial" w:hAnsi="Arial"/>
          <w:sz w:val="14"/>
          <w:szCs w:val="14"/>
          <w:b w:val="1"/>
          <w:bCs w:val="1"/>
          <w:color w:val="auto"/>
        </w:rPr>
        <w:t xml:space="preserve"> </w:t>
      </w:r>
      <w:r>
        <w:rPr>
          <w:rFonts w:ascii="Arial" w:cs="Arial" w:eastAsia="Arial" w:hAnsi="Arial"/>
          <w:sz w:val="14"/>
          <w:szCs w:val="14"/>
          <w:color w:val="auto"/>
        </w:rPr>
        <w:t>authorities and agencies. The Company combines fare collection and intelligent mobility to provide clients with the added efficiency of a single point of management for all transit solutions.</w:t>
      </w:r>
    </w:p>
    <w:p>
      <w:pPr>
        <w:spacing w:after="0" w:line="92" w:lineRule="exact"/>
        <w:rPr>
          <w:sz w:val="20"/>
          <w:szCs w:val="20"/>
          <w:color w:val="auto"/>
        </w:rPr>
      </w:pPr>
    </w:p>
    <w:p>
      <w:pPr>
        <w:ind w:right="760"/>
        <w:spacing w:after="0" w:line="282" w:lineRule="auto"/>
        <w:rPr>
          <w:sz w:val="20"/>
          <w:szCs w:val="20"/>
          <w:color w:val="auto"/>
        </w:rPr>
      </w:pPr>
      <w:r>
        <w:rPr>
          <w:rFonts w:ascii="Arial" w:cs="Arial" w:eastAsia="Arial" w:hAnsi="Arial"/>
          <w:sz w:val="14"/>
          <w:szCs w:val="14"/>
          <w:b w:val="1"/>
          <w:bCs w:val="1"/>
          <w:color w:val="auto"/>
        </w:rPr>
        <w:t>Curbside Management Solutions</w:t>
      </w:r>
      <w:r>
        <w:rPr>
          <w:rFonts w:ascii="Arial" w:cs="Arial" w:eastAsia="Arial" w:hAnsi="Arial"/>
          <w:sz w:val="14"/>
          <w:szCs w:val="14"/>
          <w:color w:val="auto"/>
        </w:rPr>
        <w:t>: The Company delivers intelligent curbside management systems that simplify parking programs and deliver convenient and hassle-free</w:t>
      </w:r>
      <w:r>
        <w:rPr>
          <w:rFonts w:ascii="Arial" w:cs="Arial" w:eastAsia="Arial" w:hAnsi="Arial"/>
          <w:sz w:val="14"/>
          <w:szCs w:val="14"/>
          <w:b w:val="1"/>
          <w:bCs w:val="1"/>
          <w:color w:val="auto"/>
        </w:rPr>
        <w:t xml:space="preserve"> </w:t>
      </w:r>
      <w:r>
        <w:rPr>
          <w:rFonts w:ascii="Arial" w:cs="Arial" w:eastAsia="Arial" w:hAnsi="Arial"/>
          <w:sz w:val="14"/>
          <w:szCs w:val="14"/>
          <w:color w:val="auto"/>
        </w:rPr>
        <w:t>experiences for drivers. The Company's curbside solutions include citation and permit administration, parking enforcement and curbside demand management.</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67" w:name="page68"/>
    <w:bookmarkEnd w:id="67"/>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520"/>
        <w:spacing w:after="0" w:line="322" w:lineRule="auto"/>
        <w:rPr>
          <w:sz w:val="20"/>
          <w:szCs w:val="20"/>
          <w:color w:val="auto"/>
        </w:rPr>
      </w:pPr>
      <w:r>
        <w:rPr>
          <w:rFonts w:ascii="Arial" w:cs="Arial" w:eastAsia="Arial" w:hAnsi="Arial"/>
          <w:sz w:val="13"/>
          <w:szCs w:val="13"/>
          <w:b w:val="1"/>
          <w:bCs w:val="1"/>
          <w:color w:val="auto"/>
        </w:rPr>
        <w:t>Public Safety Solutions</w:t>
      </w:r>
      <w:r>
        <w:rPr>
          <w:rFonts w:ascii="Arial" w:cs="Arial" w:eastAsia="Arial" w:hAnsi="Arial"/>
          <w:sz w:val="13"/>
          <w:szCs w:val="13"/>
          <w:color w:val="auto"/>
        </w:rPr>
        <w:t>: The Company provides data analytics, automated photo enforcement and other public safety solutions to make streets and communities safer. Photo</w:t>
      </w:r>
      <w:r>
        <w:rPr>
          <w:rFonts w:ascii="Arial" w:cs="Arial" w:eastAsia="Arial" w:hAnsi="Arial"/>
          <w:sz w:val="13"/>
          <w:szCs w:val="13"/>
          <w:b w:val="1"/>
          <w:bCs w:val="1"/>
          <w:color w:val="auto"/>
        </w:rPr>
        <w:t xml:space="preserve"> </w:t>
      </w:r>
      <w:r>
        <w:rPr>
          <w:rFonts w:ascii="Arial" w:cs="Arial" w:eastAsia="Arial" w:hAnsi="Arial"/>
          <w:sz w:val="13"/>
          <w:szCs w:val="13"/>
          <w:color w:val="auto"/>
        </w:rPr>
        <w:t>enforcement systems include red light, fixed and mobile speed, school bus, work zone, school zone, bus lane, high occupancy and other forms of photo enforcement systems.</w:t>
      </w:r>
    </w:p>
    <w:p>
      <w:pPr>
        <w:spacing w:after="0" w:line="57" w:lineRule="exact"/>
        <w:rPr>
          <w:sz w:val="20"/>
          <w:szCs w:val="20"/>
          <w:color w:val="auto"/>
        </w:rPr>
      </w:pPr>
    </w:p>
    <w:p>
      <w:pPr>
        <w:ind w:right="1720"/>
        <w:spacing w:after="0" w:line="434" w:lineRule="auto"/>
        <w:rPr>
          <w:sz w:val="20"/>
          <w:szCs w:val="20"/>
          <w:color w:val="auto"/>
        </w:rPr>
      </w:pPr>
      <w:r>
        <w:rPr>
          <w:rFonts w:ascii="Arial" w:cs="Arial" w:eastAsia="Arial" w:hAnsi="Arial"/>
          <w:sz w:val="14"/>
          <w:szCs w:val="14"/>
          <w:b w:val="1"/>
          <w:bCs w:val="1"/>
          <w:color w:val="auto"/>
        </w:rPr>
        <w:t>Commercial Vehicles</w:t>
      </w:r>
      <w:r>
        <w:rPr>
          <w:rFonts w:ascii="Arial" w:cs="Arial" w:eastAsia="Arial" w:hAnsi="Arial"/>
          <w:sz w:val="14"/>
          <w:szCs w:val="14"/>
          <w:color w:val="auto"/>
        </w:rPr>
        <w:t>: The Company provides computer-aided dispatch/automatic vehicle location technology to help clients manage their fleet operations.</w:t>
      </w:r>
      <w:r>
        <w:rPr>
          <w:rFonts w:ascii="Arial" w:cs="Arial" w:eastAsia="Arial" w:hAnsi="Arial"/>
          <w:sz w:val="14"/>
          <w:szCs w:val="14"/>
          <w:b w:val="1"/>
          <w:bCs w:val="1"/>
          <w:color w:val="auto"/>
        </w:rPr>
        <w:t xml:space="preserve"> Contract Balances</w:t>
      </w:r>
    </w:p>
    <w:p>
      <w:pPr>
        <w:spacing w:after="0" w:line="1" w:lineRule="exact"/>
        <w:rPr>
          <w:sz w:val="20"/>
          <w:szCs w:val="20"/>
          <w:color w:val="auto"/>
        </w:rPr>
      </w:pPr>
    </w:p>
    <w:p>
      <w:pPr>
        <w:ind w:right="100"/>
        <w:spacing w:after="0" w:line="256" w:lineRule="auto"/>
        <w:rPr>
          <w:sz w:val="20"/>
          <w:szCs w:val="20"/>
          <w:color w:val="auto"/>
        </w:rPr>
      </w:pPr>
      <w:r>
        <w:rPr>
          <w:rFonts w:ascii="Arial" w:cs="Arial" w:eastAsia="Arial" w:hAnsi="Arial"/>
          <w:sz w:val="14"/>
          <w:szCs w:val="14"/>
          <w:color w:val="auto"/>
        </w:rPr>
        <w:t>The Company receives payments from customers based upon contractual billing schedules. Accounts receivable are recorded when the right to consideration becomes unconditional. Contract assets are the Company’s rights to consideration for services provided when the right is conditioned on something other than passage of time (for example, meeting a milestone for the right to bill under the cost-to-cost measure of progress). Contract assets are transferred to Accounts receivable, net when the rights to consideration become unconditional. Unearned income includes payments received in advance of performance under the contract, which are realized when the associated revenue is recognized under the contract.</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information about the balances of the Company's contract assets, unearned income and receivables from contracts with customers: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600" w:type="dxa"/>
            <w:vAlign w:val="bottom"/>
            <w:gridSpan w:val="3"/>
          </w:tcPr>
          <w:p>
            <w:pPr>
              <w:ind w:left="20"/>
              <w:spacing w:after="0"/>
              <w:rPr>
                <w:sz w:val="20"/>
                <w:szCs w:val="20"/>
                <w:color w:val="auto"/>
              </w:rPr>
            </w:pPr>
            <w:r>
              <w:rPr>
                <w:rFonts w:ascii="Arial" w:cs="Arial" w:eastAsia="Arial" w:hAnsi="Arial"/>
                <w:sz w:val="10"/>
                <w:szCs w:val="10"/>
                <w:color w:val="auto"/>
              </w:rPr>
              <w:t>(in millions)</w:t>
            </w:r>
          </w:p>
        </w:tc>
        <w:tc>
          <w:tcPr>
            <w:tcW w:w="240" w:type="dxa"/>
            <w:vAlign w:val="bottom"/>
          </w:tcPr>
          <w:p>
            <w:pPr>
              <w:spacing w:after="0"/>
              <w:rPr>
                <w:sz w:val="10"/>
                <w:szCs w:val="10"/>
                <w:color w:val="auto"/>
              </w:rPr>
            </w:pPr>
          </w:p>
        </w:tc>
        <w:tc>
          <w:tcPr>
            <w:tcW w:w="1620" w:type="dxa"/>
            <w:vAlign w:val="bottom"/>
            <w:gridSpan w:val="2"/>
          </w:tcPr>
          <w:p>
            <w:pPr>
              <w:ind w:left="160"/>
              <w:spacing w:after="0"/>
              <w:rPr>
                <w:sz w:val="20"/>
                <w:szCs w:val="20"/>
                <w:color w:val="auto"/>
              </w:rPr>
            </w:pPr>
            <w:r>
              <w:rPr>
                <w:rFonts w:ascii="Arial" w:cs="Arial" w:eastAsia="Arial" w:hAnsi="Arial"/>
                <w:sz w:val="11"/>
                <w:szCs w:val="11"/>
                <w:color w:val="auto"/>
              </w:rPr>
              <w:t>December 31, 2023</w:t>
            </w:r>
          </w:p>
        </w:tc>
        <w:tc>
          <w:tcPr>
            <w:tcW w:w="240" w:type="dxa"/>
            <w:vAlign w:val="bottom"/>
          </w:tcPr>
          <w:p>
            <w:pPr>
              <w:spacing w:after="0"/>
              <w:rPr>
                <w:sz w:val="10"/>
                <w:szCs w:val="10"/>
                <w:color w:val="auto"/>
              </w:rPr>
            </w:pPr>
          </w:p>
        </w:tc>
        <w:tc>
          <w:tcPr>
            <w:tcW w:w="1540" w:type="dxa"/>
            <w:vAlign w:val="bottom"/>
          </w:tcPr>
          <w:p>
            <w:pPr>
              <w:jc w:val="right"/>
              <w:ind w:right="344"/>
              <w:spacing w:after="0"/>
              <w:rPr>
                <w:sz w:val="20"/>
                <w:szCs w:val="20"/>
                <w:color w:val="auto"/>
              </w:rPr>
            </w:pPr>
            <w:r>
              <w:rPr>
                <w:rFonts w:ascii="Arial" w:cs="Arial" w:eastAsia="Arial" w:hAnsi="Arial"/>
                <w:sz w:val="11"/>
                <w:szCs w:val="11"/>
                <w:color w:val="auto"/>
              </w:rPr>
              <w:t>December 31, 2022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Contract Assets (Unearned Income)</w:t>
            </w: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7600" w:type="dxa"/>
            <w:vAlign w:val="bottom"/>
            <w:gridSpan w:val="3"/>
            <w:vMerge w:val="continue"/>
          </w:tcPr>
          <w:p>
            <w:pPr>
              <w:spacing w:after="0"/>
              <w:rPr>
                <w:sz w:val="11"/>
                <w:szCs w:val="11"/>
                <w:color w:val="auto"/>
              </w:rPr>
            </w:pPr>
          </w:p>
        </w:tc>
        <w:tc>
          <w:tcPr>
            <w:tcW w:w="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6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Current contract assets</w:t>
            </w: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178</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0" w:type="dxa"/>
            <w:vAlign w:val="bottom"/>
            <w:gridSpan w:val="3"/>
          </w:tcPr>
          <w:p>
            <w:pPr>
              <w:ind w:left="20"/>
              <w:spacing w:after="0" w:line="156" w:lineRule="exact"/>
              <w:rPr>
                <w:sz w:val="20"/>
                <w:szCs w:val="20"/>
                <w:color w:val="auto"/>
              </w:rPr>
            </w:pPr>
            <w:r>
              <w:rPr>
                <w:rFonts w:ascii="Arial" w:cs="Arial" w:eastAsia="Arial" w:hAnsi="Arial"/>
                <w:sz w:val="11"/>
                <w:szCs w:val="11"/>
                <w:color w:val="auto"/>
              </w:rPr>
              <w:t>Long-term contract assets</w:t>
            </w:r>
            <w:r>
              <w:rPr>
                <w:rFonts w:ascii="Arial" w:cs="Arial" w:eastAsia="Arial" w:hAnsi="Arial"/>
                <w:sz w:val="14"/>
                <w:szCs w:val="14"/>
                <w:color w:val="auto"/>
                <w:vertAlign w:val="superscript"/>
              </w:rPr>
              <w:t>(1)</w:t>
            </w:r>
          </w:p>
        </w:tc>
        <w:tc>
          <w:tcPr>
            <w:tcW w:w="240" w:type="dxa"/>
            <w:vAlign w:val="bottom"/>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12</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Current unearned income</w:t>
            </w:r>
          </w:p>
        </w:tc>
        <w:tc>
          <w:tcPr>
            <w:tcW w:w="240" w:type="dxa"/>
            <w:vAlign w:val="bottom"/>
            <w:shd w:val="clear" w:color="auto" w:fill="CCEEFF"/>
          </w:tcPr>
          <w:p>
            <w:pPr>
              <w:spacing w:after="0"/>
              <w:rPr>
                <w:sz w:val="13"/>
                <w:szCs w:val="13"/>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00" w:type="dxa"/>
            <w:vAlign w:val="bottom"/>
            <w:tcBorders>
              <w:bottom w:val="single" w:sz="8" w:color="CCEEFF"/>
            </w:tcBorders>
            <w:gridSpan w:val="3"/>
          </w:tcPr>
          <w:p>
            <w:pPr>
              <w:ind w:left="20"/>
              <w:spacing w:after="0" w:line="156" w:lineRule="exact"/>
              <w:rPr>
                <w:sz w:val="20"/>
                <w:szCs w:val="20"/>
                <w:color w:val="auto"/>
              </w:rPr>
            </w:pPr>
            <w:r>
              <w:rPr>
                <w:rFonts w:ascii="Arial" w:cs="Arial" w:eastAsia="Arial" w:hAnsi="Arial"/>
                <w:sz w:val="11"/>
                <w:szCs w:val="11"/>
                <w:color w:val="auto"/>
              </w:rPr>
              <w:t>Long-term unearned income</w:t>
            </w:r>
            <w:r>
              <w:rPr>
                <w:rFonts w:ascii="Arial" w:cs="Arial" w:eastAsia="Arial" w:hAnsi="Arial"/>
                <w:sz w:val="14"/>
                <w:szCs w:val="14"/>
                <w:color w:val="auto"/>
                <w:vertAlign w:val="superscript"/>
              </w:rPr>
              <w:t>(2)</w:t>
            </w:r>
          </w:p>
        </w:tc>
        <w:tc>
          <w:tcPr>
            <w:tcW w:w="2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(55)</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60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Net Contract Assets</w:t>
            </w: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w:t>
            </w: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Borders>
              <w:top w:val="single" w:sz="8" w:color="CCEEFF"/>
              <w:bottom w:val="single" w:sz="8" w:color="CCEEFF"/>
            </w:tcBorders>
            <w:gridSpan w:val="3"/>
            <w:vMerge w:val="restart"/>
          </w:tcPr>
          <w:p>
            <w:pPr>
              <w:ind w:left="20"/>
              <w:spacing w:after="0"/>
              <w:rPr>
                <w:sz w:val="20"/>
                <w:szCs w:val="20"/>
                <w:color w:val="auto"/>
              </w:rPr>
            </w:pPr>
            <w:r>
              <w:rPr>
                <w:rFonts w:ascii="Arial" w:cs="Arial" w:eastAsia="Arial" w:hAnsi="Arial"/>
                <w:sz w:val="11"/>
                <w:szCs w:val="11"/>
                <w:color w:val="auto"/>
              </w:rPr>
              <w:t>Accounts receivable, net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tcPr>
          <w:p>
            <w:pPr>
              <w:spacing w:after="0"/>
              <w:rPr>
                <w:sz w:val="9"/>
                <w:szCs w:val="9"/>
                <w:color w:val="auto"/>
              </w:rPr>
            </w:pPr>
          </w:p>
        </w:tc>
        <w:tc>
          <w:tcPr>
            <w:tcW w:w="7600" w:type="dxa"/>
            <w:vAlign w:val="bottom"/>
            <w:gridSpan w:val="3"/>
            <w:vMerge w:val="continue"/>
          </w:tcPr>
          <w:p>
            <w:pPr>
              <w:spacing w:after="0"/>
              <w:rPr>
                <w:sz w:val="9"/>
                <w:szCs w:val="9"/>
                <w:color w:val="auto"/>
              </w:rPr>
            </w:pPr>
          </w:p>
        </w:tc>
        <w:tc>
          <w:tcPr>
            <w:tcW w:w="240" w:type="dxa"/>
            <w:vAlign w:val="bottom"/>
          </w:tcPr>
          <w:p>
            <w:pPr>
              <w:jc w:val="right"/>
              <w:ind w:right="104"/>
              <w:spacing w:after="0" w:line="111" w:lineRule="exact"/>
              <w:rPr>
                <w:sz w:val="20"/>
                <w:szCs w:val="20"/>
                <w:color w:val="auto"/>
              </w:rPr>
            </w:pPr>
            <w:r>
              <w:rPr>
                <w:rFonts w:ascii="Arial" w:cs="Arial" w:eastAsia="Arial" w:hAnsi="Arial"/>
                <w:sz w:val="11"/>
                <w:szCs w:val="11"/>
                <w:color w:val="auto"/>
                <w:w w:val="97"/>
              </w:rPr>
              <w:t>$</w:t>
            </w:r>
          </w:p>
        </w:tc>
        <w:tc>
          <w:tcPr>
            <w:tcW w:w="1520" w:type="dxa"/>
            <w:vAlign w:val="bottom"/>
          </w:tcPr>
          <w:p>
            <w:pPr>
              <w:jc w:val="right"/>
              <w:spacing w:after="0" w:line="111" w:lineRule="exact"/>
              <w:rPr>
                <w:sz w:val="20"/>
                <w:szCs w:val="20"/>
                <w:color w:val="auto"/>
              </w:rPr>
            </w:pPr>
            <w:r>
              <w:rPr>
                <w:rFonts w:ascii="Arial" w:cs="Arial" w:eastAsia="Arial" w:hAnsi="Arial"/>
                <w:sz w:val="11"/>
                <w:szCs w:val="11"/>
                <w:color w:val="auto"/>
              </w:rPr>
              <w:t>559</w:t>
            </w:r>
          </w:p>
        </w:tc>
        <w:tc>
          <w:tcPr>
            <w:tcW w:w="100" w:type="dxa"/>
            <w:vAlign w:val="bottom"/>
          </w:tcPr>
          <w:p>
            <w:pPr>
              <w:spacing w:after="0"/>
              <w:rPr>
                <w:sz w:val="9"/>
                <w:szCs w:val="9"/>
                <w:color w:val="auto"/>
              </w:rPr>
            </w:pPr>
          </w:p>
        </w:tc>
        <w:tc>
          <w:tcPr>
            <w:tcW w:w="240" w:type="dxa"/>
            <w:vAlign w:val="bottom"/>
          </w:tcPr>
          <w:p>
            <w:pPr>
              <w:jc w:val="right"/>
              <w:ind w:right="104"/>
              <w:spacing w:after="0" w:line="111" w:lineRule="exact"/>
              <w:rPr>
                <w:sz w:val="20"/>
                <w:szCs w:val="20"/>
                <w:color w:val="auto"/>
              </w:rPr>
            </w:pPr>
            <w:r>
              <w:rPr>
                <w:rFonts w:ascii="Arial" w:cs="Arial" w:eastAsia="Arial" w:hAnsi="Arial"/>
                <w:sz w:val="11"/>
                <w:szCs w:val="11"/>
                <w:color w:val="auto"/>
                <w:w w:val="97"/>
              </w:rPr>
              <w:t>$</w:t>
            </w:r>
          </w:p>
        </w:tc>
        <w:tc>
          <w:tcPr>
            <w:tcW w:w="1540" w:type="dxa"/>
            <w:vAlign w:val="bottom"/>
          </w:tcPr>
          <w:p>
            <w:pPr>
              <w:jc w:val="right"/>
              <w:spacing w:after="0" w:line="111" w:lineRule="exact"/>
              <w:rPr>
                <w:sz w:val="20"/>
                <w:szCs w:val="20"/>
                <w:color w:val="auto"/>
              </w:rPr>
            </w:pPr>
            <w:r>
              <w:rPr>
                <w:rFonts w:ascii="Arial" w:cs="Arial" w:eastAsia="Arial" w:hAnsi="Arial"/>
                <w:sz w:val="11"/>
                <w:szCs w:val="11"/>
                <w:color w:val="auto"/>
              </w:rPr>
              <w:t>630</w:t>
            </w:r>
          </w:p>
        </w:tc>
        <w:tc>
          <w:tcPr>
            <w:tcW w:w="0" w:type="dxa"/>
            <w:vAlign w:val="bottom"/>
          </w:tcPr>
          <w:p>
            <w:pPr>
              <w:spacing w:after="0"/>
              <w:rPr>
                <w:sz w:val="1"/>
                <w:szCs w:val="1"/>
                <w:color w:val="auto"/>
              </w:rPr>
            </w:pPr>
          </w:p>
        </w:tc>
      </w:tr>
      <w:tr>
        <w:trPr>
          <w:trHeight w:val="219"/>
        </w:trPr>
        <w:tc>
          <w:tcPr>
            <w:tcW w:w="7620" w:type="dxa"/>
            <w:vAlign w:val="bottom"/>
            <w:gridSpan w:val="4"/>
          </w:tcPr>
          <w:p>
            <w:pPr>
              <w:jc w:val="right"/>
              <w:ind w:right="7000"/>
              <w:spacing w:after="0"/>
              <w:rPr>
                <w:sz w:val="20"/>
                <w:szCs w:val="20"/>
                <w:color w:val="auto"/>
              </w:rPr>
            </w:pPr>
            <w:r>
              <w:rPr>
                <w:rFonts w:ascii="Arial" w:cs="Arial" w:eastAsia="Arial" w:hAnsi="Arial"/>
                <w:sz w:val="11"/>
                <w:szCs w:val="11"/>
                <w:color w:val="auto"/>
                <w:w w:val="98"/>
              </w:rPr>
              <w:t>__________</w:t>
            </w: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240" w:hanging="237"/>
        <w:spacing w:after="0"/>
        <w:tabs>
          <w:tab w:leader="none" w:pos="240" w:val="left"/>
        </w:tabs>
        <w:numPr>
          <w:ilvl w:val="0"/>
          <w:numId w:val="39"/>
        </w:numPr>
        <w:rPr>
          <w:rFonts w:ascii="Arial" w:cs="Arial" w:eastAsia="Arial" w:hAnsi="Arial"/>
          <w:sz w:val="11"/>
          <w:szCs w:val="11"/>
          <w:i w:val="1"/>
          <w:iCs w:val="1"/>
          <w:color w:val="auto"/>
        </w:rPr>
      </w:pPr>
      <w:r>
        <w:rPr>
          <w:rFonts w:ascii="Arial" w:cs="Arial" w:eastAsia="Arial" w:hAnsi="Arial"/>
          <w:sz w:val="11"/>
          <w:szCs w:val="11"/>
          <w:i w:val="1"/>
          <w:iCs w:val="1"/>
          <w:color w:val="auto"/>
        </w:rPr>
        <w:t>Presented in Other long-term assets in the Consolidated Balance Sheets</w:t>
      </w:r>
    </w:p>
    <w:p>
      <w:pPr>
        <w:spacing w:after="0" w:line="50" w:lineRule="exact"/>
        <w:rPr>
          <w:rFonts w:ascii="Arial" w:cs="Arial" w:eastAsia="Arial" w:hAnsi="Arial"/>
          <w:sz w:val="11"/>
          <w:szCs w:val="11"/>
          <w:i w:val="1"/>
          <w:iCs w:val="1"/>
          <w:color w:val="auto"/>
        </w:rPr>
      </w:pPr>
    </w:p>
    <w:p>
      <w:pPr>
        <w:ind w:left="240" w:hanging="237"/>
        <w:spacing w:after="0"/>
        <w:tabs>
          <w:tab w:leader="none" w:pos="240" w:val="left"/>
        </w:tabs>
        <w:numPr>
          <w:ilvl w:val="0"/>
          <w:numId w:val="39"/>
        </w:numPr>
        <w:rPr>
          <w:rFonts w:ascii="Arial" w:cs="Arial" w:eastAsia="Arial" w:hAnsi="Arial"/>
          <w:sz w:val="11"/>
          <w:szCs w:val="11"/>
          <w:i w:val="1"/>
          <w:iCs w:val="1"/>
          <w:color w:val="auto"/>
        </w:rPr>
      </w:pPr>
      <w:r>
        <w:rPr>
          <w:rFonts w:ascii="Arial" w:cs="Arial" w:eastAsia="Arial" w:hAnsi="Arial"/>
          <w:sz w:val="11"/>
          <w:szCs w:val="11"/>
          <w:i w:val="1"/>
          <w:iCs w:val="1"/>
          <w:color w:val="auto"/>
        </w:rPr>
        <w:t>Presented in Other long-term liabilities in the Consolidated Balance Sheets</w:t>
      </w:r>
    </w:p>
    <w:p>
      <w:pPr>
        <w:spacing w:after="0" w:line="230" w:lineRule="exact"/>
        <w:rPr>
          <w:sz w:val="20"/>
          <w:szCs w:val="20"/>
          <w:color w:val="auto"/>
        </w:rPr>
      </w:pPr>
    </w:p>
    <w:p>
      <w:pPr>
        <w:ind w:right="60"/>
        <w:spacing w:after="0" w:line="265" w:lineRule="auto"/>
        <w:rPr>
          <w:sz w:val="20"/>
          <w:szCs w:val="20"/>
          <w:color w:val="auto"/>
        </w:rPr>
      </w:pPr>
      <w:r>
        <w:rPr>
          <w:rFonts w:ascii="Arial" w:cs="Arial" w:eastAsia="Arial" w:hAnsi="Arial"/>
          <w:sz w:val="14"/>
          <w:szCs w:val="14"/>
          <w:color w:val="auto"/>
        </w:rPr>
        <w:t>Revenues of $61 million and $76 million were recognized during the years ended December 31, 2023 and 2022, respectively, related to the Company's unearned income at December 31, 2022 and December 31, 2021. The Company recorded a $3 million asset impairment charge related to contract assets for the year ended December 31, 2023. There were no material asset impairment charges related to contract assets in the years ended December 31, 2022 or 2021.</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Transaction Price Allocated to the Remaining Performance Obligations</w:t>
      </w:r>
    </w:p>
    <w:p>
      <w:pPr>
        <w:spacing w:after="0" w:line="131" w:lineRule="exact"/>
        <w:rPr>
          <w:sz w:val="20"/>
          <w:szCs w:val="20"/>
          <w:color w:val="auto"/>
        </w:rPr>
      </w:pPr>
    </w:p>
    <w:p>
      <w:pPr>
        <w:ind w:right="160"/>
        <w:spacing w:after="0" w:line="282" w:lineRule="auto"/>
        <w:rPr>
          <w:sz w:val="20"/>
          <w:szCs w:val="20"/>
          <w:color w:val="auto"/>
        </w:rPr>
      </w:pPr>
      <w:r>
        <w:rPr>
          <w:rFonts w:ascii="Arial" w:cs="Arial" w:eastAsia="Arial" w:hAnsi="Arial"/>
          <w:sz w:val="14"/>
          <w:szCs w:val="14"/>
          <w:color w:val="auto"/>
        </w:rPr>
        <w:t>Estimated revenue expected to be recognized in the future related to performance obligations that are unsatisfied or partially satisfied at December 31, 2023, was approximately $1.5 billion. The Company expects to recognize approximately 62% of this revenue over the next 2 years and the remainder thereafter.</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Costs to Obtain and Fulfill a Contract</w:t>
      </w:r>
    </w:p>
    <w:p>
      <w:pPr>
        <w:spacing w:after="0" w:line="131" w:lineRule="exact"/>
        <w:rPr>
          <w:sz w:val="20"/>
          <w:szCs w:val="20"/>
          <w:color w:val="auto"/>
        </w:rPr>
      </w:pPr>
    </w:p>
    <w:p>
      <w:pPr>
        <w:ind w:right="40"/>
        <w:spacing w:after="0" w:line="281" w:lineRule="auto"/>
        <w:rPr>
          <w:sz w:val="20"/>
          <w:szCs w:val="20"/>
          <w:color w:val="auto"/>
        </w:rPr>
      </w:pPr>
      <w:r>
        <w:rPr>
          <w:rFonts w:ascii="Arial" w:cs="Arial" w:eastAsia="Arial" w:hAnsi="Arial"/>
          <w:sz w:val="13"/>
          <w:szCs w:val="13"/>
          <w:color w:val="auto"/>
        </w:rPr>
        <w:t>The Company capitalizes commission expenses paid to internal sales personnel that are incremental costs related to obtaining customer contracts. As of December 31, 2023 and 2022, the net book value of these costs was $21 million and $24 million, respectively, and is included in Deferred contract costs, net within Other long-term assets. The judgments made in determining the amount of costs incurred include whether the commissions are incremental and directly related to a successful acquisition of a customer contract. These costs are amortized in Depreciation and amortization over the term of the contract or the estimated life of the customer relationship if renewals are expected and the renewal commission is not commensurate with the initial commission. The Company expenses sales commissions when incurred if the amortization period of the sales commission is one year or less.</w:t>
      </w:r>
    </w:p>
    <w:p>
      <w:pPr>
        <w:spacing w:after="0" w:line="83"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In addition, the Company may provide inducement payments to secure customer contracts. These inducement payments are capitalized and amortized as a reduction of revenue over the term of the customer contract. The net</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68" w:name="page69"/>
    <w:bookmarkEnd w:id="68"/>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160"/>
        <w:spacing w:after="0" w:line="282" w:lineRule="auto"/>
        <w:rPr>
          <w:sz w:val="20"/>
          <w:szCs w:val="20"/>
          <w:color w:val="auto"/>
        </w:rPr>
      </w:pPr>
      <w:r>
        <w:rPr>
          <w:rFonts w:ascii="Arial" w:cs="Arial" w:eastAsia="Arial" w:hAnsi="Arial"/>
          <w:sz w:val="14"/>
          <w:szCs w:val="14"/>
          <w:color w:val="auto"/>
        </w:rPr>
        <w:t>book value of these costs totaled $10 million and $28 million as of December 31, 2023 and 2022, respectively, and are included in Deferred contract costs, net within Other long-term assets.</w:t>
      </w:r>
    </w:p>
    <w:p>
      <w:pPr>
        <w:spacing w:after="0" w:line="80"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The Company capitalizes costs incurred to fulfill its contracts that (i) relate directly to the contract, (ii) are expected to generate resources that will be used to satisfy the Company’s performance obligation under the contract and (iii) are expected to be recovered through revenue generated under the contract. The net book value of these costs, which comprise set-up/transition activities, was $ 60 million and $30 million as of December 31, 2023 and 2022, respectively, and are included in Deferred contract costs, net within Other long-term assets. Contract fulfillment costs are expensed to Depreciation and amortization as the Company satisfies its performance obligations by transferring the service to the customer. These costs are amortized on a systematic basis over the expected period of benefit.</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These costs are periodically reviewed for impairment.</w:t>
      </w:r>
    </w:p>
    <w:p>
      <w:pPr>
        <w:spacing w:after="0" w:line="131"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The amortization of costs incurred to obtain and fulfill a contract, excluding contract inducements, for the years ended December 31, 2023, 2022 and 2021, were $40 million, $34 million and $39 million,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The expected amortization expense for the next five years and thereafter for these costs to obtain and fulfill a contract is as follows (in millions):</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48"/>
        </w:trPr>
        <w:tc>
          <w:tcPr>
            <w:tcW w:w="1300" w:type="dxa"/>
            <w:vAlign w:val="bottom"/>
            <w:tcBorders>
              <w:bottom w:val="single" w:sz="8" w:color="auto"/>
            </w:tcBorders>
          </w:tcPr>
          <w:p>
            <w:pPr>
              <w:jc w:val="right"/>
              <w:ind w:right="224"/>
              <w:spacing w:after="0"/>
              <w:rPr>
                <w:sz w:val="20"/>
                <w:szCs w:val="20"/>
                <w:color w:val="auto"/>
              </w:rPr>
            </w:pPr>
            <w:r>
              <w:rPr>
                <w:rFonts w:ascii="Arial" w:cs="Arial" w:eastAsia="Arial" w:hAnsi="Arial"/>
                <w:sz w:val="11"/>
                <w:szCs w:val="11"/>
                <w:color w:val="auto"/>
              </w:rPr>
              <w:t>2024</w:t>
            </w:r>
          </w:p>
        </w:tc>
        <w:tc>
          <w:tcPr>
            <w:tcW w:w="48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32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color w:val="auto"/>
              </w:rPr>
              <w:t>2025</w:t>
            </w:r>
          </w:p>
        </w:tc>
        <w:tc>
          <w:tcPr>
            <w:tcW w:w="48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704"/>
              <w:spacing w:after="0"/>
              <w:rPr>
                <w:sz w:val="20"/>
                <w:szCs w:val="20"/>
                <w:color w:val="auto"/>
              </w:rPr>
            </w:pPr>
            <w:r>
              <w:rPr>
                <w:rFonts w:ascii="Arial" w:cs="Arial" w:eastAsia="Arial" w:hAnsi="Arial"/>
                <w:sz w:val="11"/>
                <w:szCs w:val="11"/>
                <w:color w:val="auto"/>
              </w:rPr>
              <w:t>2026</w:t>
            </w: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724"/>
              <w:spacing w:after="0"/>
              <w:rPr>
                <w:sz w:val="20"/>
                <w:szCs w:val="20"/>
                <w:color w:val="auto"/>
              </w:rPr>
            </w:pPr>
            <w:r>
              <w:rPr>
                <w:rFonts w:ascii="Arial" w:cs="Arial" w:eastAsia="Arial" w:hAnsi="Arial"/>
                <w:sz w:val="11"/>
                <w:szCs w:val="11"/>
                <w:color w:val="auto"/>
              </w:rPr>
              <w:t>2027</w:t>
            </w:r>
          </w:p>
        </w:tc>
        <w:tc>
          <w:tcPr>
            <w:tcW w:w="8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724"/>
              <w:spacing w:after="0"/>
              <w:rPr>
                <w:sz w:val="20"/>
                <w:szCs w:val="20"/>
                <w:color w:val="auto"/>
              </w:rPr>
            </w:pPr>
            <w:r>
              <w:rPr>
                <w:rFonts w:ascii="Arial" w:cs="Arial" w:eastAsia="Arial" w:hAnsi="Arial"/>
                <w:sz w:val="11"/>
                <w:szCs w:val="11"/>
                <w:color w:val="auto"/>
              </w:rPr>
              <w:t>2028</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right"/>
              <w:ind w:right="584"/>
              <w:spacing w:after="0"/>
              <w:rPr>
                <w:sz w:val="20"/>
                <w:szCs w:val="20"/>
                <w:color w:val="auto"/>
              </w:rPr>
            </w:pPr>
            <w:r>
              <w:rPr>
                <w:rFonts w:ascii="Arial" w:cs="Arial" w:eastAsia="Arial" w:hAnsi="Arial"/>
                <w:sz w:val="11"/>
                <w:szCs w:val="11"/>
                <w:color w:val="auto"/>
              </w:rPr>
              <w:t>Thereafter</w:t>
            </w:r>
          </w:p>
        </w:tc>
      </w:tr>
      <w:tr>
        <w:trPr>
          <w:trHeight w:val="151"/>
        </w:trPr>
        <w:tc>
          <w:tcPr>
            <w:tcW w:w="1300" w:type="dxa"/>
            <w:vAlign w:val="bottom"/>
            <w:shd w:val="clear" w:color="auto" w:fill="CCEEFF"/>
          </w:tcPr>
          <w:p>
            <w:pPr>
              <w:jc w:val="right"/>
              <w:ind w:right="1164"/>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38</w:t>
            </w:r>
          </w:p>
        </w:tc>
        <w:tc>
          <w:tcPr>
            <w:tcW w:w="8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1184"/>
              <w:spacing w:after="0"/>
              <w:rPr>
                <w:sz w:val="20"/>
                <w:szCs w:val="20"/>
                <w:color w:val="auto"/>
              </w:rPr>
            </w:pPr>
            <w:r>
              <w:rPr>
                <w:rFonts w:ascii="Arial" w:cs="Arial" w:eastAsia="Arial" w:hAnsi="Arial"/>
                <w:sz w:val="11"/>
                <w:szCs w:val="11"/>
                <w:color w:val="auto"/>
                <w:w w:val="97"/>
              </w:rPr>
              <w:t>$</w:t>
            </w:r>
          </w:p>
        </w:tc>
        <w:tc>
          <w:tcPr>
            <w:tcW w:w="4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18</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9</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w:t>
            </w:r>
          </w:p>
        </w:tc>
      </w:tr>
    </w:tbl>
    <w:p>
      <w:pPr>
        <w:spacing w:after="0" w:line="250"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3 – Segment Reporting</w:t>
      </w:r>
    </w:p>
    <w:p>
      <w:pPr>
        <w:spacing w:after="0" w:line="123" w:lineRule="exact"/>
        <w:rPr>
          <w:sz w:val="20"/>
          <w:szCs w:val="20"/>
          <w:color w:val="auto"/>
        </w:rPr>
      </w:pPr>
    </w:p>
    <w:p>
      <w:pPr>
        <w:jc w:val="both"/>
        <w:ind w:right="120"/>
        <w:spacing w:after="0" w:line="265" w:lineRule="auto"/>
        <w:rPr>
          <w:sz w:val="20"/>
          <w:szCs w:val="20"/>
          <w:color w:val="auto"/>
        </w:rPr>
      </w:pPr>
      <w:r>
        <w:rPr>
          <w:rFonts w:ascii="Arial" w:cs="Arial" w:eastAsia="Arial" w:hAnsi="Arial"/>
          <w:sz w:val="14"/>
          <w:szCs w:val="14"/>
          <w:color w:val="auto"/>
        </w:rPr>
        <w:t>The Company's reportable segments correspond to how it organizes and manages the business, as defined by the Company's Chief Executive Officer, who is also its Chief Operating Decision Maker ("CODM"), and are aligned to the industries in which the Company's clients operate. The Company's segments involve the delivery of business process services and include service arrangements where it manages a customer's business activity or process.</w:t>
      </w:r>
    </w:p>
    <w:p>
      <w:pPr>
        <w:spacing w:after="0" w:line="92" w:lineRule="exact"/>
        <w:rPr>
          <w:sz w:val="20"/>
          <w:szCs w:val="20"/>
          <w:color w:val="auto"/>
        </w:rPr>
      </w:pPr>
    </w:p>
    <w:p>
      <w:pPr>
        <w:ind w:right="400"/>
        <w:spacing w:after="0" w:line="282" w:lineRule="auto"/>
        <w:rPr>
          <w:sz w:val="20"/>
          <w:szCs w:val="20"/>
          <w:color w:val="auto"/>
        </w:rPr>
      </w:pPr>
      <w:r>
        <w:rPr>
          <w:rFonts w:ascii="Arial" w:cs="Arial" w:eastAsia="Arial" w:hAnsi="Arial"/>
          <w:sz w:val="14"/>
          <w:szCs w:val="14"/>
          <w:color w:val="auto"/>
        </w:rPr>
        <w:t>The Company's financial performance is based on Segment Profit/(Loss) for its three reportable segments (Commercial, Government and Transportation), Other and Unallocated Costs. The Company's CODM does not evaluate operating segments using discrete asset information.</w:t>
      </w:r>
    </w:p>
    <w:p>
      <w:pPr>
        <w:spacing w:after="0" w:line="80" w:lineRule="exact"/>
        <w:rPr>
          <w:sz w:val="20"/>
          <w:szCs w:val="20"/>
          <w:color w:val="auto"/>
        </w:rPr>
      </w:pPr>
    </w:p>
    <w:p>
      <w:pPr>
        <w:jc w:val="both"/>
        <w:ind w:left="260" w:right="380" w:hanging="257"/>
        <w:spacing w:after="0" w:line="265" w:lineRule="auto"/>
        <w:tabs>
          <w:tab w:leader="none" w:pos="256" w:val="left"/>
        </w:tabs>
        <w:numPr>
          <w:ilvl w:val="0"/>
          <w:numId w:val="40"/>
        </w:numPr>
        <w:rPr>
          <w:rFonts w:ascii="Arial" w:cs="Arial" w:eastAsia="Arial" w:hAnsi="Arial"/>
          <w:sz w:val="14"/>
          <w:szCs w:val="14"/>
          <w:b w:val="1"/>
          <w:bCs w:val="1"/>
          <w:color w:val="auto"/>
        </w:rPr>
      </w:pPr>
      <w:r>
        <w:rPr>
          <w:rFonts w:ascii="Arial" w:cs="Arial" w:eastAsia="Arial" w:hAnsi="Arial"/>
          <w:sz w:val="14"/>
          <w:szCs w:val="14"/>
          <w:b w:val="1"/>
          <w:bCs w:val="1"/>
          <w:color w:val="0066CC"/>
        </w:rPr>
        <w:t xml:space="preserve">Commercial: </w:t>
      </w:r>
      <w:r>
        <w:rPr>
          <w:rFonts w:ascii="Arial" w:cs="Arial" w:eastAsia="Arial" w:hAnsi="Arial"/>
          <w:sz w:val="14"/>
          <w:szCs w:val="14"/>
          <w:color w:val="000000"/>
        </w:rPr>
        <w:t>The Commercial segment provides business process services and customized solutions to clients in a variety of commercial industries. Across the Commercial</w:t>
      </w:r>
      <w:r>
        <w:rPr>
          <w:rFonts w:ascii="Arial" w:cs="Arial" w:eastAsia="Arial" w:hAnsi="Arial"/>
          <w:sz w:val="14"/>
          <w:szCs w:val="14"/>
          <w:b w:val="1"/>
          <w:bCs w:val="1"/>
          <w:color w:val="0066CC"/>
        </w:rPr>
        <w:t xml:space="preserve"> </w:t>
      </w:r>
      <w:r>
        <w:rPr>
          <w:rFonts w:ascii="Arial" w:cs="Arial" w:eastAsia="Arial" w:hAnsi="Arial"/>
          <w:sz w:val="14"/>
          <w:szCs w:val="14"/>
          <w:color w:val="000000"/>
        </w:rPr>
        <w:t>segment, the Company operates on its clients’ behalf to deliver mission-critical solutions and services to reduce costs, improve efficiencies and enable revenue growth for the Company's clients and better experiences for their consumers and employees.</w:t>
      </w:r>
    </w:p>
    <w:p>
      <w:pPr>
        <w:spacing w:after="0" w:line="91" w:lineRule="exact"/>
        <w:rPr>
          <w:rFonts w:ascii="Arial" w:cs="Arial" w:eastAsia="Arial" w:hAnsi="Arial"/>
          <w:sz w:val="14"/>
          <w:szCs w:val="14"/>
          <w:b w:val="1"/>
          <w:bCs w:val="1"/>
          <w:color w:val="auto"/>
        </w:rPr>
      </w:pPr>
    </w:p>
    <w:p>
      <w:pPr>
        <w:ind w:left="260" w:right="40" w:hanging="257"/>
        <w:spacing w:after="0" w:line="265" w:lineRule="auto"/>
        <w:tabs>
          <w:tab w:leader="none" w:pos="256" w:val="left"/>
        </w:tabs>
        <w:numPr>
          <w:ilvl w:val="0"/>
          <w:numId w:val="40"/>
        </w:numPr>
        <w:rPr>
          <w:rFonts w:ascii="Arial" w:cs="Arial" w:eastAsia="Arial" w:hAnsi="Arial"/>
          <w:sz w:val="14"/>
          <w:szCs w:val="14"/>
          <w:b w:val="1"/>
          <w:bCs w:val="1"/>
          <w:color w:val="auto"/>
        </w:rPr>
      </w:pPr>
      <w:r>
        <w:rPr>
          <w:rFonts w:ascii="Arial" w:cs="Arial" w:eastAsia="Arial" w:hAnsi="Arial"/>
          <w:sz w:val="14"/>
          <w:szCs w:val="14"/>
          <w:b w:val="1"/>
          <w:bCs w:val="1"/>
          <w:color w:val="0066CC"/>
        </w:rPr>
        <w:t xml:space="preserve">Government: </w:t>
      </w:r>
      <w:r>
        <w:rPr>
          <w:rFonts w:ascii="Arial" w:cs="Arial" w:eastAsia="Arial" w:hAnsi="Arial"/>
          <w:sz w:val="14"/>
          <w:szCs w:val="14"/>
          <w:color w:val="000000"/>
        </w:rPr>
        <w:t>The Government segment provides government-centric business process services to U.S. federal, state and local and foreign governments for public assistance,</w:t>
      </w:r>
      <w:r>
        <w:rPr>
          <w:rFonts w:ascii="Arial" w:cs="Arial" w:eastAsia="Arial" w:hAnsi="Arial"/>
          <w:sz w:val="14"/>
          <w:szCs w:val="14"/>
          <w:b w:val="1"/>
          <w:bCs w:val="1"/>
          <w:color w:val="0066CC"/>
        </w:rPr>
        <w:t xml:space="preserve"> </w:t>
      </w:r>
      <w:r>
        <w:rPr>
          <w:rFonts w:ascii="Arial" w:cs="Arial" w:eastAsia="Arial" w:hAnsi="Arial"/>
          <w:sz w:val="14"/>
          <w:szCs w:val="14"/>
          <w:color w:val="000000"/>
        </w:rPr>
        <w:t>healthcare programs and administration, transaction processing and payment services. The solutions in this segment help governments respond to changing rules for eligibility and increasing citizen expectations.</w:t>
      </w:r>
    </w:p>
    <w:p>
      <w:pPr>
        <w:spacing w:after="0" w:line="91" w:lineRule="exact"/>
        <w:rPr>
          <w:rFonts w:ascii="Arial" w:cs="Arial" w:eastAsia="Arial" w:hAnsi="Arial"/>
          <w:sz w:val="14"/>
          <w:szCs w:val="14"/>
          <w:b w:val="1"/>
          <w:bCs w:val="1"/>
          <w:color w:val="auto"/>
        </w:rPr>
      </w:pPr>
    </w:p>
    <w:p>
      <w:pPr>
        <w:ind w:left="260" w:right="200" w:hanging="257"/>
        <w:spacing w:after="0" w:line="265" w:lineRule="auto"/>
        <w:tabs>
          <w:tab w:leader="none" w:pos="256" w:val="left"/>
        </w:tabs>
        <w:numPr>
          <w:ilvl w:val="0"/>
          <w:numId w:val="40"/>
        </w:numPr>
        <w:rPr>
          <w:rFonts w:ascii="Arial" w:cs="Arial" w:eastAsia="Arial" w:hAnsi="Arial"/>
          <w:sz w:val="14"/>
          <w:szCs w:val="14"/>
          <w:b w:val="1"/>
          <w:bCs w:val="1"/>
          <w:color w:val="auto"/>
        </w:rPr>
      </w:pPr>
      <w:r>
        <w:rPr>
          <w:rFonts w:ascii="Arial" w:cs="Arial" w:eastAsia="Arial" w:hAnsi="Arial"/>
          <w:sz w:val="14"/>
          <w:szCs w:val="14"/>
          <w:b w:val="1"/>
          <w:bCs w:val="1"/>
          <w:color w:val="0066CC"/>
        </w:rPr>
        <w:t xml:space="preserve">Transportation: </w:t>
      </w:r>
      <w:r>
        <w:rPr>
          <w:rFonts w:ascii="Arial" w:cs="Arial" w:eastAsia="Arial" w:hAnsi="Arial"/>
          <w:sz w:val="14"/>
          <w:szCs w:val="14"/>
          <w:color w:val="000000"/>
        </w:rPr>
        <w:t>The Transportation segment provides systems, support, and revenue-generating solutions, to government transportation agency clients. The Company delivers</w:t>
      </w:r>
      <w:r>
        <w:rPr>
          <w:rFonts w:ascii="Arial" w:cs="Arial" w:eastAsia="Arial" w:hAnsi="Arial"/>
          <w:sz w:val="14"/>
          <w:szCs w:val="14"/>
          <w:b w:val="1"/>
          <w:bCs w:val="1"/>
          <w:color w:val="0066CC"/>
        </w:rPr>
        <w:t xml:space="preserve"> </w:t>
      </w:r>
      <w:r>
        <w:rPr>
          <w:rFonts w:ascii="Arial" w:cs="Arial" w:eastAsia="Arial" w:hAnsi="Arial"/>
          <w:sz w:val="14"/>
          <w:szCs w:val="14"/>
          <w:color w:val="000000"/>
        </w:rPr>
        <w:t>mission-critical public safety, mobility and digital payment solutions that streamline operations, increase revenue and reduce congestion while creating safe, seamless travel experiences for consumers while reducing impact on the environment.</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Divestitures includes the Company's Midas Suite of patient safety, quality and advanced analytics solutions which it sold to a third party in the first quarter of 2022.</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Other includes the Company's Midas business, which was sold in the first quarter of 2022.</w:t>
      </w:r>
    </w:p>
    <w:p>
      <w:pPr>
        <w:spacing w:after="0" w:line="131" w:lineRule="exact"/>
        <w:rPr>
          <w:sz w:val="20"/>
          <w:szCs w:val="20"/>
          <w:color w:val="auto"/>
        </w:rPr>
      </w:pPr>
    </w:p>
    <w:p>
      <w:pPr>
        <w:ind w:right="180"/>
        <w:spacing w:after="0" w:line="282" w:lineRule="auto"/>
        <w:rPr>
          <w:sz w:val="20"/>
          <w:szCs w:val="20"/>
          <w:color w:val="auto"/>
        </w:rPr>
      </w:pPr>
      <w:r>
        <w:rPr>
          <w:rFonts w:ascii="Arial" w:cs="Arial" w:eastAsia="Arial" w:hAnsi="Arial"/>
          <w:sz w:val="14"/>
          <w:szCs w:val="14"/>
          <w:color w:val="auto"/>
        </w:rPr>
        <w:t>Unallocated Costs includes IT infrastructure costs that are shared by multiple reportable segments, enterprise application costs and certain corporate overhead expenses not directly attributable or allocated to the reportable segments.</w:t>
      </w:r>
    </w:p>
    <w:p>
      <w:pPr>
        <w:spacing w:after="0" w:line="200" w:lineRule="exact"/>
        <w:rPr>
          <w:sz w:val="20"/>
          <w:szCs w:val="20"/>
          <w:color w:val="auto"/>
        </w:rPr>
      </w:pPr>
    </w:p>
    <w:p>
      <w:pPr>
        <w:spacing w:after="0" w:line="22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69" w:name="page70"/>
    <w:bookmarkEnd w:id="69"/>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Selected financial information for the Company's reportable segments was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5"/>
          </w:tcPr>
          <w:p>
            <w:pPr>
              <w:ind w:left="220"/>
              <w:spacing w:after="0"/>
              <w:rPr>
                <w:sz w:val="20"/>
                <w:szCs w:val="20"/>
                <w:color w:val="auto"/>
              </w:rPr>
            </w:pPr>
            <w:r>
              <w:rPr>
                <w:rFonts w:ascii="Arial" w:cs="Arial" w:eastAsia="Arial" w:hAnsi="Arial"/>
                <w:sz w:val="11"/>
                <w:szCs w:val="11"/>
                <w:color w:val="auto"/>
              </w:rPr>
              <w:t>Year Ended December 31,</w:t>
            </w:r>
          </w:p>
        </w:tc>
        <w:tc>
          <w:tcPr>
            <w:tcW w:w="2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r>
      <w:tr>
        <w:trPr>
          <w:trHeight w:val="123"/>
        </w:trPr>
        <w:tc>
          <w:tcPr>
            <w:tcW w:w="20" w:type="dxa"/>
            <w:vAlign w:val="bottom"/>
          </w:tcPr>
          <w:p>
            <w:pPr>
              <w:spacing w:after="0"/>
              <w:rPr>
                <w:sz w:val="10"/>
                <w:szCs w:val="10"/>
                <w:color w:val="auto"/>
              </w:rPr>
            </w:pPr>
          </w:p>
        </w:tc>
        <w:tc>
          <w:tcPr>
            <w:tcW w:w="2300" w:type="dxa"/>
            <w:vAlign w:val="bottom"/>
            <w:gridSpan w:val="2"/>
          </w:tcPr>
          <w:p>
            <w:pPr>
              <w:spacing w:after="0" w:line="123" w:lineRule="exact"/>
              <w:rPr>
                <w:sz w:val="20"/>
                <w:szCs w:val="20"/>
                <w:color w:val="auto"/>
              </w:rPr>
            </w:pPr>
            <w:r>
              <w:rPr>
                <w:rFonts w:ascii="Arial" w:cs="Arial" w:eastAsia="Arial" w:hAnsi="Arial"/>
                <w:sz w:val="11"/>
                <w:szCs w:val="11"/>
                <w:color w:val="auto"/>
              </w:rPr>
              <w:t>(in millions)</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tcPr>
          <w:p>
            <w:pPr>
              <w:ind w:left="100"/>
              <w:spacing w:after="0" w:line="123" w:lineRule="exact"/>
              <w:rPr>
                <w:sz w:val="20"/>
                <w:szCs w:val="20"/>
                <w:color w:val="auto"/>
              </w:rPr>
            </w:pPr>
            <w:r>
              <w:rPr>
                <w:rFonts w:ascii="Arial" w:cs="Arial" w:eastAsia="Arial" w:hAnsi="Arial"/>
                <w:sz w:val="11"/>
                <w:szCs w:val="11"/>
                <w:color w:val="auto"/>
              </w:rPr>
              <w:t>Commercial</w:t>
            </w:r>
          </w:p>
        </w:tc>
        <w:tc>
          <w:tcPr>
            <w:tcW w:w="180" w:type="dxa"/>
            <w:vAlign w:val="bottom"/>
          </w:tcPr>
          <w:p>
            <w:pPr>
              <w:spacing w:after="0"/>
              <w:rPr>
                <w:sz w:val="10"/>
                <w:szCs w:val="10"/>
                <w:color w:val="auto"/>
              </w:rPr>
            </w:pPr>
          </w:p>
        </w:tc>
        <w:tc>
          <w:tcPr>
            <w:tcW w:w="1100" w:type="dxa"/>
            <w:vAlign w:val="bottom"/>
            <w:gridSpan w:val="2"/>
          </w:tcPr>
          <w:p>
            <w:pPr>
              <w:ind w:left="100"/>
              <w:spacing w:after="0" w:line="123" w:lineRule="exact"/>
              <w:rPr>
                <w:sz w:val="20"/>
                <w:szCs w:val="20"/>
                <w:color w:val="auto"/>
              </w:rPr>
            </w:pPr>
            <w:r>
              <w:rPr>
                <w:rFonts w:ascii="Arial" w:cs="Arial" w:eastAsia="Arial" w:hAnsi="Arial"/>
                <w:sz w:val="11"/>
                <w:szCs w:val="11"/>
                <w:color w:val="auto"/>
              </w:rPr>
              <w:t>Government</w:t>
            </w:r>
          </w:p>
        </w:tc>
        <w:tc>
          <w:tcPr>
            <w:tcW w:w="1000" w:type="dxa"/>
            <w:vAlign w:val="bottom"/>
          </w:tcPr>
          <w:p>
            <w:pPr>
              <w:jc w:val="right"/>
              <w:spacing w:after="0" w:line="123" w:lineRule="exact"/>
              <w:rPr>
                <w:sz w:val="20"/>
                <w:szCs w:val="20"/>
                <w:color w:val="auto"/>
              </w:rPr>
            </w:pPr>
            <w:r>
              <w:rPr>
                <w:rFonts w:ascii="Arial" w:cs="Arial" w:eastAsia="Arial" w:hAnsi="Arial"/>
                <w:sz w:val="11"/>
                <w:szCs w:val="11"/>
                <w:color w:val="auto"/>
              </w:rPr>
              <w:t>Transportation</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20" w:type="dxa"/>
            <w:vAlign w:val="bottom"/>
            <w:gridSpan w:val="3"/>
          </w:tcPr>
          <w:p>
            <w:pPr>
              <w:jc w:val="right"/>
              <w:ind w:right="124"/>
              <w:spacing w:after="0" w:line="123" w:lineRule="exact"/>
              <w:rPr>
                <w:sz w:val="20"/>
                <w:szCs w:val="20"/>
                <w:color w:val="auto"/>
              </w:rPr>
            </w:pPr>
            <w:r>
              <w:rPr>
                <w:rFonts w:ascii="Arial" w:cs="Arial" w:eastAsia="Arial" w:hAnsi="Arial"/>
                <w:sz w:val="11"/>
                <w:szCs w:val="11"/>
                <w:color w:val="auto"/>
              </w:rPr>
              <w:t>Other</w:t>
            </w:r>
          </w:p>
        </w:tc>
        <w:tc>
          <w:tcPr>
            <w:tcW w:w="8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tcPr>
          <w:p>
            <w:pPr>
              <w:ind w:left="40"/>
              <w:spacing w:after="0" w:line="123" w:lineRule="exact"/>
              <w:rPr>
                <w:sz w:val="20"/>
                <w:szCs w:val="20"/>
                <w:color w:val="auto"/>
              </w:rPr>
            </w:pPr>
            <w:r>
              <w:rPr>
                <w:rFonts w:ascii="Arial" w:cs="Arial" w:eastAsia="Arial" w:hAnsi="Arial"/>
                <w:sz w:val="11"/>
                <w:szCs w:val="11"/>
                <w:color w:val="auto"/>
              </w:rPr>
              <w:t>Unallocated Costs</w:t>
            </w:r>
          </w:p>
        </w:tc>
        <w:tc>
          <w:tcPr>
            <w:tcW w:w="260" w:type="dxa"/>
            <w:vAlign w:val="bottom"/>
          </w:tcPr>
          <w:p>
            <w:pPr>
              <w:spacing w:after="0"/>
              <w:rPr>
                <w:sz w:val="10"/>
                <w:szCs w:val="10"/>
                <w:color w:val="auto"/>
              </w:rPr>
            </w:pPr>
          </w:p>
        </w:tc>
        <w:tc>
          <w:tcPr>
            <w:tcW w:w="900" w:type="dxa"/>
            <w:vAlign w:val="bottom"/>
          </w:tcPr>
          <w:p>
            <w:pPr>
              <w:jc w:val="right"/>
              <w:ind w:right="404"/>
              <w:spacing w:after="0" w:line="123" w:lineRule="exact"/>
              <w:rPr>
                <w:sz w:val="20"/>
                <w:szCs w:val="20"/>
                <w:color w:val="auto"/>
              </w:rPr>
            </w:pPr>
            <w:r>
              <w:rPr>
                <w:rFonts w:ascii="Arial" w:cs="Arial" w:eastAsia="Arial" w:hAnsi="Arial"/>
                <w:sz w:val="11"/>
                <w:szCs w:val="1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1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38"/>
        </w:trPr>
        <w:tc>
          <w:tcPr>
            <w:tcW w:w="5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2023</w:t>
            </w:r>
          </w:p>
        </w:tc>
        <w:tc>
          <w:tcPr>
            <w:tcW w:w="174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1"/>
                <w:szCs w:val="11"/>
                <w:color w:val="auto"/>
              </w:rPr>
              <w:t>Divestitures</w:t>
            </w:r>
          </w:p>
        </w:tc>
        <w:tc>
          <w:tcPr>
            <w:tcW w:w="10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ind w:right="364"/>
              <w:spacing w:after="0"/>
              <w:rPr>
                <w:sz w:val="20"/>
                <w:szCs w:val="20"/>
                <w:color w:val="auto"/>
              </w:rPr>
            </w:pPr>
            <w:r>
              <w:rPr>
                <w:rFonts w:ascii="Arial" w:cs="Arial" w:eastAsia="Arial" w:hAnsi="Arial"/>
                <w:sz w:val="11"/>
                <w:szCs w:val="11"/>
                <w:color w:val="auto"/>
              </w:rPr>
              <w:t>Other</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r>
      <w:tr>
        <w:trPr>
          <w:trHeight w:val="143"/>
        </w:trPr>
        <w:tc>
          <w:tcPr>
            <w:tcW w:w="20" w:type="dxa"/>
            <w:vAlign w:val="bottom"/>
          </w:tcPr>
          <w:p>
            <w:pPr>
              <w:spacing w:after="0"/>
              <w:rPr>
                <w:sz w:val="12"/>
                <w:szCs w:val="12"/>
                <w:color w:val="auto"/>
              </w:rPr>
            </w:pPr>
          </w:p>
        </w:tc>
        <w:tc>
          <w:tcPr>
            <w:tcW w:w="2300" w:type="dxa"/>
            <w:vAlign w:val="bottom"/>
            <w:gridSpan w:val="2"/>
          </w:tcPr>
          <w:p>
            <w:pPr>
              <w:spacing w:after="0"/>
              <w:rPr>
                <w:sz w:val="20"/>
                <w:szCs w:val="20"/>
                <w:color w:val="auto"/>
              </w:rPr>
            </w:pPr>
            <w:r>
              <w:rPr>
                <w:rFonts w:ascii="Arial" w:cs="Arial" w:eastAsia="Arial" w:hAnsi="Arial"/>
                <w:sz w:val="11"/>
                <w:szCs w:val="11"/>
                <w:color w:val="auto"/>
              </w:rPr>
              <w:t>Revenue</w:t>
            </w:r>
          </w:p>
        </w:tc>
        <w:tc>
          <w:tcPr>
            <w:tcW w:w="2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1,932</w:t>
            </w:r>
          </w:p>
        </w:tc>
        <w:tc>
          <w:tcPr>
            <w:tcW w:w="100" w:type="dxa"/>
            <w:vAlign w:val="bottom"/>
          </w:tcPr>
          <w:p>
            <w:pPr>
              <w:spacing w:after="0"/>
              <w:rPr>
                <w:sz w:val="12"/>
                <w:szCs w:val="12"/>
                <w:color w:val="auto"/>
              </w:rPr>
            </w:pPr>
          </w:p>
        </w:tc>
        <w:tc>
          <w:tcPr>
            <w:tcW w:w="180" w:type="dxa"/>
            <w:vAlign w:val="bottom"/>
          </w:tcPr>
          <w:p>
            <w:pPr>
              <w:jc w:val="right"/>
              <w:ind w:right="44"/>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1,094</w:t>
            </w:r>
          </w:p>
        </w:tc>
        <w:tc>
          <w:tcPr>
            <w:tcW w:w="100" w:type="dxa"/>
            <w:vAlign w:val="bottom"/>
          </w:tcPr>
          <w:p>
            <w:pPr>
              <w:spacing w:after="0"/>
              <w:rPr>
                <w:sz w:val="12"/>
                <w:szCs w:val="12"/>
                <w:color w:val="auto"/>
              </w:rPr>
            </w:pPr>
          </w:p>
        </w:tc>
        <w:tc>
          <w:tcPr>
            <w:tcW w:w="1000" w:type="dxa"/>
            <w:vAlign w:val="bottom"/>
          </w:tcPr>
          <w:p>
            <w:pPr>
              <w:jc w:val="right"/>
              <w:ind w:right="864"/>
              <w:spacing w:after="0"/>
              <w:rPr>
                <w:sz w:val="20"/>
                <w:szCs w:val="20"/>
                <w:color w:val="auto"/>
              </w:rPr>
            </w:pPr>
            <w:r>
              <w:rPr>
                <w:rFonts w:ascii="Arial" w:cs="Arial" w:eastAsia="Arial" w:hAnsi="Arial"/>
                <w:sz w:val="11"/>
                <w:szCs w:val="11"/>
                <w:color w:val="auto"/>
                <w:w w:val="97"/>
              </w:rPr>
              <w:t>$</w:t>
            </w:r>
          </w:p>
        </w:tc>
        <w:tc>
          <w:tcPr>
            <w:tcW w:w="260" w:type="dxa"/>
            <w:vAlign w:val="bottom"/>
          </w:tcPr>
          <w:p>
            <w:pPr>
              <w:jc w:val="right"/>
              <w:spacing w:after="0"/>
              <w:rPr>
                <w:sz w:val="20"/>
                <w:szCs w:val="20"/>
                <w:color w:val="auto"/>
              </w:rPr>
            </w:pPr>
            <w:r>
              <w:rPr>
                <w:rFonts w:ascii="Arial" w:cs="Arial" w:eastAsia="Arial" w:hAnsi="Arial"/>
                <w:sz w:val="11"/>
                <w:szCs w:val="11"/>
                <w:color w:val="auto"/>
              </w:rPr>
              <w:t>696</w:t>
            </w:r>
          </w:p>
        </w:tc>
        <w:tc>
          <w:tcPr>
            <w:tcW w:w="100" w:type="dxa"/>
            <w:vAlign w:val="bottom"/>
          </w:tcPr>
          <w:p>
            <w:pPr>
              <w:spacing w:after="0"/>
              <w:rPr>
                <w:sz w:val="12"/>
                <w:szCs w:val="12"/>
                <w:color w:val="auto"/>
              </w:rPr>
            </w:pPr>
          </w:p>
        </w:tc>
        <w:tc>
          <w:tcPr>
            <w:tcW w:w="180" w:type="dxa"/>
            <w:vAlign w:val="bottom"/>
          </w:tcPr>
          <w:p>
            <w:pPr>
              <w:jc w:val="right"/>
              <w:ind w:right="44"/>
              <w:spacing w:after="0"/>
              <w:rPr>
                <w:sz w:val="20"/>
                <w:szCs w:val="20"/>
                <w:color w:val="auto"/>
              </w:rPr>
            </w:pPr>
            <w:r>
              <w:rPr>
                <w:rFonts w:ascii="Arial" w:cs="Arial" w:eastAsia="Arial" w:hAnsi="Arial"/>
                <w:sz w:val="11"/>
                <w:szCs w:val="11"/>
                <w:color w:val="auto"/>
                <w:w w:val="97"/>
              </w:rPr>
              <w:t>$</w:t>
            </w:r>
          </w:p>
        </w:tc>
        <w:tc>
          <w:tcPr>
            <w:tcW w:w="10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124"/>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3,722</w:t>
            </w:r>
          </w:p>
        </w:tc>
      </w:tr>
      <w:tr>
        <w:trPr>
          <w:trHeight w:val="160"/>
        </w:trPr>
        <w:tc>
          <w:tcPr>
            <w:tcW w:w="20" w:type="dxa"/>
            <w:vAlign w:val="bottom"/>
            <w:shd w:val="clear" w:color="auto" w:fill="CCEEFF"/>
          </w:tcPr>
          <w:p>
            <w:pPr>
              <w:spacing w:after="0"/>
              <w:rPr>
                <w:sz w:val="13"/>
                <w:szCs w:val="13"/>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Segment profit (loss)</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284</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64"/>
              <w:spacing w:after="0"/>
              <w:rPr>
                <w:sz w:val="20"/>
                <w:szCs w:val="20"/>
                <w:color w:val="auto"/>
              </w:rPr>
            </w:pPr>
            <w:r>
              <w:rPr>
                <w:rFonts w:ascii="Arial" w:cs="Arial" w:eastAsia="Arial" w:hAnsi="Arial"/>
                <w:sz w:val="11"/>
                <w:szCs w:val="11"/>
                <w:color w:val="auto"/>
                <w:w w:val="97"/>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97"/>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4"/>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w:t>
            </w:r>
          </w:p>
        </w:tc>
      </w:tr>
      <w:tr>
        <w:trPr>
          <w:trHeight w:val="167"/>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56"/>
        </w:trPr>
        <w:tc>
          <w:tcPr>
            <w:tcW w:w="5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2022</w:t>
            </w:r>
          </w:p>
        </w:tc>
        <w:tc>
          <w:tcPr>
            <w:tcW w:w="17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43"/>
        </w:trPr>
        <w:tc>
          <w:tcPr>
            <w:tcW w:w="20" w:type="dxa"/>
            <w:vAlign w:val="bottom"/>
          </w:tcPr>
          <w:p>
            <w:pPr>
              <w:spacing w:after="0"/>
              <w:rPr>
                <w:sz w:val="12"/>
                <w:szCs w:val="12"/>
                <w:color w:val="auto"/>
              </w:rPr>
            </w:pPr>
          </w:p>
        </w:tc>
        <w:tc>
          <w:tcPr>
            <w:tcW w:w="2300" w:type="dxa"/>
            <w:vAlign w:val="bottom"/>
            <w:gridSpan w:val="2"/>
          </w:tcPr>
          <w:p>
            <w:pPr>
              <w:spacing w:after="0"/>
              <w:rPr>
                <w:sz w:val="20"/>
                <w:szCs w:val="20"/>
                <w:color w:val="auto"/>
              </w:rPr>
            </w:pPr>
            <w:r>
              <w:rPr>
                <w:rFonts w:ascii="Arial" w:cs="Arial" w:eastAsia="Arial" w:hAnsi="Arial"/>
                <w:sz w:val="11"/>
                <w:szCs w:val="11"/>
                <w:color w:val="auto"/>
              </w:rPr>
              <w:t>Revenue</w:t>
            </w:r>
          </w:p>
        </w:tc>
        <w:tc>
          <w:tcPr>
            <w:tcW w:w="2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1,992</w:t>
            </w:r>
          </w:p>
        </w:tc>
        <w:tc>
          <w:tcPr>
            <w:tcW w:w="100" w:type="dxa"/>
            <w:vAlign w:val="bottom"/>
          </w:tcPr>
          <w:p>
            <w:pPr>
              <w:spacing w:after="0"/>
              <w:rPr>
                <w:sz w:val="12"/>
                <w:szCs w:val="12"/>
                <w:color w:val="auto"/>
              </w:rPr>
            </w:pPr>
          </w:p>
        </w:tc>
        <w:tc>
          <w:tcPr>
            <w:tcW w:w="180" w:type="dxa"/>
            <w:vAlign w:val="bottom"/>
          </w:tcPr>
          <w:p>
            <w:pPr>
              <w:jc w:val="right"/>
              <w:ind w:right="44"/>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1,150</w:t>
            </w:r>
          </w:p>
        </w:tc>
        <w:tc>
          <w:tcPr>
            <w:tcW w:w="100" w:type="dxa"/>
            <w:vAlign w:val="bottom"/>
          </w:tcPr>
          <w:p>
            <w:pPr>
              <w:spacing w:after="0"/>
              <w:rPr>
                <w:sz w:val="12"/>
                <w:szCs w:val="12"/>
                <w:color w:val="auto"/>
              </w:rPr>
            </w:pPr>
          </w:p>
        </w:tc>
        <w:tc>
          <w:tcPr>
            <w:tcW w:w="1000" w:type="dxa"/>
            <w:vAlign w:val="bottom"/>
          </w:tcPr>
          <w:p>
            <w:pPr>
              <w:jc w:val="right"/>
              <w:ind w:right="864"/>
              <w:spacing w:after="0"/>
              <w:rPr>
                <w:sz w:val="20"/>
                <w:szCs w:val="20"/>
                <w:color w:val="auto"/>
              </w:rPr>
            </w:pPr>
            <w:r>
              <w:rPr>
                <w:rFonts w:ascii="Arial" w:cs="Arial" w:eastAsia="Arial" w:hAnsi="Arial"/>
                <w:sz w:val="11"/>
                <w:szCs w:val="11"/>
                <w:color w:val="auto"/>
                <w:w w:val="97"/>
              </w:rPr>
              <w:t>$</w:t>
            </w:r>
          </w:p>
        </w:tc>
        <w:tc>
          <w:tcPr>
            <w:tcW w:w="260" w:type="dxa"/>
            <w:vAlign w:val="bottom"/>
          </w:tcPr>
          <w:p>
            <w:pPr>
              <w:jc w:val="right"/>
              <w:spacing w:after="0"/>
              <w:rPr>
                <w:sz w:val="20"/>
                <w:szCs w:val="20"/>
                <w:color w:val="auto"/>
              </w:rPr>
            </w:pPr>
            <w:r>
              <w:rPr>
                <w:rFonts w:ascii="Arial" w:cs="Arial" w:eastAsia="Arial" w:hAnsi="Arial"/>
                <w:sz w:val="11"/>
                <w:szCs w:val="11"/>
                <w:color w:val="auto"/>
              </w:rPr>
              <w:t>709</w:t>
            </w:r>
          </w:p>
        </w:tc>
        <w:tc>
          <w:tcPr>
            <w:tcW w:w="100" w:type="dxa"/>
            <w:vAlign w:val="bottom"/>
          </w:tcPr>
          <w:p>
            <w:pPr>
              <w:spacing w:after="0"/>
              <w:rPr>
                <w:sz w:val="12"/>
                <w:szCs w:val="12"/>
                <w:color w:val="auto"/>
              </w:rPr>
            </w:pPr>
          </w:p>
        </w:tc>
        <w:tc>
          <w:tcPr>
            <w:tcW w:w="180" w:type="dxa"/>
            <w:vAlign w:val="bottom"/>
          </w:tcPr>
          <w:p>
            <w:pPr>
              <w:jc w:val="right"/>
              <w:ind w:right="44"/>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2"/>
                <w:szCs w:val="12"/>
                <w:color w:val="auto"/>
              </w:rPr>
            </w:pP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124"/>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3,858</w:t>
            </w:r>
          </w:p>
        </w:tc>
      </w:tr>
      <w:tr>
        <w:trPr>
          <w:trHeight w:val="160"/>
        </w:trPr>
        <w:tc>
          <w:tcPr>
            <w:tcW w:w="20" w:type="dxa"/>
            <w:vAlign w:val="bottom"/>
            <w:shd w:val="clear" w:color="auto" w:fill="CCEEFF"/>
          </w:tcPr>
          <w:p>
            <w:pPr>
              <w:spacing w:after="0"/>
              <w:rPr>
                <w:sz w:val="13"/>
                <w:szCs w:val="13"/>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Segment profit (loss)</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294</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64"/>
              <w:spacing w:after="0"/>
              <w:rPr>
                <w:sz w:val="20"/>
                <w:szCs w:val="20"/>
                <w:color w:val="auto"/>
              </w:rPr>
            </w:pPr>
            <w:r>
              <w:rPr>
                <w:rFonts w:ascii="Arial" w:cs="Arial" w:eastAsia="Arial" w:hAnsi="Arial"/>
                <w:sz w:val="11"/>
                <w:szCs w:val="11"/>
                <w:color w:val="auto"/>
                <w:w w:val="97"/>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4"/>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176</w:t>
            </w:r>
          </w:p>
        </w:tc>
      </w:tr>
      <w:tr>
        <w:trPr>
          <w:trHeight w:val="198"/>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56"/>
        </w:trPr>
        <w:tc>
          <w:tcPr>
            <w:tcW w:w="5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2021</w:t>
            </w:r>
          </w:p>
        </w:tc>
        <w:tc>
          <w:tcPr>
            <w:tcW w:w="17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43"/>
        </w:trPr>
        <w:tc>
          <w:tcPr>
            <w:tcW w:w="20" w:type="dxa"/>
            <w:vAlign w:val="bottom"/>
          </w:tcPr>
          <w:p>
            <w:pPr>
              <w:spacing w:after="0"/>
              <w:rPr>
                <w:sz w:val="12"/>
                <w:szCs w:val="12"/>
                <w:color w:val="auto"/>
              </w:rPr>
            </w:pPr>
          </w:p>
        </w:tc>
        <w:tc>
          <w:tcPr>
            <w:tcW w:w="2300" w:type="dxa"/>
            <w:vAlign w:val="bottom"/>
            <w:gridSpan w:val="2"/>
          </w:tcPr>
          <w:p>
            <w:pPr>
              <w:spacing w:after="0"/>
              <w:rPr>
                <w:sz w:val="20"/>
                <w:szCs w:val="20"/>
                <w:color w:val="auto"/>
              </w:rPr>
            </w:pPr>
            <w:r>
              <w:rPr>
                <w:rFonts w:ascii="Arial" w:cs="Arial" w:eastAsia="Arial" w:hAnsi="Arial"/>
                <w:sz w:val="11"/>
                <w:szCs w:val="11"/>
                <w:color w:val="auto"/>
              </w:rPr>
              <w:t>Revenue</w:t>
            </w:r>
          </w:p>
        </w:tc>
        <w:tc>
          <w:tcPr>
            <w:tcW w:w="2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2,017</w:t>
            </w:r>
          </w:p>
        </w:tc>
        <w:tc>
          <w:tcPr>
            <w:tcW w:w="100" w:type="dxa"/>
            <w:vAlign w:val="bottom"/>
          </w:tcPr>
          <w:p>
            <w:pPr>
              <w:spacing w:after="0"/>
              <w:rPr>
                <w:sz w:val="12"/>
                <w:szCs w:val="12"/>
                <w:color w:val="auto"/>
              </w:rPr>
            </w:pPr>
          </w:p>
        </w:tc>
        <w:tc>
          <w:tcPr>
            <w:tcW w:w="180" w:type="dxa"/>
            <w:vAlign w:val="bottom"/>
          </w:tcPr>
          <w:p>
            <w:pPr>
              <w:jc w:val="right"/>
              <w:ind w:right="44"/>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spacing w:after="0"/>
              <w:rPr>
                <w:sz w:val="20"/>
                <w:szCs w:val="20"/>
                <w:color w:val="auto"/>
              </w:rPr>
            </w:pPr>
            <w:r>
              <w:rPr>
                <w:rFonts w:ascii="Arial" w:cs="Arial" w:eastAsia="Arial" w:hAnsi="Arial"/>
                <w:sz w:val="11"/>
                <w:szCs w:val="11"/>
                <w:color w:val="auto"/>
              </w:rPr>
              <w:t>1,307</w:t>
            </w:r>
          </w:p>
        </w:tc>
        <w:tc>
          <w:tcPr>
            <w:tcW w:w="100" w:type="dxa"/>
            <w:vAlign w:val="bottom"/>
          </w:tcPr>
          <w:p>
            <w:pPr>
              <w:spacing w:after="0"/>
              <w:rPr>
                <w:sz w:val="12"/>
                <w:szCs w:val="12"/>
                <w:color w:val="auto"/>
              </w:rPr>
            </w:pPr>
          </w:p>
        </w:tc>
        <w:tc>
          <w:tcPr>
            <w:tcW w:w="1000" w:type="dxa"/>
            <w:vAlign w:val="bottom"/>
          </w:tcPr>
          <w:p>
            <w:pPr>
              <w:jc w:val="right"/>
              <w:ind w:right="864"/>
              <w:spacing w:after="0"/>
              <w:rPr>
                <w:sz w:val="20"/>
                <w:szCs w:val="20"/>
                <w:color w:val="auto"/>
              </w:rPr>
            </w:pPr>
            <w:r>
              <w:rPr>
                <w:rFonts w:ascii="Arial" w:cs="Arial" w:eastAsia="Arial" w:hAnsi="Arial"/>
                <w:sz w:val="11"/>
                <w:szCs w:val="11"/>
                <w:color w:val="auto"/>
                <w:w w:val="97"/>
              </w:rPr>
              <w:t>$</w:t>
            </w:r>
          </w:p>
        </w:tc>
        <w:tc>
          <w:tcPr>
            <w:tcW w:w="260" w:type="dxa"/>
            <w:vAlign w:val="bottom"/>
          </w:tcPr>
          <w:p>
            <w:pPr>
              <w:jc w:val="right"/>
              <w:spacing w:after="0"/>
              <w:rPr>
                <w:sz w:val="20"/>
                <w:szCs w:val="20"/>
                <w:color w:val="auto"/>
              </w:rPr>
            </w:pPr>
            <w:r>
              <w:rPr>
                <w:rFonts w:ascii="Arial" w:cs="Arial" w:eastAsia="Arial" w:hAnsi="Arial"/>
                <w:sz w:val="11"/>
                <w:szCs w:val="11"/>
                <w:color w:val="auto"/>
              </w:rPr>
              <w:t>746</w:t>
            </w:r>
          </w:p>
        </w:tc>
        <w:tc>
          <w:tcPr>
            <w:tcW w:w="100" w:type="dxa"/>
            <w:vAlign w:val="bottom"/>
          </w:tcPr>
          <w:p>
            <w:pPr>
              <w:spacing w:after="0"/>
              <w:rPr>
                <w:sz w:val="12"/>
                <w:szCs w:val="12"/>
                <w:color w:val="auto"/>
              </w:rPr>
            </w:pPr>
          </w:p>
        </w:tc>
        <w:tc>
          <w:tcPr>
            <w:tcW w:w="180" w:type="dxa"/>
            <w:vAlign w:val="bottom"/>
          </w:tcPr>
          <w:p>
            <w:pPr>
              <w:jc w:val="right"/>
              <w:ind w:right="44"/>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70</w:t>
            </w:r>
          </w:p>
        </w:tc>
        <w:tc>
          <w:tcPr>
            <w:tcW w:w="100" w:type="dxa"/>
            <w:vAlign w:val="bottom"/>
          </w:tcPr>
          <w:p>
            <w:pPr>
              <w:spacing w:after="0"/>
              <w:rPr>
                <w:sz w:val="12"/>
                <w:szCs w:val="12"/>
                <w:color w:val="auto"/>
              </w:rPr>
            </w:pPr>
          </w:p>
        </w:tc>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88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200" w:type="dxa"/>
            <w:vAlign w:val="bottom"/>
            <w:gridSpan w:val="2"/>
          </w:tcPr>
          <w:p>
            <w:pPr>
              <w:jc w:val="right"/>
              <w:ind w:right="40"/>
              <w:spacing w:after="0"/>
              <w:rPr>
                <w:sz w:val="20"/>
                <w:szCs w:val="20"/>
                <w:color w:val="auto"/>
              </w:rPr>
            </w:pPr>
            <w:r>
              <w:rPr>
                <w:rFonts w:ascii="Arial" w:cs="Arial" w:eastAsia="Arial" w:hAnsi="Arial"/>
                <w:sz w:val="11"/>
                <w:szCs w:val="11"/>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124"/>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spacing w:after="0"/>
              <w:rPr>
                <w:sz w:val="20"/>
                <w:szCs w:val="20"/>
                <w:color w:val="auto"/>
              </w:rPr>
            </w:pPr>
            <w:r>
              <w:rPr>
                <w:rFonts w:ascii="Arial" w:cs="Arial" w:eastAsia="Arial" w:hAnsi="Arial"/>
                <w:sz w:val="11"/>
                <w:szCs w:val="11"/>
                <w:color w:val="auto"/>
              </w:rPr>
              <w:t>4,140</w:t>
            </w:r>
          </w:p>
        </w:tc>
      </w:tr>
      <w:tr>
        <w:trPr>
          <w:trHeight w:val="160"/>
        </w:trPr>
        <w:tc>
          <w:tcPr>
            <w:tcW w:w="20" w:type="dxa"/>
            <w:vAlign w:val="bottom"/>
            <w:shd w:val="clear" w:color="auto" w:fill="CCEEFF"/>
          </w:tcPr>
          <w:p>
            <w:pPr>
              <w:spacing w:after="0"/>
              <w:rPr>
                <w:sz w:val="13"/>
                <w:szCs w:val="13"/>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Segment profit (loss)</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409</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864"/>
              <w:spacing w:after="0"/>
              <w:rPr>
                <w:sz w:val="20"/>
                <w:szCs w:val="20"/>
                <w:color w:val="auto"/>
              </w:rPr>
            </w:pPr>
            <w:r>
              <w:rPr>
                <w:rFonts w:ascii="Arial" w:cs="Arial" w:eastAsia="Arial" w:hAnsi="Arial"/>
                <w:sz w:val="11"/>
                <w:szCs w:val="11"/>
                <w:color w:val="auto"/>
                <w:w w:val="97"/>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4"/>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8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4"/>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237</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reconciliation of segment profit (loss) to income (loss) before income taxes: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1"/>
                <w:szCs w:val="11"/>
                <w:color w:val="auto"/>
                <w:w w:val="97"/>
              </w:rPr>
              <w:t>(in millions)</w:t>
            </w:r>
          </w:p>
        </w:tc>
        <w:tc>
          <w:tcPr>
            <w:tcW w:w="5220" w:type="dxa"/>
            <w:vAlign w:val="bottom"/>
            <w:gridSpan w:val="3"/>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00" w:type="dxa"/>
            <w:vAlign w:val="bottom"/>
            <w:gridSpan w:val="2"/>
          </w:tcPr>
          <w:p>
            <w:pPr>
              <w:ind w:left="80"/>
              <w:spacing w:after="0"/>
              <w:rPr>
                <w:sz w:val="20"/>
                <w:szCs w:val="20"/>
                <w:color w:val="auto"/>
              </w:rPr>
            </w:pPr>
            <w:r>
              <w:rPr>
                <w:rFonts w:ascii="Arial" w:cs="Arial" w:eastAsia="Arial" w:hAnsi="Arial"/>
                <w:sz w:val="11"/>
                <w:szCs w:val="11"/>
                <w:color w:val="auto"/>
              </w:rPr>
              <w:t>Year Ended December 31,</w:t>
            </w: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Segment Profit (Loss) Reconciliation to Pre-tax Income (Loss)</w:t>
            </w:r>
          </w:p>
        </w:tc>
        <w:tc>
          <w:tcPr>
            <w:tcW w:w="10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20" w:type="dxa"/>
            <w:vAlign w:val="bottom"/>
            <w:tcBorders>
              <w:bottom w:val="single" w:sz="8" w:color="auto"/>
            </w:tcBorders>
          </w:tcPr>
          <w:p>
            <w:pPr>
              <w:spacing w:after="0"/>
              <w:rPr>
                <w:sz w:val="11"/>
                <w:szCs w:val="11"/>
                <w:color w:val="auto"/>
              </w:rPr>
            </w:pPr>
          </w:p>
        </w:tc>
        <w:tc>
          <w:tcPr>
            <w:tcW w:w="5680" w:type="dxa"/>
            <w:vAlign w:val="bottom"/>
            <w:tcBorders>
              <w:bottom w:val="single" w:sz="8" w:color="auto"/>
            </w:tcBorders>
            <w:gridSpan w:val="3"/>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704"/>
              <w:spacing w:after="0"/>
              <w:rPr>
                <w:sz w:val="20"/>
                <w:szCs w:val="20"/>
                <w:color w:val="auto"/>
              </w:rPr>
            </w:pPr>
            <w:r>
              <w:rPr>
                <w:rFonts w:ascii="Arial" w:cs="Arial" w:eastAsia="Arial" w:hAnsi="Arial"/>
                <w:sz w:val="11"/>
                <w:szCs w:val="11"/>
                <w:color w:val="auto"/>
              </w:rPr>
              <w:t>2023</w:t>
            </w:r>
          </w:p>
        </w:tc>
        <w:tc>
          <w:tcPr>
            <w:tcW w:w="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jc w:val="right"/>
              <w:ind w:right="684"/>
              <w:spacing w:after="0"/>
              <w:rPr>
                <w:sz w:val="20"/>
                <w:szCs w:val="20"/>
                <w:color w:val="auto"/>
              </w:rPr>
            </w:pPr>
            <w:r>
              <w:rPr>
                <w:rFonts w:ascii="Arial" w:cs="Arial" w:eastAsia="Arial" w:hAnsi="Arial"/>
                <w:sz w:val="11"/>
                <w:szCs w:val="11"/>
                <w:color w:val="auto"/>
              </w:rPr>
              <w:t>2022</w:t>
            </w:r>
          </w:p>
        </w:tc>
        <w:tc>
          <w:tcPr>
            <w:tcW w:w="10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704"/>
              <w:spacing w:after="0"/>
              <w:rPr>
                <w:sz w:val="20"/>
                <w:szCs w:val="20"/>
                <w:color w:val="auto"/>
              </w:rPr>
            </w:pPr>
            <w:r>
              <w:rPr>
                <w:rFonts w:ascii="Arial" w:cs="Arial" w:eastAsia="Arial" w:hAnsi="Arial"/>
                <w:sz w:val="11"/>
                <w:szCs w:val="11"/>
                <w:color w:val="auto"/>
              </w:rPr>
              <w:t>2021</w:t>
            </w:r>
          </w:p>
        </w:tc>
        <w:tc>
          <w:tcPr>
            <w:tcW w:w="0" w:type="dxa"/>
            <w:vAlign w:val="bottom"/>
          </w:tcPr>
          <w:p>
            <w:pPr>
              <w:spacing w:after="0"/>
              <w:rPr>
                <w:sz w:val="1"/>
                <w:szCs w:val="1"/>
                <w:color w:val="auto"/>
              </w:rPr>
            </w:pPr>
          </w:p>
        </w:tc>
      </w:tr>
      <w:tr>
        <w:trPr>
          <w:trHeight w:val="148"/>
        </w:trPr>
        <w:tc>
          <w:tcPr>
            <w:tcW w:w="20" w:type="dxa"/>
            <w:vAlign w:val="bottom"/>
            <w:shd w:val="clear" w:color="auto" w:fill="CCEEFF"/>
          </w:tcPr>
          <w:p>
            <w:pPr>
              <w:spacing w:after="0"/>
              <w:rPr>
                <w:sz w:val="12"/>
                <w:szCs w:val="12"/>
                <w:color w:val="auto"/>
              </w:rPr>
            </w:pPr>
          </w:p>
        </w:tc>
        <w:tc>
          <w:tcPr>
            <w:tcW w:w="5780" w:type="dxa"/>
            <w:vAlign w:val="bottom"/>
            <w:gridSpan w:val="4"/>
            <w:shd w:val="clear" w:color="auto" w:fill="CCEEFF"/>
          </w:tcPr>
          <w:p>
            <w:pPr>
              <w:spacing w:after="0"/>
              <w:rPr>
                <w:sz w:val="20"/>
                <w:szCs w:val="20"/>
                <w:color w:val="auto"/>
              </w:rPr>
            </w:pPr>
            <w:r>
              <w:rPr>
                <w:rFonts w:ascii="Arial" w:cs="Arial" w:eastAsia="Arial" w:hAnsi="Arial"/>
                <w:sz w:val="11"/>
                <w:szCs w:val="11"/>
                <w:b w:val="1"/>
                <w:bCs w:val="1"/>
                <w:color w:val="auto"/>
              </w:rPr>
              <w:t>Income (Loss) Before Income Taxes</w:t>
            </w: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00" w:type="dxa"/>
            <w:vAlign w:val="bottom"/>
            <w:tcBorders>
              <w:bottom w:val="single" w:sz="8" w:color="auto"/>
            </w:tcBorders>
            <w:gridSpan w:val="2"/>
          </w:tcPr>
          <w:p>
            <w:pPr>
              <w:spacing w:after="0" w:line="125" w:lineRule="exact"/>
              <w:rPr>
                <w:sz w:val="20"/>
                <w:szCs w:val="20"/>
                <w:color w:val="auto"/>
              </w:rPr>
            </w:pPr>
            <w:r>
              <w:rPr>
                <w:rFonts w:ascii="Arial" w:cs="Arial" w:eastAsia="Arial" w:hAnsi="Arial"/>
                <w:sz w:val="11"/>
                <w:szCs w:val="11"/>
                <w:color w:val="auto"/>
                <w:w w:val="98"/>
              </w:rPr>
              <w:t>Reconciling items:</w:t>
            </w:r>
          </w:p>
        </w:tc>
        <w:tc>
          <w:tcPr>
            <w:tcW w:w="4880" w:type="dxa"/>
            <w:vAlign w:val="bottom"/>
            <w:gridSpan w:val="2"/>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5780" w:type="dxa"/>
            <w:vAlign w:val="bottom"/>
            <w:gridSpan w:val="4"/>
            <w:shd w:val="clear" w:color="auto" w:fill="CCEEFF"/>
          </w:tcPr>
          <w:p>
            <w:pPr>
              <w:ind w:left="160"/>
              <w:spacing w:after="0"/>
              <w:rPr>
                <w:sz w:val="20"/>
                <w:szCs w:val="20"/>
                <w:color w:val="auto"/>
              </w:rPr>
            </w:pPr>
            <w:r>
              <w:rPr>
                <w:rFonts w:ascii="Arial" w:cs="Arial" w:eastAsia="Arial" w:hAnsi="Arial"/>
                <w:sz w:val="11"/>
                <w:szCs w:val="11"/>
                <w:color w:val="auto"/>
              </w:rPr>
              <w:t>Amortization of acquired intangible assets</w:t>
            </w: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780" w:type="dxa"/>
            <w:vAlign w:val="bottom"/>
            <w:gridSpan w:val="4"/>
          </w:tcPr>
          <w:p>
            <w:pPr>
              <w:ind w:left="160"/>
              <w:spacing w:after="0"/>
              <w:rPr>
                <w:sz w:val="20"/>
                <w:szCs w:val="20"/>
                <w:color w:val="auto"/>
              </w:rPr>
            </w:pPr>
            <w:r>
              <w:rPr>
                <w:rFonts w:ascii="Arial" w:cs="Arial" w:eastAsia="Arial" w:hAnsi="Arial"/>
                <w:sz w:val="11"/>
                <w:szCs w:val="11"/>
                <w:color w:val="auto"/>
              </w:rPr>
              <w:t>Restructuring and related costs</w:t>
            </w:r>
          </w:p>
        </w:tc>
        <w:tc>
          <w:tcPr>
            <w:tcW w:w="420" w:type="dxa"/>
            <w:vAlign w:val="bottom"/>
          </w:tcPr>
          <w:p>
            <w:pPr>
              <w:spacing w:after="0"/>
              <w:rPr>
                <w:sz w:val="13"/>
                <w:szCs w:val="13"/>
                <w:color w:val="auto"/>
              </w:rPr>
            </w:pPr>
          </w:p>
        </w:tc>
        <w:tc>
          <w:tcPr>
            <w:tcW w:w="1340" w:type="dxa"/>
            <w:vAlign w:val="bottom"/>
          </w:tcPr>
          <w:p>
            <w:pPr>
              <w:jc w:val="right"/>
              <w:ind w:right="4"/>
              <w:spacing w:after="0"/>
              <w:rPr>
                <w:sz w:val="20"/>
                <w:szCs w:val="20"/>
                <w:color w:val="auto"/>
              </w:rPr>
            </w:pPr>
            <w:r>
              <w:rPr>
                <w:rFonts w:ascii="Arial" w:cs="Arial" w:eastAsia="Arial" w:hAnsi="Arial"/>
                <w:sz w:val="11"/>
                <w:szCs w:val="11"/>
                <w:color w:val="auto"/>
              </w:rPr>
              <w:t>62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39</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45</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780" w:type="dxa"/>
            <w:vAlign w:val="bottom"/>
            <w:gridSpan w:val="4"/>
            <w:shd w:val="clear" w:color="auto" w:fill="CCEEFF"/>
          </w:tcPr>
          <w:p>
            <w:pPr>
              <w:ind w:left="160"/>
              <w:spacing w:after="0"/>
              <w:rPr>
                <w:sz w:val="20"/>
                <w:szCs w:val="20"/>
                <w:color w:val="auto"/>
              </w:rPr>
            </w:pPr>
            <w:r>
              <w:rPr>
                <w:rFonts w:ascii="Arial" w:cs="Arial" w:eastAsia="Arial" w:hAnsi="Arial"/>
                <w:sz w:val="11"/>
                <w:szCs w:val="11"/>
                <w:color w:val="auto"/>
              </w:rPr>
              <w:t>Interest expense</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111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780" w:type="dxa"/>
            <w:vAlign w:val="bottom"/>
            <w:gridSpan w:val="4"/>
          </w:tcPr>
          <w:p>
            <w:pPr>
              <w:ind w:left="160"/>
              <w:spacing w:after="0"/>
              <w:rPr>
                <w:sz w:val="20"/>
                <w:szCs w:val="20"/>
                <w:color w:val="auto"/>
              </w:rPr>
            </w:pPr>
            <w:r>
              <w:rPr>
                <w:rFonts w:ascii="Arial" w:cs="Arial" w:eastAsia="Arial" w:hAnsi="Arial"/>
                <w:sz w:val="11"/>
                <w:szCs w:val="11"/>
                <w:color w:val="auto"/>
              </w:rPr>
              <w:t>Loss on extinguishment of debt</w:t>
            </w:r>
          </w:p>
        </w:tc>
        <w:tc>
          <w:tcPr>
            <w:tcW w:w="420" w:type="dxa"/>
            <w:vAlign w:val="bottom"/>
          </w:tcPr>
          <w:p>
            <w:pPr>
              <w:spacing w:after="0"/>
              <w:rPr>
                <w:sz w:val="13"/>
                <w:szCs w:val="13"/>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3"/>
                <w:szCs w:val="13"/>
                <w:color w:val="auto"/>
              </w:rPr>
            </w:pPr>
          </w:p>
        </w:tc>
        <w:tc>
          <w:tcPr>
            <w:tcW w:w="17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15</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780" w:type="dxa"/>
            <w:vAlign w:val="bottom"/>
            <w:gridSpan w:val="4"/>
            <w:shd w:val="clear" w:color="auto" w:fill="CCEEFF"/>
          </w:tcPr>
          <w:p>
            <w:pPr>
              <w:ind w:left="160"/>
              <w:spacing w:after="0"/>
              <w:rPr>
                <w:sz w:val="20"/>
                <w:szCs w:val="20"/>
                <w:color w:val="auto"/>
              </w:rPr>
            </w:pPr>
            <w:r>
              <w:rPr>
                <w:rFonts w:ascii="Arial" w:cs="Arial" w:eastAsia="Arial" w:hAnsi="Arial"/>
                <w:sz w:val="11"/>
                <w:szCs w:val="11"/>
                <w:color w:val="auto"/>
              </w:rPr>
              <w:t>Goodwill impairment</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287</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358</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780" w:type="dxa"/>
            <w:vAlign w:val="bottom"/>
            <w:gridSpan w:val="4"/>
          </w:tcPr>
          <w:p>
            <w:pPr>
              <w:ind w:left="160"/>
              <w:spacing w:after="0"/>
              <w:rPr>
                <w:sz w:val="20"/>
                <w:szCs w:val="20"/>
                <w:color w:val="auto"/>
              </w:rPr>
            </w:pPr>
            <w:r>
              <w:rPr>
                <w:rFonts w:ascii="Arial" w:cs="Arial" w:eastAsia="Arial" w:hAnsi="Arial"/>
                <w:sz w:val="11"/>
                <w:szCs w:val="11"/>
                <w:color w:val="auto"/>
              </w:rPr>
              <w:t>(Gain) loss on divestitures and transaction costs, net</w:t>
            </w:r>
          </w:p>
        </w:tc>
        <w:tc>
          <w:tcPr>
            <w:tcW w:w="420" w:type="dxa"/>
            <w:vAlign w:val="bottom"/>
          </w:tcPr>
          <w:p>
            <w:pPr>
              <w:spacing w:after="0"/>
              <w:rPr>
                <w:sz w:val="13"/>
                <w:szCs w:val="13"/>
                <w:color w:val="auto"/>
              </w:rPr>
            </w:pPr>
          </w:p>
        </w:tc>
        <w:tc>
          <w:tcPr>
            <w:tcW w:w="1340" w:type="dxa"/>
            <w:vAlign w:val="bottom"/>
          </w:tcPr>
          <w:p>
            <w:pPr>
              <w:jc w:val="right"/>
              <w:ind w:right="4"/>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(158)</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780" w:type="dxa"/>
            <w:vAlign w:val="bottom"/>
            <w:gridSpan w:val="4"/>
            <w:shd w:val="clear" w:color="auto" w:fill="CCEEFF"/>
          </w:tcPr>
          <w:p>
            <w:pPr>
              <w:ind w:left="160"/>
              <w:spacing w:after="0"/>
              <w:rPr>
                <w:sz w:val="20"/>
                <w:szCs w:val="20"/>
                <w:color w:val="auto"/>
              </w:rPr>
            </w:pPr>
            <w:r>
              <w:rPr>
                <w:rFonts w:ascii="Arial" w:cs="Arial" w:eastAsia="Arial" w:hAnsi="Arial"/>
                <w:sz w:val="11"/>
                <w:szCs w:val="11"/>
                <w:color w:val="auto"/>
              </w:rPr>
              <w:t>Litigation settlements (recoveries), net</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5780" w:type="dxa"/>
            <w:vAlign w:val="bottom"/>
            <w:tcBorders>
              <w:bottom w:val="single" w:sz="8" w:color="CCEEFF"/>
            </w:tcBorders>
            <w:gridSpan w:val="4"/>
          </w:tcPr>
          <w:p>
            <w:pPr>
              <w:ind w:left="160"/>
              <w:spacing w:after="0"/>
              <w:rPr>
                <w:sz w:val="20"/>
                <w:szCs w:val="20"/>
                <w:color w:val="auto"/>
              </w:rPr>
            </w:pPr>
            <w:r>
              <w:rPr>
                <w:rFonts w:ascii="Arial" w:cs="Arial" w:eastAsia="Arial" w:hAnsi="Arial"/>
                <w:sz w:val="11"/>
                <w:szCs w:val="11"/>
                <w:color w:val="auto"/>
              </w:rPr>
              <w:t>Other (income) expenses, net</w:t>
            </w: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72"/>
        </w:trPr>
        <w:tc>
          <w:tcPr>
            <w:tcW w:w="20" w:type="dxa"/>
            <w:vAlign w:val="bottom"/>
            <w:tcBorders>
              <w:bottom w:val="single" w:sz="8" w:color="CCEEFF"/>
            </w:tcBorders>
            <w:shd w:val="clear" w:color="auto" w:fill="CCEEFF"/>
          </w:tcPr>
          <w:p>
            <w:pPr>
              <w:spacing w:after="0"/>
              <w:rPr>
                <w:sz w:val="14"/>
                <w:szCs w:val="14"/>
                <w:color w:val="auto"/>
              </w:rPr>
            </w:pPr>
          </w:p>
        </w:tc>
        <w:tc>
          <w:tcPr>
            <w:tcW w:w="578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1"/>
                <w:szCs w:val="11"/>
                <w:b w:val="1"/>
                <w:bCs w:val="1"/>
                <w:color w:val="auto"/>
              </w:rPr>
              <w:t>Segment Profit (Loss)</w:t>
            </w:r>
          </w:p>
        </w:tc>
        <w:tc>
          <w:tcPr>
            <w:tcW w:w="42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112</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176</w:t>
            </w: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237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spacing w:after="0"/>
        <w:rPr>
          <w:sz w:val="20"/>
          <w:szCs w:val="20"/>
          <w:color w:val="auto"/>
        </w:rPr>
      </w:pPr>
      <w:r>
        <w:rPr>
          <w:rFonts w:ascii="Arial" w:cs="Arial" w:eastAsia="Arial" w:hAnsi="Arial"/>
          <w:sz w:val="14"/>
          <w:szCs w:val="14"/>
          <w:color w:val="auto"/>
        </w:rPr>
        <w:t>Refer to Note 2 – Revenue for additional information on disaggregated revenues of the reportable segments.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Geographic area data is based upon the location of the subsidiary reporting the revenue or long-lived assets and is as follows for each of the years ended December 31:</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color w:val="auto"/>
              </w:rPr>
              <w:t>Revenues</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 xml:space="preserve">Long-Lived Assets </w:t>
            </w:r>
            <w:r>
              <w:rPr>
                <w:rFonts w:ascii="Arial" w:cs="Arial" w:eastAsia="Arial" w:hAnsi="Arial"/>
                <w:sz w:val="7"/>
                <w:szCs w:val="7"/>
                <w:color w:val="auto"/>
              </w:rPr>
              <w:t>(1)</w:t>
            </w:r>
          </w:p>
        </w:tc>
        <w:tc>
          <w:tcPr>
            <w:tcW w:w="840" w:type="dxa"/>
            <w:vAlign w:val="bottom"/>
            <w:tcBorders>
              <w:bottom w:val="single" w:sz="8" w:color="auto"/>
            </w:tcBorders>
          </w:tcPr>
          <w:p>
            <w:pPr>
              <w:spacing w:after="0"/>
              <w:rPr>
                <w:sz w:val="12"/>
                <w:szCs w:val="12"/>
                <w:color w:val="auto"/>
              </w:rPr>
            </w:pPr>
          </w:p>
        </w:tc>
      </w:tr>
      <w:tr>
        <w:trPr>
          <w:trHeight w:val="123"/>
        </w:trPr>
        <w:tc>
          <w:tcPr>
            <w:tcW w:w="20" w:type="dxa"/>
            <w:vAlign w:val="bottom"/>
          </w:tcPr>
          <w:p>
            <w:pPr>
              <w:spacing w:after="0"/>
              <w:rPr>
                <w:sz w:val="10"/>
                <w:szCs w:val="10"/>
                <w:color w:val="auto"/>
              </w:rPr>
            </w:pPr>
          </w:p>
        </w:tc>
        <w:tc>
          <w:tcPr>
            <w:tcW w:w="4180" w:type="dxa"/>
            <w:vAlign w:val="bottom"/>
            <w:gridSpan w:val="2"/>
          </w:tcPr>
          <w:p>
            <w:pPr>
              <w:spacing w:after="0" w:line="123" w:lineRule="exact"/>
              <w:rPr>
                <w:sz w:val="20"/>
                <w:szCs w:val="20"/>
                <w:color w:val="auto"/>
              </w:rPr>
            </w:pPr>
            <w:r>
              <w:rPr>
                <w:rFonts w:ascii="Arial" w:cs="Arial" w:eastAsia="Arial" w:hAnsi="Arial"/>
                <w:sz w:val="11"/>
                <w:szCs w:val="11"/>
                <w:color w:val="auto"/>
              </w:rPr>
              <w:t>(in millions)</w:t>
            </w:r>
          </w:p>
        </w:tc>
        <w:tc>
          <w:tcPr>
            <w:tcW w:w="300" w:type="dxa"/>
            <w:vAlign w:val="bottom"/>
          </w:tcPr>
          <w:p>
            <w:pPr>
              <w:spacing w:after="0"/>
              <w:rPr>
                <w:sz w:val="10"/>
                <w:szCs w:val="10"/>
                <w:color w:val="auto"/>
              </w:rPr>
            </w:pPr>
          </w:p>
        </w:tc>
        <w:tc>
          <w:tcPr>
            <w:tcW w:w="1020" w:type="dxa"/>
            <w:vAlign w:val="bottom"/>
          </w:tcPr>
          <w:p>
            <w:pPr>
              <w:jc w:val="right"/>
              <w:ind w:right="484"/>
              <w:spacing w:after="0" w:line="123" w:lineRule="exact"/>
              <w:rPr>
                <w:sz w:val="20"/>
                <w:szCs w:val="20"/>
                <w:color w:val="auto"/>
              </w:rPr>
            </w:pPr>
            <w:r>
              <w:rPr>
                <w:rFonts w:ascii="Arial" w:cs="Arial" w:eastAsia="Arial" w:hAnsi="Arial"/>
                <w:sz w:val="11"/>
                <w:szCs w:val="11"/>
                <w:color w:val="auto"/>
              </w:rPr>
              <w:t>2023</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00" w:type="dxa"/>
            <w:vAlign w:val="bottom"/>
          </w:tcPr>
          <w:p>
            <w:pPr>
              <w:jc w:val="right"/>
              <w:ind w:right="504"/>
              <w:spacing w:after="0" w:line="123" w:lineRule="exact"/>
              <w:rPr>
                <w:sz w:val="20"/>
                <w:szCs w:val="20"/>
                <w:color w:val="auto"/>
              </w:rPr>
            </w:pPr>
            <w:r>
              <w:rPr>
                <w:rFonts w:ascii="Arial" w:cs="Arial" w:eastAsia="Arial" w:hAnsi="Arial"/>
                <w:sz w:val="11"/>
                <w:szCs w:val="11"/>
                <w:color w:val="auto"/>
              </w:rPr>
              <w:t>2022</w:t>
            </w: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tcPr>
          <w:p>
            <w:pPr>
              <w:jc w:val="right"/>
              <w:ind w:right="484"/>
              <w:spacing w:after="0" w:line="123" w:lineRule="exact"/>
              <w:rPr>
                <w:sz w:val="20"/>
                <w:szCs w:val="20"/>
                <w:color w:val="auto"/>
              </w:rPr>
            </w:pPr>
            <w:r>
              <w:rPr>
                <w:rFonts w:ascii="Arial" w:cs="Arial" w:eastAsia="Arial" w:hAnsi="Arial"/>
                <w:sz w:val="11"/>
                <w:szCs w:val="11"/>
                <w:color w:val="auto"/>
              </w:rPr>
              <w:t>2021</w:t>
            </w:r>
          </w:p>
        </w:tc>
        <w:tc>
          <w:tcPr>
            <w:tcW w:w="100" w:type="dxa"/>
            <w:vAlign w:val="bottom"/>
          </w:tcPr>
          <w:p>
            <w:pPr>
              <w:spacing w:after="0"/>
              <w:rPr>
                <w:sz w:val="10"/>
                <w:szCs w:val="10"/>
                <w:color w:val="auto"/>
              </w:rPr>
            </w:pPr>
          </w:p>
        </w:tc>
        <w:tc>
          <w:tcPr>
            <w:tcW w:w="820" w:type="dxa"/>
            <w:vAlign w:val="bottom"/>
          </w:tcPr>
          <w:p>
            <w:pPr>
              <w:jc w:val="right"/>
              <w:spacing w:after="0" w:line="123" w:lineRule="exact"/>
              <w:rPr>
                <w:sz w:val="20"/>
                <w:szCs w:val="20"/>
                <w:color w:val="auto"/>
              </w:rPr>
            </w:pPr>
            <w:r>
              <w:rPr>
                <w:rFonts w:ascii="Arial" w:cs="Arial" w:eastAsia="Arial" w:hAnsi="Arial"/>
                <w:sz w:val="11"/>
                <w:szCs w:val="11"/>
                <w:color w:val="auto"/>
              </w:rPr>
              <w:t>2023</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40" w:type="dxa"/>
            <w:vAlign w:val="bottom"/>
          </w:tcPr>
          <w:p>
            <w:pPr>
              <w:jc w:val="right"/>
              <w:ind w:right="504"/>
              <w:spacing w:after="0" w:line="123" w:lineRule="exact"/>
              <w:rPr>
                <w:sz w:val="20"/>
                <w:szCs w:val="20"/>
                <w:color w:val="auto"/>
              </w:rPr>
            </w:pPr>
            <w:r>
              <w:rPr>
                <w:rFonts w:ascii="Arial" w:cs="Arial" w:eastAsia="Arial" w:hAnsi="Arial"/>
                <w:sz w:val="11"/>
                <w:szCs w:val="1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United States</w:t>
            </w: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3,328</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3,473</w:t>
            </w:r>
          </w:p>
        </w:tc>
        <w:tc>
          <w:tcPr>
            <w:tcW w:w="80" w:type="dxa"/>
            <w:vAlign w:val="bottom"/>
            <w:shd w:val="clear" w:color="auto" w:fill="CCEEFF"/>
          </w:tcPr>
          <w:p>
            <w:pPr>
              <w:spacing w:after="0"/>
              <w:rPr>
                <w:sz w:val="11"/>
                <w:szCs w:val="11"/>
                <w:color w:val="auto"/>
              </w:rPr>
            </w:pPr>
          </w:p>
        </w:tc>
        <w:tc>
          <w:tcPr>
            <w:tcW w:w="320" w:type="dxa"/>
            <w:vAlign w:val="bottom"/>
            <w:shd w:val="clear" w:color="auto" w:fill="CCEEFF"/>
          </w:tcPr>
          <w:p>
            <w:pPr>
              <w:jc w:val="right"/>
              <w:ind w:right="184"/>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3,712</w:t>
            </w: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jc w:val="right"/>
              <w:ind w:right="708"/>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480</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ind w:right="364"/>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638</w:t>
            </w:r>
          </w:p>
        </w:tc>
      </w:tr>
      <w:tr>
        <w:trPr>
          <w:trHeight w:val="152"/>
        </w:trPr>
        <w:tc>
          <w:tcPr>
            <w:tcW w:w="20" w:type="dxa"/>
            <w:vAlign w:val="bottom"/>
          </w:tcPr>
          <w:p>
            <w:pPr>
              <w:spacing w:after="0"/>
              <w:rPr>
                <w:sz w:val="13"/>
                <w:szCs w:val="13"/>
                <w:color w:val="auto"/>
              </w:rPr>
            </w:pPr>
          </w:p>
        </w:tc>
        <w:tc>
          <w:tcPr>
            <w:tcW w:w="4180" w:type="dxa"/>
            <w:vAlign w:val="bottom"/>
            <w:gridSpan w:val="2"/>
          </w:tcPr>
          <w:p>
            <w:pPr>
              <w:spacing w:after="0"/>
              <w:rPr>
                <w:sz w:val="20"/>
                <w:szCs w:val="20"/>
                <w:color w:val="auto"/>
              </w:rPr>
            </w:pPr>
            <w:r>
              <w:rPr>
                <w:rFonts w:ascii="Arial" w:cs="Arial" w:eastAsia="Arial" w:hAnsi="Arial"/>
                <w:sz w:val="11"/>
                <w:szCs w:val="11"/>
                <w:color w:val="auto"/>
              </w:rPr>
              <w:t>Europe</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314</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Arial" w:cs="Arial" w:eastAsia="Arial" w:hAnsi="Arial"/>
                <w:sz w:val="11"/>
                <w:szCs w:val="11"/>
                <w:color w:val="auto"/>
              </w:rPr>
              <w:t>328</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4"/>
              <w:spacing w:after="0"/>
              <w:rPr>
                <w:sz w:val="20"/>
                <w:szCs w:val="20"/>
                <w:color w:val="auto"/>
              </w:rPr>
            </w:pPr>
            <w:r>
              <w:rPr>
                <w:rFonts w:ascii="Arial" w:cs="Arial" w:eastAsia="Arial" w:hAnsi="Arial"/>
                <w:sz w:val="11"/>
                <w:szCs w:val="11"/>
                <w:color w:val="auto"/>
              </w:rPr>
              <w:t>368</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1"/>
                <w:szCs w:val="11"/>
                <w:color w:val="auto"/>
              </w:rPr>
              <w:t>34</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jc w:val="right"/>
              <w:ind w:right="4"/>
              <w:spacing w:after="0"/>
              <w:rPr>
                <w:sz w:val="20"/>
                <w:szCs w:val="20"/>
                <w:color w:val="auto"/>
              </w:rPr>
            </w:pPr>
            <w:r>
              <w:rPr>
                <w:rFonts w:ascii="Arial" w:cs="Arial" w:eastAsia="Arial" w:hAnsi="Arial"/>
                <w:sz w:val="11"/>
                <w:szCs w:val="11"/>
                <w:color w:val="auto"/>
              </w:rPr>
              <w:t>39</w:t>
            </w:r>
          </w:p>
        </w:tc>
      </w:tr>
      <w:tr>
        <w:trPr>
          <w:trHeight w:val="156"/>
        </w:trPr>
        <w:tc>
          <w:tcPr>
            <w:tcW w:w="20" w:type="dxa"/>
            <w:vAlign w:val="bottom"/>
            <w:shd w:val="clear" w:color="auto" w:fill="CCEEFF"/>
          </w:tcPr>
          <w:p>
            <w:pPr>
              <w:spacing w:after="0"/>
              <w:rPr>
                <w:sz w:val="13"/>
                <w:szCs w:val="13"/>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 areas</w:t>
            </w:r>
          </w:p>
        </w:tc>
        <w:tc>
          <w:tcPr>
            <w:tcW w:w="3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80</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57</w:t>
            </w:r>
          </w:p>
        </w:tc>
        <w:tc>
          <w:tcPr>
            <w:tcW w:w="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60</w:t>
            </w:r>
          </w:p>
        </w:tc>
        <w:tc>
          <w:tcPr>
            <w:tcW w:w="10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109</w:t>
            </w:r>
          </w:p>
        </w:tc>
        <w:tc>
          <w:tcPr>
            <w:tcW w:w="100" w:type="dxa"/>
            <w:vAlign w:val="bottom"/>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86</w:t>
            </w:r>
          </w:p>
        </w:tc>
      </w:tr>
      <w:tr>
        <w:trPr>
          <w:trHeight w:val="151"/>
        </w:trPr>
        <w:tc>
          <w:tcPr>
            <w:tcW w:w="20" w:type="dxa"/>
            <w:vAlign w:val="bottom"/>
          </w:tcPr>
          <w:p>
            <w:pPr>
              <w:spacing w:after="0"/>
              <w:rPr>
                <w:sz w:val="13"/>
                <w:szCs w:val="13"/>
                <w:color w:val="auto"/>
              </w:rPr>
            </w:pPr>
          </w:p>
        </w:tc>
        <w:tc>
          <w:tcPr>
            <w:tcW w:w="4180" w:type="dxa"/>
            <w:vAlign w:val="bottom"/>
            <w:gridSpan w:val="2"/>
          </w:tcPr>
          <w:p>
            <w:pPr>
              <w:spacing w:after="0"/>
              <w:rPr>
                <w:sz w:val="20"/>
                <w:szCs w:val="20"/>
                <w:color w:val="auto"/>
              </w:rPr>
            </w:pPr>
            <w:r>
              <w:rPr>
                <w:rFonts w:ascii="Arial" w:cs="Arial" w:eastAsia="Arial" w:hAnsi="Arial"/>
                <w:sz w:val="11"/>
                <w:szCs w:val="11"/>
                <w:b w:val="1"/>
                <w:bCs w:val="1"/>
                <w:color w:val="auto"/>
              </w:rPr>
              <w:t>Total Revenues and Long-Lived Assets</w:t>
            </w: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3,722</w:t>
            </w:r>
          </w:p>
        </w:tc>
        <w:tc>
          <w:tcPr>
            <w:tcW w:w="100" w:type="dxa"/>
            <w:vAlign w:val="bottom"/>
          </w:tcPr>
          <w:p>
            <w:pPr>
              <w:spacing w:after="0"/>
              <w:rPr>
                <w:sz w:val="13"/>
                <w:szCs w:val="13"/>
                <w:color w:val="auto"/>
              </w:rPr>
            </w:pP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3,858</w:t>
            </w:r>
          </w:p>
        </w:tc>
        <w:tc>
          <w:tcPr>
            <w:tcW w:w="80" w:type="dxa"/>
            <w:vAlign w:val="bottom"/>
          </w:tcPr>
          <w:p>
            <w:pPr>
              <w:spacing w:after="0"/>
              <w:rPr>
                <w:sz w:val="13"/>
                <w:szCs w:val="13"/>
                <w:color w:val="auto"/>
              </w:rPr>
            </w:pPr>
          </w:p>
        </w:tc>
        <w:tc>
          <w:tcPr>
            <w:tcW w:w="320" w:type="dxa"/>
            <w:vAlign w:val="bottom"/>
            <w:tcBorders>
              <w:bottom w:val="single" w:sz="8" w:color="auto"/>
            </w:tcBorders>
          </w:tcPr>
          <w:p>
            <w:pPr>
              <w:jc w:val="right"/>
              <w:ind w:right="184"/>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4,140</w:t>
            </w:r>
          </w:p>
        </w:tc>
        <w:tc>
          <w:tcPr>
            <w:tcW w:w="100" w:type="dxa"/>
            <w:vAlign w:val="bottom"/>
          </w:tcPr>
          <w:p>
            <w:pPr>
              <w:spacing w:after="0"/>
              <w:rPr>
                <w:sz w:val="13"/>
                <w:szCs w:val="13"/>
                <w:color w:val="auto"/>
              </w:rPr>
            </w:pPr>
          </w:p>
        </w:tc>
        <w:tc>
          <w:tcPr>
            <w:tcW w:w="820" w:type="dxa"/>
            <w:vAlign w:val="bottom"/>
            <w:tcBorders>
              <w:bottom w:val="single" w:sz="8" w:color="auto"/>
            </w:tcBorders>
          </w:tcPr>
          <w:p>
            <w:pPr>
              <w:jc w:val="right"/>
              <w:ind w:right="708"/>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623</w:t>
            </w:r>
          </w:p>
        </w:tc>
        <w:tc>
          <w:tcPr>
            <w:tcW w:w="100" w:type="dxa"/>
            <w:vAlign w:val="bottom"/>
          </w:tcPr>
          <w:p>
            <w:pPr>
              <w:spacing w:after="0"/>
              <w:rPr>
                <w:sz w:val="13"/>
                <w:szCs w:val="13"/>
                <w:color w:val="auto"/>
              </w:rPr>
            </w:pPr>
          </w:p>
        </w:tc>
        <w:tc>
          <w:tcPr>
            <w:tcW w:w="500" w:type="dxa"/>
            <w:vAlign w:val="bottom"/>
            <w:tcBorders>
              <w:bottom w:val="single" w:sz="8" w:color="auto"/>
            </w:tcBorders>
          </w:tcPr>
          <w:p>
            <w:pPr>
              <w:jc w:val="right"/>
              <w:ind w:right="364"/>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763</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51"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i w:val="1"/>
          <w:iCs w:val="1"/>
          <w:color w:val="auto"/>
        </w:rPr>
        <w:t>(1)</w:t>
        <w:tab/>
        <w:t>Long-lived assets are comprised of (i) Land, buildings and equipment, net, (ii) Internal use software, net, (iii) Product software, net and (iv) Operating lease right-of-use assets.</w:t>
      </w:r>
    </w:p>
    <w:p>
      <w:pPr>
        <w:spacing w:after="0" w:line="200" w:lineRule="exact"/>
        <w:rPr>
          <w:sz w:val="20"/>
          <w:szCs w:val="20"/>
          <w:color w:val="auto"/>
        </w:rPr>
      </w:pPr>
    </w:p>
    <w:p>
      <w:pPr>
        <w:spacing w:after="0" w:line="37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70" w:name="page71"/>
    <w:bookmarkEnd w:id="70"/>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4 – Assets/Liabilities Held for Sale and Divestitures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Assets/Liabilities Held for Sale</w:t>
      </w:r>
    </w:p>
    <w:p>
      <w:pPr>
        <w:spacing w:after="0" w:line="131" w:lineRule="exact"/>
        <w:rPr>
          <w:sz w:val="20"/>
          <w:szCs w:val="20"/>
          <w:color w:val="auto"/>
        </w:rPr>
      </w:pPr>
    </w:p>
    <w:p>
      <w:pPr>
        <w:ind w:right="420"/>
        <w:spacing w:after="0" w:line="265" w:lineRule="auto"/>
        <w:rPr>
          <w:sz w:val="20"/>
          <w:szCs w:val="20"/>
          <w:color w:val="auto"/>
        </w:rPr>
      </w:pPr>
      <w:r>
        <w:rPr>
          <w:rFonts w:ascii="Arial" w:cs="Arial" w:eastAsia="Arial" w:hAnsi="Arial"/>
          <w:sz w:val="13"/>
          <w:szCs w:val="13"/>
          <w:color w:val="auto"/>
        </w:rPr>
        <w:t>In December 2023, the Company signed a definitive agreement to sell its Curbside Management and Public Safety Solutions businesses for $230 million (plus the assumption of certain indebtedness), subject to customary purchase price adjustments. The sale is expected to close in the first half of 2024 and is subject to the s</w:t>
      </w:r>
      <w:r>
        <w:rPr>
          <w:rFonts w:ascii="Calibri" w:cs="Calibri" w:eastAsia="Calibri" w:hAnsi="Calibri"/>
          <w:sz w:val="14"/>
          <w:szCs w:val="14"/>
          <w:color w:val="auto"/>
        </w:rPr>
        <w:t>atsfacton</w:t>
      </w:r>
      <w:r>
        <w:rPr>
          <w:rFonts w:ascii="Arial" w:cs="Arial" w:eastAsia="Arial" w:hAnsi="Arial"/>
          <w:sz w:val="13"/>
          <w:szCs w:val="13"/>
          <w:color w:val="auto"/>
        </w:rPr>
        <w:t xml:space="preserve"> certain customary</w:t>
      </w:r>
    </w:p>
    <w:p>
      <w:pPr>
        <w:ind w:right="200"/>
        <w:spacing w:after="0" w:line="259" w:lineRule="auto"/>
        <w:rPr>
          <w:sz w:val="20"/>
          <w:szCs w:val="20"/>
          <w:color w:val="auto"/>
        </w:rPr>
      </w:pPr>
      <w:r>
        <w:rPr>
          <w:rFonts w:ascii="Arial" w:cs="Arial" w:eastAsia="Arial" w:hAnsi="Arial"/>
          <w:sz w:val="14"/>
          <w:szCs w:val="14"/>
          <w:color w:val="auto"/>
        </w:rPr>
        <w:t>closing conditions. The assets and liabilities of these businesses, collectively referred to as the Disposal Group, have been reclassified as held for sale and measured at the lower of carrying value or fair value less costs to sell. The Disposal Group is currently reported in the Transportation segment. The Disposal Group generated revenue of $134 million, $146 million and $149 million for the years ended December 31, 2023, 2022 and 2021, respectively. The pre-tax profit of the Disposal Group, excluding unallocated costs, was $22 million, $36 million and $54 million for the years ended December 31, 2023, 2022 and 2021, respectively.</w:t>
      </w:r>
    </w:p>
    <w:p>
      <w:pPr>
        <w:sectPr>
          <w:pgSz w:w="11900" w:h="16838" w:orient="portrait"/>
          <w:cols w:equalWidth="0" w:num="1">
            <w:col w:w="11280"/>
          </w:cols>
          <w:pgMar w:left="300" w:top="156" w:right="319" w:bottom="1440" w:gutter="0" w:footer="0" w:header="0"/>
        </w:sectPr>
      </w:pP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is a summary of the major categories of assets and liabilities that have been reclassified as held for sale:</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1"/>
          <w:szCs w:val="11"/>
          <w:u w:val="single" w:color="auto"/>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63435" cy="1060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3435" cy="10604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1"/>
          <w:szCs w:val="11"/>
          <w:color w:val="auto"/>
        </w:rPr>
        <w:t>Accounts Receivable, net</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1"/>
          <w:szCs w:val="11"/>
          <w:color w:val="auto"/>
        </w:rPr>
        <w:t>Other 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63435" cy="990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3435" cy="9906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1"/>
          <w:szCs w:val="11"/>
          <w:color w:val="auto"/>
        </w:rPr>
        <w:t>Land, building and equipment, net</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1"/>
          <w:szCs w:val="11"/>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63435" cy="990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3435" cy="9906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1"/>
          <w:szCs w:val="11"/>
          <w:color w:val="auto"/>
        </w:rPr>
        <w:t>Goodwill</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1"/>
          <w:szCs w:val="11"/>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63435" cy="1193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3435" cy="119380"/>
                    </a:xfrm>
                    <a:prstGeom prst="rect">
                      <a:avLst/>
                    </a:prstGeom>
                    <a:noFill/>
                  </pic:spPr>
                </pic:pic>
              </a:graphicData>
            </a:graphic>
          </wp:anchor>
        </w:drawing>
      </w:r>
    </w:p>
    <w:p>
      <w:pPr>
        <w:spacing w:after="0" w:line="41"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Total Assets held for sale</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1"/>
          <w:szCs w:val="11"/>
          <w:color w:val="auto"/>
        </w:rPr>
        <w:t>Current portion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63435" cy="990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3435" cy="9906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1"/>
          <w:szCs w:val="11"/>
          <w:color w:val="auto"/>
        </w:rPr>
        <w:t>Accounts payable</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1"/>
          <w:szCs w:val="11"/>
          <w:color w:val="auto"/>
        </w:rPr>
        <w:t>Accrued compensation and benefits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63435" cy="990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3435" cy="9906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1"/>
          <w:szCs w:val="11"/>
          <w:color w:val="auto"/>
        </w:rPr>
        <w:t>Unearned income</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1"/>
          <w:szCs w:val="11"/>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63435" cy="990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3435" cy="9906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1"/>
          <w:szCs w:val="11"/>
          <w:color w:val="auto"/>
        </w:rPr>
        <w:t>Long-term debt</w:t>
      </w:r>
    </w:p>
    <w:p>
      <w:pPr>
        <w:spacing w:after="0" w:line="30" w:lineRule="exact"/>
        <w:rPr>
          <w:sz w:val="20"/>
          <w:szCs w:val="20"/>
          <w:color w:val="auto"/>
        </w:rPr>
      </w:pPr>
    </w:p>
    <w:p>
      <w:pPr>
        <w:ind w:left="20"/>
        <w:spacing w:after="0"/>
        <w:rPr>
          <w:sz w:val="20"/>
          <w:szCs w:val="20"/>
          <w:color w:val="auto"/>
        </w:rPr>
      </w:pPr>
      <w:r>
        <w:rPr>
          <w:rFonts w:ascii="Arial" w:cs="Arial" w:eastAsia="Arial" w:hAnsi="Arial"/>
          <w:sz w:val="11"/>
          <w:szCs w:val="11"/>
          <w:color w:val="auto"/>
        </w:rPr>
        <w:t>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7163435" cy="990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3435" cy="9906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Arial" w:cs="Arial" w:eastAsia="Arial" w:hAnsi="Arial"/>
          <w:sz w:val="11"/>
          <w:szCs w:val="11"/>
          <w:color w:val="auto"/>
        </w:rPr>
        <w:t>Other long-term liabilities</w:t>
      </w:r>
    </w:p>
    <w:p>
      <w:pPr>
        <w:spacing w:after="0" w:line="61"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auto"/>
        </w:rPr>
        <w:t>Total Liabilities held for sale</w:t>
      </w:r>
    </w:p>
    <w:p>
      <w:pPr>
        <w:spacing w:after="0" w:line="20" w:lineRule="exact"/>
        <w:rPr>
          <w:sz w:val="20"/>
          <w:szCs w:val="20"/>
          <w:color w:val="auto"/>
        </w:rPr>
      </w:pPr>
      <w:r>
        <w:rPr>
          <w:sz w:val="20"/>
          <w:szCs w:val="20"/>
          <w:color w:val="auto"/>
        </w:rPr>
        <w:br w:type="column"/>
      </w:r>
    </w:p>
    <w:p>
      <w:pPr>
        <w:spacing w:after="0" w:line="2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24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tcPr>
          <w:p>
            <w:pPr>
              <w:jc w:val="right"/>
              <w:ind w:right="344"/>
              <w:spacing w:after="0"/>
              <w:rPr>
                <w:sz w:val="20"/>
                <w:szCs w:val="20"/>
                <w:color w:val="auto"/>
              </w:rPr>
            </w:pPr>
            <w:r>
              <w:rPr>
                <w:rFonts w:ascii="Arial" w:cs="Arial" w:eastAsia="Arial" w:hAnsi="Arial"/>
                <w:sz w:val="11"/>
                <w:szCs w:val="11"/>
                <w:color w:val="auto"/>
              </w:rPr>
              <w:t>December 31, 2023</w:t>
            </w:r>
          </w:p>
        </w:tc>
      </w:tr>
      <w:tr>
        <w:trPr>
          <w:trHeight w:val="143"/>
        </w:trPr>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1540" w:type="dxa"/>
            <w:vAlign w:val="bottom"/>
          </w:tcPr>
          <w:p>
            <w:pPr>
              <w:jc w:val="right"/>
              <w:spacing w:after="0"/>
              <w:rPr>
                <w:sz w:val="20"/>
                <w:szCs w:val="20"/>
                <w:color w:val="auto"/>
              </w:rPr>
            </w:pPr>
            <w:r>
              <w:rPr>
                <w:rFonts w:ascii="Arial" w:cs="Arial" w:eastAsia="Arial" w:hAnsi="Arial"/>
                <w:sz w:val="11"/>
                <w:szCs w:val="11"/>
                <w:color w:val="auto"/>
              </w:rPr>
              <w:t>49</w:t>
            </w:r>
          </w:p>
        </w:tc>
      </w:tr>
      <w:tr>
        <w:trPr>
          <w:trHeight w:val="156"/>
        </w:trPr>
        <w:tc>
          <w:tcPr>
            <w:tcW w:w="2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3</w:t>
            </w:r>
          </w:p>
        </w:tc>
      </w:tr>
      <w:tr>
        <w:trPr>
          <w:trHeight w:val="156"/>
        </w:trPr>
        <w:tc>
          <w:tcPr>
            <w:tcW w:w="2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52</w:t>
            </w:r>
          </w:p>
        </w:tc>
      </w:tr>
      <w:tr>
        <w:trPr>
          <w:trHeight w:val="156"/>
        </w:trPr>
        <w:tc>
          <w:tcPr>
            <w:tcW w:w="2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6</w:t>
            </w:r>
          </w:p>
        </w:tc>
      </w:tr>
      <w:tr>
        <w:trPr>
          <w:trHeight w:val="156"/>
        </w:trPr>
        <w:tc>
          <w:tcPr>
            <w:tcW w:w="2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35</w:t>
            </w:r>
          </w:p>
        </w:tc>
      </w:tr>
      <w:tr>
        <w:trPr>
          <w:trHeight w:val="160"/>
        </w:trPr>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w:t>
            </w:r>
          </w:p>
        </w:tc>
      </w:tr>
      <w:tr>
        <w:trPr>
          <w:trHeight w:val="147"/>
        </w:trPr>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180</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134"/>
        </w:trPr>
        <w:tc>
          <w:tcPr>
            <w:tcW w:w="240" w:type="dxa"/>
            <w:vAlign w:val="bottom"/>
          </w:tcPr>
          <w:p>
            <w:pPr>
              <w:jc w:val="right"/>
              <w:ind w:right="104"/>
              <w:spacing w:after="0"/>
              <w:rPr>
                <w:sz w:val="20"/>
                <w:szCs w:val="20"/>
                <w:color w:val="auto"/>
              </w:rPr>
            </w:pPr>
            <w:r>
              <w:rPr>
                <w:rFonts w:ascii="Arial" w:cs="Arial" w:eastAsia="Arial" w:hAnsi="Arial"/>
                <w:sz w:val="11"/>
                <w:szCs w:val="11"/>
                <w:color w:val="auto"/>
                <w:w w:val="97"/>
              </w:rPr>
              <w:t>$</w:t>
            </w:r>
          </w:p>
        </w:tc>
        <w:tc>
          <w:tcPr>
            <w:tcW w:w="1540" w:type="dxa"/>
            <w:vAlign w:val="bottom"/>
          </w:tcPr>
          <w:p>
            <w:pPr>
              <w:jc w:val="right"/>
              <w:spacing w:after="0"/>
              <w:rPr>
                <w:sz w:val="20"/>
                <w:szCs w:val="20"/>
                <w:color w:val="auto"/>
              </w:rPr>
            </w:pPr>
            <w:r>
              <w:rPr>
                <w:rFonts w:ascii="Arial" w:cs="Arial" w:eastAsia="Arial" w:hAnsi="Arial"/>
                <w:sz w:val="11"/>
                <w:szCs w:val="11"/>
                <w:color w:val="auto"/>
              </w:rPr>
              <w:t>5</w:t>
            </w:r>
          </w:p>
        </w:tc>
      </w:tr>
      <w:tr>
        <w:trPr>
          <w:trHeight w:val="156"/>
        </w:trPr>
        <w:tc>
          <w:tcPr>
            <w:tcW w:w="2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11</w:t>
            </w:r>
          </w:p>
        </w:tc>
      </w:tr>
      <w:tr>
        <w:trPr>
          <w:trHeight w:val="156"/>
        </w:trPr>
        <w:tc>
          <w:tcPr>
            <w:tcW w:w="2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2</w:t>
            </w:r>
          </w:p>
        </w:tc>
      </w:tr>
      <w:tr>
        <w:trPr>
          <w:trHeight w:val="156"/>
        </w:trPr>
        <w:tc>
          <w:tcPr>
            <w:tcW w:w="2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4</w:t>
            </w:r>
          </w:p>
        </w:tc>
      </w:tr>
      <w:tr>
        <w:trPr>
          <w:trHeight w:val="156"/>
        </w:trPr>
        <w:tc>
          <w:tcPr>
            <w:tcW w:w="2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9</w:t>
            </w:r>
          </w:p>
        </w:tc>
      </w:tr>
      <w:tr>
        <w:trPr>
          <w:trHeight w:val="156"/>
        </w:trPr>
        <w:tc>
          <w:tcPr>
            <w:tcW w:w="2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19</w:t>
            </w:r>
          </w:p>
        </w:tc>
      </w:tr>
      <w:tr>
        <w:trPr>
          <w:trHeight w:val="156"/>
        </w:trPr>
        <w:tc>
          <w:tcPr>
            <w:tcW w:w="24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color w:val="auto"/>
              </w:rPr>
              <w:t>4</w:t>
            </w:r>
          </w:p>
        </w:tc>
      </w:tr>
      <w:tr>
        <w:trPr>
          <w:trHeight w:val="160"/>
        </w:trPr>
        <w:tc>
          <w:tcPr>
            <w:tcW w:w="2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w:t>
            </w:r>
          </w:p>
        </w:tc>
      </w:tr>
      <w:tr>
        <w:trPr>
          <w:trHeight w:val="147"/>
        </w:trPr>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73" w:lineRule="exact"/>
        <w:rPr>
          <w:sz w:val="20"/>
          <w:szCs w:val="20"/>
          <w:color w:val="auto"/>
        </w:rPr>
      </w:pPr>
    </w:p>
    <w:p>
      <w:pPr>
        <w:sectPr>
          <w:pgSz w:w="11900" w:h="16838" w:orient="portrait"/>
          <w:cols w:equalWidth="0" w:num="2">
            <w:col w:w="8780" w:space="720"/>
            <w:col w:w="1780"/>
          </w:cols>
          <w:pgMar w:left="300" w:top="156" w:right="319" w:bottom="1440" w:gutter="0" w:footer="0" w:header="0"/>
          <w:type w:val="continuous"/>
        </w:sectPr>
      </w:pPr>
    </w:p>
    <w:p>
      <w:pPr>
        <w:spacing w:after="0"/>
        <w:rPr>
          <w:sz w:val="20"/>
          <w:szCs w:val="20"/>
          <w:color w:val="auto"/>
        </w:rPr>
      </w:pPr>
      <w:r>
        <w:rPr>
          <w:rFonts w:ascii="Arial" w:cs="Arial" w:eastAsia="Arial" w:hAnsi="Arial"/>
          <w:sz w:val="14"/>
          <w:szCs w:val="14"/>
          <w:b w:val="1"/>
          <w:bCs w:val="1"/>
          <w:color w:val="auto"/>
        </w:rPr>
        <w:t>Announced Transfer of BenefitWallet Portfolio</w:t>
      </w:r>
    </w:p>
    <w:p>
      <w:pPr>
        <w:spacing w:after="0" w:line="131" w:lineRule="exact"/>
        <w:rPr>
          <w:sz w:val="20"/>
          <w:szCs w:val="20"/>
          <w:color w:val="auto"/>
        </w:rPr>
      </w:pPr>
    </w:p>
    <w:p>
      <w:pPr>
        <w:ind w:right="180"/>
        <w:spacing w:after="0" w:line="254" w:lineRule="auto"/>
        <w:rPr>
          <w:sz w:val="20"/>
          <w:szCs w:val="20"/>
          <w:color w:val="auto"/>
        </w:rPr>
      </w:pPr>
      <w:r>
        <w:rPr>
          <w:rFonts w:ascii="Arial" w:cs="Arial" w:eastAsia="Arial" w:hAnsi="Arial"/>
          <w:sz w:val="14"/>
          <w:szCs w:val="14"/>
          <w:color w:val="auto"/>
        </w:rPr>
        <w:t>In September 2023, the Company entered into a Custodial Transfer and Asset Purchase Agreement to transfer its BenefitWallet health savings account and medical savings account portfolio (collectively, the "Portfolio") to HealthEquity, Inc. ("HealthEquity") for $ 425 million, subject to customary purchase price adjustments. The Portfolio is reported within the Company's Commercial segment. The transfer is expected to close in multiple tranches during the first half of 2024 and is subject to the satisfaction of certain customary closing conditions. As of December 31, 2023, there were no asset or liability balances related to the Portfolio that would require disclosure as assets and liabilities held for sale on the Company's Consolidated Balance Sheet. The Portfolio generated revenue of $127 million, $71 million and $44 million for the years ended December 31, 2023, 2022 and 2021, respectively. The pre-tax profit of the Portfolio, excluding unallocated costs, was $103 million, $48 million and $16 million for the years ended December 31, 2023, 2022 and 2021,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Completed Divestiture</w:t>
      </w:r>
    </w:p>
    <w:p>
      <w:pPr>
        <w:spacing w:after="0" w:line="131"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On February 8, 2022, the Company completed the sale of its Midas business to Symplr Software, Inc. The Company received $322 million of cash consideration for this divestiture. The divestiture generated a pre-tax gain of $166 million, which is included in (Gain) loss on divestitures and transaction costs, net. The Company recorded approximately $62 million of income taxes in connection with the divestiture. The revenue generated by this</w:t>
      </w:r>
    </w:p>
    <w:p>
      <w:pPr>
        <w:spacing w:after="0" w:line="200" w:lineRule="exact"/>
        <w:rPr>
          <w:sz w:val="20"/>
          <w:szCs w:val="20"/>
          <w:color w:val="auto"/>
        </w:rPr>
      </w:pPr>
    </w:p>
    <w:p>
      <w:pPr>
        <w:spacing w:after="0" w:line="246"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type w:val="continuous"/>
        </w:sectPr>
      </w:pPr>
    </w:p>
    <w:bookmarkStart w:id="71" w:name="page72"/>
    <w:bookmarkEnd w:id="71"/>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business was $— million, $7 million and $70 million for the years ended December 31, 2023, 2022 and 2021,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5 – Accounts Receivable, Net</w:t>
      </w:r>
    </w:p>
    <w:p>
      <w:pPr>
        <w:spacing w:after="0" w:line="123" w:lineRule="exact"/>
        <w:rPr>
          <w:sz w:val="20"/>
          <w:szCs w:val="20"/>
          <w:color w:val="auto"/>
        </w:rPr>
      </w:pPr>
    </w:p>
    <w:p>
      <w:pPr>
        <w:ind w:right="240"/>
        <w:spacing w:after="0" w:line="282" w:lineRule="auto"/>
        <w:rPr>
          <w:sz w:val="20"/>
          <w:szCs w:val="20"/>
          <w:color w:val="auto"/>
        </w:rPr>
      </w:pPr>
      <w:r>
        <w:rPr>
          <w:rFonts w:ascii="Arial" w:cs="Arial" w:eastAsia="Arial" w:hAnsi="Arial"/>
          <w:sz w:val="14"/>
          <w:szCs w:val="14"/>
          <w:color w:val="auto"/>
        </w:rPr>
        <w:t>The Accounts receivable, net balance was $559 million and $630 million at December 31, 2023 and 2022, respectively. There were no allowances for credit losses at December 31, 2023 or 2022.</w:t>
      </w:r>
    </w:p>
    <w:p>
      <w:pPr>
        <w:spacing w:after="0" w:line="80"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The Company enters into factoring agreements in the normal course of business as part of our cash and liquidity management, to sell certain accounts receivable without recourse to third-party financial institutions. These transactions are treated as a sale and are accounted for as a reduction in accounts receivable because the agreement transfers effective control over, and risk related to, the receivables to the buyers. Cash proceeds from this arrangement are included in cash flow from operating activities in the Consolidated Statements of Cash Flows.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Accounts receivable sales for the years ended December 31, 2023 and 2022 were $616 million and $507 million,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6 - Land, Buildings, Equipment and Software, Net</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Land, buildings and equipment, net was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1"/>
                <w:szCs w:val="11"/>
                <w:color w:val="auto"/>
              </w:rPr>
              <w:t>Estimated Useful Lives</w:t>
            </w:r>
          </w:p>
        </w:tc>
        <w:tc>
          <w:tcPr>
            <w:tcW w:w="1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1"/>
                <w:szCs w:val="11"/>
                <w:color w:val="auto"/>
              </w:rPr>
              <w:t>December 31,</w:t>
            </w:r>
          </w:p>
        </w:tc>
        <w:tc>
          <w:tcPr>
            <w:tcW w:w="1040" w:type="dxa"/>
            <w:vAlign w:val="bottom"/>
            <w:tcBorders>
              <w:bottom w:val="single" w:sz="8" w:color="auto"/>
            </w:tcBorders>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6400" w:type="dxa"/>
            <w:vAlign w:val="bottom"/>
            <w:gridSpan w:val="2"/>
          </w:tcPr>
          <w:p>
            <w:pPr>
              <w:spacing w:after="0"/>
              <w:rPr>
                <w:sz w:val="20"/>
                <w:szCs w:val="20"/>
                <w:color w:val="auto"/>
              </w:rPr>
            </w:pPr>
            <w:r>
              <w:rPr>
                <w:rFonts w:ascii="Arial" w:cs="Arial" w:eastAsia="Arial" w:hAnsi="Arial"/>
                <w:sz w:val="10"/>
                <w:szCs w:val="10"/>
                <w:color w:val="auto"/>
              </w:rPr>
              <w:t>(in millions except as noted)</w:t>
            </w:r>
          </w:p>
        </w:tc>
        <w:tc>
          <w:tcPr>
            <w:tcW w:w="1740" w:type="dxa"/>
            <w:vAlign w:val="bottom"/>
            <w:gridSpan w:val="2"/>
          </w:tcPr>
          <w:p>
            <w:pPr>
              <w:jc w:val="center"/>
              <w:ind w:right="100"/>
              <w:spacing w:after="0" w:line="120" w:lineRule="exact"/>
              <w:rPr>
                <w:sz w:val="20"/>
                <w:szCs w:val="20"/>
                <w:color w:val="auto"/>
              </w:rPr>
            </w:pPr>
            <w:r>
              <w:rPr>
                <w:rFonts w:ascii="Arial" w:cs="Arial" w:eastAsia="Arial" w:hAnsi="Arial"/>
                <w:sz w:val="11"/>
                <w:szCs w:val="11"/>
                <w:color w:val="auto"/>
                <w:w w:val="99"/>
              </w:rPr>
              <w:t>(Years)</w:t>
            </w:r>
          </w:p>
        </w:tc>
        <w:tc>
          <w:tcPr>
            <w:tcW w:w="360" w:type="dxa"/>
            <w:vAlign w:val="bottom"/>
          </w:tcPr>
          <w:p>
            <w:pPr>
              <w:spacing w:after="0"/>
              <w:rPr>
                <w:sz w:val="10"/>
                <w:szCs w:val="10"/>
                <w:color w:val="auto"/>
              </w:rPr>
            </w:pPr>
          </w:p>
        </w:tc>
        <w:tc>
          <w:tcPr>
            <w:tcW w:w="1140" w:type="dxa"/>
            <w:vAlign w:val="bottom"/>
          </w:tcPr>
          <w:p>
            <w:pPr>
              <w:jc w:val="right"/>
              <w:ind w:right="564"/>
              <w:spacing w:after="0" w:line="120" w:lineRule="exact"/>
              <w:rPr>
                <w:sz w:val="20"/>
                <w:szCs w:val="20"/>
                <w:color w:val="auto"/>
              </w:rPr>
            </w:pPr>
            <w:r>
              <w:rPr>
                <w:rFonts w:ascii="Arial" w:cs="Arial" w:eastAsia="Arial" w:hAnsi="Arial"/>
                <w:sz w:val="11"/>
                <w:szCs w:val="11"/>
                <w:color w:val="auto"/>
              </w:rPr>
              <w:t>2023</w:t>
            </w: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tcPr>
          <w:p>
            <w:pPr>
              <w:jc w:val="right"/>
              <w:ind w:right="564"/>
              <w:spacing w:after="0" w:line="120" w:lineRule="exact"/>
              <w:rPr>
                <w:sz w:val="20"/>
                <w:szCs w:val="20"/>
                <w:color w:val="auto"/>
              </w:rPr>
            </w:pPr>
            <w:r>
              <w:rPr>
                <w:rFonts w:ascii="Arial" w:cs="Arial" w:eastAsia="Arial" w:hAnsi="Arial"/>
                <w:sz w:val="11"/>
                <w:szCs w:val="1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00" w:type="dxa"/>
            <w:vAlign w:val="bottom"/>
            <w:tcBorders>
              <w:top w:val="single" w:sz="8" w:color="auto"/>
              <w:bottom w:val="single" w:sz="8" w:color="CCEEFF"/>
            </w:tcBorders>
          </w:tcPr>
          <w:p>
            <w:pPr>
              <w:spacing w:after="0" w:line="20" w:lineRule="exact"/>
              <w:rPr>
                <w:sz w:val="1"/>
                <w:szCs w:val="1"/>
                <w:color w:val="auto"/>
              </w:rPr>
            </w:pPr>
          </w:p>
        </w:tc>
        <w:tc>
          <w:tcPr>
            <w:tcW w:w="520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Land</w:t>
            </w:r>
          </w:p>
        </w:tc>
        <w:tc>
          <w:tcPr>
            <w:tcW w:w="1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224"/>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52"/>
        </w:trPr>
        <w:tc>
          <w:tcPr>
            <w:tcW w:w="20" w:type="dxa"/>
            <w:vAlign w:val="bottom"/>
          </w:tcPr>
          <w:p>
            <w:pPr>
              <w:spacing w:after="0"/>
              <w:rPr>
                <w:sz w:val="13"/>
                <w:szCs w:val="13"/>
                <w:color w:val="auto"/>
              </w:rPr>
            </w:pPr>
          </w:p>
        </w:tc>
        <w:tc>
          <w:tcPr>
            <w:tcW w:w="6400" w:type="dxa"/>
            <w:vAlign w:val="bottom"/>
            <w:gridSpan w:val="2"/>
          </w:tcPr>
          <w:p>
            <w:pPr>
              <w:spacing w:after="0"/>
              <w:rPr>
                <w:sz w:val="20"/>
                <w:szCs w:val="20"/>
                <w:color w:val="auto"/>
              </w:rPr>
            </w:pPr>
            <w:r>
              <w:rPr>
                <w:rFonts w:ascii="Arial" w:cs="Arial" w:eastAsia="Arial" w:hAnsi="Arial"/>
                <w:sz w:val="11"/>
                <w:szCs w:val="11"/>
                <w:color w:val="auto"/>
              </w:rPr>
              <w:t>Building and building equipment</w:t>
            </w:r>
          </w:p>
        </w:tc>
        <w:tc>
          <w:tcPr>
            <w:tcW w:w="1740" w:type="dxa"/>
            <w:vAlign w:val="bottom"/>
            <w:gridSpan w:val="2"/>
          </w:tcPr>
          <w:p>
            <w:pPr>
              <w:jc w:val="center"/>
              <w:ind w:right="100"/>
              <w:spacing w:after="0"/>
              <w:rPr>
                <w:sz w:val="20"/>
                <w:szCs w:val="20"/>
                <w:color w:val="auto"/>
              </w:rPr>
            </w:pPr>
            <w:r>
              <w:rPr>
                <w:rFonts w:ascii="Arial" w:cs="Arial" w:eastAsia="Arial" w:hAnsi="Arial"/>
                <w:sz w:val="11"/>
                <w:szCs w:val="11"/>
                <w:color w:val="auto"/>
              </w:rPr>
              <w:t>25 to 50</w:t>
            </w:r>
          </w:p>
        </w:tc>
        <w:tc>
          <w:tcPr>
            <w:tcW w:w="360" w:type="dxa"/>
            <w:vAlign w:val="bottom"/>
          </w:tcPr>
          <w:p>
            <w:pPr>
              <w:spacing w:after="0"/>
              <w:rPr>
                <w:sz w:val="13"/>
                <w:szCs w:val="13"/>
                <w:color w:val="auto"/>
              </w:rPr>
            </w:pPr>
          </w:p>
        </w:tc>
        <w:tc>
          <w:tcPr>
            <w:tcW w:w="1140" w:type="dxa"/>
            <w:vAlign w:val="bottom"/>
          </w:tcPr>
          <w:p>
            <w:pPr>
              <w:jc w:val="right"/>
              <w:ind w:right="4"/>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7</w:t>
            </w:r>
          </w:p>
        </w:tc>
      </w:tr>
      <w:tr>
        <w:trPr>
          <w:trHeight w:val="160"/>
        </w:trPr>
        <w:tc>
          <w:tcPr>
            <w:tcW w:w="20" w:type="dxa"/>
            <w:vAlign w:val="bottom"/>
            <w:shd w:val="clear" w:color="auto" w:fill="CCEEFF"/>
          </w:tcPr>
          <w:p>
            <w:pPr>
              <w:spacing w:after="0"/>
              <w:rPr>
                <w:sz w:val="13"/>
                <w:szCs w:val="13"/>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Leasehold improvements</w:t>
            </w:r>
          </w:p>
        </w:tc>
        <w:tc>
          <w:tcPr>
            <w:tcW w:w="174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color w:val="auto"/>
              </w:rPr>
              <w:t>Varies</w:t>
            </w: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221</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236</w:t>
            </w:r>
          </w:p>
        </w:tc>
      </w:tr>
      <w:tr>
        <w:trPr>
          <w:trHeight w:val="152"/>
        </w:trPr>
        <w:tc>
          <w:tcPr>
            <w:tcW w:w="20" w:type="dxa"/>
            <w:vAlign w:val="bottom"/>
          </w:tcPr>
          <w:p>
            <w:pPr>
              <w:spacing w:after="0"/>
              <w:rPr>
                <w:sz w:val="13"/>
                <w:szCs w:val="13"/>
                <w:color w:val="auto"/>
              </w:rPr>
            </w:pPr>
          </w:p>
        </w:tc>
        <w:tc>
          <w:tcPr>
            <w:tcW w:w="6400" w:type="dxa"/>
            <w:vAlign w:val="bottom"/>
            <w:gridSpan w:val="2"/>
          </w:tcPr>
          <w:p>
            <w:pPr>
              <w:spacing w:after="0"/>
              <w:rPr>
                <w:sz w:val="20"/>
                <w:szCs w:val="20"/>
                <w:color w:val="auto"/>
              </w:rPr>
            </w:pPr>
            <w:r>
              <w:rPr>
                <w:rFonts w:ascii="Arial" w:cs="Arial" w:eastAsia="Arial" w:hAnsi="Arial"/>
                <w:sz w:val="11"/>
                <w:szCs w:val="11"/>
                <w:color w:val="auto"/>
              </w:rPr>
              <w:t>IT, other equipment and office furniture</w:t>
            </w:r>
          </w:p>
        </w:tc>
        <w:tc>
          <w:tcPr>
            <w:tcW w:w="1740" w:type="dxa"/>
            <w:vAlign w:val="bottom"/>
            <w:gridSpan w:val="2"/>
          </w:tcPr>
          <w:p>
            <w:pPr>
              <w:jc w:val="center"/>
              <w:ind w:right="80"/>
              <w:spacing w:after="0"/>
              <w:rPr>
                <w:sz w:val="20"/>
                <w:szCs w:val="20"/>
                <w:color w:val="auto"/>
              </w:rPr>
            </w:pPr>
            <w:r>
              <w:rPr>
                <w:rFonts w:ascii="Arial" w:cs="Arial" w:eastAsia="Arial" w:hAnsi="Arial"/>
                <w:sz w:val="11"/>
                <w:szCs w:val="11"/>
                <w:color w:val="auto"/>
              </w:rPr>
              <w:t>3 to 15</w:t>
            </w:r>
          </w:p>
        </w:tc>
        <w:tc>
          <w:tcPr>
            <w:tcW w:w="360" w:type="dxa"/>
            <w:vAlign w:val="bottom"/>
          </w:tcPr>
          <w:p>
            <w:pPr>
              <w:spacing w:after="0"/>
              <w:rPr>
                <w:sz w:val="13"/>
                <w:szCs w:val="13"/>
                <w:color w:val="auto"/>
              </w:rPr>
            </w:pPr>
          </w:p>
        </w:tc>
        <w:tc>
          <w:tcPr>
            <w:tcW w:w="1140" w:type="dxa"/>
            <w:vAlign w:val="bottom"/>
          </w:tcPr>
          <w:p>
            <w:pPr>
              <w:jc w:val="right"/>
              <w:ind w:right="4"/>
              <w:spacing w:after="0"/>
              <w:rPr>
                <w:sz w:val="20"/>
                <w:szCs w:val="20"/>
                <w:color w:val="auto"/>
              </w:rPr>
            </w:pPr>
            <w:r>
              <w:rPr>
                <w:rFonts w:ascii="Arial" w:cs="Arial" w:eastAsia="Arial" w:hAnsi="Arial"/>
                <w:sz w:val="11"/>
                <w:szCs w:val="11"/>
                <w:color w:val="auto"/>
              </w:rPr>
              <w:t>844</w:t>
            </w: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896</w:t>
            </w:r>
          </w:p>
        </w:tc>
      </w:tr>
      <w:tr>
        <w:trPr>
          <w:trHeight w:val="160"/>
        </w:trPr>
        <w:tc>
          <w:tcPr>
            <w:tcW w:w="20" w:type="dxa"/>
            <w:vAlign w:val="bottom"/>
            <w:shd w:val="clear" w:color="auto" w:fill="CCEEFF"/>
          </w:tcPr>
          <w:p>
            <w:pPr>
              <w:spacing w:after="0"/>
              <w:rPr>
                <w:sz w:val="13"/>
                <w:szCs w:val="13"/>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w:t>
            </w:r>
          </w:p>
        </w:tc>
        <w:tc>
          <w:tcPr>
            <w:tcW w:w="1740" w:type="dxa"/>
            <w:vAlign w:val="bottom"/>
            <w:gridSpan w:val="2"/>
            <w:shd w:val="clear" w:color="auto" w:fill="CCEEFF"/>
          </w:tcPr>
          <w:p>
            <w:pPr>
              <w:jc w:val="center"/>
              <w:ind w:right="80"/>
              <w:spacing w:after="0"/>
              <w:rPr>
                <w:sz w:val="20"/>
                <w:szCs w:val="20"/>
                <w:color w:val="auto"/>
              </w:rPr>
            </w:pPr>
            <w:r>
              <w:rPr>
                <w:rFonts w:ascii="Arial" w:cs="Arial" w:eastAsia="Arial" w:hAnsi="Arial"/>
                <w:sz w:val="11"/>
                <w:szCs w:val="11"/>
                <w:color w:val="auto"/>
              </w:rPr>
              <w:t>4 to 20</w:t>
            </w: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r>
      <w:tr>
        <w:trPr>
          <w:trHeight w:val="152"/>
        </w:trPr>
        <w:tc>
          <w:tcPr>
            <w:tcW w:w="20" w:type="dxa"/>
            <w:vAlign w:val="bottom"/>
            <w:tcBorders>
              <w:bottom w:val="single" w:sz="8" w:color="CCEEFF"/>
            </w:tcBorders>
          </w:tcPr>
          <w:p>
            <w:pPr>
              <w:spacing w:after="0"/>
              <w:rPr>
                <w:sz w:val="13"/>
                <w:szCs w:val="13"/>
                <w:color w:val="auto"/>
              </w:rPr>
            </w:pPr>
          </w:p>
        </w:tc>
        <w:tc>
          <w:tcPr>
            <w:tcW w:w="640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Construction in progress</w:t>
            </w:r>
          </w:p>
        </w:tc>
        <w:tc>
          <w:tcPr>
            <w:tcW w:w="16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27</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w:t>
            </w:r>
          </w:p>
        </w:tc>
      </w:tr>
      <w:tr>
        <w:trPr>
          <w:trHeight w:val="151"/>
        </w:trPr>
        <w:tc>
          <w:tcPr>
            <w:tcW w:w="20" w:type="dxa"/>
            <w:vAlign w:val="bottom"/>
            <w:shd w:val="clear" w:color="auto" w:fill="CCEEFF"/>
          </w:tcPr>
          <w:p>
            <w:pPr>
              <w:spacing w:after="0"/>
              <w:rPr>
                <w:sz w:val="13"/>
                <w:szCs w:val="13"/>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Subtotal</w:t>
            </w:r>
          </w:p>
        </w:tc>
        <w:tc>
          <w:tcPr>
            <w:tcW w:w="1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1,101</w:t>
            </w: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1,182</w:t>
            </w:r>
          </w:p>
        </w:tc>
      </w:tr>
      <w:tr>
        <w:trPr>
          <w:trHeight w:val="152"/>
        </w:trPr>
        <w:tc>
          <w:tcPr>
            <w:tcW w:w="20" w:type="dxa"/>
            <w:vAlign w:val="bottom"/>
            <w:tcBorders>
              <w:bottom w:val="single" w:sz="8" w:color="CCEEFF"/>
            </w:tcBorders>
          </w:tcPr>
          <w:p>
            <w:pPr>
              <w:spacing w:after="0"/>
              <w:rPr>
                <w:sz w:val="13"/>
                <w:szCs w:val="13"/>
                <w:color w:val="auto"/>
              </w:rPr>
            </w:pPr>
          </w:p>
        </w:tc>
        <w:tc>
          <w:tcPr>
            <w:tcW w:w="640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Accumulated depreciation</w:t>
            </w:r>
          </w:p>
        </w:tc>
        <w:tc>
          <w:tcPr>
            <w:tcW w:w="164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(904)</w:t>
            </w:r>
          </w:p>
        </w:tc>
        <w:tc>
          <w:tcPr>
            <w:tcW w:w="10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(916)</w:t>
            </w:r>
          </w:p>
        </w:tc>
      </w:tr>
      <w:tr>
        <w:trPr>
          <w:trHeight w:val="176"/>
        </w:trPr>
        <w:tc>
          <w:tcPr>
            <w:tcW w:w="20" w:type="dxa"/>
            <w:vAlign w:val="bottom"/>
            <w:tcBorders>
              <w:bottom w:val="single" w:sz="8" w:color="CCEEFF"/>
            </w:tcBorders>
            <w:shd w:val="clear" w:color="auto" w:fill="CCEEFF"/>
          </w:tcPr>
          <w:p>
            <w:pPr>
              <w:spacing w:after="0"/>
              <w:rPr>
                <w:sz w:val="14"/>
                <w:szCs w:val="14"/>
                <w:color w:val="auto"/>
              </w:rPr>
            </w:pPr>
          </w:p>
        </w:tc>
        <w:tc>
          <w:tcPr>
            <w:tcW w:w="6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Land, Buildings and Equipment, Net</w:t>
            </w:r>
          </w:p>
        </w:tc>
        <w:tc>
          <w:tcPr>
            <w:tcW w:w="16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197</w:t>
            </w:r>
          </w:p>
        </w:tc>
        <w:tc>
          <w:tcPr>
            <w:tcW w:w="10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266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Depreciation expense for the years ended December 31, 2023, 2022 and 2021 was $102 million, $111 million and $116 million, respectively.</w:t>
      </w: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72" w:name="page73"/>
    <w:bookmarkEnd w:id="72"/>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Internal Use and Product Software</w:t>
      </w:r>
    </w:p>
    <w:p>
      <w:pPr>
        <w:spacing w:after="0" w:line="131" w:lineRule="exact"/>
        <w:rPr>
          <w:sz w:val="20"/>
          <w:szCs w:val="20"/>
          <w:color w:val="auto"/>
        </w:rPr>
      </w:pPr>
    </w:p>
    <w:p>
      <w:pPr>
        <w:ind w:right="220"/>
        <w:spacing w:after="0" w:line="277" w:lineRule="auto"/>
        <w:rPr>
          <w:sz w:val="20"/>
          <w:szCs w:val="20"/>
          <w:color w:val="auto"/>
        </w:rPr>
      </w:pPr>
      <w:r>
        <w:rPr>
          <w:rFonts w:ascii="Arial" w:cs="Arial" w:eastAsia="Arial" w:hAnsi="Arial"/>
          <w:sz w:val="14"/>
          <w:szCs w:val="14"/>
          <w:color w:val="auto"/>
        </w:rPr>
        <w:t>Internal use and Product software are included in Other long-term assets on the Company's Consolidated Balance Sheets. Additions to Internal use and Product software as well as year-end balances for these assets were as follows:</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6400" w:type="dxa"/>
            <w:vAlign w:val="bottom"/>
            <w:gridSpan w:val="3"/>
          </w:tcPr>
          <w:p>
            <w:pPr>
              <w:spacing w:after="0"/>
              <w:rPr>
                <w:sz w:val="20"/>
                <w:szCs w:val="20"/>
                <w:color w:val="auto"/>
              </w:rPr>
            </w:pPr>
            <w:r>
              <w:rPr>
                <w:rFonts w:ascii="Arial" w:cs="Arial" w:eastAsia="Arial" w:hAnsi="Arial"/>
                <w:sz w:val="10"/>
                <w:szCs w:val="10"/>
                <w:color w:val="auto"/>
              </w:rPr>
              <w:t>(in millions)</w:t>
            </w: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2"/>
          </w:tcPr>
          <w:p>
            <w:pPr>
              <w:ind w:left="40"/>
              <w:spacing w:after="0" w:line="122" w:lineRule="exact"/>
              <w:rPr>
                <w:sz w:val="20"/>
                <w:szCs w:val="20"/>
                <w:color w:val="auto"/>
              </w:rPr>
            </w:pPr>
            <w:r>
              <w:rPr>
                <w:rFonts w:ascii="Arial" w:cs="Arial" w:eastAsia="Arial" w:hAnsi="Arial"/>
                <w:sz w:val="11"/>
                <w:szCs w:val="11"/>
                <w:color w:val="auto"/>
              </w:rPr>
              <w:t>Year Ended December 31,</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gridSpan w:val="3"/>
            <w:vMerge w:val="restart"/>
          </w:tcPr>
          <w:p>
            <w:pPr>
              <w:spacing w:after="0"/>
              <w:rPr>
                <w:sz w:val="20"/>
                <w:szCs w:val="20"/>
                <w:color w:val="auto"/>
              </w:rPr>
            </w:pPr>
            <w:r>
              <w:rPr>
                <w:rFonts w:ascii="Arial" w:cs="Arial" w:eastAsia="Arial" w:hAnsi="Arial"/>
                <w:sz w:val="11"/>
                <w:szCs w:val="11"/>
                <w:color w:val="auto"/>
              </w:rPr>
              <w:t>Additions to:</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640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jc w:val="right"/>
              <w:ind w:right="604"/>
              <w:spacing w:after="0" w:line="107" w:lineRule="exact"/>
              <w:rPr>
                <w:sz w:val="20"/>
                <w:szCs w:val="20"/>
                <w:color w:val="auto"/>
              </w:rPr>
            </w:pPr>
            <w:r>
              <w:rPr>
                <w:rFonts w:ascii="Arial" w:cs="Arial" w:eastAsia="Arial" w:hAnsi="Arial"/>
                <w:sz w:val="11"/>
                <w:szCs w:val="11"/>
                <w:color w:val="auto"/>
              </w:rPr>
              <w:t>2023</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tcPr>
          <w:p>
            <w:pPr>
              <w:jc w:val="right"/>
              <w:ind w:right="584"/>
              <w:spacing w:after="0" w:line="107" w:lineRule="exact"/>
              <w:rPr>
                <w:sz w:val="20"/>
                <w:szCs w:val="20"/>
                <w:color w:val="auto"/>
              </w:rPr>
            </w:pPr>
            <w:r>
              <w:rPr>
                <w:rFonts w:ascii="Arial" w:cs="Arial" w:eastAsia="Arial" w:hAnsi="Arial"/>
                <w:sz w:val="11"/>
                <w:szCs w:val="11"/>
                <w:color w:val="auto"/>
              </w:rPr>
              <w:t>2022</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00" w:type="dxa"/>
            <w:vAlign w:val="bottom"/>
          </w:tcPr>
          <w:p>
            <w:pPr>
              <w:jc w:val="right"/>
              <w:ind w:right="604"/>
              <w:spacing w:after="0" w:line="107" w:lineRule="exact"/>
              <w:rPr>
                <w:sz w:val="20"/>
                <w:szCs w:val="20"/>
                <w:color w:val="auto"/>
              </w:rPr>
            </w:pPr>
            <w:r>
              <w:rPr>
                <w:rFonts w:ascii="Arial" w:cs="Arial" w:eastAsia="Arial" w:hAnsi="Arial"/>
                <w:sz w:val="11"/>
                <w:szCs w:val="11"/>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Internal use software</w:t>
            </w:r>
          </w:p>
        </w:tc>
        <w:tc>
          <w:tcPr>
            <w:tcW w:w="360" w:type="dxa"/>
            <w:vAlign w:val="bottom"/>
            <w:shd w:val="clear" w:color="auto" w:fill="CCEEFF"/>
          </w:tcPr>
          <w:p>
            <w:pPr>
              <w:jc w:val="right"/>
              <w:ind w:right="224"/>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42</w:t>
            </w: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w:t>
            </w:r>
          </w:p>
        </w:tc>
        <w:tc>
          <w:tcPr>
            <w:tcW w:w="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380"/>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0" w:type="dxa"/>
            <w:vAlign w:val="bottom"/>
            <w:gridSpan w:val="3"/>
          </w:tcPr>
          <w:p>
            <w:pPr>
              <w:spacing w:after="0"/>
              <w:rPr>
                <w:sz w:val="20"/>
                <w:szCs w:val="20"/>
                <w:color w:val="auto"/>
              </w:rPr>
            </w:pPr>
            <w:r>
              <w:rPr>
                <w:rFonts w:ascii="Arial" w:cs="Arial" w:eastAsia="Arial" w:hAnsi="Arial"/>
                <w:sz w:val="11"/>
                <w:szCs w:val="11"/>
                <w:color w:val="auto"/>
              </w:rPr>
              <w:t>Product software</w:t>
            </w:r>
          </w:p>
        </w:tc>
        <w:tc>
          <w:tcPr>
            <w:tcW w:w="360" w:type="dxa"/>
            <w:vAlign w:val="bottom"/>
          </w:tcPr>
          <w:p>
            <w:pPr>
              <w:spacing w:after="0"/>
              <w:rPr>
                <w:sz w:val="12"/>
                <w:szCs w:val="12"/>
                <w:color w:val="auto"/>
              </w:rPr>
            </w:pPr>
          </w:p>
        </w:tc>
        <w:tc>
          <w:tcPr>
            <w:tcW w:w="1180" w:type="dxa"/>
            <w:vAlign w:val="bottom"/>
          </w:tcPr>
          <w:p>
            <w:pPr>
              <w:jc w:val="right"/>
              <w:ind w:right="4"/>
              <w:spacing w:after="0"/>
              <w:rPr>
                <w:sz w:val="20"/>
                <w:szCs w:val="20"/>
                <w:color w:val="auto"/>
              </w:rPr>
            </w:pPr>
            <w:r>
              <w:rPr>
                <w:rFonts w:ascii="Arial" w:cs="Arial" w:eastAsia="Arial" w:hAnsi="Arial"/>
                <w:sz w:val="11"/>
                <w:szCs w:val="11"/>
                <w:color w:val="auto"/>
              </w:rPr>
              <w:t>21</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39</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45</w:t>
            </w: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1"/>
                <w:szCs w:val="11"/>
                <w:color w:val="auto"/>
              </w:rPr>
              <w:t>December 31,</w:t>
            </w: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400" w:type="dxa"/>
            <w:vAlign w:val="bottom"/>
            <w:gridSpan w:val="3"/>
          </w:tcPr>
          <w:p>
            <w:pPr>
              <w:spacing w:after="0"/>
              <w:rPr>
                <w:sz w:val="20"/>
                <w:szCs w:val="20"/>
                <w:color w:val="auto"/>
              </w:rPr>
            </w:pPr>
            <w:r>
              <w:rPr>
                <w:rFonts w:ascii="Arial" w:cs="Arial" w:eastAsia="Arial" w:hAnsi="Arial"/>
                <w:sz w:val="10"/>
                <w:szCs w:val="10"/>
                <w:color w:val="auto"/>
              </w:rPr>
              <w:t>(in millions)</w:t>
            </w: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tcPr>
          <w:p>
            <w:pPr>
              <w:jc w:val="right"/>
              <w:ind w:right="604"/>
              <w:spacing w:after="0" w:line="120" w:lineRule="exact"/>
              <w:rPr>
                <w:sz w:val="20"/>
                <w:szCs w:val="20"/>
                <w:color w:val="auto"/>
              </w:rPr>
            </w:pPr>
            <w:r>
              <w:rPr>
                <w:rFonts w:ascii="Arial" w:cs="Arial" w:eastAsia="Arial" w:hAnsi="Arial"/>
                <w:sz w:val="11"/>
                <w:szCs w:val="11"/>
                <w:color w:val="auto"/>
              </w:rPr>
              <w:t>2023</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tcPr>
          <w:p>
            <w:pPr>
              <w:jc w:val="right"/>
              <w:ind w:right="604"/>
              <w:spacing w:after="0" w:line="120" w:lineRule="exact"/>
              <w:rPr>
                <w:sz w:val="20"/>
                <w:szCs w:val="20"/>
                <w:color w:val="auto"/>
              </w:rPr>
            </w:pPr>
            <w:r>
              <w:rPr>
                <w:rFonts w:ascii="Arial" w:cs="Arial" w:eastAsia="Arial" w:hAnsi="Arial"/>
                <w:sz w:val="11"/>
                <w:szCs w:val="11"/>
                <w:color w:val="auto"/>
              </w:rPr>
              <w:t>2022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Internal use software, at cost</w:t>
            </w: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612</w:t>
            </w:r>
          </w:p>
        </w:tc>
        <w:tc>
          <w:tcPr>
            <w:tcW w:w="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400"/>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621</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6400" w:type="dxa"/>
            <w:vAlign w:val="bottom"/>
            <w:tcBorders>
              <w:bottom w:val="single" w:sz="8" w:color="CCEEFF"/>
            </w:tcBorders>
            <w:gridSpan w:val="3"/>
          </w:tcPr>
          <w:p>
            <w:pPr>
              <w:spacing w:after="0"/>
              <w:rPr>
                <w:sz w:val="20"/>
                <w:szCs w:val="20"/>
                <w:color w:val="auto"/>
              </w:rPr>
            </w:pPr>
            <w:r>
              <w:rPr>
                <w:rFonts w:ascii="Arial" w:cs="Arial" w:eastAsia="Arial" w:hAnsi="Arial"/>
                <w:sz w:val="11"/>
                <w:szCs w:val="11"/>
                <w:color w:val="auto"/>
              </w:rPr>
              <w:t>Accumulated amortization</w:t>
            </w:r>
          </w:p>
        </w:tc>
        <w:tc>
          <w:tcPr>
            <w:tcW w:w="36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(469)</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(432)</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Internal use software, net</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143</w:t>
            </w:r>
          </w:p>
        </w:tc>
        <w:tc>
          <w:tcPr>
            <w:tcW w:w="2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400"/>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0" w:type="dxa"/>
            <w:vAlign w:val="bottom"/>
            <w:tcBorders>
              <w:top w:val="single" w:sz="8" w:color="CCEEFF"/>
            </w:tcBorders>
            <w:gridSpan w:val="3"/>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gridSpan w:val="2"/>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Product software, at cost</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219</w:t>
            </w:r>
          </w:p>
        </w:tc>
        <w:tc>
          <w:tcPr>
            <w:tcW w:w="2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400"/>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207</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6400" w:type="dxa"/>
            <w:vAlign w:val="bottom"/>
            <w:tcBorders>
              <w:bottom w:val="single" w:sz="8" w:color="CCEEFF"/>
            </w:tcBorders>
            <w:gridSpan w:val="3"/>
          </w:tcPr>
          <w:p>
            <w:pPr>
              <w:spacing w:after="0"/>
              <w:rPr>
                <w:sz w:val="20"/>
                <w:szCs w:val="20"/>
                <w:color w:val="auto"/>
              </w:rPr>
            </w:pPr>
            <w:r>
              <w:rPr>
                <w:rFonts w:ascii="Arial" w:cs="Arial" w:eastAsia="Arial" w:hAnsi="Arial"/>
                <w:sz w:val="11"/>
                <w:szCs w:val="11"/>
                <w:color w:val="auto"/>
              </w:rPr>
              <w:t>Accumulated amortization</w:t>
            </w:r>
          </w:p>
        </w:tc>
        <w:tc>
          <w:tcPr>
            <w:tcW w:w="360" w:type="dxa"/>
            <w:vAlign w:val="bottom"/>
            <w:tcBorders>
              <w:bottom w:val="single" w:sz="8" w:color="CCEEFF"/>
            </w:tcBorders>
          </w:tcPr>
          <w:p>
            <w:pPr>
              <w:spacing w:after="0"/>
              <w:rPr>
                <w:sz w:val="13"/>
                <w:szCs w:val="13"/>
                <w:color w:val="auto"/>
              </w:rPr>
            </w:pPr>
          </w:p>
        </w:tc>
        <w:tc>
          <w:tcPr>
            <w:tcW w:w="118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(127)</w:t>
            </w: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(97)</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40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Product software, net</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92</w:t>
            </w:r>
          </w:p>
        </w:tc>
        <w:tc>
          <w:tcPr>
            <w:tcW w:w="20" w:type="dxa"/>
            <w:vAlign w:val="bottom"/>
            <w:shd w:val="clear" w:color="auto" w:fill="CCEEFF"/>
          </w:tcPr>
          <w:p>
            <w:pPr>
              <w:spacing w:after="0"/>
              <w:rPr>
                <w:sz w:val="14"/>
                <w:szCs w:val="14"/>
                <w:color w:val="auto"/>
              </w:rPr>
            </w:pPr>
          </w:p>
        </w:tc>
        <w:tc>
          <w:tcPr>
            <w:tcW w:w="560" w:type="dxa"/>
            <w:vAlign w:val="bottom"/>
            <w:gridSpan w:val="3"/>
            <w:shd w:val="clear" w:color="auto" w:fill="CCEEFF"/>
          </w:tcPr>
          <w:p>
            <w:pPr>
              <w:jc w:val="right"/>
              <w:ind w:right="400"/>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5"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Useful lives of our Internal use and Product software generally vary from one to seven years. Amortization expense for Internal use and Product software for the years ended December 31, 2023, 2022 and 2021 was $114 million, $71 million and $62 million, respectively. The 2023 amount includes the write-off of capitalized software costs totaling $25 million, stemming from management’s decision to abandon an internal use software product and a decision by a customer to not implement a product software solution.</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Cloud Computing Arrangements</w:t>
      </w:r>
    </w:p>
    <w:p>
      <w:pPr>
        <w:spacing w:after="0" w:line="131" w:lineRule="exact"/>
        <w:rPr>
          <w:sz w:val="20"/>
          <w:szCs w:val="20"/>
          <w:color w:val="auto"/>
        </w:rPr>
      </w:pPr>
    </w:p>
    <w:p>
      <w:pPr>
        <w:ind w:right="40"/>
        <w:spacing w:after="0" w:line="277" w:lineRule="auto"/>
        <w:rPr>
          <w:sz w:val="20"/>
          <w:szCs w:val="20"/>
          <w:color w:val="auto"/>
        </w:rPr>
      </w:pPr>
      <w:r>
        <w:rPr>
          <w:rFonts w:ascii="Arial" w:cs="Arial" w:eastAsia="Arial" w:hAnsi="Arial"/>
          <w:sz w:val="14"/>
          <w:szCs w:val="14"/>
          <w:color w:val="auto"/>
        </w:rPr>
        <w:t>Cloud computing implementation costs are included in Other current assets and Other long-term assets on the Company's Consolidated Balance Sheets. Additions to Cloud computing implementation costs as well as year-end balances for these assets were as follows:</w:t>
      </w:r>
    </w:p>
    <w:tbl>
      <w:tblPr>
        <w:tblLayout w:type="fixed"/>
        <w:tblInd w:w="0" w:type="dxa"/>
        <w:tblCellMar>
          <w:top w:w="0" w:type="dxa"/>
          <w:left w:w="0" w:type="dxa"/>
          <w:bottom w:w="0" w:type="dxa"/>
          <w:right w:w="0" w:type="dxa"/>
        </w:tblCellMar>
      </w:tblPr>
      <w:tr>
        <w:trPr>
          <w:trHeight w:val="122"/>
        </w:trPr>
        <w:tc>
          <w:tcPr>
            <w:tcW w:w="20" w:type="dxa"/>
            <w:vAlign w:val="bottom"/>
          </w:tcPr>
          <w:p>
            <w:pPr>
              <w:spacing w:after="0"/>
              <w:rPr>
                <w:sz w:val="10"/>
                <w:szCs w:val="10"/>
                <w:color w:val="auto"/>
              </w:rPr>
            </w:pPr>
          </w:p>
        </w:tc>
        <w:tc>
          <w:tcPr>
            <w:tcW w:w="6400" w:type="dxa"/>
            <w:vAlign w:val="bottom"/>
            <w:gridSpan w:val="4"/>
          </w:tcPr>
          <w:p>
            <w:pPr>
              <w:spacing w:after="0"/>
              <w:rPr>
                <w:sz w:val="20"/>
                <w:szCs w:val="20"/>
                <w:color w:val="auto"/>
              </w:rPr>
            </w:pPr>
            <w:r>
              <w:rPr>
                <w:rFonts w:ascii="Arial" w:cs="Arial" w:eastAsia="Arial" w:hAnsi="Arial"/>
                <w:sz w:val="10"/>
                <w:szCs w:val="10"/>
                <w:color w:val="auto"/>
              </w:rPr>
              <w:t>(in millions)</w:t>
            </w:r>
          </w:p>
        </w:tc>
        <w:tc>
          <w:tcPr>
            <w:tcW w:w="3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gridSpan w:val="2"/>
          </w:tcPr>
          <w:p>
            <w:pPr>
              <w:ind w:left="40"/>
              <w:spacing w:after="0" w:line="122" w:lineRule="exact"/>
              <w:rPr>
                <w:sz w:val="20"/>
                <w:szCs w:val="20"/>
                <w:color w:val="auto"/>
              </w:rPr>
            </w:pPr>
            <w:r>
              <w:rPr>
                <w:rFonts w:ascii="Arial" w:cs="Arial" w:eastAsia="Arial" w:hAnsi="Arial"/>
                <w:sz w:val="11"/>
                <w:szCs w:val="11"/>
                <w:color w:val="auto"/>
              </w:rPr>
              <w:t>Year Ended December 31,</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gridSpan w:val="4"/>
            <w:vMerge w:val="restart"/>
          </w:tcPr>
          <w:p>
            <w:pPr>
              <w:spacing w:after="0"/>
              <w:rPr>
                <w:sz w:val="20"/>
                <w:szCs w:val="20"/>
                <w:color w:val="auto"/>
              </w:rPr>
            </w:pPr>
            <w:r>
              <w:rPr>
                <w:rFonts w:ascii="Arial" w:cs="Arial" w:eastAsia="Arial" w:hAnsi="Arial"/>
                <w:sz w:val="11"/>
                <w:szCs w:val="11"/>
                <w:color w:val="auto"/>
              </w:rPr>
              <w:t>Additions to:</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6400" w:type="dxa"/>
            <w:vAlign w:val="bottom"/>
            <w:gridSpan w:val="4"/>
            <w:vMerge w:val="continue"/>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jc w:val="right"/>
              <w:ind w:right="604"/>
              <w:spacing w:after="0" w:line="107" w:lineRule="exact"/>
              <w:rPr>
                <w:sz w:val="20"/>
                <w:szCs w:val="20"/>
                <w:color w:val="auto"/>
              </w:rPr>
            </w:pPr>
            <w:r>
              <w:rPr>
                <w:rFonts w:ascii="Arial" w:cs="Arial" w:eastAsia="Arial" w:hAnsi="Arial"/>
                <w:sz w:val="11"/>
                <w:szCs w:val="11"/>
                <w:color w:val="auto"/>
              </w:rPr>
              <w:t>2023</w:t>
            </w: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tcPr>
          <w:p>
            <w:pPr>
              <w:jc w:val="right"/>
              <w:ind w:right="584"/>
              <w:spacing w:after="0" w:line="107" w:lineRule="exact"/>
              <w:rPr>
                <w:sz w:val="20"/>
                <w:szCs w:val="20"/>
                <w:color w:val="auto"/>
              </w:rPr>
            </w:pPr>
            <w:r>
              <w:rPr>
                <w:rFonts w:ascii="Arial" w:cs="Arial" w:eastAsia="Arial" w:hAnsi="Arial"/>
                <w:sz w:val="11"/>
                <w:szCs w:val="11"/>
                <w:color w:val="auto"/>
              </w:rPr>
              <w:t>2022</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00" w:type="dxa"/>
            <w:vAlign w:val="bottom"/>
          </w:tcPr>
          <w:p>
            <w:pPr>
              <w:jc w:val="right"/>
              <w:ind w:right="604"/>
              <w:spacing w:after="0" w:line="107" w:lineRule="exact"/>
              <w:rPr>
                <w:sz w:val="20"/>
                <w:szCs w:val="20"/>
                <w:color w:val="auto"/>
              </w:rPr>
            </w:pPr>
            <w:r>
              <w:rPr>
                <w:rFonts w:ascii="Arial" w:cs="Arial" w:eastAsia="Arial" w:hAnsi="Arial"/>
                <w:sz w:val="11"/>
                <w:szCs w:val="11"/>
                <w:color w:val="auto"/>
              </w:rPr>
              <w:t>2021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6400" w:type="dxa"/>
            <w:vAlign w:val="bottom"/>
            <w:gridSpan w:val="4"/>
            <w:shd w:val="clear" w:color="auto" w:fill="CCEEFF"/>
          </w:tcPr>
          <w:p>
            <w:pPr>
              <w:spacing w:after="0"/>
              <w:rPr>
                <w:sz w:val="20"/>
                <w:szCs w:val="20"/>
                <w:color w:val="auto"/>
              </w:rPr>
            </w:pPr>
            <w:r>
              <w:rPr>
                <w:rFonts w:ascii="Arial" w:cs="Arial" w:eastAsia="Arial" w:hAnsi="Arial"/>
                <w:sz w:val="11"/>
                <w:szCs w:val="11"/>
                <w:color w:val="auto"/>
              </w:rPr>
              <w:t>Cloud computing implementation costs</w:t>
            </w:r>
          </w:p>
        </w:tc>
        <w:tc>
          <w:tcPr>
            <w:tcW w:w="360" w:type="dxa"/>
            <w:vAlign w:val="bottom"/>
            <w:shd w:val="clear" w:color="auto" w:fill="CCEEFF"/>
          </w:tcPr>
          <w:p>
            <w:pPr>
              <w:jc w:val="right"/>
              <w:ind w:right="224"/>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w:t>
            </w:r>
          </w:p>
        </w:tc>
        <w:tc>
          <w:tcPr>
            <w:tcW w:w="200" w:type="dxa"/>
            <w:vAlign w:val="bottom"/>
            <w:gridSpan w:val="3"/>
            <w:shd w:val="clear" w:color="auto" w:fill="CCEEFF"/>
          </w:tcPr>
          <w:p>
            <w:pPr>
              <w:jc w:val="right"/>
              <w:ind w:right="40"/>
              <w:spacing w:after="0"/>
              <w:rPr>
                <w:sz w:val="20"/>
                <w:szCs w:val="20"/>
                <w:color w:val="auto"/>
              </w:rPr>
            </w:pPr>
            <w:r>
              <w:rPr>
                <w:rFonts w:ascii="Arial" w:cs="Arial" w:eastAsia="Arial" w:hAnsi="Arial"/>
                <w:sz w:val="11"/>
                <w:szCs w:val="1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380"/>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6400" w:type="dxa"/>
            <w:vAlign w:val="bottom"/>
            <w:gridSpan w:val="4"/>
          </w:tcPr>
          <w:p>
            <w:pPr>
              <w:spacing w:after="0"/>
              <w:rPr>
                <w:sz w:val="20"/>
                <w:szCs w:val="20"/>
                <w:color w:val="auto"/>
              </w:rPr>
            </w:pPr>
            <w:r>
              <w:rPr>
                <w:rFonts w:ascii="Arial" w:cs="Arial" w:eastAsia="Arial" w:hAnsi="Arial"/>
                <w:sz w:val="10"/>
                <w:szCs w:val="10"/>
                <w:color w:val="auto"/>
              </w:rPr>
              <w:t>(in millions)</w:t>
            </w:r>
          </w:p>
        </w:tc>
        <w:tc>
          <w:tcPr>
            <w:tcW w:w="3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0" w:type="dxa"/>
            <w:vAlign w:val="bottom"/>
            <w:gridSpan w:val="5"/>
          </w:tcPr>
          <w:p>
            <w:pPr>
              <w:jc w:val="right"/>
              <w:ind w:right="180"/>
              <w:spacing w:after="0"/>
              <w:rPr>
                <w:sz w:val="20"/>
                <w:szCs w:val="20"/>
                <w:color w:val="auto"/>
              </w:rPr>
            </w:pPr>
            <w:r>
              <w:rPr>
                <w:rFonts w:ascii="Arial" w:cs="Arial" w:eastAsia="Arial" w:hAnsi="Arial"/>
                <w:sz w:val="11"/>
                <w:szCs w:val="11"/>
                <w:color w:val="auto"/>
              </w:rPr>
              <w:t>December 31,</w:t>
            </w: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gridSpan w:val="4"/>
            <w:vMerge w:val="restart"/>
          </w:tcPr>
          <w:p>
            <w:pPr>
              <w:spacing w:after="0"/>
              <w:rPr>
                <w:sz w:val="20"/>
                <w:szCs w:val="20"/>
                <w:color w:val="auto"/>
              </w:rPr>
            </w:pPr>
            <w:r>
              <w:rPr>
                <w:rFonts w:ascii="Arial" w:cs="Arial" w:eastAsia="Arial" w:hAnsi="Arial"/>
                <w:sz w:val="11"/>
                <w:szCs w:val="11"/>
                <w:color w:val="auto"/>
              </w:rPr>
              <w:t>Capitalized Costs, Net</w:t>
            </w: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6400" w:type="dxa"/>
            <w:vAlign w:val="bottom"/>
            <w:gridSpan w:val="4"/>
            <w:vMerge w:val="continue"/>
          </w:tcPr>
          <w:p>
            <w:pPr>
              <w:spacing w:after="0"/>
              <w:rPr>
                <w:sz w:val="9"/>
                <w:szCs w:val="9"/>
                <w:color w:val="auto"/>
              </w:rPr>
            </w:pPr>
          </w:p>
        </w:tc>
        <w:tc>
          <w:tcPr>
            <w:tcW w:w="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20" w:type="dxa"/>
            <w:vAlign w:val="bottom"/>
          </w:tcPr>
          <w:p>
            <w:pPr>
              <w:jc w:val="right"/>
              <w:ind w:right="604"/>
              <w:spacing w:after="0" w:line="107" w:lineRule="exact"/>
              <w:rPr>
                <w:sz w:val="20"/>
                <w:szCs w:val="20"/>
                <w:color w:val="auto"/>
              </w:rPr>
            </w:pPr>
            <w:r>
              <w:rPr>
                <w:rFonts w:ascii="Arial" w:cs="Arial" w:eastAsia="Arial" w:hAnsi="Arial"/>
                <w:sz w:val="11"/>
                <w:szCs w:val="11"/>
                <w:color w:val="auto"/>
              </w:rPr>
              <w:t>2023</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00" w:type="dxa"/>
            <w:vAlign w:val="bottom"/>
          </w:tcPr>
          <w:p>
            <w:pPr>
              <w:jc w:val="right"/>
              <w:ind w:right="604"/>
              <w:spacing w:after="0" w:line="107" w:lineRule="exact"/>
              <w:rPr>
                <w:sz w:val="20"/>
                <w:szCs w:val="20"/>
                <w:color w:val="auto"/>
              </w:rPr>
            </w:pPr>
            <w:r>
              <w:rPr>
                <w:rFonts w:ascii="Arial" w:cs="Arial" w:eastAsia="Arial" w:hAnsi="Arial"/>
                <w:sz w:val="11"/>
                <w:szCs w:val="11"/>
                <w:color w:val="auto"/>
              </w:rPr>
              <w:t>2022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53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6400" w:type="dxa"/>
            <w:vAlign w:val="bottom"/>
            <w:gridSpan w:val="4"/>
            <w:shd w:val="clear" w:color="auto" w:fill="CCEEFF"/>
          </w:tcPr>
          <w:p>
            <w:pPr>
              <w:spacing w:after="0"/>
              <w:rPr>
                <w:sz w:val="20"/>
                <w:szCs w:val="20"/>
                <w:color w:val="auto"/>
              </w:rPr>
            </w:pPr>
            <w:r>
              <w:rPr>
                <w:rFonts w:ascii="Arial" w:cs="Arial" w:eastAsia="Arial" w:hAnsi="Arial"/>
                <w:sz w:val="11"/>
                <w:szCs w:val="11"/>
                <w:color w:val="auto"/>
              </w:rPr>
              <w:t>Cloud computing implementation costs, at cost</w:t>
            </w:r>
          </w:p>
        </w:tc>
        <w:tc>
          <w:tcPr>
            <w:tcW w:w="36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w:t>
            </w:r>
          </w:p>
        </w:tc>
        <w:tc>
          <w:tcPr>
            <w:tcW w:w="20" w:type="dxa"/>
            <w:vAlign w:val="bottom"/>
            <w:shd w:val="clear" w:color="auto" w:fill="CCEEFF"/>
          </w:tcPr>
          <w:p>
            <w:pPr>
              <w:spacing w:after="0"/>
              <w:rPr>
                <w:sz w:val="11"/>
                <w:szCs w:val="11"/>
                <w:color w:val="auto"/>
              </w:rPr>
            </w:pPr>
          </w:p>
        </w:tc>
        <w:tc>
          <w:tcPr>
            <w:tcW w:w="560" w:type="dxa"/>
            <w:vAlign w:val="bottom"/>
            <w:gridSpan w:val="3"/>
            <w:shd w:val="clear" w:color="auto" w:fill="CCEEFF"/>
          </w:tcPr>
          <w:p>
            <w:pPr>
              <w:jc w:val="right"/>
              <w:ind w:right="400"/>
              <w:spacing w:after="0"/>
              <w:rPr>
                <w:sz w:val="20"/>
                <w:szCs w:val="20"/>
                <w:color w:val="auto"/>
              </w:rPr>
            </w:pPr>
            <w:r>
              <w:rPr>
                <w:rFonts w:ascii="Arial" w:cs="Arial" w:eastAsia="Arial" w:hAnsi="Arial"/>
                <w:sz w:val="11"/>
                <w:szCs w:val="1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400" w:type="dxa"/>
            <w:vAlign w:val="bottom"/>
            <w:gridSpan w:val="4"/>
          </w:tcPr>
          <w:p>
            <w:pPr>
              <w:spacing w:after="0"/>
              <w:rPr>
                <w:sz w:val="20"/>
                <w:szCs w:val="20"/>
                <w:color w:val="auto"/>
              </w:rPr>
            </w:pPr>
            <w:r>
              <w:rPr>
                <w:rFonts w:ascii="Arial" w:cs="Arial" w:eastAsia="Arial" w:hAnsi="Arial"/>
                <w:sz w:val="11"/>
                <w:szCs w:val="11"/>
                <w:color w:val="auto"/>
              </w:rPr>
              <w:t>Accumulated impairment charges</w:t>
            </w: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(28)</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6400" w:type="dxa"/>
            <w:vAlign w:val="bottom"/>
            <w:gridSpan w:val="4"/>
            <w:shd w:val="clear" w:color="auto" w:fill="CCEEFF"/>
          </w:tcPr>
          <w:p>
            <w:pPr>
              <w:spacing w:after="0"/>
              <w:rPr>
                <w:sz w:val="20"/>
                <w:szCs w:val="20"/>
                <w:color w:val="auto"/>
              </w:rPr>
            </w:pPr>
            <w:r>
              <w:rPr>
                <w:rFonts w:ascii="Arial" w:cs="Arial" w:eastAsia="Arial" w:hAnsi="Arial"/>
                <w:sz w:val="11"/>
                <w:szCs w:val="11"/>
                <w:color w:val="auto"/>
              </w:rPr>
              <w:t>Accumulated amortization</w:t>
            </w:r>
          </w:p>
        </w:tc>
        <w:tc>
          <w:tcPr>
            <w:tcW w:w="3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00" w:type="dxa"/>
            <w:vAlign w:val="bottom"/>
            <w:gridSpan w:val="4"/>
          </w:tcPr>
          <w:p>
            <w:pPr>
              <w:spacing w:after="0" w:line="151" w:lineRule="exact"/>
              <w:rPr>
                <w:sz w:val="20"/>
                <w:szCs w:val="20"/>
                <w:color w:val="auto"/>
              </w:rPr>
            </w:pPr>
            <w:r>
              <w:rPr>
                <w:rFonts w:ascii="Arial" w:cs="Arial" w:eastAsia="Arial" w:hAnsi="Arial"/>
                <w:sz w:val="11"/>
                <w:szCs w:val="11"/>
                <w:color w:val="auto"/>
              </w:rPr>
              <w:t>Cloud computing implementation costs, net</w:t>
            </w:r>
            <w:r>
              <w:rPr>
                <w:rFonts w:ascii="Arial" w:cs="Arial" w:eastAsia="Arial" w:hAnsi="Arial"/>
                <w:sz w:val="14"/>
                <w:szCs w:val="14"/>
                <w:color w:val="auto"/>
                <w:vertAlign w:val="superscript"/>
              </w:rPr>
              <w:t>(1)</w:t>
            </w: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0" w:type="dxa"/>
            <w:vAlign w:val="bottom"/>
            <w:gridSpan w:val="3"/>
          </w:tcPr>
          <w:p>
            <w:pPr>
              <w:jc w:val="right"/>
              <w:ind w:right="80"/>
              <w:spacing w:after="0"/>
              <w:rPr>
                <w:sz w:val="20"/>
                <w:szCs w:val="20"/>
                <w:color w:val="auto"/>
              </w:rPr>
            </w:pPr>
            <w:r>
              <w:rPr>
                <w:rFonts w:ascii="Arial" w:cs="Arial" w:eastAsia="Arial" w:hAnsi="Arial"/>
                <w:sz w:val="11"/>
                <w:szCs w:val="11"/>
                <w:color w:val="auto"/>
              </w:rPr>
              <w:t>$</w:t>
            </w:r>
          </w:p>
        </w:tc>
        <w:tc>
          <w:tcPr>
            <w:tcW w:w="1420" w:type="dxa"/>
            <w:vAlign w:val="bottom"/>
          </w:tcPr>
          <w:p>
            <w:pPr>
              <w:jc w:val="right"/>
              <w:spacing w:after="0"/>
              <w:rPr>
                <w:sz w:val="20"/>
                <w:szCs w:val="20"/>
                <w:color w:val="auto"/>
              </w:rPr>
            </w:pPr>
            <w:r>
              <w:rPr>
                <w:rFonts w:ascii="Arial" w:cs="Arial" w:eastAsia="Arial" w:hAnsi="Arial"/>
                <w:sz w:val="11"/>
                <w:szCs w:val="11"/>
                <w:color w:val="auto"/>
              </w:rPr>
              <w:t>6</w:t>
            </w:r>
          </w:p>
        </w:tc>
        <w:tc>
          <w:tcPr>
            <w:tcW w:w="20" w:type="dxa"/>
            <w:vAlign w:val="bottom"/>
          </w:tcPr>
          <w:p>
            <w:pPr>
              <w:spacing w:after="0"/>
              <w:rPr>
                <w:sz w:val="13"/>
                <w:szCs w:val="13"/>
                <w:color w:val="auto"/>
              </w:rPr>
            </w:pPr>
          </w:p>
        </w:tc>
        <w:tc>
          <w:tcPr>
            <w:tcW w:w="560" w:type="dxa"/>
            <w:vAlign w:val="bottom"/>
            <w:gridSpan w:val="3"/>
          </w:tcPr>
          <w:p>
            <w:pPr>
              <w:jc w:val="right"/>
              <w:ind w:right="400"/>
              <w:spacing w:after="0"/>
              <w:rPr>
                <w:sz w:val="20"/>
                <w:szCs w:val="20"/>
                <w:color w:val="auto"/>
              </w:rPr>
            </w:pPr>
            <w:r>
              <w:rPr>
                <w:rFonts w:ascii="Arial" w:cs="Arial" w:eastAsia="Arial" w:hAnsi="Arial"/>
                <w:sz w:val="11"/>
                <w:szCs w:val="11"/>
                <w:color w:val="auto"/>
              </w:rPr>
              <w:t>$</w:t>
            </w:r>
          </w:p>
        </w:tc>
        <w:tc>
          <w:tcPr>
            <w:tcW w:w="1100" w:type="dxa"/>
            <w:vAlign w:val="bottom"/>
          </w:tcPr>
          <w:p>
            <w:pPr>
              <w:jc w:val="right"/>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9"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i w:val="1"/>
          <w:iCs w:val="1"/>
          <w:color w:val="auto"/>
        </w:rPr>
        <w:t>(1)</w:t>
        <w:tab/>
        <w:t>Refer to Note 10 – Supplementary Financial Information for additional information on the current and long-term portions of this asset.</w:t>
      </w:r>
    </w:p>
    <w:p>
      <w:pPr>
        <w:spacing w:after="0" w:line="116"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Useful lives of Cloud computing implementation costs are three to five years. Amortization expense for Cloud computing implementation costs for the years ended December 31, 2023, 2022 and 2021 were $5 million, $6 million and $ 2 million, respectively. As a result of the Company’s decision in the fourth quarter of 2021 to abandon an internal project, the Company wrote-off $28 million of its previously capitalized implementation costs. Additionally, in connection with the abandonment of this project, the Company accrued $4 million of charges related to remaining hosting fees that would have continued to be incurred without any economic benefit. This liability has been settled as of December 31, 2023. The write-off and remaining hosting fee charges are included in Selling, general and administrative on the Consolidated Statements of Income (Loss).</w:t>
      </w: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73" w:name="page74"/>
    <w:bookmarkEnd w:id="73"/>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7 - Leases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entered into non-cancelable operating and finance leases primarily for office space and equipment with lease terms that range from less than one year to 21 years.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lease costs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00" w:type="dxa"/>
            <w:vAlign w:val="bottom"/>
            <w:tcBorders>
              <w:bottom w:val="single" w:sz="8" w:color="auto"/>
            </w:tcBorders>
            <w:gridSpan w:val="2"/>
          </w:tcPr>
          <w:p>
            <w:pPr>
              <w:ind w:left="80"/>
              <w:spacing w:after="0"/>
              <w:rPr>
                <w:sz w:val="20"/>
                <w:szCs w:val="20"/>
                <w:color w:val="auto"/>
              </w:rPr>
            </w:pPr>
            <w:r>
              <w:rPr>
                <w:rFonts w:ascii="Arial" w:cs="Arial" w:eastAsia="Arial" w:hAnsi="Arial"/>
                <w:sz w:val="11"/>
                <w:szCs w:val="11"/>
                <w:color w:val="auto"/>
              </w:rPr>
              <w:t>Year Ended December 31,</w:t>
            </w: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0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420" w:type="dxa"/>
            <w:vAlign w:val="bottom"/>
          </w:tcPr>
          <w:p>
            <w:pPr>
              <w:spacing w:after="0"/>
              <w:rPr>
                <w:sz w:val="10"/>
                <w:szCs w:val="10"/>
                <w:color w:val="auto"/>
              </w:rPr>
            </w:pPr>
          </w:p>
        </w:tc>
        <w:tc>
          <w:tcPr>
            <w:tcW w:w="1340" w:type="dxa"/>
            <w:vAlign w:val="bottom"/>
          </w:tcPr>
          <w:p>
            <w:pPr>
              <w:jc w:val="right"/>
              <w:ind w:right="684"/>
              <w:spacing w:after="0" w:line="120" w:lineRule="exact"/>
              <w:rPr>
                <w:sz w:val="20"/>
                <w:szCs w:val="20"/>
                <w:color w:val="auto"/>
              </w:rPr>
            </w:pPr>
            <w:r>
              <w:rPr>
                <w:rFonts w:ascii="Arial" w:cs="Arial" w:eastAsia="Arial" w:hAnsi="Arial"/>
                <w:sz w:val="11"/>
                <w:szCs w:val="11"/>
                <w:color w:val="auto"/>
              </w:rPr>
              <w:t>2023</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20" w:type="dxa"/>
            <w:vAlign w:val="bottom"/>
          </w:tcPr>
          <w:p>
            <w:pPr>
              <w:jc w:val="right"/>
              <w:ind w:right="704"/>
              <w:spacing w:after="0" w:line="120" w:lineRule="exact"/>
              <w:rPr>
                <w:sz w:val="20"/>
                <w:szCs w:val="20"/>
                <w:color w:val="auto"/>
              </w:rPr>
            </w:pPr>
            <w:r>
              <w:rPr>
                <w:rFonts w:ascii="Arial" w:cs="Arial" w:eastAsia="Arial" w:hAnsi="Arial"/>
                <w:sz w:val="11"/>
                <w:szCs w:val="11"/>
                <w:color w:val="auto"/>
              </w:rPr>
              <w:t>2022</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jc w:val="right"/>
              <w:ind w:right="704"/>
              <w:spacing w:after="0" w:line="120" w:lineRule="exact"/>
              <w:rPr>
                <w:sz w:val="20"/>
                <w:szCs w:val="20"/>
                <w:color w:val="auto"/>
              </w:rPr>
            </w:pPr>
            <w:r>
              <w:rPr>
                <w:rFonts w:ascii="Arial" w:cs="Arial" w:eastAsia="Arial" w:hAnsi="Arial"/>
                <w:sz w:val="11"/>
                <w:szCs w:val="11"/>
                <w:color w:val="auto"/>
              </w:rPr>
              <w:t>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gridSpan w:val="2"/>
            <w:vMerge w:val="restart"/>
          </w:tcPr>
          <w:p>
            <w:pPr>
              <w:spacing w:after="0"/>
              <w:rPr>
                <w:sz w:val="20"/>
                <w:szCs w:val="20"/>
                <w:color w:val="auto"/>
              </w:rPr>
            </w:pPr>
            <w:r>
              <w:rPr>
                <w:rFonts w:ascii="Arial" w:cs="Arial" w:eastAsia="Arial" w:hAnsi="Arial"/>
                <w:sz w:val="11"/>
                <w:szCs w:val="11"/>
                <w:color w:val="auto"/>
              </w:rPr>
              <w:t>Finance Lease Costs:</w:t>
            </w: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580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8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Amortization of right of use assets</w:t>
            </w: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580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Interest on lease liabilities</w:t>
            </w: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4"/>
                <w:szCs w:val="14"/>
                <w:color w:val="auto"/>
              </w:rPr>
            </w:pPr>
          </w:p>
        </w:tc>
        <w:tc>
          <w:tcPr>
            <w:tcW w:w="5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Total Finance Lease Costs</w:t>
            </w:r>
          </w:p>
        </w:tc>
        <w:tc>
          <w:tcPr>
            <w:tcW w:w="42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16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11</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58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1"/>
                <w:szCs w:val="11"/>
                <w:color w:val="auto"/>
              </w:rPr>
              <w:t>Operating lease costs:</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20" w:type="dxa"/>
            <w:vAlign w:val="bottom"/>
            <w:vMerge w:val="continue"/>
          </w:tcPr>
          <w:p>
            <w:pPr>
              <w:spacing w:after="0"/>
              <w:rPr>
                <w:sz w:val="8"/>
                <w:szCs w:val="8"/>
                <w:color w:val="auto"/>
              </w:rPr>
            </w:pPr>
          </w:p>
        </w:tc>
        <w:tc>
          <w:tcPr>
            <w:tcW w:w="5800" w:type="dxa"/>
            <w:vAlign w:val="bottom"/>
            <w:gridSpan w:val="2"/>
            <w:vMerge w:val="continue"/>
          </w:tcPr>
          <w:p>
            <w:pPr>
              <w:spacing w:after="0"/>
              <w:rPr>
                <w:sz w:val="8"/>
                <w:szCs w:val="8"/>
                <w:color w:val="auto"/>
              </w:rPr>
            </w:pPr>
          </w:p>
        </w:tc>
        <w:tc>
          <w:tcPr>
            <w:tcW w:w="4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8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Base rent</w:t>
            </w: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79</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85</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800" w:type="dxa"/>
            <w:vAlign w:val="bottom"/>
            <w:gridSpan w:val="2"/>
          </w:tcPr>
          <w:p>
            <w:pPr>
              <w:ind w:left="160"/>
              <w:spacing w:after="0"/>
              <w:rPr>
                <w:sz w:val="20"/>
                <w:szCs w:val="20"/>
                <w:color w:val="auto"/>
              </w:rPr>
            </w:pPr>
            <w:r>
              <w:rPr>
                <w:rFonts w:ascii="Arial" w:cs="Arial" w:eastAsia="Arial" w:hAnsi="Arial"/>
                <w:sz w:val="11"/>
                <w:szCs w:val="11"/>
                <w:color w:val="auto"/>
              </w:rPr>
              <w:t>Short-term lease costs</w:t>
            </w: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tcPr>
          <w:p>
            <w:pPr>
              <w:jc w:val="right"/>
              <w:ind w:right="4"/>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8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Variable lease costs</w:t>
            </w:r>
            <w:r>
              <w:rPr>
                <w:rFonts w:ascii="Arial" w:cs="Arial" w:eastAsia="Arial" w:hAnsi="Arial"/>
                <w:sz w:val="14"/>
                <w:szCs w:val="14"/>
                <w:color w:val="auto"/>
                <w:vertAlign w:val="superscript"/>
              </w:rPr>
              <w:t>(1)</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24</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800" w:type="dxa"/>
            <w:vAlign w:val="bottom"/>
            <w:gridSpan w:val="2"/>
          </w:tcPr>
          <w:p>
            <w:pPr>
              <w:ind w:left="160"/>
              <w:spacing w:after="0"/>
              <w:rPr>
                <w:sz w:val="20"/>
                <w:szCs w:val="20"/>
                <w:color w:val="auto"/>
              </w:rPr>
            </w:pPr>
            <w:r>
              <w:rPr>
                <w:rFonts w:ascii="Arial" w:cs="Arial" w:eastAsia="Arial" w:hAnsi="Arial"/>
                <w:sz w:val="11"/>
                <w:szCs w:val="11"/>
                <w:color w:val="auto"/>
              </w:rPr>
              <w:t>Sublease income</w:t>
            </w:r>
          </w:p>
        </w:tc>
        <w:tc>
          <w:tcPr>
            <w:tcW w:w="420" w:type="dxa"/>
            <w:vAlign w:val="bottom"/>
          </w:tcPr>
          <w:p>
            <w:pPr>
              <w:spacing w:after="0"/>
              <w:rPr>
                <w:sz w:val="13"/>
                <w:szCs w:val="13"/>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58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Total Operating Lease Costs</w:t>
            </w:r>
          </w:p>
        </w:tc>
        <w:tc>
          <w:tcPr>
            <w:tcW w:w="420" w:type="dxa"/>
            <w:vAlign w:val="bottom"/>
            <w:tcBorders>
              <w:top w:val="single" w:sz="8" w:color="auto"/>
              <w:bottom w:val="single" w:sz="8" w:color="auto"/>
            </w:tcBorders>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16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106</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111</w:t>
            </w:r>
          </w:p>
        </w:tc>
        <w:tc>
          <w:tcPr>
            <w:tcW w:w="0" w:type="dxa"/>
            <w:vAlign w:val="bottom"/>
          </w:tcPr>
          <w:p>
            <w:pPr>
              <w:spacing w:after="0"/>
              <w:rPr>
                <w:sz w:val="1"/>
                <w:szCs w:val="1"/>
                <w:color w:val="auto"/>
              </w:rPr>
            </w:pPr>
          </w:p>
        </w:tc>
      </w:tr>
      <w:tr>
        <w:trPr>
          <w:trHeight w:val="20"/>
        </w:trPr>
        <w:tc>
          <w:tcPr>
            <w:tcW w:w="582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1"/>
                <w:szCs w:val="11"/>
                <w:color w:val="auto"/>
              </w:rPr>
              <w:t>__________</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820" w:type="dxa"/>
            <w:vAlign w:val="bottom"/>
            <w:gridSpan w:val="3"/>
            <w:vMerge w:val="continue"/>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5820" w:type="dxa"/>
            <w:vAlign w:val="bottom"/>
            <w:gridSpan w:val="3"/>
          </w:tcPr>
          <w:p>
            <w:pPr>
              <w:spacing w:after="0"/>
              <w:rPr>
                <w:sz w:val="20"/>
                <w:szCs w:val="20"/>
                <w:color w:val="auto"/>
              </w:rPr>
            </w:pPr>
            <w:r>
              <w:rPr>
                <w:rFonts w:ascii="Arial" w:cs="Arial" w:eastAsia="Arial" w:hAnsi="Arial"/>
                <w:sz w:val="11"/>
                <w:szCs w:val="11"/>
                <w:i w:val="1"/>
                <w:iCs w:val="1"/>
                <w:color w:val="auto"/>
              </w:rPr>
              <w:t>(1)  Primarily related to taxes, insurance and common area and other maintenance costs for real estate leases.</w:t>
            </w: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Supplemental cash flow information related to leases was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color w:val="auto"/>
              </w:rPr>
              <w:t>Year Ended December 31,</w:t>
            </w:r>
          </w:p>
        </w:tc>
        <w:tc>
          <w:tcPr>
            <w:tcW w:w="4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820" w:type="dxa"/>
            <w:vAlign w:val="bottom"/>
            <w:gridSpan w:val="3"/>
          </w:tcPr>
          <w:p>
            <w:pPr>
              <w:spacing w:after="0"/>
              <w:rPr>
                <w:sz w:val="20"/>
                <w:szCs w:val="20"/>
                <w:color w:val="auto"/>
              </w:rPr>
            </w:pPr>
            <w:r>
              <w:rPr>
                <w:rFonts w:ascii="Arial" w:cs="Arial" w:eastAsia="Arial" w:hAnsi="Arial"/>
                <w:sz w:val="10"/>
                <w:szCs w:val="10"/>
                <w:color w:val="auto"/>
              </w:rPr>
              <w:t>(in millions)</w:t>
            </w:r>
          </w:p>
        </w:tc>
        <w:tc>
          <w:tcPr>
            <w:tcW w:w="420" w:type="dxa"/>
            <w:vAlign w:val="bottom"/>
          </w:tcPr>
          <w:p>
            <w:pPr>
              <w:spacing w:after="0"/>
              <w:rPr>
                <w:sz w:val="10"/>
                <w:szCs w:val="10"/>
                <w:color w:val="auto"/>
              </w:rPr>
            </w:pPr>
          </w:p>
        </w:tc>
        <w:tc>
          <w:tcPr>
            <w:tcW w:w="1340" w:type="dxa"/>
            <w:vAlign w:val="bottom"/>
          </w:tcPr>
          <w:p>
            <w:pPr>
              <w:jc w:val="right"/>
              <w:ind w:right="704"/>
              <w:spacing w:after="0" w:line="120" w:lineRule="exact"/>
              <w:rPr>
                <w:sz w:val="20"/>
                <w:szCs w:val="20"/>
                <w:color w:val="auto"/>
              </w:rPr>
            </w:pPr>
            <w:r>
              <w:rPr>
                <w:rFonts w:ascii="Arial" w:cs="Arial" w:eastAsia="Arial" w:hAnsi="Arial"/>
                <w:sz w:val="11"/>
                <w:szCs w:val="11"/>
                <w:color w:val="auto"/>
              </w:rPr>
              <w:t>2023</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0" w:type="dxa"/>
            <w:vAlign w:val="bottom"/>
          </w:tcPr>
          <w:p>
            <w:pPr>
              <w:jc w:val="right"/>
              <w:ind w:right="704"/>
              <w:spacing w:after="0" w:line="120" w:lineRule="exact"/>
              <w:rPr>
                <w:sz w:val="20"/>
                <w:szCs w:val="20"/>
                <w:color w:val="auto"/>
              </w:rPr>
            </w:pPr>
            <w:r>
              <w:rPr>
                <w:rFonts w:ascii="Arial" w:cs="Arial" w:eastAsia="Arial" w:hAnsi="Arial"/>
                <w:sz w:val="11"/>
                <w:szCs w:val="11"/>
                <w:color w:val="auto"/>
              </w:rPr>
              <w:t>2022</w:t>
            </w: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jc w:val="right"/>
              <w:ind w:right="704"/>
              <w:spacing w:after="0" w:line="120" w:lineRule="exact"/>
              <w:rPr>
                <w:sz w:val="20"/>
                <w:szCs w:val="20"/>
                <w:color w:val="auto"/>
              </w:rPr>
            </w:pPr>
            <w:r>
              <w:rPr>
                <w:rFonts w:ascii="Arial" w:cs="Arial" w:eastAsia="Arial" w:hAnsi="Arial"/>
                <w:sz w:val="11"/>
                <w:szCs w:val="11"/>
                <w:color w:val="auto"/>
              </w:rPr>
              <w:t>2021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gridSpan w:val="2"/>
            <w:vMerge w:val="restart"/>
          </w:tcPr>
          <w:p>
            <w:pPr>
              <w:spacing w:after="0"/>
              <w:rPr>
                <w:sz w:val="20"/>
                <w:szCs w:val="20"/>
                <w:color w:val="auto"/>
              </w:rPr>
            </w:pPr>
            <w:r>
              <w:rPr>
                <w:rFonts w:ascii="Arial" w:cs="Arial" w:eastAsia="Arial" w:hAnsi="Arial"/>
                <w:sz w:val="11"/>
                <w:szCs w:val="11"/>
                <w:color w:val="auto"/>
              </w:rPr>
              <w:t>Cash paid for the amounts included in the measurement of lease liabilities:</w:t>
            </w: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57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820" w:type="dxa"/>
            <w:vAlign w:val="bottom"/>
            <w:gridSpan w:val="3"/>
            <w:shd w:val="clear" w:color="auto" w:fill="CCEEFF"/>
          </w:tcPr>
          <w:p>
            <w:pPr>
              <w:ind w:left="160"/>
              <w:spacing w:after="0"/>
              <w:rPr>
                <w:sz w:val="20"/>
                <w:szCs w:val="20"/>
                <w:color w:val="auto"/>
              </w:rPr>
            </w:pPr>
            <w:r>
              <w:rPr>
                <w:rFonts w:ascii="Arial" w:cs="Arial" w:eastAsia="Arial" w:hAnsi="Arial"/>
                <w:sz w:val="11"/>
                <w:szCs w:val="11"/>
                <w:color w:val="auto"/>
              </w:rPr>
              <w:t>Operating cash flows from operating leases</w:t>
            </w: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83</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93</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5820" w:type="dxa"/>
            <w:vAlign w:val="bottom"/>
            <w:tcBorders>
              <w:bottom w:val="single" w:sz="8" w:color="CCEEFF"/>
            </w:tcBorders>
            <w:gridSpan w:val="3"/>
          </w:tcPr>
          <w:p>
            <w:pPr>
              <w:ind w:left="160"/>
              <w:spacing w:after="0"/>
              <w:rPr>
                <w:sz w:val="20"/>
                <w:szCs w:val="20"/>
                <w:color w:val="auto"/>
              </w:rPr>
            </w:pPr>
            <w:r>
              <w:rPr>
                <w:rFonts w:ascii="Arial" w:cs="Arial" w:eastAsia="Arial" w:hAnsi="Arial"/>
                <w:sz w:val="11"/>
                <w:szCs w:val="11"/>
                <w:color w:val="auto"/>
              </w:rPr>
              <w:t>Operating cash flows from finance leases</w:t>
            </w: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4"/>
                <w:szCs w:val="14"/>
                <w:color w:val="auto"/>
              </w:rPr>
            </w:pPr>
          </w:p>
        </w:tc>
        <w:tc>
          <w:tcPr>
            <w:tcW w:w="58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1"/>
                <w:szCs w:val="11"/>
                <w:color w:val="auto"/>
              </w:rPr>
              <w:t>Total Cash Flow from Operating Activities</w:t>
            </w:r>
          </w:p>
        </w:tc>
        <w:tc>
          <w:tcPr>
            <w:tcW w:w="42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86</w:t>
            </w: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16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94</w:t>
            </w:r>
          </w:p>
        </w:tc>
        <w:tc>
          <w:tcPr>
            <w:tcW w:w="8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5820" w:type="dxa"/>
            <w:vAlign w:val="bottom"/>
            <w:gridSpan w:val="3"/>
            <w:shd w:val="clear" w:color="auto" w:fill="CCEEFF"/>
          </w:tcPr>
          <w:p>
            <w:pPr>
              <w:ind w:left="160"/>
              <w:spacing w:after="0"/>
              <w:rPr>
                <w:sz w:val="20"/>
                <w:szCs w:val="20"/>
                <w:color w:val="auto"/>
              </w:rPr>
            </w:pPr>
            <w:r>
              <w:rPr>
                <w:rFonts w:ascii="Arial" w:cs="Arial" w:eastAsia="Arial" w:hAnsi="Arial"/>
                <w:sz w:val="11"/>
                <w:szCs w:val="11"/>
                <w:color w:val="auto"/>
              </w:rPr>
              <w:t>Financing cash flow from finance leases</w:t>
            </w: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16</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5820" w:type="dxa"/>
            <w:vAlign w:val="bottom"/>
            <w:gridSpan w:val="3"/>
            <w:shd w:val="clear" w:color="auto" w:fill="CCEEFF"/>
          </w:tcPr>
          <w:p>
            <w:pPr>
              <w:spacing w:after="0"/>
              <w:rPr>
                <w:sz w:val="20"/>
                <w:szCs w:val="20"/>
                <w:color w:val="auto"/>
              </w:rPr>
            </w:pPr>
            <w:r>
              <w:rPr>
                <w:rFonts w:ascii="Arial" w:cs="Arial" w:eastAsia="Arial" w:hAnsi="Arial"/>
                <w:sz w:val="11"/>
                <w:szCs w:val="11"/>
                <w:color w:val="auto"/>
              </w:rPr>
              <w:t>Supplemental non-cash information on right of use assets obtained in exchange for new lease obligations:</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820" w:type="dxa"/>
            <w:vAlign w:val="bottom"/>
            <w:gridSpan w:val="3"/>
          </w:tcPr>
          <w:p>
            <w:pPr>
              <w:ind w:left="160"/>
              <w:spacing w:after="0"/>
              <w:rPr>
                <w:sz w:val="20"/>
                <w:szCs w:val="20"/>
                <w:color w:val="auto"/>
              </w:rPr>
            </w:pPr>
            <w:r>
              <w:rPr>
                <w:rFonts w:ascii="Arial" w:cs="Arial" w:eastAsia="Arial" w:hAnsi="Arial"/>
                <w:sz w:val="11"/>
                <w:szCs w:val="11"/>
                <w:color w:val="auto"/>
              </w:rPr>
              <w:t>Operating leases</w:t>
            </w:r>
          </w:p>
        </w:tc>
        <w:tc>
          <w:tcPr>
            <w:tcW w:w="420" w:type="dxa"/>
            <w:vAlign w:val="bottom"/>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tcPr>
          <w:p>
            <w:pPr>
              <w:jc w:val="right"/>
              <w:ind w:right="4"/>
              <w:spacing w:after="0"/>
              <w:rPr>
                <w:sz w:val="20"/>
                <w:szCs w:val="20"/>
                <w:color w:val="auto"/>
              </w:rPr>
            </w:pPr>
            <w:r>
              <w:rPr>
                <w:rFonts w:ascii="Arial" w:cs="Arial" w:eastAsia="Arial" w:hAnsi="Arial"/>
                <w:sz w:val="11"/>
                <w:szCs w:val="11"/>
                <w:color w:val="auto"/>
              </w:rPr>
              <w:t>70</w:t>
            </w:r>
          </w:p>
        </w:tc>
        <w:tc>
          <w:tcPr>
            <w:tcW w:w="80" w:type="dxa"/>
            <w:vAlign w:val="bottom"/>
          </w:tcPr>
          <w:p>
            <w:pPr>
              <w:spacing w:after="0"/>
              <w:rPr>
                <w:sz w:val="13"/>
                <w:szCs w:val="13"/>
                <w:color w:val="auto"/>
              </w:rPr>
            </w:pPr>
          </w:p>
        </w:tc>
        <w:tc>
          <w:tcPr>
            <w:tcW w:w="160" w:type="dxa"/>
            <w:vAlign w:val="bottom"/>
          </w:tcPr>
          <w:p>
            <w:pPr>
              <w:jc w:val="right"/>
              <w:ind w:right="24"/>
              <w:spacing w:after="0"/>
              <w:rPr>
                <w:sz w:val="20"/>
                <w:szCs w:val="20"/>
                <w:color w:val="auto"/>
              </w:rPr>
            </w:pPr>
            <w:r>
              <w:rPr>
                <w:rFonts w:ascii="Arial" w:cs="Arial" w:eastAsia="Arial" w:hAnsi="Arial"/>
                <w:sz w:val="11"/>
                <w:szCs w:val="11"/>
                <w:color w:val="auto"/>
                <w:w w:val="97"/>
              </w:rPr>
              <w:t>$</w:t>
            </w:r>
          </w:p>
        </w:tc>
        <w:tc>
          <w:tcPr>
            <w:tcW w:w="1600" w:type="dxa"/>
            <w:vAlign w:val="bottom"/>
          </w:tcPr>
          <w:p>
            <w:pPr>
              <w:jc w:val="right"/>
              <w:ind w:right="4"/>
              <w:spacing w:after="0"/>
              <w:rPr>
                <w:sz w:val="20"/>
                <w:szCs w:val="20"/>
                <w:color w:val="auto"/>
              </w:rPr>
            </w:pPr>
            <w:r>
              <w:rPr>
                <w:rFonts w:ascii="Arial" w:cs="Arial" w:eastAsia="Arial" w:hAnsi="Arial"/>
                <w:sz w:val="11"/>
                <w:szCs w:val="11"/>
                <w:color w:val="auto"/>
              </w:rPr>
              <w:t>43</w:t>
            </w:r>
          </w:p>
        </w:tc>
        <w:tc>
          <w:tcPr>
            <w:tcW w:w="80" w:type="dxa"/>
            <w:vAlign w:val="bottom"/>
          </w:tcPr>
          <w:p>
            <w:pPr>
              <w:spacing w:after="0"/>
              <w:rPr>
                <w:sz w:val="13"/>
                <w:szCs w:val="13"/>
                <w:color w:val="auto"/>
              </w:rPr>
            </w:pPr>
          </w:p>
        </w:tc>
        <w:tc>
          <w:tcPr>
            <w:tcW w:w="420" w:type="dxa"/>
            <w:vAlign w:val="bottom"/>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tcPr>
          <w:p>
            <w:pPr>
              <w:jc w:val="right"/>
              <w:spacing w:after="0"/>
              <w:rPr>
                <w:sz w:val="20"/>
                <w:szCs w:val="20"/>
                <w:color w:val="auto"/>
              </w:rPr>
            </w:pPr>
            <w:r>
              <w:rPr>
                <w:rFonts w:ascii="Arial" w:cs="Arial" w:eastAsia="Arial" w:hAnsi="Arial"/>
                <w:sz w:val="11"/>
                <w:szCs w:val="11"/>
                <w:color w:val="auto"/>
              </w:rPr>
              <w:t>68</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820" w:type="dxa"/>
            <w:vAlign w:val="bottom"/>
            <w:gridSpan w:val="3"/>
            <w:shd w:val="clear" w:color="auto" w:fill="CCEEFF"/>
          </w:tcPr>
          <w:p>
            <w:pPr>
              <w:ind w:left="160"/>
              <w:spacing w:after="0"/>
              <w:rPr>
                <w:sz w:val="20"/>
                <w:szCs w:val="20"/>
                <w:color w:val="auto"/>
              </w:rPr>
            </w:pPr>
            <w:r>
              <w:rPr>
                <w:rFonts w:ascii="Arial" w:cs="Arial" w:eastAsia="Arial" w:hAnsi="Arial"/>
                <w:sz w:val="11"/>
                <w:szCs w:val="11"/>
                <w:color w:val="auto"/>
              </w:rPr>
              <w:t>Finance leases</w:t>
            </w: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21</w:t>
            </w: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w w:val="97"/>
              </w:rPr>
              <w:t>$</w:t>
            </w:r>
          </w:p>
        </w:tc>
        <w:tc>
          <w:tcPr>
            <w:tcW w:w="16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14</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4"/>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0"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74" w:name="page75"/>
    <w:bookmarkEnd w:id="74"/>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Supplemental balance sheet information related to leases was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80" w:type="dxa"/>
            <w:vAlign w:val="bottom"/>
            <w:tcBorders>
              <w:bottom w:val="single" w:sz="8" w:color="auto"/>
            </w:tcBorders>
            <w:gridSpan w:val="3"/>
          </w:tcPr>
          <w:p>
            <w:pPr>
              <w:jc w:val="right"/>
              <w:ind w:right="204"/>
              <w:spacing w:after="0"/>
              <w:rPr>
                <w:sz w:val="20"/>
                <w:szCs w:val="20"/>
                <w:color w:val="auto"/>
              </w:rPr>
            </w:pPr>
            <w:r>
              <w:rPr>
                <w:rFonts w:ascii="Arial" w:cs="Arial" w:eastAsia="Arial" w:hAnsi="Arial"/>
                <w:sz w:val="11"/>
                <w:szCs w:val="11"/>
                <w:color w:val="auto"/>
              </w:rPr>
              <w:t>December 31,</w:t>
            </w:r>
          </w:p>
        </w:tc>
        <w:tc>
          <w:tcPr>
            <w:tcW w:w="1300" w:type="dxa"/>
            <w:vAlign w:val="bottom"/>
            <w:tcBorders>
              <w:bottom w:val="single" w:sz="8" w:color="auto"/>
            </w:tcBorders>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746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420" w:type="dxa"/>
            <w:vAlign w:val="bottom"/>
          </w:tcPr>
          <w:p>
            <w:pPr>
              <w:spacing w:after="0"/>
              <w:rPr>
                <w:sz w:val="10"/>
                <w:szCs w:val="10"/>
                <w:color w:val="auto"/>
              </w:rPr>
            </w:pPr>
          </w:p>
        </w:tc>
        <w:tc>
          <w:tcPr>
            <w:tcW w:w="1420" w:type="dxa"/>
            <w:vAlign w:val="bottom"/>
          </w:tcPr>
          <w:p>
            <w:pPr>
              <w:jc w:val="right"/>
              <w:ind w:right="744"/>
              <w:spacing w:after="0" w:line="120" w:lineRule="exact"/>
              <w:rPr>
                <w:sz w:val="20"/>
                <w:szCs w:val="20"/>
                <w:color w:val="auto"/>
              </w:rPr>
            </w:pPr>
            <w:r>
              <w:rPr>
                <w:rFonts w:ascii="Arial" w:cs="Arial" w:eastAsia="Arial" w:hAnsi="Arial"/>
                <w:sz w:val="11"/>
                <w:szCs w:val="11"/>
                <w:color w:val="auto"/>
              </w:rPr>
              <w:t>2023</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300" w:type="dxa"/>
            <w:vAlign w:val="bottom"/>
          </w:tcPr>
          <w:p>
            <w:pPr>
              <w:jc w:val="right"/>
              <w:ind w:right="744"/>
              <w:spacing w:after="0" w:line="120" w:lineRule="exact"/>
              <w:rPr>
                <w:sz w:val="20"/>
                <w:szCs w:val="20"/>
                <w:color w:val="auto"/>
              </w:rPr>
            </w:pPr>
            <w:r>
              <w:rPr>
                <w:rFonts w:ascii="Arial" w:cs="Arial" w:eastAsia="Arial" w:hAnsi="Arial"/>
                <w:sz w:val="11"/>
                <w:szCs w:val="11"/>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69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7460" w:type="dxa"/>
            <w:vAlign w:val="bottom"/>
            <w:gridSpan w:val="2"/>
            <w:shd w:val="clear" w:color="auto" w:fill="CCEEFF"/>
          </w:tcPr>
          <w:p>
            <w:pPr>
              <w:spacing w:after="0" w:line="125" w:lineRule="exact"/>
              <w:rPr>
                <w:sz w:val="20"/>
                <w:szCs w:val="20"/>
                <w:color w:val="auto"/>
              </w:rPr>
            </w:pPr>
            <w:r>
              <w:rPr>
                <w:rFonts w:ascii="Arial" w:cs="Arial" w:eastAsia="Arial" w:hAnsi="Arial"/>
                <w:sz w:val="11"/>
                <w:szCs w:val="11"/>
                <w:color w:val="auto"/>
              </w:rPr>
              <w:t>Operating lease assets:</w:t>
            </w:r>
          </w:p>
        </w:tc>
        <w:tc>
          <w:tcPr>
            <w:tcW w:w="42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r>
      <w:tr>
        <w:trPr>
          <w:trHeight w:val="152"/>
        </w:trPr>
        <w:tc>
          <w:tcPr>
            <w:tcW w:w="20" w:type="dxa"/>
            <w:vAlign w:val="bottom"/>
          </w:tcPr>
          <w:p>
            <w:pPr>
              <w:spacing w:after="0"/>
              <w:rPr>
                <w:sz w:val="13"/>
                <w:szCs w:val="13"/>
                <w:color w:val="auto"/>
              </w:rPr>
            </w:pPr>
          </w:p>
        </w:tc>
        <w:tc>
          <w:tcPr>
            <w:tcW w:w="7460" w:type="dxa"/>
            <w:vAlign w:val="bottom"/>
            <w:gridSpan w:val="2"/>
          </w:tcPr>
          <w:p>
            <w:pPr>
              <w:ind w:left="160"/>
              <w:spacing w:after="0"/>
              <w:rPr>
                <w:sz w:val="20"/>
                <w:szCs w:val="20"/>
                <w:color w:val="auto"/>
              </w:rPr>
            </w:pPr>
            <w:r>
              <w:rPr>
                <w:rFonts w:ascii="Arial" w:cs="Arial" w:eastAsia="Arial" w:hAnsi="Arial"/>
                <w:sz w:val="11"/>
                <w:szCs w:val="11"/>
                <w:color w:val="auto"/>
              </w:rPr>
              <w:t>Operating lease right-of-use assets</w:t>
            </w:r>
          </w:p>
        </w:tc>
        <w:tc>
          <w:tcPr>
            <w:tcW w:w="420" w:type="dxa"/>
            <w:vAlign w:val="bottom"/>
          </w:tcPr>
          <w:p>
            <w:pPr>
              <w:jc w:val="right"/>
              <w:ind w:right="310"/>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ind w:right="4"/>
              <w:spacing w:after="0"/>
              <w:rPr>
                <w:sz w:val="20"/>
                <w:szCs w:val="20"/>
                <w:color w:val="auto"/>
              </w:rPr>
            </w:pPr>
            <w:r>
              <w:rPr>
                <w:rFonts w:ascii="Arial" w:cs="Arial" w:eastAsia="Arial" w:hAnsi="Arial"/>
                <w:sz w:val="11"/>
                <w:szCs w:val="11"/>
                <w:color w:val="auto"/>
              </w:rPr>
              <w:t>191</w:t>
            </w:r>
          </w:p>
        </w:tc>
        <w:tc>
          <w:tcPr>
            <w:tcW w:w="120" w:type="dxa"/>
            <w:vAlign w:val="bottom"/>
          </w:tcPr>
          <w:p>
            <w:pPr>
              <w:spacing w:after="0"/>
              <w:rPr>
                <w:sz w:val="13"/>
                <w:szCs w:val="13"/>
                <w:color w:val="auto"/>
              </w:rPr>
            </w:pPr>
          </w:p>
        </w:tc>
        <w:tc>
          <w:tcPr>
            <w:tcW w:w="540" w:type="dxa"/>
            <w:vAlign w:val="bottom"/>
          </w:tcPr>
          <w:p>
            <w:pPr>
              <w:jc w:val="right"/>
              <w:ind w:right="404"/>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197</w:t>
            </w:r>
          </w:p>
        </w:tc>
      </w:tr>
      <w:tr>
        <w:trPr>
          <w:trHeight w:val="160"/>
        </w:trPr>
        <w:tc>
          <w:tcPr>
            <w:tcW w:w="20" w:type="dxa"/>
            <w:vAlign w:val="bottom"/>
            <w:shd w:val="clear" w:color="auto" w:fill="CCEEFF"/>
          </w:tcPr>
          <w:p>
            <w:pPr>
              <w:spacing w:after="0"/>
              <w:rPr>
                <w:sz w:val="13"/>
                <w:szCs w:val="13"/>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Operating lease liabilities:</w:t>
            </w:r>
          </w:p>
        </w:tc>
        <w:tc>
          <w:tcPr>
            <w:tcW w:w="42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7460" w:type="dxa"/>
            <w:vAlign w:val="bottom"/>
            <w:gridSpan w:val="2"/>
          </w:tcPr>
          <w:p>
            <w:pPr>
              <w:ind w:left="160"/>
              <w:spacing w:after="0"/>
              <w:rPr>
                <w:sz w:val="20"/>
                <w:szCs w:val="20"/>
                <w:color w:val="auto"/>
              </w:rPr>
            </w:pPr>
            <w:r>
              <w:rPr>
                <w:rFonts w:ascii="Arial" w:cs="Arial" w:eastAsia="Arial" w:hAnsi="Arial"/>
                <w:sz w:val="11"/>
                <w:szCs w:val="11"/>
                <w:color w:val="auto"/>
              </w:rPr>
              <w:t>Other current liabilities</w:t>
            </w:r>
          </w:p>
        </w:tc>
        <w:tc>
          <w:tcPr>
            <w:tcW w:w="420" w:type="dxa"/>
            <w:vAlign w:val="bottom"/>
          </w:tcPr>
          <w:p>
            <w:pPr>
              <w:spacing w:after="0"/>
              <w:rPr>
                <w:sz w:val="13"/>
                <w:szCs w:val="13"/>
                <w:color w:val="auto"/>
              </w:rPr>
            </w:pPr>
          </w:p>
        </w:tc>
        <w:tc>
          <w:tcPr>
            <w:tcW w:w="1420" w:type="dxa"/>
            <w:vAlign w:val="bottom"/>
          </w:tcPr>
          <w:p>
            <w:pPr>
              <w:jc w:val="right"/>
              <w:ind w:right="4"/>
              <w:spacing w:after="0"/>
              <w:rPr>
                <w:sz w:val="20"/>
                <w:szCs w:val="20"/>
                <w:color w:val="auto"/>
              </w:rPr>
            </w:pPr>
            <w:r>
              <w:rPr>
                <w:rFonts w:ascii="Arial" w:cs="Arial" w:eastAsia="Arial" w:hAnsi="Arial"/>
                <w:sz w:val="11"/>
                <w:szCs w:val="11"/>
                <w:color w:val="auto"/>
              </w:rPr>
              <w:t>54</w:t>
            </w: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57</w:t>
            </w:r>
          </w:p>
        </w:tc>
      </w:tr>
      <w:tr>
        <w:trPr>
          <w:trHeight w:val="156"/>
        </w:trPr>
        <w:tc>
          <w:tcPr>
            <w:tcW w:w="20" w:type="dxa"/>
            <w:vAlign w:val="bottom"/>
            <w:shd w:val="clear" w:color="auto" w:fill="CCEEFF"/>
          </w:tcPr>
          <w:p>
            <w:pPr>
              <w:spacing w:after="0"/>
              <w:rPr>
                <w:sz w:val="13"/>
                <w:szCs w:val="13"/>
                <w:color w:val="auto"/>
              </w:rPr>
            </w:pPr>
          </w:p>
        </w:tc>
        <w:tc>
          <w:tcPr>
            <w:tcW w:w="74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Operating lease liabilities</w:t>
            </w:r>
          </w:p>
        </w:tc>
        <w:tc>
          <w:tcPr>
            <w:tcW w:w="42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157</w:t>
            </w:r>
          </w:p>
        </w:tc>
        <w:tc>
          <w:tcPr>
            <w:tcW w:w="12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160</w:t>
            </w:r>
          </w:p>
        </w:tc>
      </w:tr>
      <w:tr>
        <w:trPr>
          <w:trHeight w:val="151"/>
        </w:trPr>
        <w:tc>
          <w:tcPr>
            <w:tcW w:w="20" w:type="dxa"/>
            <w:vAlign w:val="bottom"/>
          </w:tcPr>
          <w:p>
            <w:pPr>
              <w:spacing w:after="0"/>
              <w:rPr>
                <w:sz w:val="13"/>
                <w:szCs w:val="13"/>
                <w:color w:val="auto"/>
              </w:rPr>
            </w:pPr>
          </w:p>
        </w:tc>
        <w:tc>
          <w:tcPr>
            <w:tcW w:w="7460" w:type="dxa"/>
            <w:vAlign w:val="bottom"/>
            <w:gridSpan w:val="2"/>
          </w:tcPr>
          <w:p>
            <w:pPr>
              <w:spacing w:after="0"/>
              <w:rPr>
                <w:sz w:val="20"/>
                <w:szCs w:val="20"/>
                <w:color w:val="auto"/>
              </w:rPr>
            </w:pPr>
            <w:r>
              <w:rPr>
                <w:rFonts w:ascii="Arial" w:cs="Arial" w:eastAsia="Arial" w:hAnsi="Arial"/>
                <w:sz w:val="11"/>
                <w:szCs w:val="11"/>
                <w:color w:val="auto"/>
              </w:rPr>
              <w:t>Total Operating Lease Liabilities</w:t>
            </w:r>
          </w:p>
        </w:tc>
        <w:tc>
          <w:tcPr>
            <w:tcW w:w="420" w:type="dxa"/>
            <w:vAlign w:val="bottom"/>
            <w:tcBorders>
              <w:bottom w:val="single" w:sz="8" w:color="auto"/>
            </w:tcBorders>
          </w:tcPr>
          <w:p>
            <w:pPr>
              <w:jc w:val="right"/>
              <w:ind w:right="310"/>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211</w:t>
            </w:r>
          </w:p>
        </w:tc>
        <w:tc>
          <w:tcPr>
            <w:tcW w:w="120" w:type="dxa"/>
            <w:vAlign w:val="bottom"/>
          </w:tcPr>
          <w:p>
            <w:pPr>
              <w:spacing w:after="0"/>
              <w:rPr>
                <w:sz w:val="13"/>
                <w:szCs w:val="13"/>
                <w:color w:val="auto"/>
              </w:rPr>
            </w:pPr>
          </w:p>
        </w:tc>
        <w:tc>
          <w:tcPr>
            <w:tcW w:w="540" w:type="dxa"/>
            <w:vAlign w:val="bottom"/>
            <w:tcBorders>
              <w:bottom w:val="single" w:sz="8" w:color="auto"/>
            </w:tcBorders>
          </w:tcPr>
          <w:p>
            <w:pPr>
              <w:jc w:val="right"/>
              <w:ind w:right="404"/>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9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9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52"/>
        </w:trPr>
        <w:tc>
          <w:tcPr>
            <w:tcW w:w="20" w:type="dxa"/>
            <w:vAlign w:val="bottom"/>
          </w:tcPr>
          <w:p>
            <w:pPr>
              <w:spacing w:after="0"/>
              <w:rPr>
                <w:sz w:val="13"/>
                <w:szCs w:val="13"/>
                <w:color w:val="auto"/>
              </w:rPr>
            </w:pPr>
          </w:p>
        </w:tc>
        <w:tc>
          <w:tcPr>
            <w:tcW w:w="7460" w:type="dxa"/>
            <w:vAlign w:val="bottom"/>
            <w:gridSpan w:val="2"/>
          </w:tcPr>
          <w:p>
            <w:pPr>
              <w:spacing w:after="0"/>
              <w:rPr>
                <w:sz w:val="20"/>
                <w:szCs w:val="20"/>
                <w:color w:val="auto"/>
              </w:rPr>
            </w:pPr>
            <w:r>
              <w:rPr>
                <w:rFonts w:ascii="Arial" w:cs="Arial" w:eastAsia="Arial" w:hAnsi="Arial"/>
                <w:sz w:val="11"/>
                <w:szCs w:val="11"/>
                <w:color w:val="auto"/>
              </w:rPr>
              <w:t>Finance lease assets:</w:t>
            </w: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60"/>
        </w:trPr>
        <w:tc>
          <w:tcPr>
            <w:tcW w:w="20" w:type="dxa"/>
            <w:vAlign w:val="bottom"/>
            <w:shd w:val="clear" w:color="auto" w:fill="CCEEFF"/>
          </w:tcPr>
          <w:p>
            <w:pPr>
              <w:spacing w:after="0"/>
              <w:rPr>
                <w:sz w:val="13"/>
                <w:szCs w:val="13"/>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Land, buildings and equipment, net</w:t>
            </w:r>
          </w:p>
        </w:tc>
        <w:tc>
          <w:tcPr>
            <w:tcW w:w="420" w:type="dxa"/>
            <w:vAlign w:val="bottom"/>
            <w:shd w:val="clear" w:color="auto" w:fill="CCEEFF"/>
          </w:tcPr>
          <w:p>
            <w:pPr>
              <w:jc w:val="right"/>
              <w:ind w:right="310"/>
              <w:spacing w:after="0"/>
              <w:rPr>
                <w:sz w:val="20"/>
                <w:szCs w:val="20"/>
                <w:color w:val="auto"/>
              </w:rPr>
            </w:pPr>
            <w:r>
              <w:rPr>
                <w:rFonts w:ascii="Arial" w:cs="Arial" w:eastAsia="Arial" w:hAnsi="Arial"/>
                <w:sz w:val="10"/>
                <w:szCs w:val="10"/>
                <w:color w:val="auto"/>
                <w:w w:val="71"/>
              </w:rPr>
              <w:t>$</w:t>
            </w: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21</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04"/>
              <w:spacing w:after="0"/>
              <w:rPr>
                <w:sz w:val="20"/>
                <w:szCs w:val="20"/>
                <w:color w:val="auto"/>
              </w:rPr>
            </w:pPr>
            <w:r>
              <w:rPr>
                <w:rFonts w:ascii="Arial" w:cs="Arial" w:eastAsia="Arial" w:hAnsi="Arial"/>
                <w:sz w:val="11"/>
                <w:szCs w:val="11"/>
                <w:color w:val="auto"/>
                <w:w w:val="97"/>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w:t>
            </w:r>
          </w:p>
        </w:tc>
      </w:tr>
      <w:tr>
        <w:trPr>
          <w:trHeight w:val="152"/>
        </w:trPr>
        <w:tc>
          <w:tcPr>
            <w:tcW w:w="20" w:type="dxa"/>
            <w:vAlign w:val="bottom"/>
          </w:tcPr>
          <w:p>
            <w:pPr>
              <w:spacing w:after="0"/>
              <w:rPr>
                <w:sz w:val="13"/>
                <w:szCs w:val="13"/>
                <w:color w:val="auto"/>
              </w:rPr>
            </w:pPr>
          </w:p>
        </w:tc>
        <w:tc>
          <w:tcPr>
            <w:tcW w:w="7460" w:type="dxa"/>
            <w:vAlign w:val="bottom"/>
            <w:gridSpan w:val="2"/>
          </w:tcPr>
          <w:p>
            <w:pPr>
              <w:spacing w:after="0"/>
              <w:rPr>
                <w:sz w:val="20"/>
                <w:szCs w:val="20"/>
                <w:color w:val="auto"/>
              </w:rPr>
            </w:pPr>
            <w:r>
              <w:rPr>
                <w:rFonts w:ascii="Arial" w:cs="Arial" w:eastAsia="Arial" w:hAnsi="Arial"/>
                <w:sz w:val="11"/>
                <w:szCs w:val="11"/>
                <w:color w:val="auto"/>
              </w:rPr>
              <w:t>Finance lease liabilities:</w:t>
            </w:r>
          </w:p>
        </w:tc>
        <w:tc>
          <w:tcPr>
            <w:tcW w:w="4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160"/>
        </w:trPr>
        <w:tc>
          <w:tcPr>
            <w:tcW w:w="20" w:type="dxa"/>
            <w:vAlign w:val="bottom"/>
            <w:shd w:val="clear" w:color="auto" w:fill="CCEEFF"/>
          </w:tcPr>
          <w:p>
            <w:pPr>
              <w:spacing w:after="0"/>
              <w:rPr>
                <w:sz w:val="13"/>
                <w:szCs w:val="13"/>
                <w:color w:val="auto"/>
              </w:rPr>
            </w:pPr>
          </w:p>
        </w:tc>
        <w:tc>
          <w:tcPr>
            <w:tcW w:w="74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Current portion of long-term debt</w:t>
            </w:r>
          </w:p>
        </w:tc>
        <w:tc>
          <w:tcPr>
            <w:tcW w:w="42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12</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r>
      <w:tr>
        <w:trPr>
          <w:trHeight w:val="152"/>
        </w:trPr>
        <w:tc>
          <w:tcPr>
            <w:tcW w:w="20" w:type="dxa"/>
            <w:vAlign w:val="bottom"/>
            <w:tcBorders>
              <w:bottom w:val="single" w:sz="8" w:color="CCEEFF"/>
            </w:tcBorders>
          </w:tcPr>
          <w:p>
            <w:pPr>
              <w:spacing w:after="0"/>
              <w:rPr>
                <w:sz w:val="13"/>
                <w:szCs w:val="13"/>
                <w:color w:val="auto"/>
              </w:rPr>
            </w:pPr>
          </w:p>
        </w:tc>
        <w:tc>
          <w:tcPr>
            <w:tcW w:w="746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Long-term debt</w:t>
            </w:r>
          </w:p>
        </w:tc>
        <w:tc>
          <w:tcPr>
            <w:tcW w:w="4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10</w:t>
            </w:r>
          </w:p>
        </w:tc>
        <w:tc>
          <w:tcPr>
            <w:tcW w:w="12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r>
      <w:tr>
        <w:trPr>
          <w:trHeight w:val="176"/>
        </w:trPr>
        <w:tc>
          <w:tcPr>
            <w:tcW w:w="20" w:type="dxa"/>
            <w:vAlign w:val="bottom"/>
            <w:tcBorders>
              <w:bottom w:val="single" w:sz="8" w:color="CCEEFF"/>
            </w:tcBorders>
            <w:shd w:val="clear" w:color="auto" w:fill="CCEEFF"/>
          </w:tcPr>
          <w:p>
            <w:pPr>
              <w:spacing w:after="0"/>
              <w:rPr>
                <w:sz w:val="14"/>
                <w:szCs w:val="14"/>
                <w:color w:val="auto"/>
              </w:rPr>
            </w:pPr>
          </w:p>
        </w:tc>
        <w:tc>
          <w:tcPr>
            <w:tcW w:w="7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Total Finance Lease Liabilities</w:t>
            </w:r>
          </w:p>
        </w:tc>
        <w:tc>
          <w:tcPr>
            <w:tcW w:w="4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22</w:t>
            </w:r>
          </w:p>
        </w:tc>
        <w:tc>
          <w:tcPr>
            <w:tcW w:w="1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404"/>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9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The weighted average discount rates and weighted average remaining lease terms for operating and finance leases as of December 31, 2023 and 2022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060" w:type="dxa"/>
            <w:vAlign w:val="bottom"/>
          </w:tcPr>
          <w:p>
            <w:pPr>
              <w:spacing w:after="0"/>
              <w:rPr>
                <w:sz w:val="12"/>
                <w:szCs w:val="12"/>
                <w:color w:val="auto"/>
              </w:rPr>
            </w:pPr>
          </w:p>
        </w:tc>
        <w:tc>
          <w:tcPr>
            <w:tcW w:w="2740" w:type="dxa"/>
            <w:vAlign w:val="bottom"/>
            <w:tcBorders>
              <w:bottom w:val="single" w:sz="8" w:color="auto"/>
            </w:tcBorders>
            <w:gridSpan w:val="4"/>
          </w:tcPr>
          <w:p>
            <w:pPr>
              <w:ind w:left="1040"/>
              <w:spacing w:after="0"/>
              <w:rPr>
                <w:sz w:val="20"/>
                <w:szCs w:val="20"/>
                <w:color w:val="auto"/>
              </w:rPr>
            </w:pPr>
            <w:r>
              <w:rPr>
                <w:rFonts w:ascii="Arial" w:cs="Arial" w:eastAsia="Arial" w:hAnsi="Arial"/>
                <w:sz w:val="11"/>
                <w:szCs w:val="11"/>
                <w:color w:val="auto"/>
              </w:rPr>
              <w:t>December 31, 2023</w:t>
            </w:r>
          </w:p>
        </w:tc>
        <w:tc>
          <w:tcPr>
            <w:tcW w:w="3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060" w:type="dxa"/>
            <w:vAlign w:val="bottom"/>
            <w:tcBorders>
              <w:bottom w:val="single" w:sz="8" w:color="auto"/>
            </w:tcBorders>
            <w:gridSpan w:val="3"/>
          </w:tcPr>
          <w:p>
            <w:pPr>
              <w:jc w:val="right"/>
              <w:ind w:right="984"/>
              <w:spacing w:after="0"/>
              <w:rPr>
                <w:sz w:val="20"/>
                <w:szCs w:val="20"/>
                <w:color w:val="auto"/>
              </w:rPr>
            </w:pPr>
            <w:r>
              <w:rPr>
                <w:rFonts w:ascii="Arial" w:cs="Arial" w:eastAsia="Arial" w:hAnsi="Arial"/>
                <w:sz w:val="11"/>
                <w:szCs w:val="11"/>
                <w:color w:val="auto"/>
              </w:rPr>
              <w:t>December 31, 2022</w:t>
            </w:r>
          </w:p>
        </w:tc>
      </w:tr>
      <w:tr>
        <w:trPr>
          <w:trHeight w:val="147"/>
        </w:trPr>
        <w:tc>
          <w:tcPr>
            <w:tcW w:w="5060" w:type="dxa"/>
            <w:vAlign w:val="bottom"/>
            <w:tcBorders>
              <w:bottom w:val="single" w:sz="8" w:color="CCEEFF"/>
            </w:tcBorders>
          </w:tcPr>
          <w:p>
            <w:pPr>
              <w:spacing w:after="0"/>
              <w:rPr>
                <w:sz w:val="12"/>
                <w:szCs w:val="12"/>
                <w:color w:val="auto"/>
              </w:rPr>
            </w:pPr>
          </w:p>
        </w:tc>
        <w:tc>
          <w:tcPr>
            <w:tcW w:w="1180" w:type="dxa"/>
            <w:vAlign w:val="bottom"/>
            <w:tcBorders>
              <w:bottom w:val="single" w:sz="8" w:color="auto"/>
            </w:tcBorders>
          </w:tcPr>
          <w:p>
            <w:pPr>
              <w:ind w:left="300"/>
              <w:spacing w:after="0"/>
              <w:rPr>
                <w:sz w:val="20"/>
                <w:szCs w:val="20"/>
                <w:color w:val="auto"/>
              </w:rPr>
            </w:pPr>
            <w:r>
              <w:rPr>
                <w:rFonts w:ascii="Arial" w:cs="Arial" w:eastAsia="Arial" w:hAnsi="Arial"/>
                <w:sz w:val="11"/>
                <w:szCs w:val="11"/>
                <w:color w:val="auto"/>
                <w:w w:val="98"/>
              </w:rPr>
              <w:t>Operating Leases</w:t>
            </w: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1"/>
                <w:szCs w:val="11"/>
                <w:color w:val="auto"/>
              </w:rPr>
              <w:t>Finance Leases</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8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color w:val="auto"/>
              </w:rPr>
              <w:t>Operating Leases</w:t>
            </w:r>
          </w:p>
        </w:tc>
        <w:tc>
          <w:tcPr>
            <w:tcW w:w="100" w:type="dxa"/>
            <w:vAlign w:val="bottom"/>
            <w:tcBorders>
              <w:bottom w:val="single" w:sz="8" w:color="CCEEFF"/>
            </w:tcBorders>
          </w:tcPr>
          <w:p>
            <w:pPr>
              <w:spacing w:after="0"/>
              <w:rPr>
                <w:sz w:val="12"/>
                <w:szCs w:val="12"/>
                <w:color w:val="auto"/>
              </w:rPr>
            </w:pPr>
          </w:p>
        </w:tc>
        <w:tc>
          <w:tcPr>
            <w:tcW w:w="1480" w:type="dxa"/>
            <w:vAlign w:val="bottom"/>
            <w:tcBorders>
              <w:bottom w:val="single" w:sz="8" w:color="auto"/>
            </w:tcBorders>
          </w:tcPr>
          <w:p>
            <w:pPr>
              <w:jc w:val="right"/>
              <w:ind w:right="284"/>
              <w:spacing w:after="0"/>
              <w:rPr>
                <w:sz w:val="20"/>
                <w:szCs w:val="20"/>
                <w:color w:val="auto"/>
              </w:rPr>
            </w:pPr>
            <w:r>
              <w:rPr>
                <w:rFonts w:ascii="Arial" w:cs="Arial" w:eastAsia="Arial" w:hAnsi="Arial"/>
                <w:sz w:val="11"/>
                <w:szCs w:val="11"/>
                <w:color w:val="auto"/>
              </w:rPr>
              <w:t>Finance Leases</w:t>
            </w:r>
          </w:p>
        </w:tc>
      </w:tr>
      <w:tr>
        <w:trPr>
          <w:trHeight w:val="151"/>
        </w:trPr>
        <w:tc>
          <w:tcPr>
            <w:tcW w:w="62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Weighted average discount rates</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9"/>
              </w:rPr>
              <w:t>8.1 %</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9"/>
              </w:rPr>
              <w:t>9.0 %</w:t>
            </w: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6.3 %</w:t>
            </w: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7.0 %</w:t>
            </w:r>
          </w:p>
        </w:tc>
      </w:tr>
      <w:tr>
        <w:trPr>
          <w:trHeight w:val="149"/>
        </w:trPr>
        <w:tc>
          <w:tcPr>
            <w:tcW w:w="6240" w:type="dxa"/>
            <w:vAlign w:val="bottom"/>
            <w:gridSpan w:val="2"/>
          </w:tcPr>
          <w:p>
            <w:pPr>
              <w:ind w:left="20"/>
              <w:spacing w:after="0"/>
              <w:rPr>
                <w:sz w:val="20"/>
                <w:szCs w:val="20"/>
                <w:color w:val="auto"/>
              </w:rPr>
            </w:pPr>
            <w:r>
              <w:rPr>
                <w:rFonts w:ascii="Arial" w:cs="Arial" w:eastAsia="Arial" w:hAnsi="Arial"/>
                <w:sz w:val="11"/>
                <w:szCs w:val="11"/>
                <w:color w:val="auto"/>
              </w:rPr>
              <w:t>Weighted average remaining lease term (in years)</w:t>
            </w:r>
          </w:p>
        </w:tc>
        <w:tc>
          <w:tcPr>
            <w:tcW w:w="30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2</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Maturities of operating and finance lease liabilities as of December 31, 2023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1"/>
                <w:szCs w:val="11"/>
                <w:color w:val="auto"/>
              </w:rPr>
              <w:t>December 31, 2023</w:t>
            </w:r>
          </w:p>
        </w:tc>
        <w:tc>
          <w:tcPr>
            <w:tcW w:w="16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40" w:type="dxa"/>
            <w:vAlign w:val="bottom"/>
            <w:gridSpan w:val="2"/>
            <w:vMerge w:val="restart"/>
          </w:tcPr>
          <w:p>
            <w:pPr>
              <w:ind w:left="180"/>
              <w:spacing w:after="0"/>
              <w:rPr>
                <w:sz w:val="20"/>
                <w:szCs w:val="20"/>
                <w:color w:val="auto"/>
              </w:rPr>
            </w:pPr>
            <w:r>
              <w:rPr>
                <w:rFonts w:ascii="Arial" w:cs="Arial" w:eastAsia="Arial" w:hAnsi="Arial"/>
                <w:sz w:val="11"/>
                <w:szCs w:val="11"/>
                <w:color w:val="auto"/>
              </w:rPr>
              <w:t>Operating Lease Payments</w:t>
            </w:r>
          </w:p>
        </w:tc>
        <w:tc>
          <w:tcPr>
            <w:tcW w:w="580" w:type="dxa"/>
            <w:vAlign w:val="bottom"/>
          </w:tcPr>
          <w:p>
            <w:pPr>
              <w:spacing w:after="0"/>
              <w:rPr>
                <w:sz w:val="9"/>
                <w:szCs w:val="9"/>
                <w:color w:val="auto"/>
              </w:rPr>
            </w:pPr>
          </w:p>
        </w:tc>
        <w:tc>
          <w:tcPr>
            <w:tcW w:w="1600" w:type="dxa"/>
            <w:vAlign w:val="bottom"/>
          </w:tcPr>
          <w:p>
            <w:pPr>
              <w:jc w:val="right"/>
              <w:ind w:right="665"/>
              <w:spacing w:after="0" w:line="113" w:lineRule="exact"/>
              <w:rPr>
                <w:sz w:val="20"/>
                <w:szCs w:val="20"/>
                <w:color w:val="auto"/>
              </w:rPr>
            </w:pPr>
            <w:r>
              <w:rPr>
                <w:rFonts w:ascii="Arial" w:cs="Arial" w:eastAsia="Arial" w:hAnsi="Arial"/>
                <w:sz w:val="11"/>
                <w:szCs w:val="11"/>
                <w:color w:val="auto"/>
              </w:rPr>
              <w:t>Finance Lease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0" w:type="dxa"/>
            <w:vAlign w:val="bottom"/>
            <w:gridSpan w:val="2"/>
          </w:tcPr>
          <w:p>
            <w:pPr>
              <w:spacing w:after="0" w:line="91" w:lineRule="exact"/>
              <w:rPr>
                <w:sz w:val="20"/>
                <w:szCs w:val="20"/>
                <w:color w:val="auto"/>
              </w:rPr>
            </w:pPr>
            <w:r>
              <w:rPr>
                <w:rFonts w:ascii="Arial" w:cs="Arial" w:eastAsia="Arial" w:hAnsi="Arial"/>
                <w:sz w:val="10"/>
                <w:szCs w:val="10"/>
                <w:color w:val="auto"/>
              </w:rPr>
              <w:t>(in millions)</w:t>
            </w:r>
          </w:p>
        </w:tc>
        <w:tc>
          <w:tcPr>
            <w:tcW w:w="240" w:type="dxa"/>
            <w:vAlign w:val="bottom"/>
          </w:tcPr>
          <w:p>
            <w:pPr>
              <w:spacing w:after="0"/>
              <w:rPr>
                <w:sz w:val="9"/>
                <w:szCs w:val="9"/>
                <w:color w:val="auto"/>
              </w:rPr>
            </w:pPr>
          </w:p>
        </w:tc>
        <w:tc>
          <w:tcPr>
            <w:tcW w:w="204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1600" w:type="dxa"/>
            <w:vAlign w:val="bottom"/>
          </w:tcPr>
          <w:p>
            <w:pPr>
              <w:jc w:val="right"/>
              <w:ind w:right="785"/>
              <w:spacing w:after="0" w:line="91" w:lineRule="exact"/>
              <w:rPr>
                <w:sz w:val="20"/>
                <w:szCs w:val="20"/>
                <w:color w:val="auto"/>
              </w:rPr>
            </w:pPr>
            <w:r>
              <w:rPr>
                <w:rFonts w:ascii="Arial" w:cs="Arial" w:eastAsia="Arial" w:hAnsi="Arial"/>
                <w:sz w:val="10"/>
                <w:szCs w:val="10"/>
                <w:color w:val="auto"/>
              </w:rPr>
              <w:t>Payments</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6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2024</w:t>
            </w:r>
          </w:p>
        </w:tc>
        <w:tc>
          <w:tcPr>
            <w:tcW w:w="632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w:t>
            </w: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jc w:val="right"/>
              <w:ind w:right="444"/>
              <w:spacing w:after="0"/>
              <w:rPr>
                <w:sz w:val="20"/>
                <w:szCs w:val="20"/>
                <w:color w:val="auto"/>
              </w:rPr>
            </w:pPr>
            <w:r>
              <w:rPr>
                <w:rFonts w:ascii="Arial" w:cs="Arial" w:eastAsia="Arial" w:hAnsi="Arial"/>
                <w:sz w:val="11"/>
                <w:szCs w:val="11"/>
                <w:color w:val="auto"/>
                <w:w w:val="97"/>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0" w:type="dxa"/>
            <w:vAlign w:val="bottom"/>
          </w:tcPr>
          <w:p>
            <w:pPr>
              <w:spacing w:after="0"/>
              <w:rPr>
                <w:sz w:val="1"/>
                <w:szCs w:val="1"/>
                <w:color w:val="auto"/>
              </w:rPr>
            </w:pPr>
          </w:p>
        </w:tc>
      </w:tr>
      <w:tr>
        <w:trPr>
          <w:trHeight w:val="152"/>
        </w:trPr>
        <w:tc>
          <w:tcPr>
            <w:tcW w:w="500" w:type="dxa"/>
            <w:vAlign w:val="bottom"/>
            <w:gridSpan w:val="2"/>
          </w:tcPr>
          <w:p>
            <w:pPr>
              <w:ind w:left="20"/>
              <w:spacing w:after="0"/>
              <w:rPr>
                <w:sz w:val="20"/>
                <w:szCs w:val="20"/>
                <w:color w:val="auto"/>
              </w:rPr>
            </w:pPr>
            <w:r>
              <w:rPr>
                <w:rFonts w:ascii="Arial" w:cs="Arial" w:eastAsia="Arial" w:hAnsi="Arial"/>
                <w:sz w:val="11"/>
                <w:szCs w:val="11"/>
                <w:color w:val="auto"/>
              </w:rPr>
              <w:t>2025</w:t>
            </w:r>
          </w:p>
        </w:tc>
        <w:tc>
          <w:tcPr>
            <w:tcW w:w="6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tcPr>
          <w:p>
            <w:pPr>
              <w:jc w:val="right"/>
              <w:spacing w:after="0"/>
              <w:rPr>
                <w:sz w:val="20"/>
                <w:szCs w:val="20"/>
                <w:color w:val="auto"/>
              </w:rPr>
            </w:pPr>
            <w:r>
              <w:rPr>
                <w:rFonts w:ascii="Arial" w:cs="Arial" w:eastAsia="Arial" w:hAnsi="Arial"/>
                <w:sz w:val="11"/>
                <w:szCs w:val="11"/>
                <w:color w:val="auto"/>
              </w:rPr>
              <w:t>58</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160"/>
        </w:trPr>
        <w:tc>
          <w:tcPr>
            <w:tcW w:w="5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2026</w:t>
            </w:r>
          </w:p>
        </w:tc>
        <w:tc>
          <w:tcPr>
            <w:tcW w:w="6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2"/>
        </w:trPr>
        <w:tc>
          <w:tcPr>
            <w:tcW w:w="500" w:type="dxa"/>
            <w:vAlign w:val="bottom"/>
            <w:gridSpan w:val="2"/>
          </w:tcPr>
          <w:p>
            <w:pPr>
              <w:ind w:left="20"/>
              <w:spacing w:after="0"/>
              <w:rPr>
                <w:sz w:val="20"/>
                <w:szCs w:val="20"/>
                <w:color w:val="auto"/>
              </w:rPr>
            </w:pPr>
            <w:r>
              <w:rPr>
                <w:rFonts w:ascii="Arial" w:cs="Arial" w:eastAsia="Arial" w:hAnsi="Arial"/>
                <w:sz w:val="11"/>
                <w:szCs w:val="11"/>
                <w:color w:val="auto"/>
              </w:rPr>
              <w:t>2027</w:t>
            </w:r>
          </w:p>
        </w:tc>
        <w:tc>
          <w:tcPr>
            <w:tcW w:w="6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40" w:type="dxa"/>
            <w:vAlign w:val="bottom"/>
          </w:tcPr>
          <w:p>
            <w:pPr>
              <w:jc w:val="right"/>
              <w:spacing w:after="0"/>
              <w:rPr>
                <w:sz w:val="20"/>
                <w:szCs w:val="20"/>
                <w:color w:val="auto"/>
              </w:rPr>
            </w:pPr>
            <w:r>
              <w:rPr>
                <w:rFonts w:ascii="Arial" w:cs="Arial" w:eastAsia="Arial" w:hAnsi="Arial"/>
                <w:sz w:val="11"/>
                <w:szCs w:val="11"/>
                <w:color w:val="auto"/>
              </w:rPr>
              <w:t>38</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60"/>
        </w:trPr>
        <w:tc>
          <w:tcPr>
            <w:tcW w:w="5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2028</w:t>
            </w:r>
          </w:p>
        </w:tc>
        <w:tc>
          <w:tcPr>
            <w:tcW w:w="63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680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Thereafter</w:t>
            </w:r>
          </w:p>
        </w:tc>
        <w:tc>
          <w:tcPr>
            <w:tcW w:w="2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1"/>
        </w:trPr>
        <w:tc>
          <w:tcPr>
            <w:tcW w:w="20" w:type="dxa"/>
            <w:vAlign w:val="bottom"/>
            <w:shd w:val="clear" w:color="auto" w:fill="CCEEFF"/>
          </w:tcPr>
          <w:p>
            <w:pPr>
              <w:spacing w:after="0"/>
              <w:rPr>
                <w:sz w:val="13"/>
                <w:szCs w:val="13"/>
                <w:color w:val="auto"/>
              </w:rPr>
            </w:pPr>
          </w:p>
        </w:tc>
        <w:tc>
          <w:tcPr>
            <w:tcW w:w="68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Total undiscounted lease payments</w:t>
            </w:r>
          </w:p>
        </w:tc>
        <w:tc>
          <w:tcPr>
            <w:tcW w:w="240" w:type="dxa"/>
            <w:vAlign w:val="bottom"/>
            <w:shd w:val="clear" w:color="auto" w:fill="CCEEFF"/>
          </w:tcPr>
          <w:p>
            <w:pPr>
              <w:spacing w:after="0"/>
              <w:rPr>
                <w:sz w:val="13"/>
                <w:szCs w:val="13"/>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251</w:t>
            </w: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680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Less imputed interest</w:t>
            </w:r>
          </w:p>
        </w:tc>
        <w:tc>
          <w:tcPr>
            <w:tcW w:w="24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w:t>
            </w:r>
          </w:p>
        </w:tc>
        <w:tc>
          <w:tcPr>
            <w:tcW w:w="100" w:type="dxa"/>
            <w:vAlign w:val="bottom"/>
            <w:tcBorders>
              <w:bottom w:val="single" w:sz="8" w:color="CCEEFF"/>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4"/>
                <w:szCs w:val="14"/>
                <w:color w:val="auto"/>
              </w:rPr>
            </w:pPr>
          </w:p>
        </w:tc>
        <w:tc>
          <w:tcPr>
            <w:tcW w:w="6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color w:val="auto"/>
              </w:rPr>
              <w:t>Present value of lease liabilities</w:t>
            </w: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211</w:t>
            </w:r>
          </w:p>
        </w:tc>
        <w:tc>
          <w:tcPr>
            <w:tcW w:w="100" w:type="dxa"/>
            <w:vAlign w:val="bottom"/>
            <w:tcBorders>
              <w:bottom w:val="single" w:sz="8" w:color="CCEEFF"/>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ind w:right="444"/>
              <w:spacing w:after="0"/>
              <w:rPr>
                <w:sz w:val="20"/>
                <w:szCs w:val="20"/>
                <w:color w:val="auto"/>
              </w:rPr>
            </w:pPr>
            <w:r>
              <w:rPr>
                <w:rFonts w:ascii="Arial" w:cs="Arial" w:eastAsia="Arial" w:hAnsi="Arial"/>
                <w:sz w:val="11"/>
                <w:szCs w:val="11"/>
                <w:color w:val="auto"/>
                <w:w w:val="97"/>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420"/>
        <w:spacing w:after="0" w:line="282" w:lineRule="auto"/>
        <w:rPr>
          <w:sz w:val="20"/>
          <w:szCs w:val="20"/>
          <w:color w:val="auto"/>
        </w:rPr>
      </w:pPr>
      <w:r>
        <w:rPr>
          <w:rFonts w:ascii="Arial" w:cs="Arial" w:eastAsia="Arial" w:hAnsi="Arial"/>
          <w:sz w:val="14"/>
          <w:szCs w:val="14"/>
          <w:color w:val="auto"/>
        </w:rPr>
        <w:t>As of December 31, 2023, the Company had entered into additional operating lease agreements for equipment totaling $1 million which have not commenced and have not been recognized on the Company's Consolidated Balance Sheet. The leases are expected to commence in 2024 with average lease terms of 3 years.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Additionally, we have $11 million of commitments that have not yet commenced related to leases for businesses which have been classified as held for sale.</w:t>
      </w:r>
    </w:p>
    <w:p>
      <w:pPr>
        <w:spacing w:after="0" w:line="200" w:lineRule="exact"/>
        <w:rPr>
          <w:sz w:val="20"/>
          <w:szCs w:val="20"/>
          <w:color w:val="auto"/>
        </w:rPr>
      </w:pPr>
    </w:p>
    <w:p>
      <w:pPr>
        <w:spacing w:after="0" w:line="27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75" w:name="page76"/>
    <w:bookmarkEnd w:id="75"/>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8 - Goodwill and Intangible Assets, Net</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Goodwill</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changes in the carrying amount of goodwill, by reportable segment: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560" w:type="dxa"/>
            <w:vAlign w:val="bottom"/>
            <w:gridSpan w:val="2"/>
          </w:tcPr>
          <w:p>
            <w:pPr>
              <w:spacing w:after="0"/>
              <w:rPr>
                <w:sz w:val="20"/>
                <w:szCs w:val="20"/>
                <w:color w:val="auto"/>
              </w:rPr>
            </w:pPr>
            <w:r>
              <w:rPr>
                <w:rFonts w:ascii="Arial" w:cs="Arial" w:eastAsia="Arial" w:hAnsi="Arial"/>
                <w:sz w:val="11"/>
                <w:szCs w:val="11"/>
                <w:color w:val="auto"/>
              </w:rPr>
              <w:t>(in millions)</w:t>
            </w:r>
          </w:p>
        </w:tc>
        <w:tc>
          <w:tcPr>
            <w:tcW w:w="280" w:type="dxa"/>
            <w:vAlign w:val="bottom"/>
          </w:tcPr>
          <w:p>
            <w:pPr>
              <w:spacing w:after="0"/>
              <w:rPr>
                <w:sz w:val="10"/>
                <w:szCs w:val="10"/>
                <w:color w:val="auto"/>
              </w:rPr>
            </w:pPr>
          </w:p>
        </w:tc>
        <w:tc>
          <w:tcPr>
            <w:tcW w:w="1400" w:type="dxa"/>
            <w:vAlign w:val="bottom"/>
            <w:gridSpan w:val="2"/>
          </w:tcPr>
          <w:p>
            <w:pPr>
              <w:ind w:left="220"/>
              <w:spacing w:after="0"/>
              <w:rPr>
                <w:sz w:val="20"/>
                <w:szCs w:val="20"/>
                <w:color w:val="auto"/>
              </w:rPr>
            </w:pPr>
            <w:r>
              <w:rPr>
                <w:rFonts w:ascii="Arial" w:cs="Arial" w:eastAsia="Arial" w:hAnsi="Arial"/>
                <w:sz w:val="11"/>
                <w:szCs w:val="11"/>
                <w:color w:val="auto"/>
              </w:rPr>
              <w:t>Commercial</w:t>
            </w:r>
          </w:p>
        </w:tc>
        <w:tc>
          <w:tcPr>
            <w:tcW w:w="280" w:type="dxa"/>
            <w:vAlign w:val="bottom"/>
          </w:tcPr>
          <w:p>
            <w:pPr>
              <w:spacing w:after="0"/>
              <w:rPr>
                <w:sz w:val="10"/>
                <w:szCs w:val="10"/>
                <w:color w:val="auto"/>
              </w:rPr>
            </w:pPr>
          </w:p>
        </w:tc>
        <w:tc>
          <w:tcPr>
            <w:tcW w:w="1420" w:type="dxa"/>
            <w:vAlign w:val="bottom"/>
            <w:gridSpan w:val="2"/>
          </w:tcPr>
          <w:p>
            <w:pPr>
              <w:ind w:left="220"/>
              <w:spacing w:after="0"/>
              <w:rPr>
                <w:sz w:val="20"/>
                <w:szCs w:val="20"/>
                <w:color w:val="auto"/>
              </w:rPr>
            </w:pPr>
            <w:r>
              <w:rPr>
                <w:rFonts w:ascii="Arial" w:cs="Arial" w:eastAsia="Arial" w:hAnsi="Arial"/>
                <w:sz w:val="11"/>
                <w:szCs w:val="11"/>
                <w:color w:val="auto"/>
              </w:rPr>
              <w:t>Government</w:t>
            </w:r>
          </w:p>
        </w:tc>
        <w:tc>
          <w:tcPr>
            <w:tcW w:w="1220" w:type="dxa"/>
            <w:vAlign w:val="bottom"/>
          </w:tcPr>
          <w:p>
            <w:pPr>
              <w:jc w:val="right"/>
              <w:ind w:right="29"/>
              <w:spacing w:after="0"/>
              <w:rPr>
                <w:sz w:val="20"/>
                <w:szCs w:val="20"/>
                <w:color w:val="auto"/>
              </w:rPr>
            </w:pPr>
            <w:r>
              <w:rPr>
                <w:rFonts w:ascii="Arial" w:cs="Arial" w:eastAsia="Arial" w:hAnsi="Arial"/>
                <w:sz w:val="11"/>
                <w:szCs w:val="11"/>
                <w:color w:val="auto"/>
              </w:rPr>
              <w:t>Transportation</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tcPr>
          <w:p>
            <w:pPr>
              <w:jc w:val="right"/>
              <w:ind w:right="624"/>
              <w:spacing w:after="0"/>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40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2021</w:t>
            </w:r>
          </w:p>
        </w:tc>
        <w:tc>
          <w:tcPr>
            <w:tcW w:w="2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w w:val="97"/>
              </w:rPr>
              <w:t>$</w:t>
            </w: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661</w:t>
            </w: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w w:val="97"/>
              </w:rPr>
              <w:t>$</w:t>
            </w: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617</w:t>
            </w:r>
          </w:p>
        </w:tc>
        <w:tc>
          <w:tcPr>
            <w:tcW w:w="100" w:type="dxa"/>
            <w:vAlign w:val="bottom"/>
            <w:shd w:val="clear" w:color="auto" w:fill="CCEEFF"/>
          </w:tcPr>
          <w:p>
            <w:pPr>
              <w:spacing w:after="0"/>
              <w:rPr>
                <w:sz w:val="11"/>
                <w:szCs w:val="11"/>
                <w:color w:val="auto"/>
              </w:rPr>
            </w:pPr>
          </w:p>
        </w:tc>
        <w:tc>
          <w:tcPr>
            <w:tcW w:w="1220" w:type="dxa"/>
            <w:vAlign w:val="bottom"/>
            <w:shd w:val="clear" w:color="auto" w:fill="CCEEFF"/>
          </w:tcPr>
          <w:p>
            <w:pPr>
              <w:jc w:val="right"/>
              <w:ind w:right="1109"/>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1,339</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560" w:type="dxa"/>
            <w:vAlign w:val="bottom"/>
            <w:gridSpan w:val="2"/>
          </w:tcPr>
          <w:p>
            <w:pPr>
              <w:spacing w:after="0"/>
              <w:rPr>
                <w:sz w:val="20"/>
                <w:szCs w:val="20"/>
                <w:color w:val="auto"/>
              </w:rPr>
            </w:pPr>
            <w:r>
              <w:rPr>
                <w:rFonts w:ascii="Arial" w:cs="Arial" w:eastAsia="Arial" w:hAnsi="Arial"/>
                <w:sz w:val="11"/>
                <w:szCs w:val="11"/>
                <w:color w:val="auto"/>
              </w:rPr>
              <w:t>Foreign currency translation</w:t>
            </w:r>
          </w:p>
        </w:tc>
        <w:tc>
          <w:tcPr>
            <w:tcW w:w="2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(20)</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(26)</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Impairment</w:t>
            </w:r>
          </w:p>
        </w:tc>
        <w:tc>
          <w:tcPr>
            <w:tcW w:w="28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(358)</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(358)</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4560" w:type="dxa"/>
            <w:vAlign w:val="bottom"/>
            <w:gridSpan w:val="2"/>
          </w:tcPr>
          <w:p>
            <w:pPr>
              <w:spacing w:after="0"/>
              <w:rPr>
                <w:sz w:val="20"/>
                <w:szCs w:val="20"/>
                <w:color w:val="auto"/>
              </w:rPr>
            </w:pPr>
            <w:r>
              <w:rPr>
                <w:rFonts w:ascii="Arial" w:cs="Arial" w:eastAsia="Arial" w:hAnsi="Arial"/>
                <w:sz w:val="11"/>
                <w:szCs w:val="11"/>
                <w:color w:val="auto"/>
              </w:rPr>
              <w:t>Transfer of goodwill between segments</w:t>
            </w:r>
          </w:p>
        </w:tc>
        <w:tc>
          <w:tcPr>
            <w:tcW w:w="280" w:type="dxa"/>
            <w:vAlign w:val="bottom"/>
          </w:tcPr>
          <w:p>
            <w:pPr>
              <w:spacing w:after="0"/>
              <w:rPr>
                <w:sz w:val="13"/>
                <w:szCs w:val="13"/>
                <w:color w:val="auto"/>
              </w:rPr>
            </w:pPr>
          </w:p>
        </w:tc>
        <w:tc>
          <w:tcPr>
            <w:tcW w:w="1320" w:type="dxa"/>
            <w:vAlign w:val="bottom"/>
          </w:tcPr>
          <w:p>
            <w:pPr>
              <w:jc w:val="right"/>
              <w:ind w:right="4"/>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122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6"/>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5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2022</w:t>
            </w:r>
          </w:p>
        </w:tc>
        <w:tc>
          <w:tcPr>
            <w:tcW w:w="28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1"/>
                <w:szCs w:val="11"/>
                <w:b w:val="1"/>
                <w:bCs w:val="1"/>
                <w:color w:val="auto"/>
                <w:w w:val="97"/>
              </w:rPr>
              <w:t>$</w:t>
            </w:r>
          </w:p>
        </w:tc>
        <w:tc>
          <w:tcPr>
            <w:tcW w:w="13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287</w:t>
            </w: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1"/>
                <w:szCs w:val="11"/>
                <w:b w:val="1"/>
                <w:bCs w:val="1"/>
                <w:color w:val="auto"/>
                <w:w w:val="97"/>
              </w:rPr>
              <w:t>$</w:t>
            </w:r>
          </w:p>
        </w:tc>
        <w:tc>
          <w:tcPr>
            <w:tcW w:w="13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611</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20" w:type="dxa"/>
            <w:vAlign w:val="bottom"/>
            <w:tcBorders>
              <w:top w:val="single" w:sz="8" w:color="auto"/>
              <w:bottom w:val="single" w:sz="8" w:color="auto"/>
            </w:tcBorders>
            <w:shd w:val="clear" w:color="auto" w:fill="CCEEFF"/>
          </w:tcPr>
          <w:p>
            <w:pPr>
              <w:jc w:val="right"/>
              <w:ind w:right="1109"/>
              <w:spacing w:after="0"/>
              <w:rPr>
                <w:sz w:val="20"/>
                <w:szCs w:val="20"/>
                <w:color w:val="auto"/>
              </w:rPr>
            </w:pPr>
            <w:r>
              <w:rPr>
                <w:rFonts w:ascii="Arial" w:cs="Arial" w:eastAsia="Arial" w:hAnsi="Arial"/>
                <w:sz w:val="10"/>
                <w:szCs w:val="10"/>
                <w:b w:val="1"/>
                <w:bCs w:val="1"/>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b w:val="1"/>
                <w:bCs w:val="1"/>
                <w:color w:val="auto"/>
              </w:rPr>
              <w:t>57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380" w:type="dxa"/>
            <w:vAlign w:val="bottom"/>
            <w:tcBorders>
              <w:top w:val="single" w:sz="8" w:color="auto"/>
              <w:bottom w:val="single" w:sz="8" w:color="auto"/>
            </w:tcBorders>
            <w:shd w:val="clear" w:color="auto" w:fill="CCEEFF"/>
          </w:tcPr>
          <w:p>
            <w:pPr>
              <w:jc w:val="right"/>
              <w:ind w:right="244"/>
              <w:spacing w:after="0"/>
              <w:rPr>
                <w:sz w:val="20"/>
                <w:szCs w:val="20"/>
                <w:color w:val="auto"/>
              </w:rPr>
            </w:pPr>
            <w:r>
              <w:rPr>
                <w:rFonts w:ascii="Arial" w:cs="Arial" w:eastAsia="Arial" w:hAnsi="Arial"/>
                <w:sz w:val="11"/>
                <w:szCs w:val="11"/>
                <w:b w:val="1"/>
                <w:bCs w:val="1"/>
                <w:color w:val="auto"/>
                <w:w w:val="97"/>
              </w:rPr>
              <w:t>$</w:t>
            </w:r>
          </w:p>
        </w:tc>
        <w:tc>
          <w:tcPr>
            <w:tcW w:w="122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955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5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1"/>
                <w:szCs w:val="11"/>
                <w:color w:val="auto"/>
              </w:rPr>
              <w:t>Foreign currency translation</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456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1400" w:type="dxa"/>
            <w:vAlign w:val="bottom"/>
            <w:gridSpan w:val="2"/>
          </w:tcPr>
          <w:p>
            <w:pPr>
              <w:jc w:val="right"/>
              <w:ind w:right="140"/>
              <w:spacing w:after="0" w:line="114"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9"/>
                <w:szCs w:val="9"/>
                <w:color w:val="auto"/>
              </w:rPr>
            </w:pPr>
          </w:p>
        </w:tc>
        <w:tc>
          <w:tcPr>
            <w:tcW w:w="1320" w:type="dxa"/>
            <w:vAlign w:val="bottom"/>
          </w:tcPr>
          <w:p>
            <w:pPr>
              <w:jc w:val="right"/>
              <w:ind w:right="4"/>
              <w:spacing w:after="0" w:line="114" w:lineRule="exact"/>
              <w:rPr>
                <w:sz w:val="20"/>
                <w:szCs w:val="20"/>
                <w:color w:val="auto"/>
              </w:rPr>
            </w:pPr>
            <w:r>
              <w:rPr>
                <w:rFonts w:ascii="Arial" w:cs="Arial" w:eastAsia="Arial" w:hAnsi="Arial"/>
                <w:sz w:val="11"/>
                <w:szCs w:val="11"/>
                <w:color w:val="auto"/>
              </w:rPr>
              <w:t>12</w:t>
            </w: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60" w:type="dxa"/>
            <w:vAlign w:val="bottom"/>
          </w:tcPr>
          <w:p>
            <w:pPr>
              <w:jc w:val="right"/>
              <w:spacing w:after="0" w:line="114" w:lineRule="exact"/>
              <w:rPr>
                <w:sz w:val="20"/>
                <w:szCs w:val="20"/>
                <w:color w:val="auto"/>
              </w:rPr>
            </w:pPr>
            <w:r>
              <w:rPr>
                <w:rFonts w:ascii="Arial" w:cs="Arial" w:eastAsia="Arial" w:hAnsi="Arial"/>
                <w:sz w:val="11"/>
                <w:szCs w:val="11"/>
                <w:color w:val="auto"/>
              </w:rPr>
              <w:t>6</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jc w:val="right"/>
              <w:ind w:right="4"/>
              <w:spacing w:after="0" w:line="114" w:lineRule="exact"/>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Impairment</w:t>
            </w:r>
          </w:p>
        </w:tc>
        <w:tc>
          <w:tcPr>
            <w:tcW w:w="280" w:type="dxa"/>
            <w:vAlign w:val="bottom"/>
            <w:shd w:val="clear" w:color="auto" w:fill="CCEEFF"/>
          </w:tcPr>
          <w:p>
            <w:pPr>
              <w:spacing w:after="0"/>
              <w:rPr>
                <w:sz w:val="13"/>
                <w:szCs w:val="13"/>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(287)</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12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(287)</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45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Assets Held For Sale</w:t>
            </w: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2023</w:t>
            </w:r>
          </w:p>
        </w:tc>
        <w:tc>
          <w:tcPr>
            <w:tcW w:w="280" w:type="dxa"/>
            <w:vAlign w:val="bottom"/>
            <w:shd w:val="clear" w:color="auto" w:fill="CCEEFF"/>
          </w:tcPr>
          <w:p>
            <w:pPr>
              <w:jc w:val="right"/>
              <w:ind w:right="144"/>
              <w:spacing w:after="0"/>
              <w:rPr>
                <w:sz w:val="20"/>
                <w:szCs w:val="20"/>
                <w:color w:val="auto"/>
              </w:rPr>
            </w:pPr>
            <w:r>
              <w:rPr>
                <w:rFonts w:ascii="Arial" w:cs="Arial" w:eastAsia="Arial" w:hAnsi="Arial"/>
                <w:sz w:val="11"/>
                <w:szCs w:val="11"/>
                <w:b w:val="1"/>
                <w:bCs w:val="1"/>
                <w:color w:val="auto"/>
                <w:w w:val="97"/>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80" w:type="dxa"/>
            <w:vAlign w:val="bottom"/>
            <w:shd w:val="clear" w:color="auto" w:fill="CCEEFF"/>
          </w:tcPr>
          <w:p>
            <w:pPr>
              <w:jc w:val="right"/>
              <w:ind w:right="144"/>
              <w:spacing w:after="0"/>
              <w:rPr>
                <w:sz w:val="20"/>
                <w:szCs w:val="20"/>
                <w:color w:val="auto"/>
              </w:rPr>
            </w:pPr>
            <w:r>
              <w:rPr>
                <w:rFonts w:ascii="Arial" w:cs="Arial" w:eastAsia="Arial" w:hAnsi="Arial"/>
                <w:sz w:val="11"/>
                <w:szCs w:val="11"/>
                <w:b w:val="1"/>
                <w:bCs w:val="1"/>
                <w:color w:val="auto"/>
                <w:w w:val="97"/>
              </w:rPr>
              <w:t>$</w:t>
            </w: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623</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109"/>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b w:val="1"/>
                <w:bCs w:val="1"/>
                <w:color w:val="auto"/>
                <w:w w:val="97"/>
              </w:rPr>
              <w:t>$</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651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Gross goodwill</w:t>
            </w:r>
          </w:p>
        </w:tc>
        <w:tc>
          <w:tcPr>
            <w:tcW w:w="2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w w:val="97"/>
              </w:rPr>
              <w:t>$</w:t>
            </w: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2,198</w:t>
            </w: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w w:val="97"/>
              </w:rPr>
              <w:t>$</w:t>
            </w: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1,377</w:t>
            </w:r>
          </w:p>
        </w:tc>
        <w:tc>
          <w:tcPr>
            <w:tcW w:w="10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1109"/>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608</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4,183</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45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Accumulated impairment</w:t>
            </w: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(2,198)</w:t>
            </w:r>
          </w:p>
        </w:tc>
        <w:tc>
          <w:tcPr>
            <w:tcW w:w="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(754)</w:t>
            </w:r>
          </w:p>
        </w:tc>
        <w:tc>
          <w:tcPr>
            <w:tcW w:w="10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(580)</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(3,532)</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5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2023</w:t>
            </w:r>
          </w:p>
        </w:tc>
        <w:tc>
          <w:tcPr>
            <w:tcW w:w="280" w:type="dxa"/>
            <w:vAlign w:val="bottom"/>
            <w:shd w:val="clear" w:color="auto" w:fill="CCEEFF"/>
          </w:tcPr>
          <w:p>
            <w:pPr>
              <w:jc w:val="right"/>
              <w:ind w:right="144"/>
              <w:spacing w:after="0"/>
              <w:rPr>
                <w:sz w:val="20"/>
                <w:szCs w:val="20"/>
                <w:color w:val="auto"/>
              </w:rPr>
            </w:pPr>
            <w:r>
              <w:rPr>
                <w:rFonts w:ascii="Arial" w:cs="Arial" w:eastAsia="Arial" w:hAnsi="Arial"/>
                <w:sz w:val="11"/>
                <w:szCs w:val="11"/>
                <w:b w:val="1"/>
                <w:bCs w:val="1"/>
                <w:color w:val="auto"/>
                <w:w w:val="97"/>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b w:val="1"/>
                <w:bCs w:val="1"/>
                <w:color w:val="auto"/>
              </w:rPr>
              <w:t>—</w:t>
            </w:r>
          </w:p>
        </w:tc>
        <w:tc>
          <w:tcPr>
            <w:tcW w:w="280" w:type="dxa"/>
            <w:vAlign w:val="bottom"/>
            <w:shd w:val="clear" w:color="auto" w:fill="CCEEFF"/>
          </w:tcPr>
          <w:p>
            <w:pPr>
              <w:jc w:val="right"/>
              <w:ind w:right="144"/>
              <w:spacing w:after="0"/>
              <w:rPr>
                <w:sz w:val="20"/>
                <w:szCs w:val="20"/>
                <w:color w:val="auto"/>
              </w:rPr>
            </w:pPr>
            <w:r>
              <w:rPr>
                <w:rFonts w:ascii="Arial" w:cs="Arial" w:eastAsia="Arial" w:hAnsi="Arial"/>
                <w:sz w:val="11"/>
                <w:szCs w:val="11"/>
                <w:b w:val="1"/>
                <w:bCs w:val="1"/>
                <w:color w:val="auto"/>
                <w:w w:val="97"/>
              </w:rPr>
              <w:t>$</w:t>
            </w:r>
          </w:p>
        </w:tc>
        <w:tc>
          <w:tcPr>
            <w:tcW w:w="1320" w:type="dxa"/>
            <w:vAlign w:val="bottom"/>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623</w:t>
            </w:r>
          </w:p>
        </w:tc>
        <w:tc>
          <w:tcPr>
            <w:tcW w:w="100" w:type="dxa"/>
            <w:vAlign w:val="bottom"/>
            <w:shd w:val="clear" w:color="auto" w:fill="CCEEFF"/>
          </w:tcPr>
          <w:p>
            <w:pPr>
              <w:spacing w:after="0"/>
              <w:rPr>
                <w:sz w:val="14"/>
                <w:szCs w:val="14"/>
                <w:color w:val="auto"/>
              </w:rPr>
            </w:pPr>
          </w:p>
        </w:tc>
        <w:tc>
          <w:tcPr>
            <w:tcW w:w="1220" w:type="dxa"/>
            <w:vAlign w:val="bottom"/>
            <w:shd w:val="clear" w:color="auto" w:fill="CCEEFF"/>
          </w:tcPr>
          <w:p>
            <w:pPr>
              <w:jc w:val="right"/>
              <w:ind w:right="1109"/>
              <w:spacing w:after="0"/>
              <w:rPr>
                <w:sz w:val="20"/>
                <w:szCs w:val="20"/>
                <w:color w:val="auto"/>
              </w:rPr>
            </w:pPr>
            <w:r>
              <w:rPr>
                <w:rFonts w:ascii="Arial" w:cs="Arial" w:eastAsia="Arial" w:hAnsi="Arial"/>
                <w:sz w:val="10"/>
                <w:szCs w:val="10"/>
                <w:b w:val="1"/>
                <w:bCs w:val="1"/>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1"/>
                <w:szCs w:val="11"/>
                <w:b w:val="1"/>
                <w:bCs w:val="1"/>
                <w:color w:val="auto"/>
              </w:rPr>
              <w:t>28</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b w:val="1"/>
                <w:bCs w:val="1"/>
                <w:color w:val="auto"/>
                <w:w w:val="97"/>
              </w:rPr>
              <w:t>$</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1"/>
                <w:szCs w:val="11"/>
                <w:b w:val="1"/>
                <w:bCs w:val="1"/>
                <w:color w:val="auto"/>
              </w:rPr>
              <w:t>651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4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2023 Impairment Charge</w:t>
      </w:r>
    </w:p>
    <w:p>
      <w:pPr>
        <w:spacing w:after="0" w:line="131" w:lineRule="exact"/>
        <w:rPr>
          <w:sz w:val="20"/>
          <w:szCs w:val="20"/>
          <w:color w:val="auto"/>
        </w:rPr>
      </w:pPr>
    </w:p>
    <w:p>
      <w:pPr>
        <w:ind w:right="40"/>
        <w:spacing w:after="0" w:line="265" w:lineRule="auto"/>
        <w:rPr>
          <w:sz w:val="20"/>
          <w:szCs w:val="20"/>
          <w:color w:val="auto"/>
        </w:rPr>
      </w:pPr>
      <w:r>
        <w:rPr>
          <w:rFonts w:ascii="Arial" w:cs="Arial" w:eastAsia="Arial" w:hAnsi="Arial"/>
          <w:sz w:val="14"/>
          <w:szCs w:val="14"/>
          <w:color w:val="auto"/>
        </w:rPr>
        <w:t>In September 2023, the Company entered into a Custodial Transfer and Asset Purchase Agreement (the "Purchase Agreement") to transfer its BenefitWallet health savings account and medical savings account portfolio, which is reported within the Company’s Commercial segment. Since the Purchase Agreement does not represent a disposition of a business, no goodwill was allocated to the Portfolio related to this transaction.</w:t>
      </w:r>
    </w:p>
    <w:p>
      <w:pPr>
        <w:spacing w:after="0" w:line="92" w:lineRule="exact"/>
        <w:rPr>
          <w:sz w:val="20"/>
          <w:szCs w:val="20"/>
          <w:color w:val="auto"/>
        </w:rPr>
      </w:pPr>
    </w:p>
    <w:p>
      <w:pPr>
        <w:ind w:right="160"/>
        <w:spacing w:after="0" w:line="265" w:lineRule="auto"/>
        <w:rPr>
          <w:sz w:val="20"/>
          <w:szCs w:val="20"/>
          <w:color w:val="auto"/>
        </w:rPr>
      </w:pPr>
      <w:r>
        <w:rPr>
          <w:rFonts w:ascii="Arial" w:cs="Arial" w:eastAsia="Arial" w:hAnsi="Arial"/>
          <w:sz w:val="14"/>
          <w:szCs w:val="14"/>
          <w:color w:val="auto"/>
        </w:rPr>
        <w:t>Consequently, the Purchase Agreement was identified as a triggering event for the Commercial reporting unit that required the Company to evaluate goodwill for impairment. This evaluation resulted in a full impairment of the Commercial reporting unit's goodwill, totaling $287 million. The impairment charge was primarily driven by the Purchase Agreement and was recognized in the third quarter of 2023.</w:t>
      </w:r>
    </w:p>
    <w:p>
      <w:pPr>
        <w:spacing w:after="0" w:line="92" w:lineRule="exact"/>
        <w:rPr>
          <w:sz w:val="20"/>
          <w:szCs w:val="20"/>
          <w:color w:val="auto"/>
        </w:rPr>
      </w:pPr>
    </w:p>
    <w:p>
      <w:pPr>
        <w:ind w:right="160"/>
        <w:spacing w:after="0" w:line="282" w:lineRule="auto"/>
        <w:rPr>
          <w:sz w:val="20"/>
          <w:szCs w:val="20"/>
          <w:color w:val="auto"/>
        </w:rPr>
      </w:pPr>
      <w:r>
        <w:rPr>
          <w:rFonts w:ascii="Arial" w:cs="Arial" w:eastAsia="Arial" w:hAnsi="Arial"/>
          <w:sz w:val="14"/>
          <w:szCs w:val="14"/>
          <w:color w:val="auto"/>
        </w:rPr>
        <w:t>The fair values of the goodwill impairment charge were estimated based on a determination of the implied fair value of goodwill, leveraging the results from the Income Approach and Market Approach, and are designated as level 3 of the fair value hierarchy.</w:t>
      </w:r>
    </w:p>
    <w:p>
      <w:pPr>
        <w:spacing w:after="0" w:line="80"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In connection with the Commercial reporting unit impairment assessment, the Company first performed a recoverability assessment of long-lived assets and concluded that such assets were not impaired.</w:t>
      </w:r>
    </w:p>
    <w:p>
      <w:pPr>
        <w:spacing w:after="0" w:line="80"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Additionally, the Company performed its annual goodwill impairment test as of October 1, 2023, for the Government and Transportation reporting units. This testing did not identify any goodwill impairment and, accordingly, no impairment charge was recorded.</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2022 Impairment Charge</w:t>
      </w:r>
    </w:p>
    <w:p>
      <w:pPr>
        <w:spacing w:after="0" w:line="131" w:lineRule="exact"/>
        <w:rPr>
          <w:sz w:val="20"/>
          <w:szCs w:val="20"/>
          <w:color w:val="auto"/>
        </w:rPr>
      </w:pPr>
    </w:p>
    <w:p>
      <w:pPr>
        <w:ind w:right="280"/>
        <w:spacing w:after="0" w:line="259" w:lineRule="auto"/>
        <w:rPr>
          <w:sz w:val="20"/>
          <w:szCs w:val="20"/>
          <w:color w:val="auto"/>
        </w:rPr>
      </w:pPr>
      <w:r>
        <w:rPr>
          <w:rFonts w:ascii="Arial" w:cs="Arial" w:eastAsia="Arial" w:hAnsi="Arial"/>
          <w:sz w:val="14"/>
          <w:szCs w:val="14"/>
          <w:color w:val="auto"/>
        </w:rPr>
        <w:t>In the fourth quarter of 2022, the Commercial reporting unit experienced lower than expected new customer contract signings, and an unexpected softening of the future business pipeline for certain solutions. Management believed these were driven by macroeconomic conditions present in the fourth quarter of 2022. The combination of these factors led management, in December 2022, to review the Commercial reporting unit and further evaluate the portfolio. These factors triggered the need for management to perform an interim goodwill impairment assessment for this reporting unit as of December 31, 2022, which resulted in a pre-tax impairment charge of $358 million.</w:t>
      </w:r>
    </w:p>
    <w:p>
      <w:pPr>
        <w:spacing w:after="0" w:line="200" w:lineRule="exact"/>
        <w:rPr>
          <w:sz w:val="20"/>
          <w:szCs w:val="20"/>
          <w:color w:val="auto"/>
        </w:rPr>
      </w:pPr>
    </w:p>
    <w:p>
      <w:pPr>
        <w:spacing w:after="0" w:line="240"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76" w:name="page77"/>
    <w:bookmarkEnd w:id="76"/>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Intangible Assets, Net</w:t>
      </w:r>
    </w:p>
    <w:p>
      <w:pPr>
        <w:spacing w:after="0" w:line="131" w:lineRule="exact"/>
        <w:rPr>
          <w:sz w:val="20"/>
          <w:szCs w:val="20"/>
          <w:color w:val="auto"/>
        </w:rPr>
      </w:pPr>
    </w:p>
    <w:p>
      <w:pPr>
        <w:ind w:right="400"/>
        <w:spacing w:after="0" w:line="282" w:lineRule="auto"/>
        <w:rPr>
          <w:sz w:val="20"/>
          <w:szCs w:val="20"/>
          <w:color w:val="auto"/>
        </w:rPr>
      </w:pPr>
      <w:r>
        <w:rPr>
          <w:rFonts w:ascii="Arial" w:cs="Arial" w:eastAsia="Arial" w:hAnsi="Arial"/>
          <w:sz w:val="14"/>
          <w:szCs w:val="14"/>
          <w:color w:val="auto"/>
        </w:rPr>
        <w:t>Net intangible assets were $32 million at December 31, 2023 of which $ 31 million, $1 million and $0 million relate to the Company's Commercial, Government and Transportation segments, respectively. Intangible assets were comprised exclusively of Customer relationships as follows: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1"/>
                <w:szCs w:val="11"/>
                <w:color w:val="auto"/>
              </w:rPr>
              <w:t>December 31, 2023</w:t>
            </w: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color w:val="auto"/>
              </w:rPr>
              <w:t>December 31, 2022</w:t>
            </w: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1"/>
                <w:szCs w:val="11"/>
                <w:color w:val="auto"/>
                <w:w w:val="99"/>
              </w:rPr>
              <w:t>Weighted Average</w:t>
            </w:r>
          </w:p>
        </w:tc>
        <w:tc>
          <w:tcPr>
            <w:tcW w:w="220" w:type="dxa"/>
            <w:vAlign w:val="bottom"/>
          </w:tcPr>
          <w:p>
            <w:pPr>
              <w:spacing w:after="0"/>
              <w:rPr>
                <w:sz w:val="9"/>
                <w:szCs w:val="9"/>
                <w:color w:val="auto"/>
              </w:rPr>
            </w:pPr>
          </w:p>
        </w:tc>
        <w:tc>
          <w:tcPr>
            <w:tcW w:w="1040" w:type="dxa"/>
            <w:vAlign w:val="bottom"/>
            <w:gridSpan w:val="2"/>
          </w:tcPr>
          <w:p>
            <w:pPr>
              <w:jc w:val="center"/>
              <w:ind w:right="320"/>
              <w:spacing w:after="0" w:line="113" w:lineRule="exact"/>
              <w:rPr>
                <w:sz w:val="20"/>
                <w:szCs w:val="20"/>
                <w:color w:val="auto"/>
              </w:rPr>
            </w:pPr>
            <w:r>
              <w:rPr>
                <w:rFonts w:ascii="Arial" w:cs="Arial" w:eastAsia="Arial" w:hAnsi="Arial"/>
                <w:sz w:val="11"/>
                <w:szCs w:val="11"/>
                <w:color w:val="auto"/>
                <w:w w:val="95"/>
              </w:rPr>
              <w:t>Gross</w:t>
            </w:r>
          </w:p>
        </w:tc>
        <w:tc>
          <w:tcPr>
            <w:tcW w:w="80" w:type="dxa"/>
            <w:vAlign w:val="bottom"/>
          </w:tcPr>
          <w:p>
            <w:pPr>
              <w:spacing w:after="0"/>
              <w:rPr>
                <w:sz w:val="9"/>
                <w:szCs w:val="9"/>
                <w:color w:val="auto"/>
              </w:rPr>
            </w:pPr>
          </w:p>
        </w:tc>
        <w:tc>
          <w:tcPr>
            <w:tcW w:w="1180" w:type="dxa"/>
            <w:vAlign w:val="bottom"/>
            <w:gridSpan w:val="2"/>
            <w:vMerge w:val="restart"/>
          </w:tcPr>
          <w:p>
            <w:pPr>
              <w:jc w:val="center"/>
              <w:ind w:right="180"/>
              <w:spacing w:after="0"/>
              <w:rPr>
                <w:sz w:val="20"/>
                <w:szCs w:val="20"/>
                <w:color w:val="auto"/>
              </w:rPr>
            </w:pPr>
            <w:r>
              <w:rPr>
                <w:rFonts w:ascii="Arial" w:cs="Arial" w:eastAsia="Arial" w:hAnsi="Arial"/>
                <w:sz w:val="11"/>
                <w:szCs w:val="11"/>
                <w:color w:val="auto"/>
              </w:rPr>
              <w:t>Accumulated</w:t>
            </w:r>
          </w:p>
        </w:tc>
        <w:tc>
          <w:tcPr>
            <w:tcW w:w="240" w:type="dxa"/>
            <w:vAlign w:val="bottom"/>
          </w:tcPr>
          <w:p>
            <w:pPr>
              <w:spacing w:after="0"/>
              <w:rPr>
                <w:sz w:val="9"/>
                <w:szCs w:val="9"/>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1"/>
                <w:szCs w:val="11"/>
                <w:color w:val="auto"/>
              </w:rPr>
              <w:t>Net</w:t>
            </w:r>
          </w:p>
        </w:tc>
        <w:tc>
          <w:tcPr>
            <w:tcW w:w="220" w:type="dxa"/>
            <w:vAlign w:val="bottom"/>
          </w:tcPr>
          <w:p>
            <w:pPr>
              <w:spacing w:after="0"/>
              <w:rPr>
                <w:sz w:val="9"/>
                <w:szCs w:val="9"/>
                <w:color w:val="auto"/>
              </w:rPr>
            </w:pPr>
          </w:p>
        </w:tc>
        <w:tc>
          <w:tcPr>
            <w:tcW w:w="1060" w:type="dxa"/>
            <w:vAlign w:val="bottom"/>
            <w:gridSpan w:val="2"/>
          </w:tcPr>
          <w:p>
            <w:pPr>
              <w:jc w:val="center"/>
              <w:ind w:right="320"/>
              <w:spacing w:after="0" w:line="113" w:lineRule="exact"/>
              <w:rPr>
                <w:sz w:val="20"/>
                <w:szCs w:val="20"/>
                <w:color w:val="auto"/>
              </w:rPr>
            </w:pPr>
            <w:r>
              <w:rPr>
                <w:rFonts w:ascii="Arial" w:cs="Arial" w:eastAsia="Arial" w:hAnsi="Arial"/>
                <w:sz w:val="11"/>
                <w:szCs w:val="11"/>
                <w:color w:val="auto"/>
              </w:rPr>
              <w:t>Gross</w:t>
            </w:r>
          </w:p>
        </w:tc>
        <w:tc>
          <w:tcPr>
            <w:tcW w:w="80" w:type="dxa"/>
            <w:vAlign w:val="bottom"/>
          </w:tcPr>
          <w:p>
            <w:pPr>
              <w:spacing w:after="0"/>
              <w:rPr>
                <w:sz w:val="9"/>
                <w:szCs w:val="9"/>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1"/>
                <w:szCs w:val="11"/>
                <w:color w:val="auto"/>
              </w:rPr>
              <w:t>Accumulated</w:t>
            </w:r>
          </w:p>
        </w:tc>
        <w:tc>
          <w:tcPr>
            <w:tcW w:w="240" w:type="dxa"/>
            <w:vAlign w:val="bottom"/>
          </w:tcPr>
          <w:p>
            <w:pPr>
              <w:spacing w:after="0"/>
              <w:rPr>
                <w:sz w:val="9"/>
                <w:szCs w:val="9"/>
                <w:color w:val="auto"/>
              </w:rPr>
            </w:pPr>
          </w:p>
        </w:tc>
        <w:tc>
          <w:tcPr>
            <w:tcW w:w="940" w:type="dxa"/>
            <w:vAlign w:val="bottom"/>
            <w:vMerge w:val="restart"/>
          </w:tcPr>
          <w:p>
            <w:pPr>
              <w:jc w:val="center"/>
              <w:ind w:right="186"/>
              <w:spacing w:after="0"/>
              <w:rPr>
                <w:sz w:val="20"/>
                <w:szCs w:val="20"/>
                <w:color w:val="auto"/>
              </w:rPr>
            </w:pPr>
            <w:r>
              <w:rPr>
                <w:rFonts w:ascii="Arial" w:cs="Arial" w:eastAsia="Arial" w:hAnsi="Arial"/>
                <w:sz w:val="11"/>
                <w:szCs w:val="11"/>
                <w:color w:val="auto"/>
              </w:rPr>
              <w:t>Net</w:t>
            </w:r>
          </w:p>
        </w:tc>
        <w:tc>
          <w:tcPr>
            <w:tcW w:w="0" w:type="dxa"/>
            <w:vAlign w:val="bottom"/>
          </w:tcPr>
          <w:p>
            <w:pPr>
              <w:spacing w:after="0"/>
              <w:rPr>
                <w:sz w:val="1"/>
                <w:szCs w:val="1"/>
                <w:color w:val="auto"/>
              </w:rPr>
            </w:pPr>
          </w:p>
        </w:tc>
      </w:tr>
      <w:tr>
        <w:trPr>
          <w:trHeight w:val="110"/>
        </w:trPr>
        <w:tc>
          <w:tcPr>
            <w:tcW w:w="2420" w:type="dxa"/>
            <w:vAlign w:val="bottom"/>
            <w:gridSpan w:val="3"/>
            <w:vMerge w:val="restart"/>
          </w:tcPr>
          <w:p>
            <w:pPr>
              <w:ind w:left="20"/>
              <w:spacing w:after="0"/>
              <w:rPr>
                <w:sz w:val="20"/>
                <w:szCs w:val="20"/>
                <w:color w:val="auto"/>
              </w:rPr>
            </w:pPr>
            <w:r>
              <w:rPr>
                <w:rFonts w:ascii="Arial" w:cs="Arial" w:eastAsia="Arial" w:hAnsi="Arial"/>
                <w:sz w:val="11"/>
                <w:szCs w:val="11"/>
                <w:color w:val="auto"/>
              </w:rPr>
              <w:t>(in millions, except years)</w:t>
            </w:r>
          </w:p>
        </w:tc>
        <w:tc>
          <w:tcPr>
            <w:tcW w:w="128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40" w:type="dxa"/>
            <w:vAlign w:val="bottom"/>
            <w:gridSpan w:val="2"/>
          </w:tcPr>
          <w:p>
            <w:pPr>
              <w:jc w:val="center"/>
              <w:ind w:right="300"/>
              <w:spacing w:after="0" w:line="111" w:lineRule="exact"/>
              <w:rPr>
                <w:sz w:val="20"/>
                <w:szCs w:val="20"/>
                <w:color w:val="auto"/>
              </w:rPr>
            </w:pPr>
            <w:r>
              <w:rPr>
                <w:rFonts w:ascii="Arial" w:cs="Arial" w:eastAsia="Arial" w:hAnsi="Arial"/>
                <w:sz w:val="11"/>
                <w:szCs w:val="11"/>
                <w:color w:val="auto"/>
              </w:rPr>
              <w:t>Carrying</w:t>
            </w:r>
          </w:p>
        </w:tc>
        <w:tc>
          <w:tcPr>
            <w:tcW w:w="8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060" w:type="dxa"/>
            <w:vAlign w:val="bottom"/>
            <w:gridSpan w:val="2"/>
          </w:tcPr>
          <w:p>
            <w:pPr>
              <w:jc w:val="center"/>
              <w:ind w:right="320"/>
              <w:spacing w:after="0" w:line="111" w:lineRule="exact"/>
              <w:rPr>
                <w:sz w:val="20"/>
                <w:szCs w:val="20"/>
                <w:color w:val="auto"/>
              </w:rPr>
            </w:pPr>
            <w:r>
              <w:rPr>
                <w:rFonts w:ascii="Arial" w:cs="Arial" w:eastAsia="Arial" w:hAnsi="Arial"/>
                <w:sz w:val="11"/>
                <w:szCs w:val="11"/>
                <w:color w:val="auto"/>
              </w:rPr>
              <w:t>Carrying</w:t>
            </w:r>
          </w:p>
        </w:tc>
        <w:tc>
          <w:tcPr>
            <w:tcW w:w="8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420" w:type="dxa"/>
            <w:vAlign w:val="bottom"/>
            <w:gridSpan w:val="3"/>
            <w:vMerge w:val="continue"/>
          </w:tcPr>
          <w:p>
            <w:pPr>
              <w:spacing w:after="0"/>
              <w:rPr>
                <w:sz w:val="9"/>
                <w:szCs w:val="9"/>
                <w:color w:val="auto"/>
              </w:rPr>
            </w:pPr>
          </w:p>
        </w:tc>
        <w:tc>
          <w:tcPr>
            <w:tcW w:w="1280" w:type="dxa"/>
            <w:vAlign w:val="bottom"/>
            <w:gridSpan w:val="2"/>
          </w:tcPr>
          <w:p>
            <w:pPr>
              <w:jc w:val="center"/>
              <w:ind w:right="100"/>
              <w:spacing w:after="0" w:line="95" w:lineRule="exact"/>
              <w:rPr>
                <w:sz w:val="20"/>
                <w:szCs w:val="20"/>
                <w:color w:val="auto"/>
              </w:rPr>
            </w:pPr>
            <w:r>
              <w:rPr>
                <w:rFonts w:ascii="Arial" w:cs="Arial" w:eastAsia="Arial" w:hAnsi="Arial"/>
                <w:sz w:val="10"/>
                <w:szCs w:val="10"/>
                <w:color w:val="auto"/>
              </w:rPr>
              <w:t>Amortization</w:t>
            </w:r>
          </w:p>
        </w:tc>
        <w:tc>
          <w:tcPr>
            <w:tcW w:w="220" w:type="dxa"/>
            <w:vAlign w:val="bottom"/>
          </w:tcPr>
          <w:p>
            <w:pPr>
              <w:spacing w:after="0"/>
              <w:rPr>
                <w:sz w:val="9"/>
                <w:szCs w:val="9"/>
                <w:color w:val="auto"/>
              </w:rPr>
            </w:pPr>
          </w:p>
        </w:tc>
        <w:tc>
          <w:tcPr>
            <w:tcW w:w="1040" w:type="dxa"/>
            <w:vAlign w:val="bottom"/>
            <w:gridSpan w:val="2"/>
          </w:tcPr>
          <w:p>
            <w:pPr>
              <w:jc w:val="center"/>
              <w:ind w:right="320"/>
              <w:spacing w:after="0" w:line="95" w:lineRule="exact"/>
              <w:rPr>
                <w:sz w:val="20"/>
                <w:szCs w:val="20"/>
                <w:color w:val="auto"/>
              </w:rPr>
            </w:pPr>
            <w:r>
              <w:rPr>
                <w:rFonts w:ascii="Arial" w:cs="Arial" w:eastAsia="Arial" w:hAnsi="Arial"/>
                <w:sz w:val="10"/>
                <w:szCs w:val="10"/>
                <w:color w:val="auto"/>
              </w:rPr>
              <w:t>Amount</w:t>
            </w:r>
          </w:p>
        </w:tc>
        <w:tc>
          <w:tcPr>
            <w:tcW w:w="80" w:type="dxa"/>
            <w:vAlign w:val="bottom"/>
          </w:tcPr>
          <w:p>
            <w:pPr>
              <w:spacing w:after="0"/>
              <w:rPr>
                <w:sz w:val="9"/>
                <w:szCs w:val="9"/>
                <w:color w:val="auto"/>
              </w:rPr>
            </w:pPr>
          </w:p>
        </w:tc>
        <w:tc>
          <w:tcPr>
            <w:tcW w:w="1180" w:type="dxa"/>
            <w:vAlign w:val="bottom"/>
            <w:gridSpan w:val="2"/>
          </w:tcPr>
          <w:p>
            <w:pPr>
              <w:jc w:val="center"/>
              <w:ind w:right="160"/>
              <w:spacing w:after="0" w:line="95" w:lineRule="exact"/>
              <w:rPr>
                <w:sz w:val="20"/>
                <w:szCs w:val="20"/>
                <w:color w:val="auto"/>
              </w:rPr>
            </w:pPr>
            <w:r>
              <w:rPr>
                <w:rFonts w:ascii="Arial" w:cs="Arial" w:eastAsia="Arial" w:hAnsi="Arial"/>
                <w:sz w:val="10"/>
                <w:szCs w:val="10"/>
                <w:color w:val="auto"/>
              </w:rPr>
              <w:t>Amortization</w:t>
            </w:r>
          </w:p>
        </w:tc>
        <w:tc>
          <w:tcPr>
            <w:tcW w:w="240" w:type="dxa"/>
            <w:vAlign w:val="bottom"/>
          </w:tcPr>
          <w:p>
            <w:pPr>
              <w:spacing w:after="0"/>
              <w:rPr>
                <w:sz w:val="9"/>
                <w:szCs w:val="9"/>
                <w:color w:val="auto"/>
              </w:rPr>
            </w:pPr>
          </w:p>
        </w:tc>
        <w:tc>
          <w:tcPr>
            <w:tcW w:w="1040" w:type="dxa"/>
            <w:vAlign w:val="bottom"/>
            <w:gridSpan w:val="2"/>
          </w:tcPr>
          <w:p>
            <w:pPr>
              <w:jc w:val="center"/>
              <w:ind w:right="340"/>
              <w:spacing w:after="0" w:line="95" w:lineRule="exact"/>
              <w:rPr>
                <w:sz w:val="20"/>
                <w:szCs w:val="20"/>
                <w:color w:val="auto"/>
              </w:rPr>
            </w:pPr>
            <w:r>
              <w:rPr>
                <w:rFonts w:ascii="Arial" w:cs="Arial" w:eastAsia="Arial" w:hAnsi="Arial"/>
                <w:sz w:val="10"/>
                <w:szCs w:val="10"/>
                <w:color w:val="auto"/>
              </w:rPr>
              <w:t>Amount</w:t>
            </w:r>
          </w:p>
        </w:tc>
        <w:tc>
          <w:tcPr>
            <w:tcW w:w="220" w:type="dxa"/>
            <w:vAlign w:val="bottom"/>
          </w:tcPr>
          <w:p>
            <w:pPr>
              <w:spacing w:after="0"/>
              <w:rPr>
                <w:sz w:val="9"/>
                <w:szCs w:val="9"/>
                <w:color w:val="auto"/>
              </w:rPr>
            </w:pPr>
          </w:p>
        </w:tc>
        <w:tc>
          <w:tcPr>
            <w:tcW w:w="1060" w:type="dxa"/>
            <w:vAlign w:val="bottom"/>
            <w:gridSpan w:val="2"/>
          </w:tcPr>
          <w:p>
            <w:pPr>
              <w:jc w:val="center"/>
              <w:ind w:right="320"/>
              <w:spacing w:after="0" w:line="95" w:lineRule="exact"/>
              <w:rPr>
                <w:sz w:val="20"/>
                <w:szCs w:val="20"/>
                <w:color w:val="auto"/>
              </w:rPr>
            </w:pPr>
            <w:r>
              <w:rPr>
                <w:rFonts w:ascii="Arial" w:cs="Arial" w:eastAsia="Arial" w:hAnsi="Arial"/>
                <w:sz w:val="10"/>
                <w:szCs w:val="10"/>
                <w:color w:val="auto"/>
              </w:rPr>
              <w:t>Amount</w:t>
            </w:r>
          </w:p>
        </w:tc>
        <w:tc>
          <w:tcPr>
            <w:tcW w:w="80" w:type="dxa"/>
            <w:vAlign w:val="bottom"/>
          </w:tcPr>
          <w:p>
            <w:pPr>
              <w:spacing w:after="0"/>
              <w:rPr>
                <w:sz w:val="9"/>
                <w:szCs w:val="9"/>
                <w:color w:val="auto"/>
              </w:rPr>
            </w:pPr>
          </w:p>
        </w:tc>
        <w:tc>
          <w:tcPr>
            <w:tcW w:w="1200" w:type="dxa"/>
            <w:vAlign w:val="bottom"/>
            <w:gridSpan w:val="2"/>
          </w:tcPr>
          <w:p>
            <w:pPr>
              <w:jc w:val="center"/>
              <w:ind w:right="180"/>
              <w:spacing w:after="0" w:line="95" w:lineRule="exact"/>
              <w:rPr>
                <w:sz w:val="20"/>
                <w:szCs w:val="20"/>
                <w:color w:val="auto"/>
              </w:rPr>
            </w:pPr>
            <w:r>
              <w:rPr>
                <w:rFonts w:ascii="Arial" w:cs="Arial" w:eastAsia="Arial" w:hAnsi="Arial"/>
                <w:sz w:val="10"/>
                <w:szCs w:val="10"/>
                <w:color w:val="auto"/>
              </w:rPr>
              <w:t>Amortization</w:t>
            </w:r>
          </w:p>
        </w:tc>
        <w:tc>
          <w:tcPr>
            <w:tcW w:w="240" w:type="dxa"/>
            <w:vAlign w:val="bottom"/>
          </w:tcPr>
          <w:p>
            <w:pPr>
              <w:spacing w:after="0"/>
              <w:rPr>
                <w:sz w:val="9"/>
                <w:szCs w:val="9"/>
                <w:color w:val="auto"/>
              </w:rPr>
            </w:pPr>
          </w:p>
        </w:tc>
        <w:tc>
          <w:tcPr>
            <w:tcW w:w="940" w:type="dxa"/>
            <w:vAlign w:val="bottom"/>
          </w:tcPr>
          <w:p>
            <w:pPr>
              <w:jc w:val="center"/>
              <w:ind w:right="186"/>
              <w:spacing w:after="0" w:line="95" w:lineRule="exact"/>
              <w:rPr>
                <w:sz w:val="20"/>
                <w:szCs w:val="20"/>
                <w:color w:val="auto"/>
              </w:rPr>
            </w:pPr>
            <w:r>
              <w:rPr>
                <w:rFonts w:ascii="Arial" w:cs="Arial" w:eastAsia="Arial" w:hAnsi="Arial"/>
                <w:sz w:val="10"/>
                <w:szCs w:val="10"/>
                <w:color w:val="auto"/>
              </w:rPr>
              <w:t>Amount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Total Intangible Assets</w:t>
            </w:r>
          </w:p>
        </w:tc>
        <w:tc>
          <w:tcPr>
            <w:tcW w:w="12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1"/>
                <w:szCs w:val="11"/>
                <w:color w:val="auto"/>
                <w:w w:val="99"/>
              </w:rPr>
              <w:t>15 years</w:t>
            </w: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85</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53</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32</w:t>
            </w:r>
          </w:p>
        </w:tc>
        <w:tc>
          <w:tcPr>
            <w:tcW w:w="10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95</w:t>
            </w: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56</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right="400"/>
        <w:spacing w:after="0" w:line="282" w:lineRule="auto"/>
        <w:rPr>
          <w:sz w:val="20"/>
          <w:szCs w:val="20"/>
          <w:color w:val="auto"/>
        </w:rPr>
      </w:pPr>
      <w:r>
        <w:rPr>
          <w:rFonts w:ascii="Arial" w:cs="Arial" w:eastAsia="Arial" w:hAnsi="Arial"/>
          <w:sz w:val="14"/>
          <w:szCs w:val="14"/>
          <w:color w:val="auto"/>
        </w:rPr>
        <w:t>Amortization expense related to intangible assets was $7 million, $13 million and $135 million for the years ended December 31, 2023, 2022 and 2021, respectively. Amortization expense is expected to approximate $5 million in 2024, $4 million in 2025, $4 million in 2026, $3 million in 2027 and $3 million in 2028.</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9 – Restructuring Programs and Related Costs</w:t>
      </w:r>
    </w:p>
    <w:p>
      <w:pPr>
        <w:spacing w:after="0" w:line="123" w:lineRule="exact"/>
        <w:rPr>
          <w:sz w:val="20"/>
          <w:szCs w:val="20"/>
          <w:color w:val="auto"/>
        </w:rPr>
      </w:pPr>
    </w:p>
    <w:p>
      <w:pPr>
        <w:ind w:right="160"/>
        <w:spacing w:after="0" w:line="255" w:lineRule="auto"/>
        <w:rPr>
          <w:sz w:val="20"/>
          <w:szCs w:val="20"/>
          <w:color w:val="auto"/>
        </w:rPr>
      </w:pPr>
      <w:r>
        <w:rPr>
          <w:rFonts w:ascii="Arial" w:cs="Arial" w:eastAsia="Arial" w:hAnsi="Arial"/>
          <w:sz w:val="14"/>
          <w:szCs w:val="14"/>
          <w:color w:val="auto"/>
        </w:rPr>
        <w:t>The Company engages in a series of restructuring programs related to downsizing its employee base, exiting certain activities, outsourcing certain internal functions and engaging in other actions designed to reduce its cost structure and improve productivity. The implementation of the Company's operational efficiency improvement initiatives has reduced the Company's real estate footprint across all geographies and segments resulting in lease right-of-use asset impairments and other related costs. Also included in Restructuring and related costs are incremental, non-recurring costs related to the consolidation of the Company's data centers, which totaled $ 9 million, $10 million and $23 million for the years ended December 31, 2023, 2022 and 2021, respectively. Management continues to evaluate the Company's businesses, and in the future, there may be additional provisions for new plan initiatives and/or changes in previously recorded estimates as payments are made, or actions are completed.</w:t>
      </w:r>
    </w:p>
    <w:p>
      <w:pPr>
        <w:spacing w:after="0" w:line="99" w:lineRule="exact"/>
        <w:rPr>
          <w:sz w:val="20"/>
          <w:szCs w:val="20"/>
          <w:color w:val="auto"/>
        </w:rPr>
      </w:pPr>
    </w:p>
    <w:p>
      <w:pPr>
        <w:spacing w:after="0" w:line="256" w:lineRule="auto"/>
        <w:rPr>
          <w:sz w:val="20"/>
          <w:szCs w:val="20"/>
          <w:color w:val="auto"/>
        </w:rPr>
      </w:pPr>
      <w:r>
        <w:rPr>
          <w:rFonts w:ascii="Arial" w:cs="Arial" w:eastAsia="Arial" w:hAnsi="Arial"/>
          <w:sz w:val="14"/>
          <w:szCs w:val="14"/>
          <w:color w:val="auto"/>
        </w:rPr>
        <w:t>Costs associated with restructuring, including employee severance and lease termination costs, are generally recognized when it has been determined that a liability has been incurred, which is generally upon communication to the affected employees or exit from the leased facility. In those geographies where the Company has either a formal severance plan or a history of consistently providing severance benefits representing a substantive plan, it recognizes employee severance costs when they are both probable and reasonably estimable. Asset impairment costs related to the reduction of the Company's real estate footprint include impairment of operating lease right-of-use ("ROU") assets and associated leasehold improvements.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A summary of the Company's restructuring program activity during the two years ended December 31, 2023 is as follows: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3560" w:type="dxa"/>
            <w:vAlign w:val="bottom"/>
            <w:gridSpan w:val="2"/>
          </w:tcPr>
          <w:p>
            <w:pPr>
              <w:spacing w:after="0"/>
              <w:rPr>
                <w:sz w:val="20"/>
                <w:szCs w:val="20"/>
                <w:color w:val="auto"/>
              </w:rPr>
            </w:pPr>
            <w:r>
              <w:rPr>
                <w:rFonts w:ascii="Arial" w:cs="Arial" w:eastAsia="Arial" w:hAnsi="Arial"/>
                <w:sz w:val="11"/>
                <w:szCs w:val="11"/>
                <w:color w:val="auto"/>
              </w:rPr>
              <w:t>(in millions)</w:t>
            </w:r>
          </w:p>
        </w:tc>
        <w:tc>
          <w:tcPr>
            <w:tcW w:w="140" w:type="dxa"/>
            <w:vAlign w:val="bottom"/>
          </w:tcPr>
          <w:p>
            <w:pPr>
              <w:spacing w:after="0"/>
              <w:rPr>
                <w:sz w:val="10"/>
                <w:szCs w:val="10"/>
                <w:color w:val="auto"/>
              </w:rPr>
            </w:pPr>
          </w:p>
        </w:tc>
        <w:tc>
          <w:tcPr>
            <w:tcW w:w="1820" w:type="dxa"/>
            <w:vAlign w:val="bottom"/>
            <w:gridSpan w:val="2"/>
          </w:tcPr>
          <w:p>
            <w:pPr>
              <w:ind w:left="60"/>
              <w:spacing w:after="0"/>
              <w:rPr>
                <w:sz w:val="20"/>
                <w:szCs w:val="20"/>
                <w:color w:val="auto"/>
              </w:rPr>
            </w:pPr>
            <w:r>
              <w:rPr>
                <w:rFonts w:ascii="Arial" w:cs="Arial" w:eastAsia="Arial" w:hAnsi="Arial"/>
                <w:sz w:val="11"/>
                <w:szCs w:val="11"/>
                <w:color w:val="auto"/>
              </w:rPr>
              <w:t>Severance and Related Costs</w:t>
            </w:r>
          </w:p>
        </w:tc>
        <w:tc>
          <w:tcPr>
            <w:tcW w:w="140" w:type="dxa"/>
            <w:vAlign w:val="bottom"/>
          </w:tcPr>
          <w:p>
            <w:pPr>
              <w:spacing w:after="0"/>
              <w:rPr>
                <w:sz w:val="10"/>
                <w:szCs w:val="10"/>
                <w:color w:val="auto"/>
              </w:rPr>
            </w:pPr>
          </w:p>
        </w:tc>
        <w:tc>
          <w:tcPr>
            <w:tcW w:w="1800" w:type="dxa"/>
            <w:vAlign w:val="bottom"/>
            <w:gridSpan w:val="2"/>
          </w:tcPr>
          <w:p>
            <w:pPr>
              <w:ind w:left="80"/>
              <w:spacing w:after="0"/>
              <w:rPr>
                <w:sz w:val="20"/>
                <w:szCs w:val="20"/>
                <w:color w:val="auto"/>
              </w:rPr>
            </w:pPr>
            <w:r>
              <w:rPr>
                <w:rFonts w:ascii="Arial" w:cs="Arial" w:eastAsia="Arial" w:hAnsi="Arial"/>
                <w:sz w:val="11"/>
                <w:szCs w:val="11"/>
                <w:color w:val="auto"/>
              </w:rPr>
              <w:t>Termination and Other Costs</w:t>
            </w:r>
          </w:p>
        </w:tc>
        <w:tc>
          <w:tcPr>
            <w:tcW w:w="280" w:type="dxa"/>
            <w:vAlign w:val="bottom"/>
          </w:tcPr>
          <w:p>
            <w:pPr>
              <w:spacing w:after="0"/>
              <w:rPr>
                <w:sz w:val="10"/>
                <w:szCs w:val="10"/>
                <w:color w:val="auto"/>
              </w:rPr>
            </w:pPr>
          </w:p>
        </w:tc>
        <w:tc>
          <w:tcPr>
            <w:tcW w:w="1660" w:type="dxa"/>
            <w:vAlign w:val="bottom"/>
            <w:gridSpan w:val="2"/>
          </w:tcPr>
          <w:p>
            <w:pPr>
              <w:ind w:left="200"/>
              <w:spacing w:after="0"/>
              <w:rPr>
                <w:sz w:val="20"/>
                <w:szCs w:val="20"/>
                <w:color w:val="auto"/>
              </w:rPr>
            </w:pPr>
            <w:r>
              <w:rPr>
                <w:rFonts w:ascii="Arial" w:cs="Arial" w:eastAsia="Arial" w:hAnsi="Arial"/>
                <w:sz w:val="11"/>
                <w:szCs w:val="11"/>
                <w:color w:val="auto"/>
              </w:rPr>
              <w:t>Asset Impairments</w:t>
            </w:r>
          </w:p>
        </w:tc>
        <w:tc>
          <w:tcPr>
            <w:tcW w:w="440" w:type="dxa"/>
            <w:vAlign w:val="bottom"/>
          </w:tcPr>
          <w:p>
            <w:pPr>
              <w:spacing w:after="0"/>
              <w:rPr>
                <w:sz w:val="10"/>
                <w:szCs w:val="10"/>
                <w:color w:val="auto"/>
              </w:rPr>
            </w:pPr>
          </w:p>
        </w:tc>
        <w:tc>
          <w:tcPr>
            <w:tcW w:w="1420" w:type="dxa"/>
            <w:vAlign w:val="bottom"/>
          </w:tcPr>
          <w:p>
            <w:pPr>
              <w:jc w:val="right"/>
              <w:ind w:right="764"/>
              <w:spacing w:after="0"/>
              <w:rPr>
                <w:sz w:val="20"/>
                <w:szCs w:val="20"/>
                <w:color w:val="auto"/>
              </w:rPr>
            </w:pPr>
            <w:r>
              <w:rPr>
                <w:rFonts w:ascii="Arial" w:cs="Arial" w:eastAsia="Arial" w:hAnsi="Arial"/>
                <w:sz w:val="11"/>
                <w:szCs w:val="1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2021</w:t>
            </w:r>
          </w:p>
        </w:tc>
        <w:tc>
          <w:tcPr>
            <w:tcW w:w="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w w:val="97"/>
              </w:rPr>
              <w: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ind w:right="304"/>
              <w:spacing w:after="0"/>
              <w:rPr>
                <w:sz w:val="20"/>
                <w:szCs w:val="20"/>
                <w:color w:val="auto"/>
              </w:rPr>
            </w:pPr>
            <w:r>
              <w:rPr>
                <w:rFonts w:ascii="Arial" w:cs="Arial" w:eastAsia="Arial" w:hAnsi="Arial"/>
                <w:sz w:val="11"/>
                <w:szCs w:val="11"/>
                <w:color w:val="auto"/>
                <w:w w:val="97"/>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r>
      <w:tr>
        <w:trPr>
          <w:trHeight w:val="143"/>
        </w:trPr>
        <w:tc>
          <w:tcPr>
            <w:tcW w:w="20" w:type="dxa"/>
            <w:vAlign w:val="bottom"/>
          </w:tcPr>
          <w:p>
            <w:pPr>
              <w:spacing w:after="0"/>
              <w:rPr>
                <w:sz w:val="12"/>
                <w:szCs w:val="12"/>
                <w:color w:val="auto"/>
              </w:rPr>
            </w:pPr>
          </w:p>
        </w:tc>
        <w:tc>
          <w:tcPr>
            <w:tcW w:w="3560" w:type="dxa"/>
            <w:vAlign w:val="bottom"/>
            <w:gridSpan w:val="2"/>
          </w:tcPr>
          <w:p>
            <w:pPr>
              <w:ind w:left="160"/>
              <w:spacing w:after="0"/>
              <w:rPr>
                <w:sz w:val="20"/>
                <w:szCs w:val="20"/>
                <w:color w:val="auto"/>
              </w:rPr>
            </w:pPr>
            <w:r>
              <w:rPr>
                <w:rFonts w:ascii="Arial" w:cs="Arial" w:eastAsia="Arial" w:hAnsi="Arial"/>
                <w:sz w:val="11"/>
                <w:szCs w:val="11"/>
                <w:color w:val="auto"/>
              </w:rPr>
              <w:t>Provision</w:t>
            </w:r>
          </w:p>
        </w:tc>
        <w:tc>
          <w:tcPr>
            <w:tcW w:w="14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15</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38</w:t>
            </w:r>
          </w:p>
        </w:tc>
      </w:tr>
      <w:tr>
        <w:trPr>
          <w:trHeight w:val="160"/>
        </w:trPr>
        <w:tc>
          <w:tcPr>
            <w:tcW w:w="20" w:type="dxa"/>
            <w:vAlign w:val="bottom"/>
            <w:shd w:val="clear" w:color="auto" w:fill="CCEEFF"/>
          </w:tcPr>
          <w:p>
            <w:pPr>
              <w:spacing w:after="0"/>
              <w:rPr>
                <w:sz w:val="13"/>
                <w:szCs w:val="13"/>
                <w:color w:val="auto"/>
              </w:rPr>
            </w:pPr>
          </w:p>
        </w:tc>
        <w:tc>
          <w:tcPr>
            <w:tcW w:w="35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Changes in estimates</w:t>
            </w:r>
          </w:p>
        </w:tc>
        <w:tc>
          <w:tcPr>
            <w:tcW w:w="140" w:type="dxa"/>
            <w:vAlign w:val="bottom"/>
            <w:shd w:val="clear" w:color="auto" w:fill="CCEEFF"/>
          </w:tcPr>
          <w:p>
            <w:pPr>
              <w:spacing w:after="0"/>
              <w:rPr>
                <w:sz w:val="13"/>
                <w:szCs w:val="1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3"/>
                <w:szCs w:val="13"/>
                <w:color w:val="auto"/>
              </w:rPr>
            </w:pP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3"/>
                <w:szCs w:val="1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47"/>
        </w:trPr>
        <w:tc>
          <w:tcPr>
            <w:tcW w:w="20" w:type="dxa"/>
            <w:vAlign w:val="bottom"/>
          </w:tcPr>
          <w:p>
            <w:pPr>
              <w:spacing w:after="0"/>
              <w:rPr>
                <w:sz w:val="12"/>
                <w:szCs w:val="12"/>
                <w:color w:val="auto"/>
              </w:rPr>
            </w:pPr>
          </w:p>
        </w:tc>
        <w:tc>
          <w:tcPr>
            <w:tcW w:w="3560" w:type="dxa"/>
            <w:vAlign w:val="bottom"/>
            <w:gridSpan w:val="2"/>
          </w:tcPr>
          <w:p>
            <w:pPr>
              <w:spacing w:after="0" w:line="147" w:lineRule="exact"/>
              <w:rPr>
                <w:sz w:val="20"/>
                <w:szCs w:val="20"/>
                <w:color w:val="auto"/>
              </w:rPr>
            </w:pPr>
            <w:r>
              <w:rPr>
                <w:rFonts w:ascii="Arial" w:cs="Arial" w:eastAsia="Arial" w:hAnsi="Arial"/>
                <w:sz w:val="11"/>
                <w:szCs w:val="11"/>
                <w:color w:val="auto"/>
              </w:rPr>
              <w:t>Total Net Current Period Charges</w:t>
            </w:r>
            <w:r>
              <w:rPr>
                <w:rFonts w:ascii="Arial" w:cs="Arial" w:eastAsia="Arial" w:hAnsi="Arial"/>
                <w:sz w:val="14"/>
                <w:szCs w:val="14"/>
                <w:color w:val="auto"/>
                <w:vertAlign w:val="superscript"/>
              </w:rPr>
              <w:t>(1)</w:t>
            </w:r>
          </w:p>
        </w:tc>
        <w:tc>
          <w:tcPr>
            <w:tcW w:w="14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11</w:t>
            </w:r>
          </w:p>
        </w:tc>
        <w:tc>
          <w:tcPr>
            <w:tcW w:w="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37</w:t>
            </w:r>
          </w:p>
        </w:tc>
      </w:tr>
      <w:tr>
        <w:trPr>
          <w:trHeight w:val="156"/>
        </w:trPr>
        <w:tc>
          <w:tcPr>
            <w:tcW w:w="20" w:type="dxa"/>
            <w:vAlign w:val="bottom"/>
            <w:shd w:val="clear" w:color="auto" w:fill="CCEEFF"/>
          </w:tcPr>
          <w:p>
            <w:pPr>
              <w:spacing w:after="0"/>
              <w:rPr>
                <w:sz w:val="13"/>
                <w:szCs w:val="13"/>
                <w:color w:val="auto"/>
              </w:rPr>
            </w:pPr>
          </w:p>
        </w:tc>
        <w:tc>
          <w:tcPr>
            <w:tcW w:w="35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Charges against reserve and currency</w:t>
            </w:r>
          </w:p>
        </w:tc>
        <w:tc>
          <w:tcPr>
            <w:tcW w:w="140" w:type="dxa"/>
            <w:vAlign w:val="bottom"/>
            <w:tcBorders>
              <w:bottom w:val="single" w:sz="8" w:color="auto"/>
            </w:tcBorders>
            <w:shd w:val="clear" w:color="auto" w:fill="CCEEFF"/>
          </w:tcPr>
          <w:p>
            <w:pPr>
              <w:spacing w:after="0"/>
              <w:rPr>
                <w:sz w:val="13"/>
                <w:szCs w:val="13"/>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w:t>
            </w:r>
          </w:p>
        </w:tc>
      </w:tr>
      <w:tr>
        <w:trPr>
          <w:trHeight w:val="143"/>
        </w:trPr>
        <w:tc>
          <w:tcPr>
            <w:tcW w:w="20" w:type="dxa"/>
            <w:vAlign w:val="bottom"/>
          </w:tcPr>
          <w:p>
            <w:pPr>
              <w:spacing w:after="0"/>
              <w:rPr>
                <w:sz w:val="12"/>
                <w:szCs w:val="12"/>
                <w:color w:val="auto"/>
              </w:rPr>
            </w:pPr>
          </w:p>
        </w:tc>
        <w:tc>
          <w:tcPr>
            <w:tcW w:w="3560" w:type="dxa"/>
            <w:vAlign w:val="bottom"/>
            <w:gridSpan w:val="2"/>
          </w:tcPr>
          <w:p>
            <w:pPr>
              <w:spacing w:after="0"/>
              <w:rPr>
                <w:sz w:val="20"/>
                <w:szCs w:val="20"/>
                <w:color w:val="auto"/>
              </w:rPr>
            </w:pPr>
            <w:r>
              <w:rPr>
                <w:rFonts w:ascii="Arial" w:cs="Arial" w:eastAsia="Arial" w:hAnsi="Arial"/>
                <w:sz w:val="11"/>
                <w:szCs w:val="11"/>
                <w:b w:val="1"/>
                <w:bCs w:val="1"/>
                <w:color w:val="auto"/>
              </w:rPr>
              <w:t>Balance at December 31, 2022</w:t>
            </w: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1720" w:type="dxa"/>
            <w:vAlign w:val="bottom"/>
          </w:tcPr>
          <w:p>
            <w:pPr>
              <w:jc w:val="right"/>
              <w:ind w:right="4"/>
              <w:spacing w:after="0"/>
              <w:rPr>
                <w:sz w:val="20"/>
                <w:szCs w:val="20"/>
                <w:color w:val="auto"/>
              </w:rPr>
            </w:pPr>
            <w:r>
              <w:rPr>
                <w:rFonts w:ascii="Arial" w:cs="Arial" w:eastAsia="Arial" w:hAnsi="Arial"/>
                <w:sz w:val="11"/>
                <w:szCs w:val="11"/>
                <w:color w:val="auto"/>
              </w:rPr>
              <w:t>10</w:t>
            </w:r>
          </w:p>
        </w:tc>
        <w:tc>
          <w:tcPr>
            <w:tcW w:w="100" w:type="dxa"/>
            <w:vAlign w:val="bottom"/>
          </w:tcPr>
          <w:p>
            <w:pPr>
              <w:spacing w:after="0"/>
              <w:rPr>
                <w:sz w:val="12"/>
                <w:szCs w:val="12"/>
                <w:color w:val="auto"/>
              </w:rPr>
            </w:pPr>
          </w:p>
        </w:tc>
        <w:tc>
          <w:tcPr>
            <w:tcW w:w="140" w:type="dxa"/>
            <w:vAlign w:val="bottom"/>
          </w:tcPr>
          <w:p>
            <w:pPr>
              <w:jc w:val="right"/>
              <w:ind w:right="4"/>
              <w:spacing w:after="0"/>
              <w:rPr>
                <w:sz w:val="20"/>
                <w:szCs w:val="20"/>
                <w:color w:val="auto"/>
              </w:rPr>
            </w:pPr>
            <w:r>
              <w:rPr>
                <w:rFonts w:ascii="Arial" w:cs="Arial" w:eastAsia="Arial" w:hAnsi="Arial"/>
                <w:sz w:val="11"/>
                <w:szCs w:val="11"/>
                <w:color w:val="auto"/>
                <w:w w:val="97"/>
              </w:rPr>
              <w:t>$</w:t>
            </w:r>
          </w:p>
        </w:tc>
        <w:tc>
          <w:tcPr>
            <w:tcW w:w="1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jc w:val="right"/>
              <w:ind w:right="144"/>
              <w:spacing w:after="0"/>
              <w:rPr>
                <w:sz w:val="20"/>
                <w:szCs w:val="20"/>
                <w:color w:val="auto"/>
              </w:rPr>
            </w:pPr>
            <w:r>
              <w:rPr>
                <w:rFonts w:ascii="Arial" w:cs="Arial" w:eastAsia="Arial" w:hAnsi="Arial"/>
                <w:sz w:val="11"/>
                <w:szCs w:val="11"/>
                <w:color w:val="auto"/>
                <w:w w:val="97"/>
              </w:rPr>
              <w:t>$</w:t>
            </w:r>
          </w:p>
        </w:tc>
        <w:tc>
          <w:tcPr>
            <w:tcW w:w="1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jc w:val="right"/>
              <w:ind w:right="304"/>
              <w:spacing w:after="0"/>
              <w:rPr>
                <w:sz w:val="20"/>
                <w:szCs w:val="20"/>
                <w:color w:val="auto"/>
              </w:rPr>
            </w:pPr>
            <w:r>
              <w:rPr>
                <w:rFonts w:ascii="Arial" w:cs="Arial" w:eastAsia="Arial" w:hAnsi="Arial"/>
                <w:sz w:val="11"/>
                <w:szCs w:val="11"/>
                <w:color w:val="auto"/>
                <w:w w:val="97"/>
              </w:rPr>
              <w:t>$</w:t>
            </w:r>
          </w:p>
        </w:tc>
        <w:tc>
          <w:tcPr>
            <w:tcW w:w="1420" w:type="dxa"/>
            <w:vAlign w:val="bottom"/>
          </w:tcPr>
          <w:p>
            <w:pPr>
              <w:jc w:val="right"/>
              <w:spacing w:after="0"/>
              <w:rPr>
                <w:sz w:val="20"/>
                <w:szCs w:val="20"/>
                <w:color w:val="auto"/>
              </w:rPr>
            </w:pPr>
            <w:r>
              <w:rPr>
                <w:rFonts w:ascii="Arial" w:cs="Arial" w:eastAsia="Arial" w:hAnsi="Arial"/>
                <w:sz w:val="11"/>
                <w:szCs w:val="11"/>
                <w:color w:val="auto"/>
              </w:rPr>
              <w:t>10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30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3560" w:type="dxa"/>
            <w:vAlign w:val="bottom"/>
            <w:gridSpan w:val="2"/>
            <w:shd w:val="clear" w:color="auto" w:fill="CCEEFF"/>
          </w:tcPr>
          <w:p>
            <w:pPr>
              <w:ind w:left="160"/>
              <w:spacing w:after="0" w:line="125" w:lineRule="exact"/>
              <w:rPr>
                <w:sz w:val="20"/>
                <w:szCs w:val="20"/>
                <w:color w:val="auto"/>
              </w:rPr>
            </w:pPr>
            <w:r>
              <w:rPr>
                <w:rFonts w:ascii="Arial" w:cs="Arial" w:eastAsia="Arial" w:hAnsi="Arial"/>
                <w:sz w:val="11"/>
                <w:szCs w:val="11"/>
                <w:color w:val="auto"/>
              </w:rPr>
              <w:t>Provision</w:t>
            </w:r>
          </w:p>
        </w:tc>
        <w:tc>
          <w:tcPr>
            <w:tcW w:w="140" w:type="dxa"/>
            <w:vAlign w:val="bottom"/>
            <w:shd w:val="clear" w:color="auto" w:fill="CCEEFF"/>
          </w:tcPr>
          <w:p>
            <w:pPr>
              <w:spacing w:after="0"/>
              <w:rPr>
                <w:sz w:val="12"/>
                <w:szCs w:val="12"/>
                <w:color w:val="auto"/>
              </w:rPr>
            </w:pP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5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11</w:t>
            </w: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w:t>
            </w:r>
          </w:p>
        </w:tc>
      </w:tr>
      <w:tr>
        <w:trPr>
          <w:trHeight w:val="152"/>
        </w:trPr>
        <w:tc>
          <w:tcPr>
            <w:tcW w:w="20" w:type="dxa"/>
            <w:vAlign w:val="bottom"/>
          </w:tcPr>
          <w:p>
            <w:pPr>
              <w:spacing w:after="0"/>
              <w:rPr>
                <w:sz w:val="13"/>
                <w:szCs w:val="13"/>
                <w:color w:val="auto"/>
              </w:rPr>
            </w:pPr>
          </w:p>
        </w:tc>
        <w:tc>
          <w:tcPr>
            <w:tcW w:w="3560" w:type="dxa"/>
            <w:vAlign w:val="bottom"/>
            <w:gridSpan w:val="2"/>
          </w:tcPr>
          <w:p>
            <w:pPr>
              <w:ind w:left="160"/>
              <w:spacing w:after="0"/>
              <w:rPr>
                <w:sz w:val="20"/>
                <w:szCs w:val="20"/>
                <w:color w:val="auto"/>
              </w:rPr>
            </w:pPr>
            <w:r>
              <w:rPr>
                <w:rFonts w:ascii="Arial" w:cs="Arial" w:eastAsia="Arial" w:hAnsi="Arial"/>
                <w:sz w:val="11"/>
                <w:szCs w:val="11"/>
                <w:color w:val="auto"/>
              </w:rPr>
              <w:t>Changes in estimates</w:t>
            </w:r>
          </w:p>
        </w:tc>
        <w:tc>
          <w:tcPr>
            <w:tcW w:w="140" w:type="dxa"/>
            <w:vAlign w:val="bottom"/>
          </w:tcPr>
          <w:p>
            <w:pPr>
              <w:spacing w:after="0"/>
              <w:rPr>
                <w:sz w:val="13"/>
                <w:szCs w:val="13"/>
                <w:color w:val="auto"/>
              </w:rPr>
            </w:pPr>
          </w:p>
        </w:tc>
        <w:tc>
          <w:tcPr>
            <w:tcW w:w="172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3"/>
                <w:szCs w:val="13"/>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(2)</w:t>
            </w:r>
          </w:p>
        </w:tc>
      </w:tr>
      <w:tr>
        <w:trPr>
          <w:trHeight w:val="151"/>
        </w:trPr>
        <w:tc>
          <w:tcPr>
            <w:tcW w:w="20" w:type="dxa"/>
            <w:vAlign w:val="bottom"/>
            <w:tcBorders>
              <w:top w:val="single" w:sz="8" w:color="CCEEFF"/>
            </w:tcBorders>
            <w:shd w:val="clear" w:color="auto" w:fill="CCEEFF"/>
          </w:tcPr>
          <w:p>
            <w:pPr>
              <w:spacing w:after="0"/>
              <w:rPr>
                <w:sz w:val="13"/>
                <w:szCs w:val="13"/>
                <w:color w:val="auto"/>
              </w:rPr>
            </w:pPr>
          </w:p>
        </w:tc>
        <w:tc>
          <w:tcPr>
            <w:tcW w:w="3560" w:type="dxa"/>
            <w:vAlign w:val="bottom"/>
            <w:tcBorders>
              <w:top w:val="single" w:sz="8" w:color="CCEEFF"/>
            </w:tcBorders>
            <w:gridSpan w:val="2"/>
            <w:shd w:val="clear" w:color="auto" w:fill="CCEEFF"/>
          </w:tcPr>
          <w:p>
            <w:pPr>
              <w:spacing w:after="0" w:line="151" w:lineRule="exact"/>
              <w:rPr>
                <w:sz w:val="20"/>
                <w:szCs w:val="20"/>
                <w:color w:val="auto"/>
              </w:rPr>
            </w:pPr>
            <w:r>
              <w:rPr>
                <w:rFonts w:ascii="Arial" w:cs="Arial" w:eastAsia="Arial" w:hAnsi="Arial"/>
                <w:sz w:val="11"/>
                <w:szCs w:val="11"/>
                <w:color w:val="auto"/>
              </w:rPr>
              <w:t>Total Net Current Period Charges</w:t>
            </w:r>
            <w:r>
              <w:rPr>
                <w:rFonts w:ascii="Arial" w:cs="Arial" w:eastAsia="Arial" w:hAnsi="Arial"/>
                <w:sz w:val="14"/>
                <w:szCs w:val="14"/>
                <w:color w:val="auto"/>
                <w:vertAlign w:val="superscript"/>
              </w:rPr>
              <w:t>(1)</w:t>
            </w:r>
          </w:p>
        </w:tc>
        <w:tc>
          <w:tcPr>
            <w:tcW w:w="140" w:type="dxa"/>
            <w:vAlign w:val="bottom"/>
            <w:tcBorders>
              <w:top w:val="single" w:sz="8" w:color="auto"/>
            </w:tcBorders>
            <w:shd w:val="clear" w:color="auto" w:fill="CCEEFF"/>
          </w:tcPr>
          <w:p>
            <w:pPr>
              <w:spacing w:after="0"/>
              <w:rPr>
                <w:sz w:val="13"/>
                <w:szCs w:val="13"/>
                <w:color w:val="auto"/>
              </w:rPr>
            </w:pPr>
          </w:p>
        </w:tc>
        <w:tc>
          <w:tcPr>
            <w:tcW w:w="172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29</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58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11</w:t>
            </w:r>
          </w:p>
        </w:tc>
        <w:tc>
          <w:tcPr>
            <w:tcW w:w="80" w:type="dxa"/>
            <w:vAlign w:val="bottom"/>
            <w:tcBorders>
              <w:top w:val="single" w:sz="8" w:color="CCEEFF"/>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62</w:t>
            </w:r>
          </w:p>
        </w:tc>
      </w:tr>
      <w:tr>
        <w:trPr>
          <w:trHeight w:val="152"/>
        </w:trPr>
        <w:tc>
          <w:tcPr>
            <w:tcW w:w="20" w:type="dxa"/>
            <w:vAlign w:val="bottom"/>
            <w:tcBorders>
              <w:bottom w:val="single" w:sz="8" w:color="CCEEFF"/>
            </w:tcBorders>
          </w:tcPr>
          <w:p>
            <w:pPr>
              <w:spacing w:after="0"/>
              <w:rPr>
                <w:sz w:val="13"/>
                <w:szCs w:val="13"/>
                <w:color w:val="auto"/>
              </w:rPr>
            </w:pPr>
          </w:p>
        </w:tc>
        <w:tc>
          <w:tcPr>
            <w:tcW w:w="356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Charges against reserve and currency</w:t>
            </w:r>
          </w:p>
        </w:tc>
        <w:tc>
          <w:tcPr>
            <w:tcW w:w="14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w:t>
            </w:r>
          </w:p>
        </w:tc>
      </w:tr>
      <w:tr>
        <w:trPr>
          <w:trHeight w:val="167"/>
        </w:trPr>
        <w:tc>
          <w:tcPr>
            <w:tcW w:w="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2023</w:t>
            </w:r>
          </w:p>
        </w:tc>
        <w:tc>
          <w:tcPr>
            <w:tcW w:w="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17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7"/>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w w:val="97"/>
              </w:rPr>
              <w: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ind w:right="304"/>
              <w:spacing w:after="0"/>
              <w:rPr>
                <w:sz w:val="20"/>
                <w:szCs w:val="20"/>
                <w:color w:val="auto"/>
              </w:rPr>
            </w:pPr>
            <w:r>
              <w:rPr>
                <w:rFonts w:ascii="Arial" w:cs="Arial" w:eastAsia="Arial" w:hAnsi="Arial"/>
                <w:sz w:val="11"/>
                <w:szCs w:val="11"/>
                <w:color w:val="auto"/>
                <w:w w:val="97"/>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30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9"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i w:val="1"/>
          <w:iCs w:val="1"/>
          <w:color w:val="auto"/>
        </w:rPr>
        <w:t>(1)</w:t>
        <w:tab/>
        <w:t>Represents amounts recognized within the Consolidated Statements of Income (Loss) for the years shown.</w:t>
      </w:r>
    </w:p>
    <w:p>
      <w:pPr>
        <w:spacing w:after="0" w:line="116"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During the year ended December 31, 2023, the Company incurred $7 million of costs for bringing certain technology functions in-house. These costs are included in the above table in Termination and Other Costs.</w:t>
      </w:r>
    </w:p>
    <w:p>
      <w:pPr>
        <w:spacing w:after="0" w:line="200" w:lineRule="exact"/>
        <w:rPr>
          <w:sz w:val="20"/>
          <w:szCs w:val="20"/>
          <w:color w:val="auto"/>
        </w:rPr>
      </w:pPr>
    </w:p>
    <w:p>
      <w:pPr>
        <w:spacing w:after="0" w:line="22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77" w:name="page78"/>
    <w:bookmarkEnd w:id="77"/>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160"/>
        <w:spacing w:after="0" w:line="282" w:lineRule="auto"/>
        <w:rPr>
          <w:sz w:val="20"/>
          <w:szCs w:val="20"/>
          <w:color w:val="auto"/>
        </w:rPr>
      </w:pPr>
      <w:r>
        <w:rPr>
          <w:rFonts w:ascii="Arial" w:cs="Arial" w:eastAsia="Arial" w:hAnsi="Arial"/>
          <w:sz w:val="14"/>
          <w:szCs w:val="14"/>
          <w:color w:val="auto"/>
        </w:rPr>
        <w:t>The Company also incurred costs related to professional support services associated with the implementation of certain strategic transformation programs of $2 million and $4 million during the years ended December 31, 2022 and 2021,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total amount of costs incurred in connection with these restructuring programs by reportable and non-reportable segment: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7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color w:val="auto"/>
              </w:rPr>
              <w:t>Year Ended December 31,</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r>
      <w:tr>
        <w:trPr>
          <w:trHeight w:val="123"/>
        </w:trPr>
        <w:tc>
          <w:tcPr>
            <w:tcW w:w="20" w:type="dxa"/>
            <w:vAlign w:val="bottom"/>
          </w:tcPr>
          <w:p>
            <w:pPr>
              <w:spacing w:after="0"/>
              <w:rPr>
                <w:sz w:val="10"/>
                <w:szCs w:val="10"/>
                <w:color w:val="auto"/>
              </w:rPr>
            </w:pPr>
          </w:p>
        </w:tc>
        <w:tc>
          <w:tcPr>
            <w:tcW w:w="6340" w:type="dxa"/>
            <w:vAlign w:val="bottom"/>
            <w:gridSpan w:val="2"/>
          </w:tcPr>
          <w:p>
            <w:pPr>
              <w:spacing w:after="0" w:line="123" w:lineRule="exact"/>
              <w:rPr>
                <w:sz w:val="20"/>
                <w:szCs w:val="20"/>
                <w:color w:val="auto"/>
              </w:rPr>
            </w:pPr>
            <w:r>
              <w:rPr>
                <w:rFonts w:ascii="Arial" w:cs="Arial" w:eastAsia="Arial" w:hAnsi="Arial"/>
                <w:sz w:val="11"/>
                <w:szCs w:val="11"/>
                <w:color w:val="auto"/>
              </w:rPr>
              <w:t>(in millions)</w:t>
            </w:r>
          </w:p>
        </w:tc>
        <w:tc>
          <w:tcPr>
            <w:tcW w:w="380" w:type="dxa"/>
            <w:vAlign w:val="bottom"/>
          </w:tcPr>
          <w:p>
            <w:pPr>
              <w:spacing w:after="0"/>
              <w:rPr>
                <w:sz w:val="10"/>
                <w:szCs w:val="10"/>
                <w:color w:val="auto"/>
              </w:rPr>
            </w:pPr>
          </w:p>
        </w:tc>
        <w:tc>
          <w:tcPr>
            <w:tcW w:w="1220" w:type="dxa"/>
            <w:vAlign w:val="bottom"/>
          </w:tcPr>
          <w:p>
            <w:pPr>
              <w:jc w:val="right"/>
              <w:ind w:right="624"/>
              <w:spacing w:after="0" w:line="123" w:lineRule="exact"/>
              <w:rPr>
                <w:sz w:val="20"/>
                <w:szCs w:val="20"/>
                <w:color w:val="auto"/>
              </w:rPr>
            </w:pPr>
            <w:r>
              <w:rPr>
                <w:rFonts w:ascii="Arial" w:cs="Arial" w:eastAsia="Arial" w:hAnsi="Arial"/>
                <w:sz w:val="11"/>
                <w:szCs w:val="11"/>
                <w:color w:val="auto"/>
              </w:rPr>
              <w:t>2023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60" w:type="dxa"/>
            <w:vAlign w:val="bottom"/>
          </w:tcPr>
          <w:p>
            <w:pPr>
              <w:jc w:val="right"/>
              <w:ind w:right="604"/>
              <w:spacing w:after="0" w:line="123" w:lineRule="exact"/>
              <w:rPr>
                <w:sz w:val="20"/>
                <w:szCs w:val="20"/>
                <w:color w:val="auto"/>
              </w:rPr>
            </w:pPr>
            <w:r>
              <w:rPr>
                <w:rFonts w:ascii="Arial" w:cs="Arial" w:eastAsia="Arial" w:hAnsi="Arial"/>
                <w:sz w:val="11"/>
                <w:szCs w:val="11"/>
                <w:color w:val="auto"/>
              </w:rPr>
              <w:t>2022</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0" w:type="dxa"/>
            <w:vAlign w:val="bottom"/>
          </w:tcPr>
          <w:p>
            <w:pPr>
              <w:jc w:val="right"/>
              <w:ind w:right="604"/>
              <w:spacing w:after="0" w:line="123" w:lineRule="exact"/>
              <w:rPr>
                <w:sz w:val="20"/>
                <w:szCs w:val="20"/>
                <w:color w:val="auto"/>
              </w:rPr>
            </w:pPr>
            <w:r>
              <w:rPr>
                <w:rFonts w:ascii="Arial" w:cs="Arial" w:eastAsia="Arial" w:hAnsi="Arial"/>
                <w:sz w:val="11"/>
                <w:szCs w:val="1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57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6340" w:type="dxa"/>
            <w:vAlign w:val="bottom"/>
            <w:gridSpan w:val="2"/>
            <w:shd w:val="clear" w:color="auto" w:fill="CCEEFF"/>
          </w:tcPr>
          <w:p>
            <w:pPr>
              <w:spacing w:after="0" w:line="125" w:lineRule="exact"/>
              <w:rPr>
                <w:sz w:val="20"/>
                <w:szCs w:val="20"/>
                <w:color w:val="auto"/>
              </w:rPr>
            </w:pPr>
            <w:r>
              <w:rPr>
                <w:rFonts w:ascii="Arial" w:cs="Arial" w:eastAsia="Arial" w:hAnsi="Arial"/>
                <w:sz w:val="11"/>
                <w:szCs w:val="11"/>
                <w:color w:val="auto"/>
              </w:rPr>
              <w:t>Commercial</w:t>
            </w: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w:t>
            </w:r>
          </w:p>
        </w:tc>
      </w:tr>
      <w:tr>
        <w:trPr>
          <w:trHeight w:val="152"/>
        </w:trPr>
        <w:tc>
          <w:tcPr>
            <w:tcW w:w="20" w:type="dxa"/>
            <w:vAlign w:val="bottom"/>
          </w:tcPr>
          <w:p>
            <w:pPr>
              <w:spacing w:after="0"/>
              <w:rPr>
                <w:sz w:val="13"/>
                <w:szCs w:val="13"/>
                <w:color w:val="auto"/>
              </w:rPr>
            </w:pPr>
          </w:p>
        </w:tc>
        <w:tc>
          <w:tcPr>
            <w:tcW w:w="6340" w:type="dxa"/>
            <w:vAlign w:val="bottom"/>
            <w:gridSpan w:val="2"/>
          </w:tcPr>
          <w:p>
            <w:pPr>
              <w:spacing w:after="0"/>
              <w:rPr>
                <w:sz w:val="20"/>
                <w:szCs w:val="20"/>
                <w:color w:val="auto"/>
              </w:rPr>
            </w:pPr>
            <w:r>
              <w:rPr>
                <w:rFonts w:ascii="Arial" w:cs="Arial" w:eastAsia="Arial" w:hAnsi="Arial"/>
                <w:sz w:val="11"/>
                <w:szCs w:val="11"/>
                <w:color w:val="auto"/>
              </w:rPr>
              <w:t>Government</w:t>
            </w:r>
          </w:p>
        </w:tc>
        <w:tc>
          <w:tcPr>
            <w:tcW w:w="380" w:type="dxa"/>
            <w:vAlign w:val="bottom"/>
          </w:tcPr>
          <w:p>
            <w:pPr>
              <w:spacing w:after="0"/>
              <w:rPr>
                <w:sz w:val="13"/>
                <w:szCs w:val="13"/>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46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w:t>
            </w:r>
          </w:p>
        </w:tc>
      </w:tr>
      <w:tr>
        <w:trPr>
          <w:trHeight w:val="160"/>
        </w:trPr>
        <w:tc>
          <w:tcPr>
            <w:tcW w:w="20" w:type="dxa"/>
            <w:vAlign w:val="bottom"/>
            <w:shd w:val="clear" w:color="auto" w:fill="CCEEFF"/>
          </w:tcPr>
          <w:p>
            <w:pPr>
              <w:spacing w:after="0"/>
              <w:rPr>
                <w:sz w:val="13"/>
                <w:szCs w:val="13"/>
                <w:color w:val="auto"/>
              </w:rPr>
            </w:pPr>
          </w:p>
        </w:tc>
        <w:tc>
          <w:tcPr>
            <w:tcW w:w="63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Transportation</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56"/>
        </w:trPr>
        <w:tc>
          <w:tcPr>
            <w:tcW w:w="20" w:type="dxa"/>
            <w:vAlign w:val="bottom"/>
            <w:tcBorders>
              <w:bottom w:val="single" w:sz="8" w:color="CCEEFF"/>
            </w:tcBorders>
          </w:tcPr>
          <w:p>
            <w:pPr>
              <w:spacing w:after="0"/>
              <w:rPr>
                <w:sz w:val="13"/>
                <w:szCs w:val="13"/>
                <w:color w:val="auto"/>
              </w:rPr>
            </w:pPr>
          </w:p>
        </w:tc>
        <w:tc>
          <w:tcPr>
            <w:tcW w:w="6340" w:type="dxa"/>
            <w:vAlign w:val="bottom"/>
            <w:tcBorders>
              <w:bottom w:val="single" w:sz="8" w:color="CCEEFF"/>
            </w:tcBorders>
            <w:gridSpan w:val="2"/>
          </w:tcPr>
          <w:p>
            <w:pPr>
              <w:spacing w:after="0" w:line="156" w:lineRule="exact"/>
              <w:rPr>
                <w:sz w:val="20"/>
                <w:szCs w:val="20"/>
                <w:color w:val="auto"/>
              </w:rPr>
            </w:pPr>
            <w:r>
              <w:rPr>
                <w:rFonts w:ascii="Arial" w:cs="Arial" w:eastAsia="Arial" w:hAnsi="Arial"/>
                <w:sz w:val="11"/>
                <w:szCs w:val="11"/>
                <w:color w:val="auto"/>
              </w:rPr>
              <w:t xml:space="preserve">Unallocated Costs </w:t>
            </w:r>
            <w:r>
              <w:rPr>
                <w:rFonts w:ascii="Arial" w:cs="Arial" w:eastAsia="Arial" w:hAnsi="Arial"/>
                <w:sz w:val="14"/>
                <w:szCs w:val="14"/>
                <w:color w:val="auto"/>
                <w:vertAlign w:val="superscript"/>
              </w:rPr>
              <w:t>(1)</w:t>
            </w: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33</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29</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w:t>
            </w:r>
          </w:p>
        </w:tc>
      </w:tr>
      <w:tr>
        <w:trPr>
          <w:trHeight w:val="168"/>
        </w:trPr>
        <w:tc>
          <w:tcPr>
            <w:tcW w:w="20" w:type="dxa"/>
            <w:vAlign w:val="bottom"/>
            <w:tcBorders>
              <w:bottom w:val="single" w:sz="8" w:color="CCEEFF"/>
            </w:tcBorders>
            <w:shd w:val="clear" w:color="auto" w:fill="CCEEFF"/>
          </w:tcPr>
          <w:p>
            <w:pPr>
              <w:spacing w:after="0"/>
              <w:rPr>
                <w:sz w:val="14"/>
                <w:szCs w:val="14"/>
                <w:color w:val="auto"/>
              </w:rPr>
            </w:pPr>
          </w:p>
        </w:tc>
        <w:tc>
          <w:tcPr>
            <w:tcW w:w="6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Total Net Restructuring Charges</w:t>
            </w:r>
          </w:p>
        </w:tc>
        <w:tc>
          <w:tcPr>
            <w:tcW w:w="38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62</w:t>
            </w:r>
          </w:p>
        </w:tc>
        <w:tc>
          <w:tcPr>
            <w:tcW w:w="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37</w:t>
            </w: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9"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i w:val="1"/>
          <w:iCs w:val="1"/>
          <w:color w:val="auto"/>
        </w:rPr>
        <w:t>(1)</w:t>
        <w:tab/>
        <w:t>Represents costs related to the consolidation of the Company's data centers, operating lease ROU asset impairment, termination and other costs not allocated to the segments.</w:t>
      </w:r>
    </w:p>
    <w:p>
      <w:pPr>
        <w:spacing w:after="0" w:line="200" w:lineRule="exact"/>
        <w:rPr>
          <w:sz w:val="20"/>
          <w:szCs w:val="20"/>
          <w:color w:val="auto"/>
        </w:rPr>
      </w:pPr>
    </w:p>
    <w:p>
      <w:pPr>
        <w:spacing w:after="0" w:line="270"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78" w:name="page79"/>
    <w:bookmarkEnd w:id="78"/>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10 – Supplementary Financial Information</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The components of Other assets and liabilities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980" w:type="dxa"/>
            <w:vAlign w:val="bottom"/>
            <w:tcBorders>
              <w:bottom w:val="single" w:sz="8" w:color="auto"/>
            </w:tcBorders>
            <w:gridSpan w:val="3"/>
          </w:tcPr>
          <w:p>
            <w:pPr>
              <w:jc w:val="right"/>
              <w:ind w:right="184"/>
              <w:spacing w:after="0"/>
              <w:rPr>
                <w:sz w:val="20"/>
                <w:szCs w:val="20"/>
                <w:color w:val="auto"/>
              </w:rPr>
            </w:pPr>
            <w:r>
              <w:rPr>
                <w:rFonts w:ascii="Arial" w:cs="Arial" w:eastAsia="Arial" w:hAnsi="Arial"/>
                <w:sz w:val="11"/>
                <w:szCs w:val="11"/>
                <w:color w:val="auto"/>
              </w:rPr>
              <w:t>December 31,</w:t>
            </w:r>
          </w:p>
        </w:tc>
        <w:tc>
          <w:tcPr>
            <w:tcW w:w="1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66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400" w:type="dxa"/>
            <w:vAlign w:val="bottom"/>
          </w:tcPr>
          <w:p>
            <w:pPr>
              <w:spacing w:after="0"/>
              <w:rPr>
                <w:sz w:val="10"/>
                <w:szCs w:val="10"/>
                <w:color w:val="auto"/>
              </w:rPr>
            </w:pPr>
          </w:p>
        </w:tc>
        <w:tc>
          <w:tcPr>
            <w:tcW w:w="1360" w:type="dxa"/>
            <w:vAlign w:val="bottom"/>
          </w:tcPr>
          <w:p>
            <w:pPr>
              <w:jc w:val="right"/>
              <w:ind w:right="704"/>
              <w:spacing w:after="0" w:line="120" w:lineRule="exact"/>
              <w:rPr>
                <w:sz w:val="20"/>
                <w:szCs w:val="20"/>
                <w:color w:val="auto"/>
              </w:rPr>
            </w:pPr>
            <w:r>
              <w:rPr>
                <w:rFonts w:ascii="Arial" w:cs="Arial" w:eastAsia="Arial" w:hAnsi="Arial"/>
                <w:sz w:val="11"/>
                <w:szCs w:val="11"/>
                <w:color w:val="auto"/>
              </w:rPr>
              <w:t>2023</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20" w:type="dxa"/>
            <w:vAlign w:val="bottom"/>
          </w:tcPr>
          <w:p>
            <w:pPr>
              <w:jc w:val="right"/>
              <w:ind w:right="704"/>
              <w:spacing w:after="0" w:line="120" w:lineRule="exact"/>
              <w:rPr>
                <w:sz w:val="20"/>
                <w:szCs w:val="20"/>
                <w:color w:val="auto"/>
              </w:rPr>
            </w:pPr>
            <w:r>
              <w:rPr>
                <w:rFonts w:ascii="Arial" w:cs="Arial" w:eastAsia="Arial" w:hAnsi="Arial"/>
                <w:sz w:val="11"/>
                <w:szCs w:val="11"/>
                <w:color w:val="auto"/>
              </w:rPr>
              <w:t>2022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7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Other Current Assets</w:t>
            </w:r>
          </w:p>
        </w:tc>
        <w:tc>
          <w:tcPr>
            <w:tcW w:w="4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60" w:type="dxa"/>
            <w:vAlign w:val="bottom"/>
            <w:gridSpan w:val="2"/>
          </w:tcPr>
          <w:p>
            <w:pPr>
              <w:spacing w:after="0"/>
              <w:rPr>
                <w:sz w:val="20"/>
                <w:szCs w:val="20"/>
                <w:color w:val="auto"/>
              </w:rPr>
            </w:pPr>
            <w:r>
              <w:rPr>
                <w:rFonts w:ascii="Arial" w:cs="Arial" w:eastAsia="Arial" w:hAnsi="Arial"/>
                <w:sz w:val="11"/>
                <w:szCs w:val="11"/>
                <w:color w:val="auto"/>
              </w:rPr>
              <w:t>Prepaid expenses</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ind w:right="4"/>
              <w:spacing w:after="0"/>
              <w:rPr>
                <w:sz w:val="20"/>
                <w:szCs w:val="20"/>
                <w:color w:val="auto"/>
              </w:rPr>
            </w:pPr>
            <w:r>
              <w:rPr>
                <w:rFonts w:ascii="Arial" w:cs="Arial" w:eastAsia="Arial" w:hAnsi="Arial"/>
                <w:sz w:val="11"/>
                <w:szCs w:val="11"/>
                <w:color w:val="auto"/>
              </w:rPr>
              <w:t>70</w:t>
            </w:r>
          </w:p>
        </w:tc>
        <w:tc>
          <w:tcPr>
            <w:tcW w:w="80" w:type="dxa"/>
            <w:vAlign w:val="bottom"/>
          </w:tcPr>
          <w:p>
            <w:pPr>
              <w:spacing w:after="0"/>
              <w:rPr>
                <w:sz w:val="13"/>
                <w:szCs w:val="13"/>
                <w:color w:val="auto"/>
              </w:rPr>
            </w:pPr>
          </w:p>
        </w:tc>
        <w:tc>
          <w:tcPr>
            <w:tcW w:w="540" w:type="dxa"/>
            <w:vAlign w:val="bottom"/>
          </w:tcPr>
          <w:p>
            <w:pPr>
              <w:jc w:val="right"/>
              <w:ind w:right="404"/>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88</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Income taxes receivable</w:t>
            </w: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38</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60" w:type="dxa"/>
            <w:vAlign w:val="bottom"/>
            <w:gridSpan w:val="2"/>
          </w:tcPr>
          <w:p>
            <w:pPr>
              <w:spacing w:after="0"/>
              <w:rPr>
                <w:sz w:val="20"/>
                <w:szCs w:val="20"/>
                <w:color w:val="auto"/>
              </w:rPr>
            </w:pPr>
            <w:r>
              <w:rPr>
                <w:rFonts w:ascii="Arial" w:cs="Arial" w:eastAsia="Arial" w:hAnsi="Arial"/>
                <w:sz w:val="11"/>
                <w:szCs w:val="11"/>
                <w:color w:val="auto"/>
              </w:rPr>
              <w:t>Value-added tax (VAT) receivable</w:t>
            </w:r>
          </w:p>
        </w:tc>
        <w:tc>
          <w:tcPr>
            <w:tcW w:w="400" w:type="dxa"/>
            <w:vAlign w:val="bottom"/>
          </w:tcPr>
          <w:p>
            <w:pPr>
              <w:spacing w:after="0"/>
              <w:rPr>
                <w:sz w:val="13"/>
                <w:szCs w:val="13"/>
                <w:color w:val="auto"/>
              </w:rPr>
            </w:pPr>
          </w:p>
        </w:tc>
        <w:tc>
          <w:tcPr>
            <w:tcW w:w="1360" w:type="dxa"/>
            <w:vAlign w:val="bottom"/>
          </w:tcPr>
          <w:p>
            <w:pPr>
              <w:jc w:val="right"/>
              <w:ind w:right="4"/>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Restricted cash</w:t>
            </w: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21</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76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Other</w:t>
            </w:r>
          </w:p>
        </w:tc>
        <w:tc>
          <w:tcPr>
            <w:tcW w:w="4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103</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87</w:t>
            </w: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4"/>
                <w:szCs w:val="14"/>
                <w:color w:val="auto"/>
              </w:rPr>
            </w:pPr>
          </w:p>
        </w:tc>
        <w:tc>
          <w:tcPr>
            <w:tcW w:w="7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Total Other Current Assets</w:t>
            </w:r>
          </w:p>
        </w:tc>
        <w:tc>
          <w:tcPr>
            <w:tcW w:w="4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240</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404"/>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6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1"/>
                <w:szCs w:val="11"/>
                <w:b w:val="1"/>
                <w:bCs w:val="1"/>
                <w:color w:val="auto"/>
              </w:rPr>
              <w:t>Other Current Liabilities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vMerge w:val="continue"/>
          </w:tcPr>
          <w:p>
            <w:pPr>
              <w:spacing w:after="0"/>
              <w:rPr>
                <w:sz w:val="8"/>
                <w:szCs w:val="8"/>
                <w:color w:val="auto"/>
              </w:rPr>
            </w:pPr>
          </w:p>
        </w:tc>
        <w:tc>
          <w:tcPr>
            <w:tcW w:w="766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Accrued liabilities to vendors</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188</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04"/>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60" w:type="dxa"/>
            <w:vAlign w:val="bottom"/>
            <w:gridSpan w:val="2"/>
          </w:tcPr>
          <w:p>
            <w:pPr>
              <w:spacing w:after="0"/>
              <w:rPr>
                <w:sz w:val="20"/>
                <w:szCs w:val="20"/>
                <w:color w:val="auto"/>
              </w:rPr>
            </w:pPr>
            <w:r>
              <w:rPr>
                <w:rFonts w:ascii="Arial" w:cs="Arial" w:eastAsia="Arial" w:hAnsi="Arial"/>
                <w:sz w:val="11"/>
                <w:szCs w:val="11"/>
                <w:color w:val="auto"/>
              </w:rPr>
              <w:t>Litigation related accruals</w:t>
            </w:r>
          </w:p>
        </w:tc>
        <w:tc>
          <w:tcPr>
            <w:tcW w:w="400" w:type="dxa"/>
            <w:vAlign w:val="bottom"/>
          </w:tcPr>
          <w:p>
            <w:pPr>
              <w:spacing w:after="0"/>
              <w:rPr>
                <w:sz w:val="13"/>
                <w:szCs w:val="13"/>
                <w:color w:val="auto"/>
              </w:rPr>
            </w:pPr>
          </w:p>
        </w:tc>
        <w:tc>
          <w:tcPr>
            <w:tcW w:w="1360" w:type="dxa"/>
            <w:vAlign w:val="bottom"/>
          </w:tcPr>
          <w:p>
            <w:pPr>
              <w:jc w:val="right"/>
              <w:ind w:right="4"/>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Current operating lease liabilities</w:t>
            </w: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54</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60" w:type="dxa"/>
            <w:vAlign w:val="bottom"/>
            <w:gridSpan w:val="2"/>
          </w:tcPr>
          <w:p>
            <w:pPr>
              <w:spacing w:after="0"/>
              <w:rPr>
                <w:sz w:val="20"/>
                <w:szCs w:val="20"/>
                <w:color w:val="auto"/>
              </w:rPr>
            </w:pPr>
            <w:r>
              <w:rPr>
                <w:rFonts w:ascii="Arial" w:cs="Arial" w:eastAsia="Arial" w:hAnsi="Arial"/>
                <w:sz w:val="11"/>
                <w:szCs w:val="11"/>
                <w:color w:val="auto"/>
              </w:rPr>
              <w:t>Restructuring liabilities</w:t>
            </w:r>
          </w:p>
        </w:tc>
        <w:tc>
          <w:tcPr>
            <w:tcW w:w="400" w:type="dxa"/>
            <w:vAlign w:val="bottom"/>
          </w:tcPr>
          <w:p>
            <w:pPr>
              <w:spacing w:after="0"/>
              <w:rPr>
                <w:sz w:val="13"/>
                <w:szCs w:val="13"/>
                <w:color w:val="auto"/>
              </w:rPr>
            </w:pPr>
          </w:p>
        </w:tc>
        <w:tc>
          <w:tcPr>
            <w:tcW w:w="1360" w:type="dxa"/>
            <w:vAlign w:val="bottom"/>
          </w:tcPr>
          <w:p>
            <w:pPr>
              <w:jc w:val="right"/>
              <w:ind w:right="4"/>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Income tax payable</w:t>
            </w: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60" w:type="dxa"/>
            <w:vAlign w:val="bottom"/>
            <w:gridSpan w:val="2"/>
          </w:tcPr>
          <w:p>
            <w:pPr>
              <w:spacing w:after="0"/>
              <w:rPr>
                <w:sz w:val="20"/>
                <w:szCs w:val="20"/>
                <w:color w:val="auto"/>
              </w:rPr>
            </w:pPr>
            <w:r>
              <w:rPr>
                <w:rFonts w:ascii="Arial" w:cs="Arial" w:eastAsia="Arial" w:hAnsi="Arial"/>
                <w:sz w:val="11"/>
                <w:szCs w:val="11"/>
                <w:color w:val="auto"/>
              </w:rPr>
              <w:t>Other taxes payable</w:t>
            </w:r>
          </w:p>
        </w:tc>
        <w:tc>
          <w:tcPr>
            <w:tcW w:w="400" w:type="dxa"/>
            <w:vAlign w:val="bottom"/>
          </w:tcPr>
          <w:p>
            <w:pPr>
              <w:spacing w:after="0"/>
              <w:rPr>
                <w:sz w:val="13"/>
                <w:szCs w:val="13"/>
                <w:color w:val="auto"/>
              </w:rPr>
            </w:pPr>
          </w:p>
        </w:tc>
        <w:tc>
          <w:tcPr>
            <w:tcW w:w="1360" w:type="dxa"/>
            <w:vAlign w:val="bottom"/>
          </w:tcPr>
          <w:p>
            <w:pPr>
              <w:jc w:val="right"/>
              <w:ind w:right="4"/>
              <w:spacing w:after="0"/>
              <w:rPr>
                <w:sz w:val="20"/>
                <w:szCs w:val="20"/>
                <w:color w:val="auto"/>
              </w:rPr>
            </w:pPr>
            <w:r>
              <w:rPr>
                <w:rFonts w:ascii="Arial" w:cs="Arial" w:eastAsia="Arial" w:hAnsi="Arial"/>
                <w:sz w:val="11"/>
                <w:szCs w:val="11"/>
                <w:color w:val="auto"/>
              </w:rPr>
              <w:t>19</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Accrued interest</w:t>
            </w: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76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Other</w:t>
            </w:r>
          </w:p>
        </w:tc>
        <w:tc>
          <w:tcPr>
            <w:tcW w:w="4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44</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w:t>
            </w: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4"/>
                <w:szCs w:val="14"/>
                <w:color w:val="auto"/>
              </w:rPr>
            </w:pPr>
          </w:p>
        </w:tc>
        <w:tc>
          <w:tcPr>
            <w:tcW w:w="7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Total Other Current Liabilities</w:t>
            </w:r>
          </w:p>
        </w:tc>
        <w:tc>
          <w:tcPr>
            <w:tcW w:w="4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328</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404"/>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6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1"/>
                <w:szCs w:val="11"/>
                <w:b w:val="1"/>
                <w:bCs w:val="1"/>
                <w:color w:val="auto"/>
              </w:rPr>
              <w:t>Other Long-term Assets</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vMerge w:val="continue"/>
          </w:tcPr>
          <w:p>
            <w:pPr>
              <w:spacing w:after="0"/>
              <w:rPr>
                <w:sz w:val="8"/>
                <w:szCs w:val="8"/>
                <w:color w:val="auto"/>
              </w:rPr>
            </w:pPr>
          </w:p>
        </w:tc>
        <w:tc>
          <w:tcPr>
            <w:tcW w:w="766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20" w:type="dxa"/>
            <w:vAlign w:val="bottom"/>
            <w:shd w:val="clear" w:color="auto" w:fill="CCEEFF"/>
          </w:tcPr>
          <w:p>
            <w:pPr>
              <w:spacing w:after="0"/>
              <w:rPr>
                <w:sz w:val="13"/>
                <w:szCs w:val="13"/>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Internal use software, net</w:t>
            </w: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143</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404"/>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660" w:type="dxa"/>
            <w:vAlign w:val="bottom"/>
            <w:gridSpan w:val="2"/>
          </w:tcPr>
          <w:p>
            <w:pPr>
              <w:spacing w:after="0" w:line="156" w:lineRule="exact"/>
              <w:rPr>
                <w:sz w:val="20"/>
                <w:szCs w:val="20"/>
                <w:color w:val="auto"/>
              </w:rPr>
            </w:pPr>
            <w:r>
              <w:rPr>
                <w:rFonts w:ascii="Arial" w:cs="Arial" w:eastAsia="Arial" w:hAnsi="Arial"/>
                <w:sz w:val="11"/>
                <w:szCs w:val="11"/>
                <w:color w:val="auto"/>
              </w:rPr>
              <w:t>Deferred contract costs, net</w:t>
            </w:r>
            <w:r>
              <w:rPr>
                <w:rFonts w:ascii="Arial" w:cs="Arial" w:eastAsia="Arial" w:hAnsi="Arial"/>
                <w:sz w:val="14"/>
                <w:szCs w:val="14"/>
                <w:color w:val="auto"/>
                <w:vertAlign w:val="superscript"/>
              </w:rPr>
              <w:t>(1)</w:t>
            </w:r>
          </w:p>
        </w:tc>
        <w:tc>
          <w:tcPr>
            <w:tcW w:w="400" w:type="dxa"/>
            <w:vAlign w:val="bottom"/>
          </w:tcPr>
          <w:p>
            <w:pPr>
              <w:spacing w:after="0"/>
              <w:rPr>
                <w:sz w:val="13"/>
                <w:szCs w:val="13"/>
                <w:color w:val="auto"/>
              </w:rPr>
            </w:pPr>
          </w:p>
        </w:tc>
        <w:tc>
          <w:tcPr>
            <w:tcW w:w="1360" w:type="dxa"/>
            <w:vAlign w:val="bottom"/>
          </w:tcPr>
          <w:p>
            <w:pPr>
              <w:jc w:val="right"/>
              <w:ind w:right="4"/>
              <w:spacing w:after="0"/>
              <w:rPr>
                <w:sz w:val="20"/>
                <w:szCs w:val="20"/>
                <w:color w:val="auto"/>
              </w:rPr>
            </w:pPr>
            <w:r>
              <w:rPr>
                <w:rFonts w:ascii="Arial" w:cs="Arial" w:eastAsia="Arial" w:hAnsi="Arial"/>
                <w:sz w:val="11"/>
                <w:szCs w:val="11"/>
                <w:color w:val="auto"/>
              </w:rPr>
              <w:t>91</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82</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Product software, net</w:t>
            </w: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92</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60" w:type="dxa"/>
            <w:vAlign w:val="bottom"/>
            <w:gridSpan w:val="2"/>
          </w:tcPr>
          <w:p>
            <w:pPr>
              <w:spacing w:after="0"/>
              <w:rPr>
                <w:sz w:val="20"/>
                <w:szCs w:val="20"/>
                <w:color w:val="auto"/>
              </w:rPr>
            </w:pPr>
            <w:r>
              <w:rPr>
                <w:rFonts w:ascii="Arial" w:cs="Arial" w:eastAsia="Arial" w:hAnsi="Arial"/>
                <w:sz w:val="11"/>
                <w:szCs w:val="11"/>
                <w:color w:val="auto"/>
              </w:rPr>
              <w:t>Deferred tax assets</w:t>
            </w:r>
          </w:p>
        </w:tc>
        <w:tc>
          <w:tcPr>
            <w:tcW w:w="400" w:type="dxa"/>
            <w:vAlign w:val="bottom"/>
          </w:tcPr>
          <w:p>
            <w:pPr>
              <w:spacing w:after="0"/>
              <w:rPr>
                <w:sz w:val="13"/>
                <w:szCs w:val="13"/>
                <w:color w:val="auto"/>
              </w:rPr>
            </w:pPr>
          </w:p>
        </w:tc>
        <w:tc>
          <w:tcPr>
            <w:tcW w:w="1360" w:type="dxa"/>
            <w:vAlign w:val="bottom"/>
          </w:tcPr>
          <w:p>
            <w:pPr>
              <w:jc w:val="right"/>
              <w:ind w:right="4"/>
              <w:spacing w:after="0"/>
              <w:rPr>
                <w:sz w:val="20"/>
                <w:szCs w:val="20"/>
                <w:color w:val="auto"/>
              </w:rPr>
            </w:pPr>
            <w:r>
              <w:rPr>
                <w:rFonts w:ascii="Arial" w:cs="Arial" w:eastAsia="Arial" w:hAnsi="Arial"/>
                <w:sz w:val="11"/>
                <w:szCs w:val="11"/>
                <w:color w:val="auto"/>
              </w:rPr>
              <w:t>21</w:t>
            </w: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w:t>
            </w:r>
          </w:p>
        </w:tc>
        <w:tc>
          <w:tcPr>
            <w:tcW w:w="400" w:type="dxa"/>
            <w:vAlign w:val="bottom"/>
            <w:tcBorders>
              <w:bottom w:val="single" w:sz="8" w:color="auto"/>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89</w:t>
            </w:r>
          </w:p>
        </w:tc>
        <w:tc>
          <w:tcPr>
            <w:tcW w:w="80" w:type="dxa"/>
            <w:vAlign w:val="bottom"/>
            <w:shd w:val="clear" w:color="auto" w:fill="CCEEFF"/>
          </w:tcPr>
          <w:p>
            <w:pPr>
              <w:spacing w:after="0"/>
              <w:rPr>
                <w:sz w:val="13"/>
                <w:szCs w:val="13"/>
                <w:color w:val="auto"/>
              </w:rPr>
            </w:pPr>
          </w:p>
        </w:tc>
        <w:tc>
          <w:tcPr>
            <w:tcW w:w="54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88</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660" w:type="dxa"/>
            <w:vAlign w:val="bottom"/>
            <w:gridSpan w:val="2"/>
          </w:tcPr>
          <w:p>
            <w:pPr>
              <w:spacing w:after="0"/>
              <w:rPr>
                <w:sz w:val="20"/>
                <w:szCs w:val="20"/>
                <w:color w:val="auto"/>
              </w:rPr>
            </w:pPr>
            <w:r>
              <w:rPr>
                <w:rFonts w:ascii="Arial" w:cs="Arial" w:eastAsia="Arial" w:hAnsi="Arial"/>
                <w:sz w:val="11"/>
                <w:szCs w:val="11"/>
                <w:b w:val="1"/>
                <w:bCs w:val="1"/>
                <w:color w:val="auto"/>
              </w:rPr>
              <w:t>Total Other Long-term Assets</w:t>
            </w:r>
          </w:p>
        </w:tc>
        <w:tc>
          <w:tcPr>
            <w:tcW w:w="400" w:type="dxa"/>
            <w:vAlign w:val="bottom"/>
            <w:tcBorders>
              <w:bottom w:val="single" w:sz="8" w:color="auto"/>
            </w:tcBorders>
          </w:tcPr>
          <w:p>
            <w:pPr>
              <w:jc w:val="right"/>
              <w:ind w:right="2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436</w:t>
            </w:r>
          </w:p>
        </w:tc>
        <w:tc>
          <w:tcPr>
            <w:tcW w:w="80" w:type="dxa"/>
            <w:vAlign w:val="bottom"/>
          </w:tcPr>
          <w:p>
            <w:pPr>
              <w:spacing w:after="0"/>
              <w:rPr>
                <w:sz w:val="13"/>
                <w:szCs w:val="13"/>
                <w:color w:val="auto"/>
              </w:rPr>
            </w:pPr>
          </w:p>
        </w:tc>
        <w:tc>
          <w:tcPr>
            <w:tcW w:w="540" w:type="dxa"/>
            <w:vAlign w:val="bottom"/>
            <w:tcBorders>
              <w:bottom w:val="single" w:sz="8" w:color="auto"/>
            </w:tcBorders>
          </w:tcPr>
          <w:p>
            <w:pPr>
              <w:jc w:val="right"/>
              <w:ind w:right="404"/>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7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shd w:val="clear" w:color="auto" w:fill="CCEEFF"/>
          </w:tcPr>
          <w:p>
            <w:pPr>
              <w:spacing w:after="0"/>
              <w:rPr>
                <w:sz w:val="10"/>
                <w:szCs w:val="10"/>
                <w:color w:val="auto"/>
              </w:rPr>
            </w:pPr>
          </w:p>
        </w:tc>
        <w:tc>
          <w:tcPr>
            <w:tcW w:w="7660" w:type="dxa"/>
            <w:vAlign w:val="bottom"/>
            <w:gridSpan w:val="2"/>
            <w:shd w:val="clear" w:color="auto" w:fill="CCEEFF"/>
          </w:tcPr>
          <w:p>
            <w:pPr>
              <w:spacing w:after="0" w:line="117" w:lineRule="exact"/>
              <w:rPr>
                <w:sz w:val="20"/>
                <w:szCs w:val="20"/>
                <w:color w:val="auto"/>
              </w:rPr>
            </w:pPr>
            <w:r>
              <w:rPr>
                <w:rFonts w:ascii="Arial" w:cs="Arial" w:eastAsia="Arial" w:hAnsi="Arial"/>
                <w:sz w:val="11"/>
                <w:szCs w:val="11"/>
                <w:b w:val="1"/>
                <w:bCs w:val="1"/>
                <w:color w:val="auto"/>
              </w:rPr>
              <w:t>Other Long-term Liabilities</w:t>
            </w:r>
          </w:p>
        </w:tc>
        <w:tc>
          <w:tcPr>
            <w:tcW w:w="40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660" w:type="dxa"/>
            <w:vAlign w:val="bottom"/>
            <w:gridSpan w:val="2"/>
          </w:tcPr>
          <w:p>
            <w:pPr>
              <w:spacing w:after="0"/>
              <w:rPr>
                <w:sz w:val="20"/>
                <w:szCs w:val="20"/>
                <w:color w:val="auto"/>
              </w:rPr>
            </w:pPr>
            <w:r>
              <w:rPr>
                <w:rFonts w:ascii="Arial" w:cs="Arial" w:eastAsia="Arial" w:hAnsi="Arial"/>
                <w:sz w:val="11"/>
                <w:szCs w:val="11"/>
                <w:color w:val="auto"/>
              </w:rPr>
              <w:t>Income tax liabilities</w:t>
            </w:r>
          </w:p>
        </w:tc>
        <w:tc>
          <w:tcPr>
            <w:tcW w:w="400" w:type="dxa"/>
            <w:vAlign w:val="bottom"/>
          </w:tcPr>
          <w:p>
            <w:pPr>
              <w:jc w:val="right"/>
              <w:ind w:right="290"/>
              <w:spacing w:after="0"/>
              <w:rPr>
                <w:sz w:val="20"/>
                <w:szCs w:val="20"/>
                <w:color w:val="auto"/>
              </w:rPr>
            </w:pPr>
            <w:r>
              <w:rPr>
                <w:rFonts w:ascii="Arial" w:cs="Arial" w:eastAsia="Arial" w:hAnsi="Arial"/>
                <w:sz w:val="10"/>
                <w:szCs w:val="10"/>
                <w:color w:val="auto"/>
                <w:w w:val="71"/>
              </w:rPr>
              <w:t>$</w:t>
            </w:r>
          </w:p>
        </w:tc>
        <w:tc>
          <w:tcPr>
            <w:tcW w:w="1360" w:type="dxa"/>
            <w:vAlign w:val="bottom"/>
          </w:tcPr>
          <w:p>
            <w:pPr>
              <w:jc w:val="right"/>
              <w:ind w:right="4"/>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3"/>
                <w:szCs w:val="13"/>
                <w:color w:val="auto"/>
              </w:rPr>
            </w:pPr>
          </w:p>
        </w:tc>
        <w:tc>
          <w:tcPr>
            <w:tcW w:w="540" w:type="dxa"/>
            <w:vAlign w:val="bottom"/>
          </w:tcPr>
          <w:p>
            <w:pPr>
              <w:jc w:val="right"/>
              <w:ind w:right="404"/>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76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Unearned income</w:t>
            </w:r>
          </w:p>
        </w:tc>
        <w:tc>
          <w:tcPr>
            <w:tcW w:w="400" w:type="dxa"/>
            <w:vAlign w:val="bottom"/>
            <w:shd w:val="clear" w:color="auto" w:fill="CCEEFF"/>
          </w:tcPr>
          <w:p>
            <w:pPr>
              <w:spacing w:after="0"/>
              <w:rPr>
                <w:sz w:val="13"/>
                <w:szCs w:val="13"/>
                <w:color w:val="auto"/>
              </w:rPr>
            </w:pPr>
          </w:p>
        </w:tc>
        <w:tc>
          <w:tcPr>
            <w:tcW w:w="13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55</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76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Other</w:t>
            </w:r>
          </w:p>
        </w:tc>
        <w:tc>
          <w:tcPr>
            <w:tcW w:w="4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23</w:t>
            </w:r>
          </w:p>
        </w:tc>
        <w:tc>
          <w:tcPr>
            <w:tcW w:w="8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4"/>
                <w:szCs w:val="14"/>
                <w:color w:val="auto"/>
              </w:rPr>
            </w:pPr>
          </w:p>
        </w:tc>
        <w:tc>
          <w:tcPr>
            <w:tcW w:w="7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Total Other Long-term Liabilities</w:t>
            </w:r>
          </w:p>
        </w:tc>
        <w:tc>
          <w:tcPr>
            <w:tcW w:w="4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84</w:t>
            </w: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404"/>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7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color w:val="auto"/>
        </w:rPr>
        <w:t>__________</w:t>
      </w:r>
    </w:p>
    <w:p>
      <w:pPr>
        <w:spacing w:after="0" w:line="51" w:lineRule="exact"/>
        <w:rPr>
          <w:sz w:val="20"/>
          <w:szCs w:val="20"/>
          <w:color w:val="auto"/>
        </w:rPr>
      </w:pPr>
    </w:p>
    <w:p>
      <w:pPr>
        <w:ind w:left="260" w:right="620" w:hanging="257"/>
        <w:spacing w:after="0" w:line="271" w:lineRule="auto"/>
        <w:tabs>
          <w:tab w:leader="none" w:pos="250" w:val="left"/>
        </w:tabs>
        <w:numPr>
          <w:ilvl w:val="0"/>
          <w:numId w:val="41"/>
        </w:numPr>
        <w:rPr>
          <w:rFonts w:ascii="Arial" w:cs="Arial" w:eastAsia="Arial" w:hAnsi="Arial"/>
          <w:sz w:val="11"/>
          <w:szCs w:val="11"/>
          <w:i w:val="1"/>
          <w:iCs w:val="1"/>
          <w:color w:val="auto"/>
        </w:rPr>
      </w:pPr>
      <w:r>
        <w:rPr>
          <w:rFonts w:ascii="Arial" w:cs="Arial" w:eastAsia="Arial" w:hAnsi="Arial"/>
          <w:sz w:val="11"/>
          <w:szCs w:val="11"/>
          <w:i w:val="1"/>
          <w:iCs w:val="1"/>
          <w:color w:val="auto"/>
        </w:rPr>
        <w:t>Represents capitalized costs associated with obtaining or fulfilling a contract with a customer. The balances at December 31, 2023 and 2022 are expected to be amortized over a weighted average remaining life of approximately 13 and 11 years, respectively. See Note 2 – Revenue for more information.</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11 – Debt</w:t>
      </w:r>
    </w:p>
    <w:p>
      <w:pPr>
        <w:spacing w:after="0" w:line="123" w:lineRule="exact"/>
        <w:rPr>
          <w:sz w:val="20"/>
          <w:szCs w:val="20"/>
          <w:color w:val="auto"/>
        </w:rPr>
      </w:pPr>
    </w:p>
    <w:p>
      <w:pPr>
        <w:ind w:right="560"/>
        <w:spacing w:after="0" w:line="282" w:lineRule="auto"/>
        <w:rPr>
          <w:sz w:val="20"/>
          <w:szCs w:val="20"/>
          <w:color w:val="auto"/>
        </w:rPr>
      </w:pPr>
      <w:r>
        <w:rPr>
          <w:rFonts w:ascii="Arial" w:cs="Arial" w:eastAsia="Arial" w:hAnsi="Arial"/>
          <w:sz w:val="14"/>
          <w:szCs w:val="14"/>
          <w:color w:val="auto"/>
        </w:rPr>
        <w:t>The Company classifies its debt based on the contractual maturity dates of the underlying debt instruments. The Company defers costs associated with debt issuance over the applicable term. These costs are amortized as interest expense in the Consolidated Statements of Income (Loss).</w:t>
      </w:r>
    </w:p>
    <w:p>
      <w:pPr>
        <w:spacing w:after="0" w:line="200" w:lineRule="exact"/>
        <w:rPr>
          <w:sz w:val="20"/>
          <w:szCs w:val="20"/>
          <w:color w:val="auto"/>
        </w:rPr>
      </w:pPr>
    </w:p>
    <w:p>
      <w:pPr>
        <w:spacing w:after="0" w:line="23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79" w:name="page80"/>
    <w:bookmarkEnd w:id="79"/>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Long-term debt was as follows: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56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3"/>
          </w:tcPr>
          <w:p>
            <w:pPr>
              <w:jc w:val="right"/>
              <w:ind w:right="204"/>
              <w:spacing w:after="0"/>
              <w:rPr>
                <w:sz w:val="20"/>
                <w:szCs w:val="20"/>
                <w:color w:val="auto"/>
              </w:rPr>
            </w:pPr>
            <w:r>
              <w:rPr>
                <w:rFonts w:ascii="Arial" w:cs="Arial" w:eastAsia="Arial" w:hAnsi="Arial"/>
                <w:sz w:val="11"/>
                <w:szCs w:val="11"/>
                <w:color w:val="auto"/>
              </w:rPr>
              <w:t>December 31,</w:t>
            </w:r>
          </w:p>
        </w:tc>
        <w:tc>
          <w:tcPr>
            <w:tcW w:w="12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5480" w:type="dxa"/>
            <w:vAlign w:val="bottom"/>
            <w:gridSpan w:val="2"/>
            <w:vMerge w:val="restart"/>
          </w:tcPr>
          <w:p>
            <w:pPr>
              <w:spacing w:after="0"/>
              <w:rPr>
                <w:sz w:val="20"/>
                <w:szCs w:val="20"/>
                <w:color w:val="auto"/>
              </w:rPr>
            </w:pPr>
            <w:r>
              <w:rPr>
                <w:rFonts w:ascii="Arial" w:cs="Arial" w:eastAsia="Arial" w:hAnsi="Arial"/>
                <w:sz w:val="11"/>
                <w:szCs w:val="11"/>
                <w:color w:val="auto"/>
              </w:rPr>
              <w:t>(in millions)</w:t>
            </w:r>
          </w:p>
        </w:tc>
        <w:tc>
          <w:tcPr>
            <w:tcW w:w="2020" w:type="dxa"/>
            <w:vAlign w:val="bottom"/>
            <w:gridSpan w:val="2"/>
          </w:tcPr>
          <w:p>
            <w:pPr>
              <w:ind w:left="80"/>
              <w:spacing w:after="0" w:line="100" w:lineRule="exact"/>
              <w:rPr>
                <w:sz w:val="20"/>
                <w:szCs w:val="20"/>
                <w:color w:val="auto"/>
              </w:rPr>
            </w:pPr>
            <w:r>
              <w:rPr>
                <w:rFonts w:ascii="Arial" w:cs="Arial" w:eastAsia="Arial" w:hAnsi="Arial"/>
                <w:sz w:val="11"/>
                <w:szCs w:val="11"/>
                <w:color w:val="auto"/>
              </w:rPr>
              <w:t>Weighted Average Interest Rates at</w:t>
            </w:r>
          </w:p>
        </w:tc>
        <w:tc>
          <w:tcPr>
            <w:tcW w:w="440" w:type="dxa"/>
            <w:vAlign w:val="bottom"/>
          </w:tcPr>
          <w:p>
            <w:pPr>
              <w:spacing w:after="0"/>
              <w:rPr>
                <w:sz w:val="8"/>
                <w:szCs w:val="8"/>
                <w:color w:val="auto"/>
              </w:rPr>
            </w:pPr>
          </w:p>
        </w:tc>
        <w:tc>
          <w:tcPr>
            <w:tcW w:w="1380" w:type="dxa"/>
            <w:vAlign w:val="bottom"/>
            <w:vMerge w:val="restart"/>
          </w:tcPr>
          <w:p>
            <w:pPr>
              <w:jc w:val="right"/>
              <w:ind w:right="724"/>
              <w:spacing w:after="0"/>
              <w:rPr>
                <w:sz w:val="20"/>
                <w:szCs w:val="20"/>
                <w:color w:val="auto"/>
              </w:rPr>
            </w:pPr>
            <w:r>
              <w:rPr>
                <w:rFonts w:ascii="Arial" w:cs="Arial" w:eastAsia="Arial" w:hAnsi="Arial"/>
                <w:sz w:val="11"/>
                <w:szCs w:val="11"/>
                <w:color w:val="auto"/>
              </w:rPr>
              <w:t>2023</w:t>
            </w: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80" w:type="dxa"/>
            <w:vAlign w:val="bottom"/>
            <w:vMerge w:val="restart"/>
          </w:tcPr>
          <w:p>
            <w:pPr>
              <w:jc w:val="right"/>
              <w:ind w:right="744"/>
              <w:spacing w:after="0"/>
              <w:rPr>
                <w:sz w:val="20"/>
                <w:szCs w:val="20"/>
                <w:color w:val="auto"/>
              </w:rPr>
            </w:pPr>
            <w:r>
              <w:rPr>
                <w:rFonts w:ascii="Arial" w:cs="Arial" w:eastAsia="Arial" w:hAnsi="Arial"/>
                <w:sz w:val="11"/>
                <w:szCs w:val="11"/>
                <w:color w:val="auto"/>
              </w:rPr>
              <w:t>2022</w:t>
            </w:r>
          </w:p>
        </w:tc>
        <w:tc>
          <w:tcPr>
            <w:tcW w:w="0" w:type="dxa"/>
            <w:vAlign w:val="bottom"/>
          </w:tcPr>
          <w:p>
            <w:pPr>
              <w:spacing w:after="0"/>
              <w:rPr>
                <w:sz w:val="1"/>
                <w:szCs w:val="1"/>
                <w:color w:val="auto"/>
              </w:rPr>
            </w:pPr>
          </w:p>
        </w:tc>
      </w:tr>
      <w:tr>
        <w:trPr>
          <w:trHeight w:val="123"/>
        </w:trPr>
        <w:tc>
          <w:tcPr>
            <w:tcW w:w="5480" w:type="dxa"/>
            <w:vAlign w:val="bottom"/>
            <w:gridSpan w:val="2"/>
            <w:vMerge w:val="continue"/>
          </w:tcPr>
          <w:p>
            <w:pPr>
              <w:spacing w:after="0"/>
              <w:rPr>
                <w:sz w:val="10"/>
                <w:szCs w:val="10"/>
                <w:color w:val="auto"/>
              </w:rPr>
            </w:pPr>
          </w:p>
        </w:tc>
        <w:tc>
          <w:tcPr>
            <w:tcW w:w="2460" w:type="dxa"/>
            <w:vAlign w:val="bottom"/>
            <w:gridSpan w:val="3"/>
          </w:tcPr>
          <w:p>
            <w:pPr>
              <w:jc w:val="right"/>
              <w:ind w:right="980"/>
              <w:spacing w:after="0" w:line="123" w:lineRule="exact"/>
              <w:rPr>
                <w:sz w:val="20"/>
                <w:szCs w:val="20"/>
                <w:color w:val="auto"/>
              </w:rPr>
            </w:pPr>
            <w:r>
              <w:rPr>
                <w:rFonts w:ascii="Arial" w:cs="Arial" w:eastAsia="Arial" w:hAnsi="Arial"/>
                <w:sz w:val="11"/>
                <w:szCs w:val="11"/>
                <w:color w:val="auto"/>
              </w:rPr>
              <w:t>December 31, 2023</w:t>
            </w:r>
            <w:r>
              <w:rPr>
                <w:rFonts w:ascii="Arial" w:cs="Arial" w:eastAsia="Arial" w:hAnsi="Arial"/>
                <w:sz w:val="14"/>
                <w:szCs w:val="14"/>
                <w:color w:val="auto"/>
                <w:vertAlign w:val="superscript"/>
              </w:rPr>
              <w:t>(1)</w:t>
            </w:r>
          </w:p>
        </w:tc>
        <w:tc>
          <w:tcPr>
            <w:tcW w:w="13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auto"/>
              <w:bottom w:val="single" w:sz="8" w:color="CCEEFF"/>
            </w:tcBorders>
          </w:tcPr>
          <w:p>
            <w:pPr>
              <w:spacing w:after="0" w:line="20" w:lineRule="exact"/>
              <w:rPr>
                <w:sz w:val="1"/>
                <w:szCs w:val="1"/>
                <w:color w:val="auto"/>
              </w:rPr>
            </w:pPr>
          </w:p>
        </w:tc>
        <w:tc>
          <w:tcPr>
            <w:tcW w:w="49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54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Term loan A due 2026</w:t>
            </w:r>
          </w:p>
        </w:tc>
        <w:tc>
          <w:tcPr>
            <w:tcW w:w="2460" w:type="dxa"/>
            <w:vAlign w:val="bottom"/>
            <w:gridSpan w:val="3"/>
            <w:shd w:val="clear" w:color="auto" w:fill="CCEEFF"/>
          </w:tcPr>
          <w:p>
            <w:pPr>
              <w:jc w:val="right"/>
              <w:ind w:right="360"/>
              <w:spacing w:after="0"/>
              <w:rPr>
                <w:sz w:val="20"/>
                <w:szCs w:val="20"/>
                <w:color w:val="auto"/>
              </w:rPr>
            </w:pPr>
            <w:r>
              <w:rPr>
                <w:rFonts w:ascii="Arial" w:cs="Arial" w:eastAsia="Arial" w:hAnsi="Arial"/>
                <w:sz w:val="11"/>
                <w:szCs w:val="11"/>
                <w:color w:val="auto"/>
              </w:rPr>
              <w:t>8.58 %  $</w:t>
            </w: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238</w:t>
            </w: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424"/>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252</w:t>
            </w:r>
          </w:p>
        </w:tc>
        <w:tc>
          <w:tcPr>
            <w:tcW w:w="0" w:type="dxa"/>
            <w:vAlign w:val="bottom"/>
          </w:tcPr>
          <w:p>
            <w:pPr>
              <w:spacing w:after="0"/>
              <w:rPr>
                <w:sz w:val="1"/>
                <w:szCs w:val="1"/>
                <w:color w:val="auto"/>
              </w:rPr>
            </w:pPr>
          </w:p>
        </w:tc>
      </w:tr>
      <w:tr>
        <w:trPr>
          <w:trHeight w:val="152"/>
        </w:trPr>
        <w:tc>
          <w:tcPr>
            <w:tcW w:w="5480" w:type="dxa"/>
            <w:vAlign w:val="bottom"/>
            <w:gridSpan w:val="2"/>
          </w:tcPr>
          <w:p>
            <w:pPr>
              <w:spacing w:after="0"/>
              <w:rPr>
                <w:sz w:val="20"/>
                <w:szCs w:val="20"/>
                <w:color w:val="auto"/>
              </w:rPr>
            </w:pPr>
            <w:r>
              <w:rPr>
                <w:rFonts w:ascii="Arial" w:cs="Arial" w:eastAsia="Arial" w:hAnsi="Arial"/>
                <w:sz w:val="11"/>
                <w:szCs w:val="11"/>
                <w:color w:val="auto"/>
              </w:rPr>
              <w:t>Term loan B due 2028</w:t>
            </w:r>
          </w:p>
        </w:tc>
        <w:tc>
          <w:tcPr>
            <w:tcW w:w="1940" w:type="dxa"/>
            <w:vAlign w:val="bottom"/>
          </w:tcPr>
          <w:p>
            <w:pPr>
              <w:jc w:val="right"/>
              <w:spacing w:after="0"/>
              <w:rPr>
                <w:sz w:val="20"/>
                <w:szCs w:val="20"/>
                <w:color w:val="auto"/>
              </w:rPr>
            </w:pPr>
            <w:r>
              <w:rPr>
                <w:rFonts w:ascii="Arial" w:cs="Arial" w:eastAsia="Arial" w:hAnsi="Arial"/>
                <w:sz w:val="11"/>
                <w:szCs w:val="11"/>
                <w:color w:val="auto"/>
              </w:rPr>
              <w:t>9.78 %</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505</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jc w:val="right"/>
              <w:ind w:right="4"/>
              <w:spacing w:after="0"/>
              <w:rPr>
                <w:sz w:val="20"/>
                <w:szCs w:val="20"/>
                <w:color w:val="auto"/>
              </w:rPr>
            </w:pPr>
            <w:r>
              <w:rPr>
                <w:rFonts w:ascii="Arial" w:cs="Arial" w:eastAsia="Arial" w:hAnsi="Arial"/>
                <w:sz w:val="11"/>
                <w:szCs w:val="11"/>
                <w:color w:val="auto"/>
              </w:rPr>
              <w:t>510</w:t>
            </w:r>
          </w:p>
        </w:tc>
        <w:tc>
          <w:tcPr>
            <w:tcW w:w="0" w:type="dxa"/>
            <w:vAlign w:val="bottom"/>
          </w:tcPr>
          <w:p>
            <w:pPr>
              <w:spacing w:after="0"/>
              <w:rPr>
                <w:sz w:val="1"/>
                <w:szCs w:val="1"/>
                <w:color w:val="auto"/>
              </w:rPr>
            </w:pPr>
          </w:p>
        </w:tc>
      </w:tr>
      <w:tr>
        <w:trPr>
          <w:trHeight w:val="160"/>
        </w:trPr>
        <w:tc>
          <w:tcPr>
            <w:tcW w:w="54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Senior notes due 2029</w:t>
            </w:r>
          </w:p>
        </w:tc>
        <w:tc>
          <w:tcPr>
            <w:tcW w:w="1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6.20 %</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520</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520</w:t>
            </w:r>
          </w:p>
        </w:tc>
        <w:tc>
          <w:tcPr>
            <w:tcW w:w="0" w:type="dxa"/>
            <w:vAlign w:val="bottom"/>
          </w:tcPr>
          <w:p>
            <w:pPr>
              <w:spacing w:after="0"/>
              <w:rPr>
                <w:sz w:val="1"/>
                <w:szCs w:val="1"/>
                <w:color w:val="auto"/>
              </w:rPr>
            </w:pPr>
          </w:p>
        </w:tc>
      </w:tr>
      <w:tr>
        <w:trPr>
          <w:trHeight w:val="152"/>
        </w:trPr>
        <w:tc>
          <w:tcPr>
            <w:tcW w:w="5480" w:type="dxa"/>
            <w:vAlign w:val="bottom"/>
            <w:gridSpan w:val="2"/>
          </w:tcPr>
          <w:p>
            <w:pPr>
              <w:spacing w:after="0"/>
              <w:rPr>
                <w:sz w:val="20"/>
                <w:szCs w:val="20"/>
                <w:color w:val="auto"/>
              </w:rPr>
            </w:pPr>
            <w:r>
              <w:rPr>
                <w:rFonts w:ascii="Arial" w:cs="Arial" w:eastAsia="Arial" w:hAnsi="Arial"/>
                <w:sz w:val="11"/>
                <w:szCs w:val="11"/>
                <w:color w:val="auto"/>
              </w:rPr>
              <w:t>Revolving credit facility maturing 2026</w:t>
            </w:r>
          </w:p>
        </w:tc>
        <w:tc>
          <w:tcPr>
            <w:tcW w:w="2460" w:type="dxa"/>
            <w:vAlign w:val="bottom"/>
            <w:gridSpan w:val="3"/>
          </w:tcPr>
          <w:p>
            <w:pPr>
              <w:jc w:val="right"/>
              <w:ind w:right="540"/>
              <w:spacing w:after="0"/>
              <w:rPr>
                <w:sz w:val="20"/>
                <w:szCs w:val="20"/>
                <w:color w:val="auto"/>
              </w:rPr>
            </w:pPr>
            <w:r>
              <w:rPr>
                <w:rFonts w:ascii="Arial" w:cs="Arial" w:eastAsia="Arial" w:hAnsi="Arial"/>
                <w:sz w:val="11"/>
                <w:szCs w:val="11"/>
                <w:color w:val="auto"/>
              </w:rPr>
              <w:t>— %</w:t>
            </w:r>
          </w:p>
        </w:tc>
        <w:tc>
          <w:tcPr>
            <w:tcW w:w="14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Pr>
          <w:p>
            <w:pPr>
              <w:spacing w:after="0"/>
              <w:rPr>
                <w:sz w:val="13"/>
                <w:szCs w:val="13"/>
                <w:color w:val="auto"/>
              </w:rPr>
            </w:pPr>
          </w:p>
        </w:tc>
        <w:tc>
          <w:tcPr>
            <w:tcW w:w="128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0"/>
        </w:trPr>
        <w:tc>
          <w:tcPr>
            <w:tcW w:w="54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Finance lease obligations</w:t>
            </w:r>
          </w:p>
        </w:tc>
        <w:tc>
          <w:tcPr>
            <w:tcW w:w="19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9.03 %</w:t>
            </w: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20</w:t>
            </w:r>
          </w:p>
        </w:tc>
        <w:tc>
          <w:tcPr>
            <w:tcW w:w="0" w:type="dxa"/>
            <w:vAlign w:val="bottom"/>
          </w:tcPr>
          <w:p>
            <w:pPr>
              <w:spacing w:after="0"/>
              <w:rPr>
                <w:sz w:val="1"/>
                <w:szCs w:val="1"/>
                <w:color w:val="auto"/>
              </w:rPr>
            </w:pPr>
          </w:p>
        </w:tc>
      </w:tr>
      <w:tr>
        <w:trPr>
          <w:trHeight w:val="152"/>
        </w:trPr>
        <w:tc>
          <w:tcPr>
            <w:tcW w:w="54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Other</w:t>
            </w:r>
          </w:p>
        </w:tc>
        <w:tc>
          <w:tcPr>
            <w:tcW w:w="1940" w:type="dxa"/>
            <w:vAlign w:val="bottom"/>
            <w:tcBorders>
              <w:bottom w:val="single" w:sz="8" w:color="CCEEFF"/>
            </w:tcBorders>
          </w:tcPr>
          <w:p>
            <w:pPr>
              <w:jc w:val="right"/>
              <w:spacing w:after="0"/>
              <w:rPr>
                <w:sz w:val="20"/>
                <w:szCs w:val="20"/>
                <w:color w:val="auto"/>
              </w:rPr>
            </w:pPr>
            <w:r>
              <w:rPr>
                <w:rFonts w:ascii="Arial" w:cs="Arial" w:eastAsia="Arial" w:hAnsi="Arial"/>
                <w:sz w:val="11"/>
                <w:szCs w:val="11"/>
                <w:color w:val="auto"/>
              </w:rPr>
              <w:t>3.98 %</w:t>
            </w:r>
          </w:p>
        </w:tc>
        <w:tc>
          <w:tcPr>
            <w:tcW w:w="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33</w:t>
            </w:r>
          </w:p>
        </w:tc>
        <w:tc>
          <w:tcPr>
            <w:tcW w:w="0" w:type="dxa"/>
            <w:vAlign w:val="bottom"/>
          </w:tcPr>
          <w:p>
            <w:pPr>
              <w:spacing w:after="0"/>
              <w:rPr>
                <w:sz w:val="1"/>
                <w:szCs w:val="1"/>
                <w:color w:val="auto"/>
              </w:rPr>
            </w:pPr>
          </w:p>
        </w:tc>
      </w:tr>
      <w:tr>
        <w:trPr>
          <w:trHeight w:val="151"/>
        </w:trPr>
        <w:tc>
          <w:tcPr>
            <w:tcW w:w="54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Principal Debt Balance</w:t>
            </w:r>
          </w:p>
        </w:tc>
        <w:tc>
          <w:tcPr>
            <w:tcW w:w="2460" w:type="dxa"/>
            <w:vAlign w:val="bottom"/>
            <w:gridSpan w:val="3"/>
            <w:shd w:val="clear" w:color="auto" w:fill="CCEEFF"/>
          </w:tcPr>
          <w:p>
            <w:pPr>
              <w:jc w:val="right"/>
              <w:ind w:right="360"/>
              <w:spacing w:after="0"/>
              <w:rPr>
                <w:sz w:val="20"/>
                <w:szCs w:val="20"/>
                <w:color w:val="auto"/>
              </w:rPr>
            </w:pPr>
            <w:r>
              <w:rPr>
                <w:rFonts w:ascii="Arial" w:cs="Arial" w:eastAsia="Arial" w:hAnsi="Arial"/>
                <w:sz w:val="11"/>
                <w:szCs w:val="11"/>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1,300</w:t>
            </w: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jc w:val="right"/>
              <w:ind w:right="424"/>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1,335</w:t>
            </w:r>
          </w:p>
        </w:tc>
        <w:tc>
          <w:tcPr>
            <w:tcW w:w="0" w:type="dxa"/>
            <w:vAlign w:val="bottom"/>
          </w:tcPr>
          <w:p>
            <w:pPr>
              <w:spacing w:after="0"/>
              <w:rPr>
                <w:sz w:val="1"/>
                <w:szCs w:val="1"/>
                <w:color w:val="auto"/>
              </w:rPr>
            </w:pPr>
          </w:p>
        </w:tc>
      </w:tr>
      <w:tr>
        <w:trPr>
          <w:trHeight w:val="152"/>
        </w:trPr>
        <w:tc>
          <w:tcPr>
            <w:tcW w:w="5480" w:type="dxa"/>
            <w:vAlign w:val="bottom"/>
            <w:gridSpan w:val="2"/>
          </w:tcPr>
          <w:p>
            <w:pPr>
              <w:spacing w:after="0"/>
              <w:rPr>
                <w:sz w:val="20"/>
                <w:szCs w:val="20"/>
                <w:color w:val="auto"/>
              </w:rPr>
            </w:pPr>
            <w:r>
              <w:rPr>
                <w:rFonts w:ascii="Arial" w:cs="Arial" w:eastAsia="Arial" w:hAnsi="Arial"/>
                <w:sz w:val="11"/>
                <w:szCs w:val="11"/>
                <w:color w:val="auto"/>
              </w:rPr>
              <w:t>Debt issuance costs and unamortized discounts</w:t>
            </w:r>
          </w:p>
        </w:tc>
        <w:tc>
          <w:tcPr>
            <w:tcW w:w="1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380" w:type="dxa"/>
            <w:vAlign w:val="bottom"/>
          </w:tcPr>
          <w:p>
            <w:pPr>
              <w:jc w:val="right"/>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56"/>
        </w:trPr>
        <w:tc>
          <w:tcPr>
            <w:tcW w:w="54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Less: current maturities</w:t>
            </w:r>
          </w:p>
        </w:tc>
        <w:tc>
          <w:tcPr>
            <w:tcW w:w="19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w:t>
            </w:r>
          </w:p>
        </w:tc>
        <w:tc>
          <w:tcPr>
            <w:tcW w:w="10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(35)</w:t>
            </w:r>
          </w:p>
        </w:tc>
        <w:tc>
          <w:tcPr>
            <w:tcW w:w="0" w:type="dxa"/>
            <w:vAlign w:val="bottom"/>
          </w:tcPr>
          <w:p>
            <w:pPr>
              <w:spacing w:after="0"/>
              <w:rPr>
                <w:sz w:val="1"/>
                <w:szCs w:val="1"/>
                <w:color w:val="auto"/>
              </w:rPr>
            </w:pPr>
          </w:p>
        </w:tc>
      </w:tr>
      <w:tr>
        <w:trPr>
          <w:trHeight w:val="151"/>
        </w:trPr>
        <w:tc>
          <w:tcPr>
            <w:tcW w:w="5480" w:type="dxa"/>
            <w:vAlign w:val="bottom"/>
            <w:gridSpan w:val="2"/>
          </w:tcPr>
          <w:p>
            <w:pPr>
              <w:spacing w:after="0"/>
              <w:rPr>
                <w:sz w:val="20"/>
                <w:szCs w:val="20"/>
                <w:color w:val="auto"/>
              </w:rPr>
            </w:pPr>
            <w:r>
              <w:rPr>
                <w:rFonts w:ascii="Arial" w:cs="Arial" w:eastAsia="Arial" w:hAnsi="Arial"/>
                <w:sz w:val="11"/>
                <w:szCs w:val="11"/>
                <w:b w:val="1"/>
                <w:bCs w:val="1"/>
                <w:color w:val="auto"/>
              </w:rPr>
              <w:t>Total Long-term Debt</w:t>
            </w:r>
          </w:p>
        </w:tc>
        <w:tc>
          <w:tcPr>
            <w:tcW w:w="2460" w:type="dxa"/>
            <w:vAlign w:val="bottom"/>
            <w:gridSpan w:val="3"/>
          </w:tcPr>
          <w:p>
            <w:pPr>
              <w:jc w:val="right"/>
              <w:ind w:right="360"/>
              <w:spacing w:after="0"/>
              <w:rPr>
                <w:sz w:val="20"/>
                <w:szCs w:val="20"/>
                <w:color w:val="auto"/>
              </w:rPr>
            </w:pPr>
            <w:r>
              <w:rPr>
                <w:rFonts w:ascii="Arial" w:cs="Arial" w:eastAsia="Arial" w:hAnsi="Arial"/>
                <w:sz w:val="11"/>
                <w:szCs w:val="11"/>
                <w:color w:val="auto"/>
              </w:rPr>
              <w:t>$</w:t>
            </w:r>
          </w:p>
        </w:tc>
        <w:tc>
          <w:tcPr>
            <w:tcW w:w="1380" w:type="dxa"/>
            <w:vAlign w:val="bottom"/>
          </w:tcPr>
          <w:p>
            <w:pPr>
              <w:jc w:val="right"/>
              <w:spacing w:after="0"/>
              <w:rPr>
                <w:sz w:val="20"/>
                <w:szCs w:val="20"/>
                <w:color w:val="auto"/>
              </w:rPr>
            </w:pPr>
            <w:r>
              <w:rPr>
                <w:rFonts w:ascii="Arial" w:cs="Arial" w:eastAsia="Arial" w:hAnsi="Arial"/>
                <w:sz w:val="11"/>
                <w:szCs w:val="11"/>
                <w:color w:val="auto"/>
              </w:rPr>
              <w:t>1,248</w:t>
            </w:r>
          </w:p>
        </w:tc>
        <w:tc>
          <w:tcPr>
            <w:tcW w:w="100" w:type="dxa"/>
            <w:vAlign w:val="bottom"/>
          </w:tcPr>
          <w:p>
            <w:pPr>
              <w:spacing w:after="0"/>
              <w:rPr>
                <w:sz w:val="13"/>
                <w:szCs w:val="13"/>
                <w:color w:val="auto"/>
              </w:rPr>
            </w:pPr>
          </w:p>
        </w:tc>
        <w:tc>
          <w:tcPr>
            <w:tcW w:w="560" w:type="dxa"/>
            <w:vAlign w:val="bottom"/>
          </w:tcPr>
          <w:p>
            <w:pPr>
              <w:jc w:val="right"/>
              <w:ind w:right="424"/>
              <w:spacing w:after="0"/>
              <w:rPr>
                <w:sz w:val="20"/>
                <w:szCs w:val="20"/>
                <w:color w:val="auto"/>
              </w:rPr>
            </w:pPr>
            <w:r>
              <w:rPr>
                <w:rFonts w:ascii="Arial" w:cs="Arial" w:eastAsia="Arial" w:hAnsi="Arial"/>
                <w:sz w:val="11"/>
                <w:szCs w:val="11"/>
                <w:color w:val="auto"/>
                <w:w w:val="97"/>
              </w:rPr>
              <w:t>$</w:t>
            </w:r>
          </w:p>
        </w:tc>
        <w:tc>
          <w:tcPr>
            <w:tcW w:w="1280" w:type="dxa"/>
            <w:vAlign w:val="bottom"/>
          </w:tcPr>
          <w:p>
            <w:pPr>
              <w:jc w:val="right"/>
              <w:ind w:right="4"/>
              <w:spacing w:after="0"/>
              <w:rPr>
                <w:sz w:val="20"/>
                <w:szCs w:val="20"/>
                <w:color w:val="auto"/>
              </w:rPr>
            </w:pPr>
            <w:r>
              <w:rPr>
                <w:rFonts w:ascii="Arial" w:cs="Arial" w:eastAsia="Arial" w:hAnsi="Arial"/>
                <w:sz w:val="11"/>
                <w:szCs w:val="11"/>
                <w:color w:val="auto"/>
              </w:rPr>
              <w:t>1,277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1"/>
          <w:szCs w:val="11"/>
          <w:i w:val="1"/>
          <w:iCs w:val="1"/>
          <w:color w:val="auto"/>
        </w:rPr>
        <w:t>(1)  Represents weighted average effective interest rate which includes the effect of discounts and debt issuance costs on issued debt.</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Scheduled principal payments due on long-term debt for the next five years (in millions)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2024</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2025</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2026</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2027</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2028</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ind w:left="460"/>
              <w:spacing w:after="0"/>
              <w:rPr>
                <w:sz w:val="20"/>
                <w:szCs w:val="20"/>
                <w:color w:val="auto"/>
              </w:rPr>
            </w:pPr>
            <w:r>
              <w:rPr>
                <w:rFonts w:ascii="Arial" w:cs="Arial" w:eastAsia="Arial" w:hAnsi="Arial"/>
                <w:sz w:val="11"/>
                <w:szCs w:val="11"/>
                <w:color w:val="auto"/>
              </w:rPr>
              <w:t>Thereafter</w:t>
            </w:r>
          </w:p>
        </w:tc>
        <w:tc>
          <w:tcPr>
            <w:tcW w:w="6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Total</w:t>
            </w:r>
          </w:p>
        </w:tc>
      </w:tr>
      <w:tr>
        <w:trPr>
          <w:trHeight w:val="151"/>
        </w:trPr>
        <w:tc>
          <w:tcPr>
            <w:tcW w:w="660" w:type="dxa"/>
            <w:vAlign w:val="bottom"/>
            <w:tcBorders>
              <w:top w:val="single" w:sz="8" w:color="auto"/>
            </w:tcBorders>
            <w:shd w:val="clear" w:color="auto" w:fill="CCEEFF"/>
          </w:tcPr>
          <w:p>
            <w:pPr>
              <w:jc w:val="right"/>
              <w:ind w:right="524"/>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34</w:t>
            </w:r>
          </w:p>
        </w:tc>
        <w:tc>
          <w:tcPr>
            <w:tcW w:w="8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ind w:right="544"/>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w:t>
            </w: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ind w:right="524"/>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227</w:t>
            </w: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ind w:right="524"/>
              <w:spacing w:after="0"/>
              <w:rPr>
                <w:sz w:val="20"/>
                <w:szCs w:val="20"/>
                <w:color w:val="auto"/>
              </w:rPr>
            </w:pPr>
            <w:r>
              <w:rPr>
                <w:rFonts w:ascii="Arial" w:cs="Arial" w:eastAsia="Arial" w:hAnsi="Arial"/>
                <w:sz w:val="11"/>
                <w:szCs w:val="11"/>
                <w:color w:val="auto"/>
                <w:w w:val="97"/>
              </w:rPr>
              <w:t>$</w:t>
            </w:r>
          </w:p>
        </w:tc>
        <w:tc>
          <w:tcPr>
            <w:tcW w:w="860" w:type="dxa"/>
            <w:vAlign w:val="bottom"/>
            <w:tcBorders>
              <w:top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7</w:t>
            </w: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ind w:right="55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487</w:t>
            </w:r>
          </w:p>
        </w:tc>
        <w:tc>
          <w:tcPr>
            <w:tcW w:w="10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ind w:right="404"/>
              <w:spacing w:after="0"/>
              <w:rPr>
                <w:sz w:val="20"/>
                <w:szCs w:val="20"/>
                <w:color w:val="auto"/>
              </w:rPr>
            </w:pPr>
            <w:r>
              <w:rPr>
                <w:rFonts w:ascii="Arial" w:cs="Arial" w:eastAsia="Arial" w:hAnsi="Arial"/>
                <w:sz w:val="11"/>
                <w:szCs w:val="11"/>
                <w:color w:val="auto"/>
                <w:w w:val="97"/>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520</w:t>
            </w:r>
          </w:p>
        </w:tc>
        <w:tc>
          <w:tcPr>
            <w:tcW w:w="10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ind w:right="524"/>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1,300</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Credit Facilities</w:t>
      </w:r>
    </w:p>
    <w:p>
      <w:pPr>
        <w:spacing w:after="0" w:line="131" w:lineRule="exact"/>
        <w:rPr>
          <w:sz w:val="20"/>
          <w:szCs w:val="20"/>
          <w:color w:val="auto"/>
        </w:rPr>
      </w:pPr>
    </w:p>
    <w:p>
      <w:pPr>
        <w:jc w:val="both"/>
        <w:ind w:right="100"/>
        <w:spacing w:after="0" w:line="294" w:lineRule="auto"/>
        <w:rPr>
          <w:sz w:val="20"/>
          <w:szCs w:val="20"/>
          <w:color w:val="auto"/>
        </w:rPr>
      </w:pPr>
      <w:r>
        <w:rPr>
          <w:rFonts w:ascii="Arial" w:cs="Arial" w:eastAsia="Arial" w:hAnsi="Arial"/>
          <w:sz w:val="13"/>
          <w:szCs w:val="13"/>
          <w:color w:val="auto"/>
        </w:rPr>
        <w:t>On October 15, 2021, the Company refinanced its previously outstanding credit facilities by entering into a new senior secured credit agreement among the Company, its subsidiaries Conduent Business Services, LLC ("CBS"), Conduent State &amp; Local Solutions, Inc. ("CSLS") and Affiliated Computer Services International B.V., the lenders party thereto and Bank of America, N.A., as the administrative agent ("Credit Agreement"). The Credit Agreement contains senior secured credit facilities ("Senior Credit Facilities") consisting of:</w:t>
      </w:r>
    </w:p>
    <w:p>
      <w:pPr>
        <w:spacing w:after="0" w:line="76" w:lineRule="exact"/>
        <w:rPr>
          <w:sz w:val="20"/>
          <w:szCs w:val="20"/>
          <w:color w:val="auto"/>
        </w:rPr>
      </w:pPr>
    </w:p>
    <w:p>
      <w:pPr>
        <w:ind w:left="280" w:hanging="277"/>
        <w:spacing w:after="0"/>
        <w:tabs>
          <w:tab w:leader="none" w:pos="2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Senior Secured Term Loan A ("Term Loan A") with an aggregate principal amount of $265 million;</w:t>
      </w:r>
    </w:p>
    <w:p>
      <w:pPr>
        <w:spacing w:after="0" w:line="19" w:lineRule="exact"/>
        <w:rPr>
          <w:rFonts w:ascii="Arial" w:cs="Arial" w:eastAsia="Arial" w:hAnsi="Arial"/>
          <w:sz w:val="14"/>
          <w:szCs w:val="14"/>
          <w:color w:val="auto"/>
        </w:rPr>
      </w:pPr>
    </w:p>
    <w:p>
      <w:pPr>
        <w:ind w:left="320" w:hanging="317"/>
        <w:spacing w:after="0"/>
        <w:tabs>
          <w:tab w:leader="none" w:pos="320" w:val="left"/>
        </w:tabs>
        <w:numPr>
          <w:ilvl w:val="0"/>
          <w:numId w:val="42"/>
        </w:numPr>
        <w:rPr>
          <w:rFonts w:ascii="Arial" w:cs="Arial" w:eastAsia="Arial" w:hAnsi="Arial"/>
          <w:sz w:val="14"/>
          <w:szCs w:val="14"/>
          <w:color w:val="auto"/>
        </w:rPr>
      </w:pPr>
      <w:r>
        <w:rPr>
          <w:rFonts w:ascii="Arial" w:cs="Arial" w:eastAsia="Arial" w:hAnsi="Arial"/>
          <w:sz w:val="14"/>
          <w:szCs w:val="14"/>
          <w:color w:val="auto"/>
        </w:rPr>
        <w:t>Senior Secured Term Loan B ("Term Loan B") with an aggregate principal amount of $515 million; and</w:t>
      </w:r>
    </w:p>
    <w:p>
      <w:pPr>
        <w:spacing w:after="0" w:line="5" w:lineRule="exact"/>
        <w:rPr>
          <w:rFonts w:ascii="Arial" w:cs="Arial" w:eastAsia="Arial" w:hAnsi="Arial"/>
          <w:sz w:val="14"/>
          <w:szCs w:val="14"/>
          <w:color w:val="auto"/>
        </w:rPr>
      </w:pPr>
    </w:p>
    <w:p>
      <w:pPr>
        <w:ind w:left="380" w:right="20" w:hanging="377"/>
        <w:spacing w:after="0" w:line="261" w:lineRule="auto"/>
        <w:tabs>
          <w:tab w:leader="none" w:pos="344" w:val="left"/>
        </w:tabs>
        <w:numPr>
          <w:ilvl w:val="0"/>
          <w:numId w:val="42"/>
        </w:numPr>
        <w:rPr>
          <w:rFonts w:ascii="Arial" w:cs="Arial" w:eastAsia="Arial" w:hAnsi="Arial"/>
          <w:sz w:val="14"/>
          <w:szCs w:val="14"/>
          <w:color w:val="auto"/>
        </w:rPr>
      </w:pPr>
      <w:r>
        <w:rPr>
          <w:rFonts w:ascii="Arial" w:cs="Arial" w:eastAsia="Arial" w:hAnsi="Arial"/>
          <w:sz w:val="14"/>
          <w:szCs w:val="14"/>
          <w:color w:val="auto"/>
        </w:rPr>
        <w:t>Senior Revolving Credit Facility maturing 2026 ("Revolving Credit Facility") with an aggregate available amount of $550 million including a sub-limit for up to $300 million available for the issuance of letters of credit.</w:t>
      </w:r>
    </w:p>
    <w:p>
      <w:pPr>
        <w:spacing w:after="0" w:line="94" w:lineRule="exact"/>
        <w:rPr>
          <w:sz w:val="20"/>
          <w:szCs w:val="20"/>
          <w:color w:val="auto"/>
        </w:rPr>
      </w:pPr>
    </w:p>
    <w:p>
      <w:pPr>
        <w:jc w:val="both"/>
        <w:ind w:right="40"/>
        <w:spacing w:after="0" w:line="265" w:lineRule="auto"/>
        <w:rPr>
          <w:sz w:val="20"/>
          <w:szCs w:val="20"/>
          <w:color w:val="auto"/>
        </w:rPr>
      </w:pPr>
      <w:r>
        <w:rPr>
          <w:rFonts w:ascii="Arial" w:cs="Arial" w:eastAsia="Arial" w:hAnsi="Arial"/>
          <w:sz w:val="14"/>
          <w:szCs w:val="14"/>
          <w:color w:val="auto"/>
        </w:rPr>
        <w:t>During the first quarter of 2022, the Company repaid $100 million of its $550 million Revolving Credit Facility that was outstanding as of December 31, 2021. As of December 31, 2023, the Company had no outstanding balance under its Revolving Credit Facility. However, the Company utilized $ 2 million of its Revolving Credit Facility capacity to issue letters of credit. The net amount available to be drawn upon under the Revolving Credit Facility as of December 31, 2023, was $548 million.</w:t>
      </w:r>
    </w:p>
    <w:p>
      <w:pPr>
        <w:spacing w:after="0" w:line="92" w:lineRule="exact"/>
        <w:rPr>
          <w:sz w:val="20"/>
          <w:szCs w:val="20"/>
          <w:color w:val="auto"/>
        </w:rPr>
      </w:pPr>
    </w:p>
    <w:p>
      <w:pPr>
        <w:ind w:right="520"/>
        <w:spacing w:after="0" w:line="282" w:lineRule="auto"/>
        <w:rPr>
          <w:sz w:val="20"/>
          <w:szCs w:val="20"/>
          <w:color w:val="auto"/>
        </w:rPr>
      </w:pPr>
      <w:r>
        <w:rPr>
          <w:rFonts w:ascii="Arial" w:cs="Arial" w:eastAsia="Arial" w:hAnsi="Arial"/>
          <w:sz w:val="14"/>
          <w:szCs w:val="14"/>
          <w:color w:val="auto"/>
        </w:rPr>
        <w:t>The Credit Agreement permits the Company to request incremental term loan borrowings and /or increase commitments, subject to certain limitations and satisfaction of certain conditions.</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Borrowings under the Term Loan A, the Term Loan B and the Revolving Credit Facility bear interest, at the Company's option, at a rate per annum equal to an applicable margin over a base rate or a Secured Overnight Financing Rate ("SOFR"), depending on the type of loan. The applicable margin for the Term Loan A and the Revolving Credit Facility for SOFR loans range from 1.75% to 2.75% per annum, depending on certain leverage ratios and for base rate loans range from 0.75% to 1.75% per annum. The margin for SOFR loans at December 31, 2023 was 2.25%. The applicable margin for the Term Loan B for SOFR loans does not change based on leverage ratios and is 4.25% per annum and for base rate loans is 3.25% per annum. In addition to paying interest on outstanding principal under the Revolving Credit Facility, the Company is required to pay a commitment fee ranging from 0.3% to 0.5% per annum to the lenders in respect of unutilized commitments thereunder and the commitment fee was 0.4% at December 31, 2023.</w:t>
      </w:r>
    </w:p>
    <w:p>
      <w:pPr>
        <w:spacing w:after="0" w:line="99" w:lineRule="exact"/>
        <w:rPr>
          <w:sz w:val="20"/>
          <w:szCs w:val="20"/>
          <w:color w:val="auto"/>
        </w:rPr>
      </w:pPr>
    </w:p>
    <w:p>
      <w:pPr>
        <w:ind w:right="340"/>
        <w:spacing w:after="0" w:line="282" w:lineRule="auto"/>
        <w:rPr>
          <w:sz w:val="20"/>
          <w:szCs w:val="20"/>
          <w:color w:val="auto"/>
        </w:rPr>
      </w:pPr>
      <w:r>
        <w:rPr>
          <w:rFonts w:ascii="Arial" w:cs="Arial" w:eastAsia="Arial" w:hAnsi="Arial"/>
          <w:sz w:val="14"/>
          <w:szCs w:val="14"/>
          <w:color w:val="auto"/>
        </w:rPr>
        <w:t>All obligations under the Credit Agreement are unconditionally guaranteed by the Company, CBS and CSLS, and the existing and future direct and indirect wholly owned domestic restricted subsidiaries of CBS (subject to certain exceptions). All obligations under the Credit Agreement are secured, subject to certain exceptions, by a first-priority</w:t>
      </w:r>
    </w:p>
    <w:p>
      <w:pPr>
        <w:spacing w:after="0" w:line="200" w:lineRule="exact"/>
        <w:rPr>
          <w:sz w:val="20"/>
          <w:szCs w:val="20"/>
          <w:color w:val="auto"/>
        </w:rPr>
      </w:pPr>
    </w:p>
    <w:p>
      <w:pPr>
        <w:spacing w:after="0" w:line="22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80" w:name="page81"/>
    <w:bookmarkEnd w:id="80"/>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100"/>
        <w:spacing w:after="0" w:line="282" w:lineRule="auto"/>
        <w:rPr>
          <w:sz w:val="20"/>
          <w:szCs w:val="20"/>
          <w:color w:val="auto"/>
        </w:rPr>
      </w:pPr>
      <w:r>
        <w:rPr>
          <w:rFonts w:ascii="Arial" w:cs="Arial" w:eastAsia="Arial" w:hAnsi="Arial"/>
          <w:sz w:val="14"/>
          <w:szCs w:val="14"/>
          <w:color w:val="auto"/>
        </w:rPr>
        <w:t>pledge of substantially all assets of CBS and the subsidiary guarantors, and all of the capital stock of CBS and each of CBS' wholly owned material restricted subsidiaries directly held by CBS and CSLS or a subsidiary guarantor (which pledges, in the case of any foreign subsidiary, are limited to 65% of the capital stock of any first-tier foreign subsidiary).</w:t>
      </w:r>
    </w:p>
    <w:p>
      <w:pPr>
        <w:spacing w:after="0" w:line="80" w:lineRule="exact"/>
        <w:rPr>
          <w:sz w:val="20"/>
          <w:szCs w:val="20"/>
          <w:color w:val="auto"/>
        </w:rPr>
      </w:pPr>
    </w:p>
    <w:p>
      <w:pPr>
        <w:ind w:right="80"/>
        <w:spacing w:after="0" w:line="259" w:lineRule="auto"/>
        <w:rPr>
          <w:sz w:val="20"/>
          <w:szCs w:val="20"/>
          <w:color w:val="auto"/>
        </w:rPr>
      </w:pPr>
      <w:r>
        <w:rPr>
          <w:rFonts w:ascii="Arial" w:cs="Arial" w:eastAsia="Arial" w:hAnsi="Arial"/>
          <w:sz w:val="14"/>
          <w:szCs w:val="14"/>
          <w:color w:val="auto"/>
        </w:rPr>
        <w:t>The Credit Agreement contains certain customary affirmative and negative covenants, restrictions, prepayment terms and events of default. It requires the consolidated first lien net leverage ratio to not exceed 3.50 to 1.00. This covenant applies to the Term Loan A and Revolving Credit Facility. The covenant is tested as of the last day of any fiscal quarter. As of December 31, 2023, the Company was in compliance with all debt covenants related to the Senior Credit Facilities. No mandatory debt prepayments were made as it was not required pursuant to the terms of the Credit Agreement.</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1269BC"/>
        </w:rPr>
        <w:t>Senior Notes</w:t>
      </w:r>
    </w:p>
    <w:p>
      <w:pPr>
        <w:spacing w:after="0" w:line="131" w:lineRule="exact"/>
        <w:rPr>
          <w:sz w:val="20"/>
          <w:szCs w:val="20"/>
          <w:color w:val="auto"/>
        </w:rPr>
      </w:pPr>
    </w:p>
    <w:p>
      <w:pPr>
        <w:jc w:val="both"/>
        <w:ind w:right="200"/>
        <w:spacing w:after="0" w:line="265" w:lineRule="auto"/>
        <w:rPr>
          <w:sz w:val="20"/>
          <w:szCs w:val="20"/>
          <w:color w:val="auto"/>
        </w:rPr>
      </w:pPr>
      <w:r>
        <w:rPr>
          <w:rFonts w:ascii="Arial" w:cs="Arial" w:eastAsia="Arial" w:hAnsi="Arial"/>
          <w:sz w:val="14"/>
          <w:szCs w:val="14"/>
          <w:color w:val="auto"/>
        </w:rPr>
        <w:t>Concurrent with the Credit Agreement, on October 15, 2021, CBS and CSLS (collectively, the "Issuers") issued 6.00% fixed rate senior notes due 2029 ("Senior Notes"). The Senior Notes are guaranteed on a senior secured basis by the Company and existing and future material direct and indirect wholly owned domestic subsidiaries of CBS that guaranteed the obligations under the Senior Credit Facilities.</w:t>
      </w:r>
    </w:p>
    <w:p>
      <w:pPr>
        <w:spacing w:after="0" w:line="92"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Interest is payable semi-annually. Prior to November 1, 2024, the Issuers can redeem the Senior Notes, in whole or in part, at a price equal to the principal amount of the Senior Notes, plus a make-whole premium plus accrued and unpaid interest. The Issuers can redeem the Senior Notes, in whole or in part, at any time on or after November 1, 2024, at the redemption prices specified in the Indenture governing the Senior Notes, plus accrued and unpaid interest, if any, up to but excluding the redemption date. In addition, the Company may be required to make an offer to purchase the notes upon the sale of certain assets and upon a change of control. No Senior Notes were redeemed in 2023 or 2022.</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1269BC"/>
        </w:rPr>
        <w:t>Debt Issuance Costs and Discount</w:t>
      </w:r>
    </w:p>
    <w:p>
      <w:pPr>
        <w:spacing w:after="0" w:line="162" w:lineRule="exact"/>
        <w:rPr>
          <w:sz w:val="20"/>
          <w:szCs w:val="20"/>
          <w:color w:val="auto"/>
        </w:rPr>
      </w:pPr>
    </w:p>
    <w:p>
      <w:pPr>
        <w:spacing w:after="0" w:line="265" w:lineRule="auto"/>
        <w:rPr>
          <w:sz w:val="20"/>
          <w:szCs w:val="20"/>
          <w:color w:val="auto"/>
        </w:rPr>
      </w:pPr>
      <w:r>
        <w:rPr>
          <w:rFonts w:ascii="Arial" w:cs="Arial" w:eastAsia="Arial" w:hAnsi="Arial"/>
          <w:sz w:val="14"/>
          <w:szCs w:val="14"/>
          <w:color w:val="auto"/>
        </w:rPr>
        <w:t>In connection with the refinancing, the Company recorded deferred discounts and debt issuance costs of $30 million in 2021. Additionally, the Company wrote-off debt issuance costs and discounts related to its previously outstanding credit facilities of $13 million which is included in Loss on extinguishment of debt in the Consolidated Statements of Income (Loss) for the year ended December 31, 2021.</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Interest</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Interest paid on short-term and long-term debt amounted to $106 million, $84 million and $40 million for the years ended December 31, 2023, 2022 and 2021,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 and interest income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1"/>
                <w:szCs w:val="11"/>
                <w:color w:val="auto"/>
              </w:rPr>
              <w:t>Year Ended December 31,</w:t>
            </w: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r>
      <w:tr>
        <w:trPr>
          <w:trHeight w:val="123"/>
        </w:trPr>
        <w:tc>
          <w:tcPr>
            <w:tcW w:w="20" w:type="dxa"/>
            <w:vAlign w:val="bottom"/>
          </w:tcPr>
          <w:p>
            <w:pPr>
              <w:spacing w:after="0"/>
              <w:rPr>
                <w:sz w:val="10"/>
                <w:szCs w:val="10"/>
                <w:color w:val="auto"/>
              </w:rPr>
            </w:pPr>
          </w:p>
        </w:tc>
        <w:tc>
          <w:tcPr>
            <w:tcW w:w="6620" w:type="dxa"/>
            <w:vAlign w:val="bottom"/>
            <w:gridSpan w:val="2"/>
          </w:tcPr>
          <w:p>
            <w:pPr>
              <w:spacing w:after="0" w:line="123" w:lineRule="exact"/>
              <w:rPr>
                <w:sz w:val="20"/>
                <w:szCs w:val="20"/>
                <w:color w:val="auto"/>
              </w:rPr>
            </w:pPr>
            <w:r>
              <w:rPr>
                <w:rFonts w:ascii="Arial" w:cs="Arial" w:eastAsia="Arial" w:hAnsi="Arial"/>
                <w:sz w:val="11"/>
                <w:szCs w:val="11"/>
                <w:color w:val="auto"/>
              </w:rPr>
              <w:t>(in millions)</w:t>
            </w:r>
          </w:p>
        </w:tc>
        <w:tc>
          <w:tcPr>
            <w:tcW w:w="340" w:type="dxa"/>
            <w:vAlign w:val="bottom"/>
          </w:tcPr>
          <w:p>
            <w:pPr>
              <w:spacing w:after="0"/>
              <w:rPr>
                <w:sz w:val="10"/>
                <w:szCs w:val="10"/>
                <w:color w:val="auto"/>
              </w:rPr>
            </w:pPr>
          </w:p>
        </w:tc>
        <w:tc>
          <w:tcPr>
            <w:tcW w:w="1120" w:type="dxa"/>
            <w:vAlign w:val="bottom"/>
          </w:tcPr>
          <w:p>
            <w:pPr>
              <w:jc w:val="right"/>
              <w:ind w:right="544"/>
              <w:spacing w:after="0" w:line="123" w:lineRule="exact"/>
              <w:rPr>
                <w:sz w:val="20"/>
                <w:szCs w:val="20"/>
                <w:color w:val="auto"/>
              </w:rPr>
            </w:pPr>
            <w:r>
              <w:rPr>
                <w:rFonts w:ascii="Arial" w:cs="Arial" w:eastAsia="Arial" w:hAnsi="Arial"/>
                <w:sz w:val="11"/>
                <w:szCs w:val="11"/>
                <w:color w:val="auto"/>
              </w:rPr>
              <w:t>2023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0" w:type="dxa"/>
            <w:vAlign w:val="bottom"/>
          </w:tcPr>
          <w:p>
            <w:pPr>
              <w:jc w:val="right"/>
              <w:ind w:right="564"/>
              <w:spacing w:after="0" w:line="123" w:lineRule="exact"/>
              <w:rPr>
                <w:sz w:val="20"/>
                <w:szCs w:val="20"/>
                <w:color w:val="auto"/>
              </w:rPr>
            </w:pPr>
            <w:r>
              <w:rPr>
                <w:rFonts w:ascii="Arial" w:cs="Arial" w:eastAsia="Arial" w:hAnsi="Arial"/>
                <w:sz w:val="11"/>
                <w:szCs w:val="11"/>
                <w:color w:val="auto"/>
              </w:rPr>
              <w:t>2022</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40" w:type="dxa"/>
            <w:vAlign w:val="bottom"/>
          </w:tcPr>
          <w:p>
            <w:pPr>
              <w:jc w:val="right"/>
              <w:ind w:right="564"/>
              <w:spacing w:after="0" w:line="123" w:lineRule="exact"/>
              <w:rPr>
                <w:sz w:val="20"/>
                <w:szCs w:val="20"/>
                <w:color w:val="auto"/>
              </w:rPr>
            </w:pPr>
            <w:r>
              <w:rPr>
                <w:rFonts w:ascii="Arial" w:cs="Arial" w:eastAsia="Arial" w:hAnsi="Arial"/>
                <w:sz w:val="11"/>
                <w:szCs w:val="1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66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Interest expense</w:t>
            </w:r>
          </w:p>
        </w:tc>
        <w:tc>
          <w:tcPr>
            <w:tcW w:w="340" w:type="dxa"/>
            <w:vAlign w:val="bottom"/>
            <w:shd w:val="clear" w:color="auto" w:fill="CCEEFF"/>
          </w:tcPr>
          <w:p>
            <w:pPr>
              <w:jc w:val="right"/>
              <w:ind w:right="204"/>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111</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84</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04"/>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55</w:t>
            </w:r>
          </w:p>
        </w:tc>
      </w:tr>
      <w:tr>
        <w:trPr>
          <w:trHeight w:val="193"/>
        </w:trPr>
        <w:tc>
          <w:tcPr>
            <w:tcW w:w="20" w:type="dxa"/>
            <w:vAlign w:val="bottom"/>
          </w:tcPr>
          <w:p>
            <w:pPr>
              <w:spacing w:after="0"/>
              <w:rPr>
                <w:sz w:val="16"/>
                <w:szCs w:val="16"/>
                <w:color w:val="auto"/>
              </w:rPr>
            </w:pPr>
          </w:p>
        </w:tc>
        <w:tc>
          <w:tcPr>
            <w:tcW w:w="6620" w:type="dxa"/>
            <w:vAlign w:val="bottom"/>
            <w:gridSpan w:val="2"/>
          </w:tcPr>
          <w:p>
            <w:pPr>
              <w:spacing w:after="0"/>
              <w:rPr>
                <w:sz w:val="20"/>
                <w:szCs w:val="20"/>
                <w:color w:val="auto"/>
              </w:rPr>
            </w:pPr>
            <w:r>
              <w:rPr>
                <w:rFonts w:ascii="Arial" w:cs="Arial" w:eastAsia="Arial" w:hAnsi="Arial"/>
                <w:sz w:val="11"/>
                <w:szCs w:val="11"/>
                <w:color w:val="auto"/>
              </w:rPr>
              <w:t>Interest income</w:t>
            </w:r>
            <w:r>
              <w:rPr>
                <w:rFonts w:ascii="Arial" w:cs="Arial" w:eastAsia="Arial" w:hAnsi="Arial"/>
                <w:sz w:val="14"/>
                <w:szCs w:val="14"/>
                <w:color w:val="auto"/>
                <w:vertAlign w:val="superscript"/>
              </w:rPr>
              <w:t>(1)</w:t>
            </w:r>
          </w:p>
        </w:tc>
        <w:tc>
          <w:tcPr>
            <w:tcW w:w="3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right"/>
              <w:ind w:right="4"/>
              <w:spacing w:after="0"/>
              <w:rPr>
                <w:sz w:val="20"/>
                <w:szCs w:val="20"/>
                <w:color w:val="auto"/>
              </w:rPr>
            </w:pPr>
            <w:r>
              <w:rPr>
                <w:rFonts w:ascii="Arial" w:cs="Arial" w:eastAsia="Arial" w:hAnsi="Arial"/>
                <w:sz w:val="11"/>
                <w:szCs w:val="11"/>
                <w:color w:val="auto"/>
              </w:rPr>
              <w:t>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4"/>
              <w:spacing w:after="0"/>
              <w:rPr>
                <w:sz w:val="20"/>
                <w:szCs w:val="20"/>
                <w:color w:val="auto"/>
              </w:rPr>
            </w:pPr>
            <w:r>
              <w:rPr>
                <w:rFonts w:ascii="Arial" w:cs="Arial" w:eastAsia="Arial" w:hAnsi="Arial"/>
                <w:sz w:val="11"/>
                <w:szCs w:val="11"/>
                <w:color w:val="auto"/>
              </w:rPr>
              <w:t>1</w:t>
            </w:r>
          </w:p>
        </w:tc>
      </w:tr>
    </w:tbl>
    <w:p>
      <w:pPr>
        <w:spacing w:after="0" w:line="30" w:lineRule="exact"/>
        <w:rPr>
          <w:sz w:val="20"/>
          <w:szCs w:val="20"/>
          <w:color w:val="auto"/>
        </w:rPr>
      </w:pPr>
    </w:p>
    <w:p>
      <w:pPr>
        <w:ind w:left="40"/>
        <w:spacing w:after="0"/>
        <w:rPr>
          <w:sz w:val="20"/>
          <w:szCs w:val="20"/>
          <w:color w:val="auto"/>
        </w:rPr>
      </w:pPr>
      <w:r>
        <w:rPr>
          <w:rFonts w:ascii="Arial" w:cs="Arial" w:eastAsia="Arial" w:hAnsi="Arial"/>
          <w:sz w:val="11"/>
          <w:szCs w:val="11"/>
          <w:color w:val="auto"/>
        </w:rPr>
        <w:t>____________</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1"/>
          <w:szCs w:val="11"/>
          <w:i w:val="1"/>
          <w:iCs w:val="1"/>
          <w:color w:val="auto"/>
        </w:rPr>
        <w:t>(1)  Included in Other (income) expenses, net on the Consolidated Statements of Income (Loss).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12 – Financial Instruments</w:t>
      </w:r>
    </w:p>
    <w:p>
      <w:pPr>
        <w:spacing w:after="0" w:line="134" w:lineRule="exact"/>
        <w:rPr>
          <w:sz w:val="20"/>
          <w:szCs w:val="20"/>
          <w:color w:val="auto"/>
        </w:rPr>
      </w:pPr>
    </w:p>
    <w:p>
      <w:pPr>
        <w:ind w:right="60"/>
        <w:spacing w:after="0" w:line="254" w:lineRule="auto"/>
        <w:rPr>
          <w:sz w:val="20"/>
          <w:szCs w:val="20"/>
          <w:color w:val="auto"/>
        </w:rPr>
      </w:pPr>
      <w:r>
        <w:rPr>
          <w:rFonts w:ascii="Arial" w:cs="Arial" w:eastAsia="Arial" w:hAnsi="Arial"/>
          <w:sz w:val="14"/>
          <w:szCs w:val="14"/>
          <w:color w:val="auto"/>
        </w:rPr>
        <w:t>The Company is exposed to market risk from changes in foreign currency exchange rates and interest rates, which could affect operating results, financial position and cash flows. The Company manages its exposure to these market risks through regular operating and financing activities and, when appropriate, using derivative financial instruments. These derivative financial instruments are utilized to hedge economic exposures, as well as to reduce earnings and cash flow volatility resulting from shifts in market rates. The Company enters limited types of derivative contracts to manage foreign currency exposures that it hedges. The primary foreign currency market exposures include the Philippine Peso and Indian Rupee. The fair market values of all the Company's derivative contracts change with fluctuations in interest rates or currency exchange rates and are designed so that any changes in their values are offset by changes in the values of the underlying exposures. Derivative financial instruments are held solely as risk management tools and not for trading or speculative purposes. The related cash flow impacts of all derivative activities are reflected as cash flows from operating activities.</w:t>
      </w:r>
    </w:p>
    <w:p>
      <w:pPr>
        <w:spacing w:after="0" w:line="200" w:lineRule="exact"/>
        <w:rPr>
          <w:sz w:val="20"/>
          <w:szCs w:val="20"/>
          <w:color w:val="auto"/>
        </w:rPr>
      </w:pPr>
    </w:p>
    <w:p>
      <w:pPr>
        <w:spacing w:after="0" w:line="243"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81" w:name="page82"/>
    <w:bookmarkEnd w:id="81"/>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color w:val="auto"/>
        </w:rPr>
        <w:t>The Company does not believe there is significant risk of loss in the event of non-performance by the counterparty associated with its derivative instruments because these transactions are executed with a major financial institution. Further, the Company's policy is to deal only with counterparties having a minimum investment grade or better credit rating. Credit risk is managed through the continuous monitoring of exposures to such counterparties.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Summary of Foreign Exchange Hedging Positions</w:t>
      </w:r>
    </w:p>
    <w:p>
      <w:pPr>
        <w:spacing w:after="0" w:line="131" w:lineRule="exact"/>
        <w:rPr>
          <w:sz w:val="20"/>
          <w:szCs w:val="20"/>
          <w:color w:val="auto"/>
        </w:rPr>
      </w:pPr>
    </w:p>
    <w:p>
      <w:pPr>
        <w:ind w:right="280"/>
        <w:spacing w:after="0" w:line="282" w:lineRule="auto"/>
        <w:rPr>
          <w:sz w:val="20"/>
          <w:szCs w:val="20"/>
          <w:color w:val="auto"/>
        </w:rPr>
      </w:pPr>
      <w:r>
        <w:rPr>
          <w:rFonts w:ascii="Arial" w:cs="Arial" w:eastAsia="Arial" w:hAnsi="Arial"/>
          <w:sz w:val="14"/>
          <w:szCs w:val="14"/>
          <w:color w:val="auto"/>
        </w:rPr>
        <w:t>At December 31, 2023 and 2022, the Company had outstanding forward exchange with gross notional values of $148 million and $104 million, respectively. At December 31, 2023, approximately 67% of these contracts mature within three months, 12% in three to six months, 15% in six to twelve months and 6% in greater than 12 months.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summary of the primary hedging positions and corresponding fair values: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900" w:type="dxa"/>
            <w:vAlign w:val="bottom"/>
          </w:tcPr>
          <w:p>
            <w:pPr>
              <w:spacing w:after="0"/>
              <w:rPr>
                <w:sz w:val="12"/>
                <w:szCs w:val="12"/>
                <w:color w:val="auto"/>
              </w:rPr>
            </w:pPr>
          </w:p>
        </w:tc>
        <w:tc>
          <w:tcPr>
            <w:tcW w:w="2160" w:type="dxa"/>
            <w:vAlign w:val="bottom"/>
            <w:tcBorders>
              <w:bottom w:val="single" w:sz="8" w:color="auto"/>
            </w:tcBorders>
            <w:gridSpan w:val="4"/>
          </w:tcPr>
          <w:p>
            <w:pPr>
              <w:jc w:val="right"/>
              <w:ind w:right="424"/>
              <w:spacing w:after="0"/>
              <w:rPr>
                <w:sz w:val="20"/>
                <w:szCs w:val="20"/>
                <w:color w:val="auto"/>
              </w:rPr>
            </w:pPr>
            <w:r>
              <w:rPr>
                <w:rFonts w:ascii="Arial" w:cs="Arial" w:eastAsia="Arial" w:hAnsi="Arial"/>
                <w:sz w:val="11"/>
                <w:szCs w:val="11"/>
                <w:color w:val="auto"/>
              </w:rPr>
              <w:t>December 31, 2023</w:t>
            </w:r>
          </w:p>
        </w:tc>
        <w:tc>
          <w:tcPr>
            <w:tcW w:w="2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2180" w:type="dxa"/>
            <w:vAlign w:val="bottom"/>
            <w:tcBorders>
              <w:bottom w:val="single" w:sz="8" w:color="auto"/>
            </w:tcBorders>
            <w:gridSpan w:val="4"/>
          </w:tcPr>
          <w:p>
            <w:pPr>
              <w:ind w:left="500"/>
              <w:spacing w:after="0"/>
              <w:rPr>
                <w:sz w:val="20"/>
                <w:szCs w:val="20"/>
                <w:color w:val="auto"/>
              </w:rPr>
            </w:pPr>
            <w:r>
              <w:rPr>
                <w:rFonts w:ascii="Arial" w:cs="Arial" w:eastAsia="Arial" w:hAnsi="Arial"/>
                <w:sz w:val="11"/>
                <w:szCs w:val="11"/>
                <w:color w:val="auto"/>
              </w:rPr>
              <w:t>December 31, 2022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900" w:type="dxa"/>
            <w:vAlign w:val="bottom"/>
          </w:tcPr>
          <w:p>
            <w:pPr>
              <w:spacing w:after="0"/>
              <w:rPr>
                <w:sz w:val="9"/>
                <w:szCs w:val="9"/>
                <w:color w:val="auto"/>
              </w:rPr>
            </w:pPr>
          </w:p>
        </w:tc>
        <w:tc>
          <w:tcPr>
            <w:tcW w:w="860" w:type="dxa"/>
            <w:vAlign w:val="bottom"/>
          </w:tcPr>
          <w:p>
            <w:pPr>
              <w:jc w:val="center"/>
              <w:ind w:left="264"/>
              <w:spacing w:after="0" w:line="113" w:lineRule="exact"/>
              <w:rPr>
                <w:sz w:val="20"/>
                <w:szCs w:val="20"/>
                <w:color w:val="auto"/>
              </w:rPr>
            </w:pPr>
            <w:r>
              <w:rPr>
                <w:rFonts w:ascii="Arial" w:cs="Arial" w:eastAsia="Arial" w:hAnsi="Arial"/>
                <w:sz w:val="11"/>
                <w:szCs w:val="11"/>
                <w:color w:val="auto"/>
              </w:rPr>
              <w:t>Gross</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jc w:val="center"/>
              <w:ind w:left="184"/>
              <w:spacing w:after="0" w:line="113" w:lineRule="exact"/>
              <w:rPr>
                <w:sz w:val="20"/>
                <w:szCs w:val="20"/>
                <w:color w:val="auto"/>
              </w:rPr>
            </w:pPr>
            <w:r>
              <w:rPr>
                <w:rFonts w:ascii="Arial" w:cs="Arial" w:eastAsia="Arial" w:hAnsi="Arial"/>
                <w:sz w:val="11"/>
                <w:szCs w:val="11"/>
                <w:color w:val="auto"/>
                <w:w w:val="99"/>
              </w:rPr>
              <w:t>Fair Value</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gridSpan w:val="2"/>
          </w:tcPr>
          <w:p>
            <w:pPr>
              <w:jc w:val="center"/>
              <w:ind w:right="320"/>
              <w:spacing w:after="0" w:line="113" w:lineRule="exact"/>
              <w:rPr>
                <w:sz w:val="20"/>
                <w:szCs w:val="20"/>
                <w:color w:val="auto"/>
              </w:rPr>
            </w:pPr>
            <w:r>
              <w:rPr>
                <w:rFonts w:ascii="Arial" w:cs="Arial" w:eastAsia="Arial" w:hAnsi="Arial"/>
                <w:sz w:val="11"/>
                <w:szCs w:val="11"/>
                <w:color w:val="auto"/>
              </w:rPr>
              <w:t>Gross</w:t>
            </w:r>
          </w:p>
        </w:tc>
        <w:tc>
          <w:tcPr>
            <w:tcW w:w="200" w:type="dxa"/>
            <w:vAlign w:val="bottom"/>
          </w:tcPr>
          <w:p>
            <w:pPr>
              <w:spacing w:after="0"/>
              <w:rPr>
                <w:sz w:val="9"/>
                <w:szCs w:val="9"/>
                <w:color w:val="auto"/>
              </w:rPr>
            </w:pPr>
          </w:p>
        </w:tc>
        <w:tc>
          <w:tcPr>
            <w:tcW w:w="960" w:type="dxa"/>
            <w:vAlign w:val="bottom"/>
          </w:tcPr>
          <w:p>
            <w:pPr>
              <w:jc w:val="center"/>
              <w:ind w:right="124"/>
              <w:spacing w:after="0" w:line="113" w:lineRule="exact"/>
              <w:rPr>
                <w:sz w:val="20"/>
                <w:szCs w:val="20"/>
                <w:color w:val="auto"/>
              </w:rPr>
            </w:pPr>
            <w:r>
              <w:rPr>
                <w:rFonts w:ascii="Arial" w:cs="Arial" w:eastAsia="Arial" w:hAnsi="Arial"/>
                <w:sz w:val="11"/>
                <w:szCs w:val="11"/>
                <w:color w:val="auto"/>
                <w:w w:val="99"/>
              </w:rPr>
              <w:t>Fair Value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900" w:type="dxa"/>
            <w:vAlign w:val="bottom"/>
          </w:tcPr>
          <w:p>
            <w:pPr>
              <w:spacing w:after="0"/>
              <w:rPr>
                <w:sz w:val="9"/>
                <w:szCs w:val="9"/>
                <w:color w:val="auto"/>
              </w:rPr>
            </w:pPr>
          </w:p>
        </w:tc>
        <w:tc>
          <w:tcPr>
            <w:tcW w:w="860" w:type="dxa"/>
            <w:vAlign w:val="bottom"/>
          </w:tcPr>
          <w:p>
            <w:pPr>
              <w:jc w:val="center"/>
              <w:ind w:left="264"/>
              <w:spacing w:after="0" w:line="111" w:lineRule="exact"/>
              <w:rPr>
                <w:sz w:val="20"/>
                <w:szCs w:val="20"/>
                <w:color w:val="auto"/>
              </w:rPr>
            </w:pPr>
            <w:r>
              <w:rPr>
                <w:rFonts w:ascii="Arial" w:cs="Arial" w:eastAsia="Arial" w:hAnsi="Arial"/>
                <w:sz w:val="11"/>
                <w:szCs w:val="11"/>
                <w:color w:val="auto"/>
              </w:rPr>
              <w:t>Notional</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jc w:val="center"/>
              <w:ind w:left="164"/>
              <w:spacing w:after="0" w:line="111" w:lineRule="exact"/>
              <w:rPr>
                <w:sz w:val="20"/>
                <w:szCs w:val="20"/>
                <w:color w:val="auto"/>
              </w:rPr>
            </w:pPr>
            <w:r>
              <w:rPr>
                <w:rFonts w:ascii="Arial" w:cs="Arial" w:eastAsia="Arial" w:hAnsi="Arial"/>
                <w:sz w:val="11"/>
                <w:szCs w:val="11"/>
                <w:color w:val="auto"/>
              </w:rPr>
              <w:t>Asset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gridSpan w:val="2"/>
          </w:tcPr>
          <w:p>
            <w:pPr>
              <w:jc w:val="center"/>
              <w:ind w:right="300"/>
              <w:spacing w:after="0" w:line="111" w:lineRule="exact"/>
              <w:rPr>
                <w:sz w:val="20"/>
                <w:szCs w:val="20"/>
                <w:color w:val="auto"/>
              </w:rPr>
            </w:pPr>
            <w:r>
              <w:rPr>
                <w:rFonts w:ascii="Arial" w:cs="Arial" w:eastAsia="Arial" w:hAnsi="Arial"/>
                <w:sz w:val="11"/>
                <w:szCs w:val="11"/>
                <w:color w:val="auto"/>
                <w:w w:val="99"/>
              </w:rPr>
              <w:t>Notional</w:t>
            </w:r>
          </w:p>
        </w:tc>
        <w:tc>
          <w:tcPr>
            <w:tcW w:w="200" w:type="dxa"/>
            <w:vAlign w:val="bottom"/>
          </w:tcPr>
          <w:p>
            <w:pPr>
              <w:spacing w:after="0"/>
              <w:rPr>
                <w:sz w:val="9"/>
                <w:szCs w:val="9"/>
                <w:color w:val="auto"/>
              </w:rPr>
            </w:pPr>
          </w:p>
        </w:tc>
        <w:tc>
          <w:tcPr>
            <w:tcW w:w="960" w:type="dxa"/>
            <w:vAlign w:val="bottom"/>
          </w:tcPr>
          <w:p>
            <w:pPr>
              <w:jc w:val="center"/>
              <w:ind w:right="144"/>
              <w:spacing w:after="0" w:line="111" w:lineRule="exact"/>
              <w:rPr>
                <w:sz w:val="20"/>
                <w:szCs w:val="20"/>
                <w:color w:val="auto"/>
              </w:rPr>
            </w:pPr>
            <w:r>
              <w:rPr>
                <w:rFonts w:ascii="Arial" w:cs="Arial" w:eastAsia="Arial" w:hAnsi="Arial"/>
                <w:sz w:val="11"/>
                <w:szCs w:val="11"/>
                <w:color w:val="auto"/>
              </w:rPr>
              <w:t>Asset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638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860" w:type="dxa"/>
            <w:vAlign w:val="bottom"/>
          </w:tcPr>
          <w:p>
            <w:pPr>
              <w:jc w:val="center"/>
              <w:ind w:left="264"/>
              <w:spacing w:after="0" w:line="115" w:lineRule="exact"/>
              <w:rPr>
                <w:sz w:val="20"/>
                <w:szCs w:val="20"/>
                <w:color w:val="auto"/>
              </w:rPr>
            </w:pPr>
            <w:r>
              <w:rPr>
                <w:rFonts w:ascii="Arial" w:cs="Arial" w:eastAsia="Arial" w:hAnsi="Arial"/>
                <w:sz w:val="11"/>
                <w:szCs w:val="11"/>
                <w:color w:val="auto"/>
                <w:w w:val="92"/>
              </w:rPr>
              <w:t>Value</w:t>
            </w: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jc w:val="center"/>
              <w:ind w:left="164"/>
              <w:spacing w:after="0" w:line="115" w:lineRule="exact"/>
              <w:rPr>
                <w:sz w:val="20"/>
                <w:szCs w:val="20"/>
                <w:color w:val="auto"/>
              </w:rPr>
            </w:pPr>
            <w:r>
              <w:rPr>
                <w:rFonts w:ascii="Arial" w:cs="Arial" w:eastAsia="Arial" w:hAnsi="Arial"/>
                <w:sz w:val="11"/>
                <w:szCs w:val="11"/>
                <w:color w:val="auto"/>
                <w:w w:val="98"/>
              </w:rPr>
              <w:t>(Liability)</w:t>
            </w:r>
            <w:r>
              <w:rPr>
                <w:rFonts w:ascii="Arial" w:cs="Arial" w:eastAsia="Arial" w:hAnsi="Arial"/>
                <w:sz w:val="7"/>
                <w:szCs w:val="7"/>
                <w:color w:val="auto"/>
                <w:w w:val="98"/>
              </w:rPr>
              <w:t>(1)</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gridSpan w:val="2"/>
          </w:tcPr>
          <w:p>
            <w:pPr>
              <w:jc w:val="center"/>
              <w:ind w:right="300"/>
              <w:spacing w:after="0" w:line="115" w:lineRule="exact"/>
              <w:rPr>
                <w:sz w:val="20"/>
                <w:szCs w:val="20"/>
                <w:color w:val="auto"/>
              </w:rPr>
            </w:pPr>
            <w:r>
              <w:rPr>
                <w:rFonts w:ascii="Arial" w:cs="Arial" w:eastAsia="Arial" w:hAnsi="Arial"/>
                <w:sz w:val="11"/>
                <w:szCs w:val="11"/>
                <w:color w:val="auto"/>
                <w:w w:val="99"/>
              </w:rPr>
              <w:t>Value</w:t>
            </w:r>
          </w:p>
        </w:tc>
        <w:tc>
          <w:tcPr>
            <w:tcW w:w="200" w:type="dxa"/>
            <w:vAlign w:val="bottom"/>
          </w:tcPr>
          <w:p>
            <w:pPr>
              <w:spacing w:after="0"/>
              <w:rPr>
                <w:sz w:val="9"/>
                <w:szCs w:val="9"/>
                <w:color w:val="auto"/>
              </w:rPr>
            </w:pPr>
          </w:p>
        </w:tc>
        <w:tc>
          <w:tcPr>
            <w:tcW w:w="960" w:type="dxa"/>
            <w:vAlign w:val="bottom"/>
          </w:tcPr>
          <w:p>
            <w:pPr>
              <w:jc w:val="center"/>
              <w:ind w:right="124"/>
              <w:spacing w:after="0" w:line="115" w:lineRule="exact"/>
              <w:rPr>
                <w:sz w:val="20"/>
                <w:szCs w:val="20"/>
                <w:color w:val="auto"/>
              </w:rPr>
            </w:pPr>
            <w:r>
              <w:rPr>
                <w:rFonts w:ascii="Arial" w:cs="Arial" w:eastAsia="Arial" w:hAnsi="Arial"/>
                <w:sz w:val="11"/>
                <w:szCs w:val="11"/>
                <w:color w:val="auto"/>
              </w:rPr>
              <w:t>(Liability)</w:t>
            </w:r>
            <w:r>
              <w:rPr>
                <w:rFonts w:ascii="Arial" w:cs="Arial" w:eastAsia="Arial" w:hAnsi="Arial"/>
                <w:sz w:val="7"/>
                <w:szCs w:val="7"/>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9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gridSpan w:val="2"/>
            <w:vMerge w:val="restart"/>
          </w:tcPr>
          <w:p>
            <w:pPr>
              <w:spacing w:after="0"/>
              <w:rPr>
                <w:sz w:val="20"/>
                <w:szCs w:val="20"/>
                <w:color w:val="auto"/>
              </w:rPr>
            </w:pPr>
            <w:r>
              <w:rPr>
                <w:rFonts w:ascii="Arial" w:cs="Arial" w:eastAsia="Arial" w:hAnsi="Arial"/>
                <w:sz w:val="11"/>
                <w:szCs w:val="11"/>
                <w:color w:val="auto"/>
              </w:rPr>
              <w:t>Currencies Hedged (Buy/Sell)</w:t>
            </w: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6380" w:type="dxa"/>
            <w:vAlign w:val="bottom"/>
            <w:gridSpan w:val="2"/>
            <w:vMerge w:val="continue"/>
          </w:tcPr>
          <w:p>
            <w:pPr>
              <w:spacing w:after="0"/>
              <w:rPr>
                <w:sz w:val="10"/>
                <w:szCs w:val="10"/>
                <w:color w:val="auto"/>
              </w:rPr>
            </w:pPr>
          </w:p>
        </w:tc>
        <w:tc>
          <w:tcPr>
            <w:tcW w:w="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Philippine Peso/U.S. Dollar</w:t>
            </w:r>
          </w:p>
        </w:tc>
        <w:tc>
          <w:tcPr>
            <w:tcW w:w="860" w:type="dxa"/>
            <w:vAlign w:val="bottom"/>
            <w:shd w:val="clear" w:color="auto" w:fill="CCEEFF"/>
          </w:tcPr>
          <w:p>
            <w:pPr>
              <w:jc w:val="right"/>
              <w:ind w:right="724"/>
              <w:spacing w:after="0"/>
              <w:rPr>
                <w:sz w:val="20"/>
                <w:szCs w:val="20"/>
                <w:color w:val="auto"/>
              </w:rPr>
            </w:pPr>
            <w:r>
              <w:rPr>
                <w:rFonts w:ascii="Arial" w:cs="Arial" w:eastAsia="Arial" w:hAnsi="Arial"/>
                <w:sz w:val="11"/>
                <w:szCs w:val="11"/>
                <w:color w:val="auto"/>
                <w:w w:val="97"/>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764"/>
              <w:spacing w:after="0"/>
              <w:rPr>
                <w:sz w:val="20"/>
                <w:szCs w:val="20"/>
                <w:color w:val="auto"/>
              </w:rPr>
            </w:pPr>
            <w:r>
              <w:rPr>
                <w:rFonts w:ascii="Arial" w:cs="Arial" w:eastAsia="Arial" w:hAnsi="Arial"/>
                <w:sz w:val="11"/>
                <w:szCs w:val="11"/>
                <w:color w:val="auto"/>
                <w:w w:val="97"/>
              </w:rPr>
              <w:t>$</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50</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380" w:type="dxa"/>
            <w:vAlign w:val="bottom"/>
            <w:gridSpan w:val="2"/>
          </w:tcPr>
          <w:p>
            <w:pPr>
              <w:spacing w:after="0"/>
              <w:rPr>
                <w:sz w:val="20"/>
                <w:szCs w:val="20"/>
                <w:color w:val="auto"/>
              </w:rPr>
            </w:pPr>
            <w:r>
              <w:rPr>
                <w:rFonts w:ascii="Arial" w:cs="Arial" w:eastAsia="Arial" w:hAnsi="Arial"/>
                <w:sz w:val="11"/>
                <w:szCs w:val="11"/>
                <w:color w:val="auto"/>
              </w:rPr>
              <w:t>Indian Rupee/U.S. Dollar</w:t>
            </w:r>
          </w:p>
        </w:tc>
        <w:tc>
          <w:tcPr>
            <w:tcW w:w="860" w:type="dxa"/>
            <w:vAlign w:val="bottom"/>
          </w:tcPr>
          <w:p>
            <w:pPr>
              <w:spacing w:after="0"/>
              <w:rPr>
                <w:sz w:val="13"/>
                <w:szCs w:val="13"/>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54</w:t>
            </w: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gridSpan w:val="2"/>
          </w:tcPr>
          <w:p>
            <w:pPr>
              <w:ind w:left="6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940" w:type="dxa"/>
            <w:vAlign w:val="bottom"/>
          </w:tcPr>
          <w:p>
            <w:pPr>
              <w:jc w:val="right"/>
              <w:ind w:right="4"/>
              <w:spacing w:after="0"/>
              <w:rPr>
                <w:sz w:val="20"/>
                <w:szCs w:val="20"/>
                <w:color w:val="auto"/>
              </w:rPr>
            </w:pPr>
            <w:r>
              <w:rPr>
                <w:rFonts w:ascii="Arial" w:cs="Arial" w:eastAsia="Arial" w:hAnsi="Arial"/>
                <w:sz w:val="11"/>
                <w:szCs w:val="11"/>
                <w:color w:val="auto"/>
              </w:rPr>
              <w:t>37</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ind w:left="80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Euro/U.S. Dollar</w:t>
            </w:r>
          </w:p>
        </w:tc>
        <w:tc>
          <w:tcPr>
            <w:tcW w:w="860" w:type="dxa"/>
            <w:vAlign w:val="bottom"/>
            <w:shd w:val="clear" w:color="auto" w:fill="CCEEFF"/>
          </w:tcPr>
          <w:p>
            <w:pPr>
              <w:spacing w:after="0"/>
              <w:rPr>
                <w:sz w:val="13"/>
                <w:szCs w:val="13"/>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1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60" w:type="dxa"/>
            <w:vAlign w:val="bottom"/>
            <w:shd w:val="clear" w:color="auto" w:fill="CCEEFF"/>
          </w:tcPr>
          <w:p>
            <w:pPr>
              <w:ind w:left="8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63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All Other</w:t>
            </w:r>
          </w:p>
        </w:tc>
        <w:tc>
          <w:tcPr>
            <w:tcW w:w="86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w:t>
            </w:r>
          </w:p>
        </w:tc>
        <w:tc>
          <w:tcPr>
            <w:tcW w:w="10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16</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ind w:left="80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Total Foreign Exchange Hedging</w:t>
            </w:r>
          </w:p>
        </w:tc>
        <w:tc>
          <w:tcPr>
            <w:tcW w:w="860" w:type="dxa"/>
            <w:vAlign w:val="bottom"/>
            <w:shd w:val="clear" w:color="auto" w:fill="CCEEFF"/>
          </w:tcPr>
          <w:p>
            <w:pPr>
              <w:jc w:val="right"/>
              <w:ind w:right="724"/>
              <w:spacing w:after="0"/>
              <w:rPr>
                <w:sz w:val="20"/>
                <w:szCs w:val="20"/>
                <w:color w:val="auto"/>
              </w:rPr>
            </w:pPr>
            <w:r>
              <w:rPr>
                <w:rFonts w:ascii="Arial" w:cs="Arial" w:eastAsia="Arial" w:hAnsi="Arial"/>
                <w:sz w:val="11"/>
                <w:szCs w:val="11"/>
                <w:color w:val="auto"/>
                <w:w w:val="97"/>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148</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764"/>
              <w:spacing w:after="0"/>
              <w:rPr>
                <w:sz w:val="20"/>
                <w:szCs w:val="20"/>
                <w:color w:val="auto"/>
              </w:rPr>
            </w:pPr>
            <w:r>
              <w:rPr>
                <w:rFonts w:ascii="Arial" w:cs="Arial" w:eastAsia="Arial" w:hAnsi="Arial"/>
                <w:sz w:val="11"/>
                <w:szCs w:val="11"/>
                <w:color w:val="auto"/>
                <w:w w:val="97"/>
              </w:rPr>
              <w:t>$</w:t>
            </w:r>
          </w:p>
        </w:tc>
        <w:tc>
          <w:tcPr>
            <w:tcW w:w="320" w:type="dxa"/>
            <w:vAlign w:val="bottom"/>
            <w:gridSpan w:val="2"/>
            <w:shd w:val="clear" w:color="auto" w:fill="CCEEFF"/>
          </w:tcPr>
          <w:p>
            <w:pPr>
              <w:ind w:left="6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104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ind w:left="80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9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____________</w:t>
      </w:r>
    </w:p>
    <w:p>
      <w:pPr>
        <w:spacing w:after="0" w:line="9" w:lineRule="exact"/>
        <w:rPr>
          <w:sz w:val="20"/>
          <w:szCs w:val="20"/>
          <w:color w:val="auto"/>
        </w:rPr>
      </w:pPr>
    </w:p>
    <w:p>
      <w:pPr>
        <w:ind w:left="360" w:hanging="357"/>
        <w:spacing w:after="0"/>
        <w:tabs>
          <w:tab w:leader="none" w:pos="360" w:val="left"/>
        </w:tabs>
        <w:numPr>
          <w:ilvl w:val="0"/>
          <w:numId w:val="43"/>
        </w:numPr>
        <w:rPr>
          <w:rFonts w:ascii="Arial" w:cs="Arial" w:eastAsia="Arial" w:hAnsi="Arial"/>
          <w:sz w:val="11"/>
          <w:szCs w:val="11"/>
          <w:i w:val="1"/>
          <w:iCs w:val="1"/>
          <w:color w:val="auto"/>
        </w:rPr>
      </w:pPr>
      <w:r>
        <w:rPr>
          <w:rFonts w:ascii="Arial" w:cs="Arial" w:eastAsia="Arial" w:hAnsi="Arial"/>
          <w:sz w:val="11"/>
          <w:szCs w:val="11"/>
          <w:i w:val="1"/>
          <w:iCs w:val="1"/>
          <w:color w:val="auto"/>
        </w:rPr>
        <w:t>Represents the net receivable (payable) amount included in the Consolidated Balance Sheet.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13 – Fair Value of Financial Assets and Liabilities</w:t>
      </w:r>
    </w:p>
    <w:p>
      <w:pPr>
        <w:spacing w:after="0" w:line="123"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color w:val="auto"/>
        </w:rPr>
        <w:t>Fair value represents the price that would be received to sell an asset or paid to transfer a liability in an orderly transaction between market participants at the measurement date. U.S. GAAP established a hierarchy framework to classify the fair value based on the observability of significant inputs to the measurement. The levels of the fair value hierarchy are as follows: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Level 1: Fair value is determined using an unadjusted quoted price in an active market for identical assets or liabilities.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Level 2: Fair value is estimated using inputs other than quoted prices included within Level 1 that are observable, either directly or indirectly.</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Level 3: Fair value is estimated using unobservable inputs that are significant to the fair value of the assets or liabilities.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color w:val="1269BC"/>
        </w:rPr>
        <w:t>Summary of Financial Assets and Liabilities Accounted for at Fair Value on a Recurring Basis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represents assets and liabilities measured at fair value on a recurring basis. The basis for the measurement at fair value in all cases was Level 2.</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746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260" w:type="dxa"/>
            <w:vAlign w:val="bottom"/>
          </w:tcPr>
          <w:p>
            <w:pPr>
              <w:spacing w:after="0"/>
              <w:rPr>
                <w:sz w:val="10"/>
                <w:szCs w:val="10"/>
                <w:color w:val="auto"/>
              </w:rPr>
            </w:pPr>
          </w:p>
        </w:tc>
        <w:tc>
          <w:tcPr>
            <w:tcW w:w="1680" w:type="dxa"/>
            <w:vAlign w:val="bottom"/>
            <w:gridSpan w:val="2"/>
          </w:tcPr>
          <w:p>
            <w:pPr>
              <w:ind w:left="180"/>
              <w:spacing w:after="0"/>
              <w:rPr>
                <w:sz w:val="20"/>
                <w:szCs w:val="20"/>
                <w:color w:val="auto"/>
              </w:rPr>
            </w:pPr>
            <w:r>
              <w:rPr>
                <w:rFonts w:ascii="Arial" w:cs="Arial" w:eastAsia="Arial" w:hAnsi="Arial"/>
                <w:sz w:val="11"/>
                <w:szCs w:val="11"/>
                <w:color w:val="auto"/>
              </w:rPr>
              <w:t>December 31, 2023</w:t>
            </w:r>
          </w:p>
        </w:tc>
        <w:tc>
          <w:tcPr>
            <w:tcW w:w="260" w:type="dxa"/>
            <w:vAlign w:val="bottom"/>
          </w:tcPr>
          <w:p>
            <w:pPr>
              <w:spacing w:after="0"/>
              <w:rPr>
                <w:sz w:val="10"/>
                <w:szCs w:val="10"/>
                <w:color w:val="auto"/>
              </w:rPr>
            </w:pPr>
          </w:p>
        </w:tc>
        <w:tc>
          <w:tcPr>
            <w:tcW w:w="1580" w:type="dxa"/>
            <w:vAlign w:val="bottom"/>
          </w:tcPr>
          <w:p>
            <w:pPr>
              <w:jc w:val="right"/>
              <w:ind w:right="384"/>
              <w:spacing w:after="0"/>
              <w:rPr>
                <w:sz w:val="20"/>
                <w:szCs w:val="20"/>
                <w:color w:val="auto"/>
              </w:rPr>
            </w:pPr>
            <w:r>
              <w:rPr>
                <w:rFonts w:ascii="Arial" w:cs="Arial" w:eastAsia="Arial" w:hAnsi="Arial"/>
                <w:sz w:val="11"/>
                <w:szCs w:val="11"/>
                <w:color w:val="auto"/>
              </w:rPr>
              <w:t>December 31, 2022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69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Assets:</w:t>
            </w:r>
          </w:p>
        </w:tc>
        <w:tc>
          <w:tcPr>
            <w:tcW w:w="2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5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Borders>
              <w:bottom w:val="single" w:sz="8" w:color="CCEEFF"/>
            </w:tcBorders>
          </w:tcPr>
          <w:p>
            <w:pPr>
              <w:spacing w:after="0"/>
              <w:rPr>
                <w:sz w:val="13"/>
                <w:szCs w:val="13"/>
                <w:color w:val="auto"/>
              </w:rPr>
            </w:pPr>
          </w:p>
        </w:tc>
        <w:tc>
          <w:tcPr>
            <w:tcW w:w="746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Foreign exchange contract - forward</w:t>
            </w:r>
          </w:p>
        </w:tc>
        <w:tc>
          <w:tcPr>
            <w:tcW w:w="260" w:type="dxa"/>
            <w:vAlign w:val="bottom"/>
            <w:tcBorders>
              <w:bottom w:val="single" w:sz="8" w:color="auto"/>
            </w:tcBorders>
          </w:tcPr>
          <w:p>
            <w:pPr>
              <w:jc w:val="right"/>
              <w:ind w:right="124"/>
              <w:spacing w:after="0"/>
              <w:rPr>
                <w:sz w:val="20"/>
                <w:szCs w:val="20"/>
                <w:color w:val="auto"/>
              </w:rPr>
            </w:pPr>
            <w:r>
              <w:rPr>
                <w:rFonts w:ascii="Arial" w:cs="Arial" w:eastAsia="Arial" w:hAnsi="Arial"/>
                <w:sz w:val="11"/>
                <w:szCs w:val="11"/>
                <w:color w:val="auto"/>
                <w:w w:val="97"/>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jc w:val="right"/>
              <w:ind w:right="124"/>
              <w:spacing w:after="0"/>
              <w:rPr>
                <w:sz w:val="20"/>
                <w:szCs w:val="20"/>
                <w:color w:val="auto"/>
              </w:rPr>
            </w:pPr>
            <w:r>
              <w:rPr>
                <w:rFonts w:ascii="Arial" w:cs="Arial" w:eastAsia="Arial" w:hAnsi="Arial"/>
                <w:sz w:val="11"/>
                <w:szCs w:val="11"/>
                <w:color w:val="auto"/>
                <w:w w:val="97"/>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6"/>
        </w:trPr>
        <w:tc>
          <w:tcPr>
            <w:tcW w:w="20" w:type="dxa"/>
            <w:vAlign w:val="bottom"/>
            <w:tcBorders>
              <w:bottom w:val="single" w:sz="8" w:color="CCEEFF"/>
            </w:tcBorders>
            <w:shd w:val="clear" w:color="auto" w:fill="CCEEFF"/>
          </w:tcPr>
          <w:p>
            <w:pPr>
              <w:spacing w:after="0"/>
              <w:rPr>
                <w:sz w:val="14"/>
                <w:szCs w:val="14"/>
                <w:color w:val="auto"/>
              </w:rPr>
            </w:pPr>
          </w:p>
        </w:tc>
        <w:tc>
          <w:tcPr>
            <w:tcW w:w="74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Total Assets</w:t>
            </w:r>
          </w:p>
        </w:tc>
        <w:tc>
          <w:tcPr>
            <w:tcW w:w="2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1"/>
                <w:szCs w:val="11"/>
                <w:color w:val="auto"/>
                <w:w w:val="97"/>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1"/>
                <w:szCs w:val="11"/>
                <w:color w:val="auto"/>
                <w:w w:val="97"/>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1"/>
                <w:szCs w:val="11"/>
                <w:b w:val="1"/>
                <w:bCs w:val="1"/>
                <w:color w:val="auto"/>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vMerge w:val="continue"/>
          </w:tcPr>
          <w:p>
            <w:pPr>
              <w:spacing w:after="0"/>
              <w:rPr>
                <w:sz w:val="8"/>
                <w:szCs w:val="8"/>
                <w:color w:val="auto"/>
              </w:rPr>
            </w:pPr>
          </w:p>
        </w:tc>
        <w:tc>
          <w:tcPr>
            <w:tcW w:w="746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shd w:val="clear" w:color="auto" w:fill="CCEEFF"/>
          </w:tcPr>
          <w:p>
            <w:pPr>
              <w:spacing w:after="0"/>
              <w:rPr>
                <w:sz w:val="13"/>
                <w:szCs w:val="13"/>
                <w:color w:val="auto"/>
              </w:rPr>
            </w:pPr>
          </w:p>
        </w:tc>
        <w:tc>
          <w:tcPr>
            <w:tcW w:w="74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Foreign exchange contracts - forward</w:t>
            </w:r>
          </w:p>
        </w:tc>
        <w:tc>
          <w:tcPr>
            <w:tcW w:w="2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1"/>
                <w:szCs w:val="11"/>
                <w:color w:val="auto"/>
                <w:w w:val="97"/>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1"/>
                <w:szCs w:val="11"/>
                <w:color w:val="auto"/>
                <w:w w:val="97"/>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7460" w:type="dxa"/>
            <w:vAlign w:val="bottom"/>
            <w:gridSpan w:val="2"/>
          </w:tcPr>
          <w:p>
            <w:pPr>
              <w:spacing w:after="0"/>
              <w:rPr>
                <w:sz w:val="20"/>
                <w:szCs w:val="20"/>
                <w:color w:val="auto"/>
              </w:rPr>
            </w:pPr>
            <w:r>
              <w:rPr>
                <w:rFonts w:ascii="Arial" w:cs="Arial" w:eastAsia="Arial" w:hAnsi="Arial"/>
                <w:sz w:val="11"/>
                <w:szCs w:val="11"/>
                <w:b w:val="1"/>
                <w:bCs w:val="1"/>
                <w:color w:val="auto"/>
              </w:rPr>
              <w:t>Total Liabilities</w:t>
            </w:r>
          </w:p>
        </w:tc>
        <w:tc>
          <w:tcPr>
            <w:tcW w:w="260" w:type="dxa"/>
            <w:vAlign w:val="bottom"/>
          </w:tcPr>
          <w:p>
            <w:pPr>
              <w:jc w:val="right"/>
              <w:ind w:right="124"/>
              <w:spacing w:after="0"/>
              <w:rPr>
                <w:sz w:val="20"/>
                <w:szCs w:val="20"/>
                <w:color w:val="auto"/>
              </w:rPr>
            </w:pPr>
            <w:r>
              <w:rPr>
                <w:rFonts w:ascii="Arial" w:cs="Arial" w:eastAsia="Arial" w:hAnsi="Arial"/>
                <w:sz w:val="11"/>
                <w:szCs w:val="11"/>
                <w:color w:val="auto"/>
                <w:w w:val="97"/>
              </w:rPr>
              <w:t>$</w:t>
            </w:r>
          </w:p>
        </w:tc>
        <w:tc>
          <w:tcPr>
            <w:tcW w:w="16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jc w:val="right"/>
              <w:ind w:right="124"/>
              <w:spacing w:after="0"/>
              <w:rPr>
                <w:sz w:val="20"/>
                <w:szCs w:val="20"/>
                <w:color w:val="auto"/>
              </w:rPr>
            </w:pPr>
            <w:r>
              <w:rPr>
                <w:rFonts w:ascii="Arial" w:cs="Arial" w:eastAsia="Arial" w:hAnsi="Arial"/>
                <w:sz w:val="11"/>
                <w:szCs w:val="11"/>
                <w:color w:val="auto"/>
                <w:w w:val="97"/>
              </w:rPr>
              <w:t>$</w:t>
            </w:r>
          </w:p>
        </w:tc>
        <w:tc>
          <w:tcPr>
            <w:tcW w:w="1580" w:type="dxa"/>
            <w:vAlign w:val="bottom"/>
          </w:tcPr>
          <w:p>
            <w:pPr>
              <w:jc w:val="right"/>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spacing w:after="0"/>
        <w:rPr>
          <w:sz w:val="20"/>
          <w:szCs w:val="20"/>
          <w:color w:val="auto"/>
        </w:rPr>
      </w:pPr>
      <w:r>
        <w:rPr>
          <w:rFonts w:ascii="Arial" w:cs="Arial" w:eastAsia="Arial" w:hAnsi="Arial"/>
          <w:sz w:val="14"/>
          <w:szCs w:val="14"/>
          <w:b w:val="1"/>
          <w:bCs w:val="1"/>
          <w:color w:val="1269BC"/>
        </w:rPr>
        <w:t>Summary of Other Financial Assets and Liabilities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estimated fair values of other financial assets and liabilities were as follows:</w:t>
      </w:r>
    </w:p>
    <w:p>
      <w:pPr>
        <w:spacing w:after="0" w:line="391"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82" w:name="page83"/>
    <w:bookmarkEnd w:id="82"/>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w w:val="99"/>
              </w:rPr>
              <w:t>December 31, 2023</w:t>
            </w:r>
          </w:p>
        </w:tc>
        <w:tc>
          <w:tcPr>
            <w:tcW w:w="8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December 31, 2022</w:t>
            </w:r>
          </w:p>
        </w:tc>
        <w:tc>
          <w:tcPr>
            <w:tcW w:w="820" w:type="dxa"/>
            <w:vAlign w:val="bottom"/>
            <w:tcBorders>
              <w:bottom w:val="single" w:sz="8" w:color="auto"/>
            </w:tcBorders>
          </w:tcPr>
          <w:p>
            <w:pPr>
              <w:spacing w:after="0"/>
              <w:rPr>
                <w:sz w:val="12"/>
                <w:szCs w:val="12"/>
                <w:color w:val="auto"/>
              </w:rPr>
            </w:pPr>
          </w:p>
        </w:tc>
      </w:tr>
      <w:tr>
        <w:trPr>
          <w:trHeight w:val="113"/>
        </w:trPr>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40" w:type="dxa"/>
            <w:vAlign w:val="bottom"/>
          </w:tcPr>
          <w:p>
            <w:pPr>
              <w:spacing w:after="0"/>
              <w:rPr>
                <w:sz w:val="9"/>
                <w:szCs w:val="9"/>
                <w:color w:val="auto"/>
              </w:rPr>
            </w:pPr>
          </w:p>
        </w:tc>
        <w:tc>
          <w:tcPr>
            <w:tcW w:w="860" w:type="dxa"/>
            <w:vAlign w:val="bottom"/>
          </w:tcPr>
          <w:p>
            <w:pPr>
              <w:jc w:val="right"/>
              <w:spacing w:after="0" w:line="113" w:lineRule="exact"/>
              <w:rPr>
                <w:sz w:val="20"/>
                <w:szCs w:val="20"/>
                <w:color w:val="auto"/>
              </w:rPr>
            </w:pPr>
            <w:r>
              <w:rPr>
                <w:rFonts w:ascii="Arial" w:cs="Arial" w:eastAsia="Arial" w:hAnsi="Arial"/>
                <w:sz w:val="11"/>
                <w:szCs w:val="11"/>
                <w:color w:val="auto"/>
              </w:rPr>
              <w:t>Carrying</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20" w:type="dxa"/>
            <w:vAlign w:val="bottom"/>
            <w:gridSpan w:val="2"/>
          </w:tcPr>
          <w:p>
            <w:pPr>
              <w:jc w:val="center"/>
              <w:ind w:right="560"/>
              <w:spacing w:after="0" w:line="113" w:lineRule="exact"/>
              <w:rPr>
                <w:sz w:val="20"/>
                <w:szCs w:val="20"/>
                <w:color w:val="auto"/>
              </w:rPr>
            </w:pPr>
            <w:r>
              <w:rPr>
                <w:rFonts w:ascii="Arial" w:cs="Arial" w:eastAsia="Arial" w:hAnsi="Arial"/>
                <w:sz w:val="11"/>
                <w:szCs w:val="11"/>
                <w:color w:val="auto"/>
              </w:rPr>
              <w:t>Fair</w:t>
            </w:r>
          </w:p>
        </w:tc>
        <w:tc>
          <w:tcPr>
            <w:tcW w:w="260" w:type="dxa"/>
            <w:vAlign w:val="bottom"/>
          </w:tcPr>
          <w:p>
            <w:pPr>
              <w:spacing w:after="0"/>
              <w:rPr>
                <w:sz w:val="9"/>
                <w:szCs w:val="9"/>
                <w:color w:val="auto"/>
              </w:rPr>
            </w:pPr>
          </w:p>
        </w:tc>
        <w:tc>
          <w:tcPr>
            <w:tcW w:w="1160" w:type="dxa"/>
            <w:vAlign w:val="bottom"/>
            <w:gridSpan w:val="2"/>
          </w:tcPr>
          <w:p>
            <w:pPr>
              <w:jc w:val="center"/>
              <w:ind w:right="340"/>
              <w:spacing w:after="0" w:line="113" w:lineRule="exact"/>
              <w:rPr>
                <w:sz w:val="20"/>
                <w:szCs w:val="20"/>
                <w:color w:val="auto"/>
              </w:rPr>
            </w:pPr>
            <w:r>
              <w:rPr>
                <w:rFonts w:ascii="Arial" w:cs="Arial" w:eastAsia="Arial" w:hAnsi="Arial"/>
                <w:sz w:val="11"/>
                <w:szCs w:val="11"/>
                <w:color w:val="auto"/>
              </w:rPr>
              <w:t>Carrying</w:t>
            </w:r>
          </w:p>
        </w:tc>
        <w:tc>
          <w:tcPr>
            <w:tcW w:w="480" w:type="dxa"/>
            <w:vAlign w:val="bottom"/>
          </w:tcPr>
          <w:p>
            <w:pPr>
              <w:spacing w:after="0"/>
              <w:rPr>
                <w:sz w:val="9"/>
                <w:szCs w:val="9"/>
                <w:color w:val="auto"/>
              </w:rPr>
            </w:pPr>
          </w:p>
        </w:tc>
        <w:tc>
          <w:tcPr>
            <w:tcW w:w="820" w:type="dxa"/>
            <w:vAlign w:val="bottom"/>
          </w:tcPr>
          <w:p>
            <w:pPr>
              <w:jc w:val="right"/>
              <w:ind w:right="506"/>
              <w:spacing w:after="0" w:line="113" w:lineRule="exact"/>
              <w:rPr>
                <w:sz w:val="20"/>
                <w:szCs w:val="20"/>
                <w:color w:val="auto"/>
              </w:rPr>
            </w:pPr>
            <w:r>
              <w:rPr>
                <w:rFonts w:ascii="Arial" w:cs="Arial" w:eastAsia="Arial" w:hAnsi="Arial"/>
                <w:sz w:val="11"/>
                <w:szCs w:val="11"/>
                <w:color w:val="auto"/>
              </w:rPr>
              <w:t>Fair</w:t>
            </w:r>
          </w:p>
        </w:tc>
      </w:tr>
      <w:tr>
        <w:trPr>
          <w:trHeight w:val="110"/>
        </w:trPr>
        <w:tc>
          <w:tcPr>
            <w:tcW w:w="20" w:type="dxa"/>
            <w:vAlign w:val="bottom"/>
          </w:tcPr>
          <w:p>
            <w:pPr>
              <w:spacing w:after="0"/>
              <w:rPr>
                <w:sz w:val="9"/>
                <w:szCs w:val="9"/>
                <w:color w:val="auto"/>
              </w:rPr>
            </w:pPr>
          </w:p>
        </w:tc>
        <w:tc>
          <w:tcPr>
            <w:tcW w:w="5720" w:type="dxa"/>
            <w:vAlign w:val="bottom"/>
            <w:gridSpan w:val="2"/>
          </w:tcPr>
          <w:p>
            <w:pPr>
              <w:spacing w:after="0" w:line="91" w:lineRule="exact"/>
              <w:rPr>
                <w:sz w:val="20"/>
                <w:szCs w:val="20"/>
                <w:color w:val="auto"/>
              </w:rPr>
            </w:pPr>
            <w:r>
              <w:rPr>
                <w:rFonts w:ascii="Arial" w:cs="Arial" w:eastAsia="Arial" w:hAnsi="Arial"/>
                <w:sz w:val="10"/>
                <w:szCs w:val="10"/>
                <w:color w:val="auto"/>
              </w:rPr>
              <w:t>(in millions)</w:t>
            </w:r>
          </w:p>
        </w:tc>
        <w:tc>
          <w:tcPr>
            <w:tcW w:w="860" w:type="dxa"/>
            <w:vAlign w:val="bottom"/>
          </w:tcPr>
          <w:p>
            <w:pPr>
              <w:jc w:val="right"/>
              <w:spacing w:after="0" w:line="91" w:lineRule="exact"/>
              <w:rPr>
                <w:sz w:val="20"/>
                <w:szCs w:val="20"/>
                <w:color w:val="auto"/>
              </w:rPr>
            </w:pPr>
            <w:r>
              <w:rPr>
                <w:rFonts w:ascii="Arial" w:cs="Arial" w:eastAsia="Arial" w:hAnsi="Arial"/>
                <w:sz w:val="10"/>
                <w:szCs w:val="10"/>
                <w:color w:val="auto"/>
              </w:rPr>
              <w:t>Amount</w:t>
            </w: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920" w:type="dxa"/>
            <w:vAlign w:val="bottom"/>
            <w:gridSpan w:val="2"/>
          </w:tcPr>
          <w:p>
            <w:pPr>
              <w:jc w:val="center"/>
              <w:ind w:right="560"/>
              <w:spacing w:after="0" w:line="91" w:lineRule="exact"/>
              <w:rPr>
                <w:sz w:val="20"/>
                <w:szCs w:val="20"/>
                <w:color w:val="auto"/>
              </w:rPr>
            </w:pPr>
            <w:r>
              <w:rPr>
                <w:rFonts w:ascii="Arial" w:cs="Arial" w:eastAsia="Arial" w:hAnsi="Arial"/>
                <w:sz w:val="10"/>
                <w:szCs w:val="10"/>
                <w:color w:val="auto"/>
              </w:rPr>
              <w:t>Value</w:t>
            </w:r>
          </w:p>
        </w:tc>
        <w:tc>
          <w:tcPr>
            <w:tcW w:w="260" w:type="dxa"/>
            <w:vAlign w:val="bottom"/>
          </w:tcPr>
          <w:p>
            <w:pPr>
              <w:spacing w:after="0"/>
              <w:rPr>
                <w:sz w:val="9"/>
                <w:szCs w:val="9"/>
                <w:color w:val="auto"/>
              </w:rPr>
            </w:pPr>
          </w:p>
        </w:tc>
        <w:tc>
          <w:tcPr>
            <w:tcW w:w="1160" w:type="dxa"/>
            <w:vAlign w:val="bottom"/>
            <w:gridSpan w:val="2"/>
          </w:tcPr>
          <w:p>
            <w:pPr>
              <w:jc w:val="center"/>
              <w:ind w:right="340"/>
              <w:spacing w:after="0" w:line="91" w:lineRule="exact"/>
              <w:rPr>
                <w:sz w:val="20"/>
                <w:szCs w:val="20"/>
                <w:color w:val="auto"/>
              </w:rPr>
            </w:pPr>
            <w:r>
              <w:rPr>
                <w:rFonts w:ascii="Arial" w:cs="Arial" w:eastAsia="Arial" w:hAnsi="Arial"/>
                <w:sz w:val="10"/>
                <w:szCs w:val="10"/>
                <w:color w:val="auto"/>
              </w:rPr>
              <w:t>Amount</w:t>
            </w:r>
          </w:p>
        </w:tc>
        <w:tc>
          <w:tcPr>
            <w:tcW w:w="480" w:type="dxa"/>
            <w:vAlign w:val="bottom"/>
          </w:tcPr>
          <w:p>
            <w:pPr>
              <w:spacing w:after="0"/>
              <w:rPr>
                <w:sz w:val="9"/>
                <w:szCs w:val="9"/>
                <w:color w:val="auto"/>
              </w:rPr>
            </w:pPr>
          </w:p>
        </w:tc>
        <w:tc>
          <w:tcPr>
            <w:tcW w:w="820" w:type="dxa"/>
            <w:vAlign w:val="bottom"/>
          </w:tcPr>
          <w:p>
            <w:pPr>
              <w:jc w:val="right"/>
              <w:ind w:right="466"/>
              <w:spacing w:after="0" w:line="91" w:lineRule="exact"/>
              <w:rPr>
                <w:sz w:val="20"/>
                <w:szCs w:val="20"/>
                <w:color w:val="auto"/>
              </w:rPr>
            </w:pPr>
            <w:r>
              <w:rPr>
                <w:rFonts w:ascii="Arial" w:cs="Arial" w:eastAsia="Arial" w:hAnsi="Arial"/>
                <w:sz w:val="10"/>
                <w:szCs w:val="10"/>
                <w:color w:val="auto"/>
              </w:rPr>
              <w:t>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52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Liabilities:</w:t>
            </w:r>
          </w:p>
        </w:tc>
        <w:tc>
          <w:tcPr>
            <w:tcW w:w="86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r>
      <w:tr>
        <w:trPr>
          <w:trHeight w:val="152"/>
        </w:trPr>
        <w:tc>
          <w:tcPr>
            <w:tcW w:w="20" w:type="dxa"/>
            <w:vAlign w:val="bottom"/>
          </w:tcPr>
          <w:p>
            <w:pPr>
              <w:spacing w:after="0"/>
              <w:rPr>
                <w:sz w:val="13"/>
                <w:szCs w:val="13"/>
                <w:color w:val="auto"/>
              </w:rPr>
            </w:pPr>
          </w:p>
        </w:tc>
        <w:tc>
          <w:tcPr>
            <w:tcW w:w="5720" w:type="dxa"/>
            <w:vAlign w:val="bottom"/>
            <w:gridSpan w:val="2"/>
          </w:tcPr>
          <w:p>
            <w:pPr>
              <w:ind w:left="160"/>
              <w:spacing w:after="0"/>
              <w:rPr>
                <w:sz w:val="20"/>
                <w:szCs w:val="20"/>
                <w:color w:val="auto"/>
              </w:rPr>
            </w:pPr>
            <w:r>
              <w:rPr>
                <w:rFonts w:ascii="Arial" w:cs="Arial" w:eastAsia="Arial" w:hAnsi="Arial"/>
                <w:sz w:val="11"/>
                <w:szCs w:val="11"/>
                <w:color w:val="auto"/>
              </w:rPr>
              <w:t>Long-term debt</w:t>
            </w:r>
          </w:p>
        </w:tc>
        <w:tc>
          <w:tcPr>
            <w:tcW w:w="860" w:type="dxa"/>
            <w:vAlign w:val="bottom"/>
          </w:tcPr>
          <w:p>
            <w:pPr>
              <w:jc w:val="right"/>
              <w:ind w:right="749"/>
              <w:spacing w:after="0"/>
              <w:rPr>
                <w:sz w:val="20"/>
                <w:szCs w:val="20"/>
                <w:color w:val="auto"/>
              </w:rPr>
            </w:pPr>
            <w:r>
              <w:rPr>
                <w:rFonts w:ascii="Arial" w:cs="Arial" w:eastAsia="Arial" w:hAnsi="Arial"/>
                <w:sz w:val="10"/>
                <w:szCs w:val="10"/>
                <w:color w:val="auto"/>
                <w:w w:val="71"/>
              </w:rPr>
              <w:t>$</w:t>
            </w:r>
          </w:p>
        </w:tc>
        <w:tc>
          <w:tcPr>
            <w:tcW w:w="440" w:type="dxa"/>
            <w:vAlign w:val="bottom"/>
          </w:tcPr>
          <w:p>
            <w:pPr>
              <w:jc w:val="right"/>
              <w:spacing w:after="0"/>
              <w:rPr>
                <w:sz w:val="20"/>
                <w:szCs w:val="20"/>
                <w:color w:val="auto"/>
              </w:rPr>
            </w:pPr>
            <w:r>
              <w:rPr>
                <w:rFonts w:ascii="Arial" w:cs="Arial" w:eastAsia="Arial" w:hAnsi="Arial"/>
                <w:sz w:val="11"/>
                <w:szCs w:val="11"/>
                <w:color w:val="auto"/>
              </w:rPr>
              <w:t>1,248</w:t>
            </w:r>
          </w:p>
        </w:tc>
        <w:tc>
          <w:tcPr>
            <w:tcW w:w="100" w:type="dxa"/>
            <w:vAlign w:val="bottom"/>
          </w:tcPr>
          <w:p>
            <w:pPr>
              <w:spacing w:after="0"/>
              <w:rPr>
                <w:sz w:val="13"/>
                <w:szCs w:val="13"/>
                <w:color w:val="auto"/>
              </w:rPr>
            </w:pPr>
          </w:p>
        </w:tc>
        <w:tc>
          <w:tcPr>
            <w:tcW w:w="480" w:type="dxa"/>
            <w:vAlign w:val="bottom"/>
          </w:tcPr>
          <w:p>
            <w:pPr>
              <w:jc w:val="right"/>
              <w:ind w:right="344"/>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6"/>
              <w:spacing w:after="0"/>
              <w:rPr>
                <w:sz w:val="20"/>
                <w:szCs w:val="20"/>
                <w:color w:val="auto"/>
              </w:rPr>
            </w:pPr>
            <w:r>
              <w:rPr>
                <w:rFonts w:ascii="Arial" w:cs="Arial" w:eastAsia="Arial" w:hAnsi="Arial"/>
                <w:sz w:val="11"/>
                <w:szCs w:val="11"/>
                <w:color w:val="auto"/>
              </w:rPr>
              <w:t>1,191</w:t>
            </w:r>
          </w:p>
        </w:tc>
        <w:tc>
          <w:tcPr>
            <w:tcW w:w="80" w:type="dxa"/>
            <w:vAlign w:val="bottom"/>
          </w:tcPr>
          <w:p>
            <w:pPr>
              <w:spacing w:after="0"/>
              <w:rPr>
                <w:sz w:val="13"/>
                <w:szCs w:val="13"/>
                <w:color w:val="auto"/>
              </w:rPr>
            </w:pPr>
          </w:p>
        </w:tc>
        <w:tc>
          <w:tcPr>
            <w:tcW w:w="260" w:type="dxa"/>
            <w:vAlign w:val="bottom"/>
          </w:tcPr>
          <w:p>
            <w:pPr>
              <w:jc w:val="right"/>
              <w:ind w:right="124"/>
              <w:spacing w:after="0"/>
              <w:rPr>
                <w:sz w:val="20"/>
                <w:szCs w:val="20"/>
                <w:color w:val="auto"/>
              </w:rPr>
            </w:pPr>
            <w:r>
              <w:rPr>
                <w:rFonts w:ascii="Arial" w:cs="Arial" w:eastAsia="Arial" w:hAnsi="Arial"/>
                <w:sz w:val="11"/>
                <w:szCs w:val="11"/>
                <w:color w:val="auto"/>
                <w:w w:val="97"/>
              </w:rPr>
              <w:t>$</w:t>
            </w:r>
          </w:p>
        </w:tc>
        <w:tc>
          <w:tcPr>
            <w:tcW w:w="1060" w:type="dxa"/>
            <w:vAlign w:val="bottom"/>
          </w:tcPr>
          <w:p>
            <w:pPr>
              <w:jc w:val="right"/>
              <w:ind w:right="6"/>
              <w:spacing w:after="0"/>
              <w:rPr>
                <w:sz w:val="20"/>
                <w:szCs w:val="20"/>
                <w:color w:val="auto"/>
              </w:rPr>
            </w:pPr>
            <w:r>
              <w:rPr>
                <w:rFonts w:ascii="Arial" w:cs="Arial" w:eastAsia="Arial" w:hAnsi="Arial"/>
                <w:sz w:val="11"/>
                <w:szCs w:val="11"/>
                <w:color w:val="auto"/>
              </w:rPr>
              <w:t>1,277</w:t>
            </w:r>
          </w:p>
        </w:tc>
        <w:tc>
          <w:tcPr>
            <w:tcW w:w="100" w:type="dxa"/>
            <w:vAlign w:val="bottom"/>
          </w:tcPr>
          <w:p>
            <w:pPr>
              <w:spacing w:after="0"/>
              <w:rPr>
                <w:sz w:val="13"/>
                <w:szCs w:val="13"/>
                <w:color w:val="auto"/>
              </w:rPr>
            </w:pPr>
          </w:p>
        </w:tc>
        <w:tc>
          <w:tcPr>
            <w:tcW w:w="480" w:type="dxa"/>
            <w:vAlign w:val="bottom"/>
          </w:tcPr>
          <w:p>
            <w:pPr>
              <w:jc w:val="right"/>
              <w:ind w:right="370"/>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1,155</w:t>
            </w:r>
          </w:p>
        </w:tc>
      </w:tr>
      <w:tr>
        <w:trPr>
          <w:trHeight w:val="160"/>
        </w:trPr>
        <w:tc>
          <w:tcPr>
            <w:tcW w:w="20" w:type="dxa"/>
            <w:vAlign w:val="bottom"/>
            <w:shd w:val="clear" w:color="auto" w:fill="CCEEFF"/>
          </w:tcPr>
          <w:p>
            <w:pPr>
              <w:spacing w:after="0"/>
              <w:rPr>
                <w:sz w:val="13"/>
                <w:szCs w:val="13"/>
                <w:color w:val="auto"/>
              </w:rPr>
            </w:pPr>
          </w:p>
        </w:tc>
        <w:tc>
          <w:tcPr>
            <w:tcW w:w="572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Liabilities held for sale</w:t>
            </w:r>
          </w:p>
        </w:tc>
        <w:tc>
          <w:tcPr>
            <w:tcW w:w="860" w:type="dxa"/>
            <w:vAlign w:val="bottom"/>
            <w:shd w:val="clear" w:color="auto" w:fill="CCEEFF"/>
          </w:tcPr>
          <w:p>
            <w:pPr>
              <w:jc w:val="right"/>
              <w:ind w:right="749"/>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344"/>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58</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24"/>
              <w:spacing w:after="0"/>
              <w:rPr>
                <w:sz w:val="20"/>
                <w:szCs w:val="20"/>
                <w:color w:val="auto"/>
              </w:rPr>
            </w:pPr>
            <w:r>
              <w:rPr>
                <w:rFonts w:ascii="Arial" w:cs="Arial" w:eastAsia="Arial" w:hAnsi="Arial"/>
                <w:sz w:val="11"/>
                <w:szCs w:val="11"/>
                <w:color w:val="auto"/>
                <w:w w:val="97"/>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jc w:val="right"/>
              <w:ind w:right="370"/>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bl>
    <w:p>
      <w:pPr>
        <w:spacing w:after="0" w:line="183" w:lineRule="exact"/>
        <w:rPr>
          <w:sz w:val="20"/>
          <w:szCs w:val="20"/>
          <w:color w:val="auto"/>
        </w:rPr>
      </w:pPr>
    </w:p>
    <w:p>
      <w:pPr>
        <w:jc w:val="both"/>
        <w:ind w:right="40"/>
        <w:spacing w:after="0" w:line="282" w:lineRule="auto"/>
        <w:rPr>
          <w:sz w:val="20"/>
          <w:szCs w:val="20"/>
          <w:color w:val="auto"/>
        </w:rPr>
      </w:pPr>
      <w:r>
        <w:rPr>
          <w:rFonts w:ascii="Arial" w:cs="Arial" w:eastAsia="Arial" w:hAnsi="Arial"/>
          <w:sz w:val="14"/>
          <w:szCs w:val="14"/>
          <w:color w:val="auto"/>
        </w:rPr>
        <w:t>The fair value amounts for Cash and cash equivalents, Restricted cash, Accounts receivable, net and Short-term debt approximate carrying amounts due to the short-term maturities of these instruments.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The fair value of Long-term debt was estimated using quoted market prices for identical or similar instruments (Level 2 inputs).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14 – Employee Benefit Plans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Defined Benefit Plans</w:t>
      </w:r>
    </w:p>
    <w:p>
      <w:pPr>
        <w:spacing w:after="0" w:line="131" w:lineRule="exact"/>
        <w:rPr>
          <w:sz w:val="20"/>
          <w:szCs w:val="20"/>
          <w:color w:val="auto"/>
        </w:rPr>
      </w:pPr>
    </w:p>
    <w:p>
      <w:pPr>
        <w:ind w:right="120"/>
        <w:spacing w:after="0" w:line="282" w:lineRule="auto"/>
        <w:rPr>
          <w:sz w:val="20"/>
          <w:szCs w:val="20"/>
          <w:color w:val="auto"/>
        </w:rPr>
      </w:pPr>
      <w:r>
        <w:rPr>
          <w:rFonts w:ascii="Arial" w:cs="Arial" w:eastAsia="Arial" w:hAnsi="Arial"/>
          <w:sz w:val="14"/>
          <w:szCs w:val="14"/>
          <w:color w:val="auto"/>
        </w:rPr>
        <w:t>The Company's remaining benefit obligations and plan assets at December 31, 2023 were $13 million and $0 million, respectively. The Company's benefit obligations and plan assets at December 31, 2022 were $11 million and $0 million,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Defined Contribution Plans</w:t>
      </w:r>
    </w:p>
    <w:p>
      <w:pPr>
        <w:spacing w:after="0" w:line="13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has post-retirement savings and investment plans in several countries, including the U.S., U.K. and Canada. In many instances, employees from those defined benefit pension plans that have been amended to freeze future service accruals were transitioned to an enhanced defined contribution plan. In these plans employees are allowed to contribute a portion of their salaries and bonuses to the plans, and the Company matches a portion of the employee contributions.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Company recorded charges related to its defined contribution plans of $11 million in 2023, $10 million in 2022 and $21 million in 2021.</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15 - Income Taxes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Loss before income taxes (pre-tax income (loss)) was as follows:</w:t>
      </w:r>
    </w:p>
    <w:p>
      <w:pPr>
        <w:spacing w:after="0" w:line="87"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50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Year Ended December 31,</w:t>
            </w: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r>
      <w:tr>
        <w:trPr>
          <w:trHeight w:val="119"/>
        </w:trPr>
        <w:tc>
          <w:tcPr>
            <w:tcW w:w="656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360" w:type="dxa"/>
            <w:vAlign w:val="bottom"/>
          </w:tcPr>
          <w:p>
            <w:pPr>
              <w:spacing w:after="0"/>
              <w:rPr>
                <w:sz w:val="10"/>
                <w:szCs w:val="10"/>
                <w:color w:val="auto"/>
              </w:rPr>
            </w:pPr>
          </w:p>
        </w:tc>
        <w:tc>
          <w:tcPr>
            <w:tcW w:w="1140" w:type="dxa"/>
            <w:vAlign w:val="bottom"/>
          </w:tcPr>
          <w:p>
            <w:pPr>
              <w:jc w:val="right"/>
              <w:ind w:right="564"/>
              <w:spacing w:after="0" w:line="120" w:lineRule="exact"/>
              <w:rPr>
                <w:sz w:val="20"/>
                <w:szCs w:val="20"/>
                <w:color w:val="auto"/>
              </w:rPr>
            </w:pPr>
            <w:r>
              <w:rPr>
                <w:rFonts w:ascii="Arial" w:cs="Arial" w:eastAsia="Arial" w:hAnsi="Arial"/>
                <w:sz w:val="11"/>
                <w:szCs w:val="11"/>
                <w:color w:val="auto"/>
              </w:rPr>
              <w:t>2023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jc w:val="right"/>
              <w:ind w:right="564"/>
              <w:spacing w:after="0" w:line="120" w:lineRule="exact"/>
              <w:rPr>
                <w:sz w:val="20"/>
                <w:szCs w:val="20"/>
                <w:color w:val="auto"/>
              </w:rPr>
            </w:pPr>
            <w:r>
              <w:rPr>
                <w:rFonts w:ascii="Arial" w:cs="Arial" w:eastAsia="Arial" w:hAnsi="Arial"/>
                <w:sz w:val="11"/>
                <w:szCs w:val="11"/>
                <w:color w:val="auto"/>
              </w:rPr>
              <w:t>2022</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jc w:val="right"/>
              <w:ind w:right="584"/>
              <w:spacing w:after="0" w:line="120" w:lineRule="exact"/>
              <w:rPr>
                <w:sz w:val="20"/>
                <w:szCs w:val="20"/>
                <w:color w:val="auto"/>
              </w:rPr>
            </w:pPr>
            <w:r>
              <w:rPr>
                <w:rFonts w:ascii="Arial" w:cs="Arial" w:eastAsia="Arial" w:hAnsi="Arial"/>
                <w:sz w:val="11"/>
                <w:szCs w:val="11"/>
                <w:color w:val="auto"/>
              </w:rPr>
              <w:t>2021</w:t>
            </w:r>
          </w:p>
        </w:tc>
      </w:tr>
      <w:tr>
        <w:trPr>
          <w:trHeight w:val="20"/>
        </w:trPr>
        <w:tc>
          <w:tcPr>
            <w:tcW w:w="500" w:type="dxa"/>
            <w:vAlign w:val="bottom"/>
            <w:tcBorders>
              <w:top w:val="single" w:sz="8" w:color="auto"/>
              <w:bottom w:val="single" w:sz="8" w:color="CCEEFF"/>
            </w:tcBorders>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138"/>
        </w:trPr>
        <w:tc>
          <w:tcPr>
            <w:tcW w:w="65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Domestic loss</w:t>
            </w:r>
          </w:p>
        </w:tc>
        <w:tc>
          <w:tcPr>
            <w:tcW w:w="360" w:type="dxa"/>
            <w:vAlign w:val="bottom"/>
            <w:shd w:val="clear" w:color="auto" w:fill="CCEEFF"/>
          </w:tcPr>
          <w:p>
            <w:pPr>
              <w:jc w:val="right"/>
              <w:ind w:right="224"/>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(349)</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w:t>
            </w:r>
          </w:p>
        </w:tc>
      </w:tr>
      <w:tr>
        <w:trPr>
          <w:trHeight w:val="152"/>
        </w:trPr>
        <w:tc>
          <w:tcPr>
            <w:tcW w:w="656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Foreign income</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22</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43</w:t>
            </w:r>
          </w:p>
        </w:tc>
      </w:tr>
      <w:tr>
        <w:trPr>
          <w:trHeight w:val="176"/>
        </w:trPr>
        <w:tc>
          <w:tcPr>
            <w:tcW w:w="6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Loss Before Income Taxes</w:t>
            </w:r>
          </w:p>
        </w:tc>
        <w:tc>
          <w:tcPr>
            <w:tcW w:w="36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(332)</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(127)</w:t>
            </w: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w:t>
            </w: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6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Provision (benefit) for income taxes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1"/>
                <w:szCs w:val="11"/>
                <w:color w:val="auto"/>
              </w:rPr>
              <w:t>Year Ended December 31,</w:t>
            </w:r>
          </w:p>
        </w:tc>
        <w:tc>
          <w:tcPr>
            <w:tcW w:w="36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656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340" w:type="dxa"/>
            <w:vAlign w:val="bottom"/>
          </w:tcPr>
          <w:p>
            <w:pPr>
              <w:spacing w:after="0"/>
              <w:rPr>
                <w:sz w:val="10"/>
                <w:szCs w:val="10"/>
                <w:color w:val="auto"/>
              </w:rPr>
            </w:pPr>
          </w:p>
        </w:tc>
        <w:tc>
          <w:tcPr>
            <w:tcW w:w="1160" w:type="dxa"/>
            <w:vAlign w:val="bottom"/>
          </w:tcPr>
          <w:p>
            <w:pPr>
              <w:jc w:val="right"/>
              <w:ind w:right="584"/>
              <w:spacing w:after="0" w:line="120" w:lineRule="exact"/>
              <w:rPr>
                <w:sz w:val="20"/>
                <w:szCs w:val="20"/>
                <w:color w:val="auto"/>
              </w:rPr>
            </w:pPr>
            <w:r>
              <w:rPr>
                <w:rFonts w:ascii="Arial" w:cs="Arial" w:eastAsia="Arial" w:hAnsi="Arial"/>
                <w:sz w:val="11"/>
                <w:szCs w:val="11"/>
                <w:color w:val="auto"/>
              </w:rPr>
              <w:t>2023</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20" w:type="dxa"/>
            <w:vAlign w:val="bottom"/>
          </w:tcPr>
          <w:p>
            <w:pPr>
              <w:jc w:val="right"/>
              <w:ind w:right="584"/>
              <w:spacing w:after="0" w:line="120" w:lineRule="exact"/>
              <w:rPr>
                <w:sz w:val="20"/>
                <w:szCs w:val="20"/>
                <w:color w:val="auto"/>
              </w:rPr>
            </w:pPr>
            <w:r>
              <w:rPr>
                <w:rFonts w:ascii="Arial" w:cs="Arial" w:eastAsia="Arial" w:hAnsi="Arial"/>
                <w:sz w:val="11"/>
                <w:szCs w:val="11"/>
                <w:color w:val="auto"/>
              </w:rPr>
              <w:t>2022</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40" w:type="dxa"/>
            <w:vAlign w:val="bottom"/>
          </w:tcPr>
          <w:p>
            <w:pPr>
              <w:jc w:val="right"/>
              <w:ind w:right="564"/>
              <w:spacing w:after="0" w:line="120" w:lineRule="exact"/>
              <w:rPr>
                <w:sz w:val="20"/>
                <w:szCs w:val="20"/>
                <w:color w:val="auto"/>
              </w:rPr>
            </w:pPr>
            <w:r>
              <w:rPr>
                <w:rFonts w:ascii="Arial" w:cs="Arial" w:eastAsia="Arial" w:hAnsi="Arial"/>
                <w:sz w:val="11"/>
                <w:szCs w:val="1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Federal Income Taxes</w:t>
            </w:r>
          </w:p>
        </w:tc>
        <w:tc>
          <w:tcPr>
            <w:tcW w:w="34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r>
      <w:tr>
        <w:trPr>
          <w:trHeight w:val="152"/>
        </w:trPr>
        <w:tc>
          <w:tcPr>
            <w:tcW w:w="20" w:type="dxa"/>
            <w:vAlign w:val="bottom"/>
          </w:tcPr>
          <w:p>
            <w:pPr>
              <w:spacing w:after="0"/>
              <w:rPr>
                <w:sz w:val="13"/>
                <w:szCs w:val="13"/>
                <w:color w:val="auto"/>
              </w:rPr>
            </w:pPr>
          </w:p>
        </w:tc>
        <w:tc>
          <w:tcPr>
            <w:tcW w:w="6560" w:type="dxa"/>
            <w:vAlign w:val="bottom"/>
            <w:gridSpan w:val="2"/>
          </w:tcPr>
          <w:p>
            <w:pPr>
              <w:ind w:left="160"/>
              <w:spacing w:after="0"/>
              <w:rPr>
                <w:sz w:val="20"/>
                <w:szCs w:val="20"/>
                <w:color w:val="auto"/>
              </w:rPr>
            </w:pPr>
            <w:r>
              <w:rPr>
                <w:rFonts w:ascii="Arial" w:cs="Arial" w:eastAsia="Arial" w:hAnsi="Arial"/>
                <w:sz w:val="11"/>
                <w:szCs w:val="11"/>
                <w:color w:val="auto"/>
              </w:rPr>
              <w:t>Current</w:t>
            </w:r>
          </w:p>
        </w:tc>
        <w:tc>
          <w:tcPr>
            <w:tcW w:w="340" w:type="dxa"/>
            <w:vAlign w:val="bottom"/>
          </w:tcPr>
          <w:p>
            <w:pPr>
              <w:jc w:val="right"/>
              <w:ind w:right="204"/>
              <w:spacing w:after="0"/>
              <w:rPr>
                <w:sz w:val="20"/>
                <w:szCs w:val="20"/>
                <w:color w:val="auto"/>
              </w:rPr>
            </w:pPr>
            <w:r>
              <w:rPr>
                <w:rFonts w:ascii="Arial" w:cs="Arial" w:eastAsia="Arial" w:hAnsi="Arial"/>
                <w:sz w:val="11"/>
                <w:szCs w:val="11"/>
                <w:color w:val="auto"/>
                <w:w w:val="97"/>
              </w:rPr>
              <w:t>$</w:t>
            </w:r>
          </w:p>
        </w:tc>
        <w:tc>
          <w:tcPr>
            <w:tcW w:w="1160" w:type="dxa"/>
            <w:vAlign w:val="bottom"/>
          </w:tcPr>
          <w:p>
            <w:pPr>
              <w:jc w:val="right"/>
              <w:ind w:right="4"/>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tcPr>
          <w:p>
            <w:pPr>
              <w:jc w:val="right"/>
              <w:ind w:right="4"/>
              <w:spacing w:after="0"/>
              <w:rPr>
                <w:sz w:val="20"/>
                <w:szCs w:val="20"/>
                <w:color w:val="auto"/>
              </w:rPr>
            </w:pPr>
            <w:r>
              <w:rPr>
                <w:rFonts w:ascii="Arial" w:cs="Arial" w:eastAsia="Arial" w:hAnsi="Arial"/>
                <w:sz w:val="11"/>
                <w:szCs w:val="11"/>
                <w:color w:val="auto"/>
              </w:rPr>
              <w:t>30</w:t>
            </w:r>
          </w:p>
        </w:tc>
        <w:tc>
          <w:tcPr>
            <w:tcW w:w="80" w:type="dxa"/>
            <w:vAlign w:val="bottom"/>
          </w:tcPr>
          <w:p>
            <w:pPr>
              <w:spacing w:after="0"/>
              <w:rPr>
                <w:sz w:val="13"/>
                <w:szCs w:val="13"/>
                <w:color w:val="auto"/>
              </w:rPr>
            </w:pPr>
          </w:p>
        </w:tc>
        <w:tc>
          <w:tcPr>
            <w:tcW w:w="360" w:type="dxa"/>
            <w:vAlign w:val="bottom"/>
          </w:tcPr>
          <w:p>
            <w:pPr>
              <w:jc w:val="right"/>
              <w:ind w:right="224"/>
              <w:spacing w:after="0"/>
              <w:rPr>
                <w:sz w:val="20"/>
                <w:szCs w:val="20"/>
                <w:color w:val="auto"/>
              </w:rPr>
            </w:pPr>
            <w:r>
              <w:rPr>
                <w:rFonts w:ascii="Arial" w:cs="Arial" w:eastAsia="Arial" w:hAnsi="Arial"/>
                <w:sz w:val="11"/>
                <w:szCs w:val="11"/>
                <w:color w:val="auto"/>
                <w:w w:val="97"/>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6</w:t>
            </w:r>
          </w:p>
        </w:tc>
      </w:tr>
      <w:tr>
        <w:trPr>
          <w:trHeight w:val="160"/>
        </w:trPr>
        <w:tc>
          <w:tcPr>
            <w:tcW w:w="20" w:type="dxa"/>
            <w:vAlign w:val="bottom"/>
            <w:shd w:val="clear" w:color="auto" w:fill="CCEEFF"/>
          </w:tcPr>
          <w:p>
            <w:pPr>
              <w:spacing w:after="0"/>
              <w:rPr>
                <w:sz w:val="13"/>
                <w:szCs w:val="13"/>
                <w:color w:val="auto"/>
              </w:rPr>
            </w:pPr>
          </w:p>
        </w:tc>
        <w:tc>
          <w:tcPr>
            <w:tcW w:w="65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Deferred</w:t>
            </w: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14</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w:t>
            </w:r>
          </w:p>
        </w:tc>
      </w:tr>
      <w:tr>
        <w:trPr>
          <w:trHeight w:val="155"/>
        </w:trPr>
        <w:tc>
          <w:tcPr>
            <w:tcW w:w="20" w:type="dxa"/>
            <w:vAlign w:val="bottom"/>
          </w:tcPr>
          <w:p>
            <w:pPr>
              <w:spacing w:after="0"/>
              <w:rPr>
                <w:sz w:val="13"/>
                <w:szCs w:val="13"/>
                <w:color w:val="auto"/>
              </w:rPr>
            </w:pPr>
          </w:p>
        </w:tc>
        <w:tc>
          <w:tcPr>
            <w:tcW w:w="6560" w:type="dxa"/>
            <w:vAlign w:val="bottom"/>
            <w:gridSpan w:val="2"/>
          </w:tcPr>
          <w:p>
            <w:pPr>
              <w:spacing w:after="0"/>
              <w:rPr>
                <w:sz w:val="20"/>
                <w:szCs w:val="20"/>
                <w:color w:val="auto"/>
              </w:rPr>
            </w:pPr>
            <w:r>
              <w:rPr>
                <w:rFonts w:ascii="Arial" w:cs="Arial" w:eastAsia="Arial" w:hAnsi="Arial"/>
                <w:sz w:val="11"/>
                <w:szCs w:val="11"/>
                <w:b w:val="1"/>
                <w:bCs w:val="1"/>
                <w:color w:val="auto"/>
              </w:rPr>
              <w:t>Foreign Income Taxes</w:t>
            </w: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57"/>
        </w:trPr>
        <w:tc>
          <w:tcPr>
            <w:tcW w:w="20" w:type="dxa"/>
            <w:vAlign w:val="bottom"/>
            <w:shd w:val="clear" w:color="auto" w:fill="CCEEFF"/>
          </w:tcPr>
          <w:p>
            <w:pPr>
              <w:spacing w:after="0"/>
              <w:rPr>
                <w:sz w:val="13"/>
                <w:szCs w:val="13"/>
                <w:color w:val="auto"/>
              </w:rPr>
            </w:pPr>
          </w:p>
        </w:tc>
        <w:tc>
          <w:tcPr>
            <w:tcW w:w="65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Current</w:t>
            </w: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12</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9</w:t>
            </w: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r>
      <w:tr>
        <w:trPr>
          <w:trHeight w:val="152"/>
        </w:trPr>
        <w:tc>
          <w:tcPr>
            <w:tcW w:w="20" w:type="dxa"/>
            <w:vAlign w:val="bottom"/>
          </w:tcPr>
          <w:p>
            <w:pPr>
              <w:spacing w:after="0"/>
              <w:rPr>
                <w:sz w:val="13"/>
                <w:szCs w:val="13"/>
                <w:color w:val="auto"/>
              </w:rPr>
            </w:pPr>
          </w:p>
        </w:tc>
        <w:tc>
          <w:tcPr>
            <w:tcW w:w="6560" w:type="dxa"/>
            <w:vAlign w:val="bottom"/>
            <w:gridSpan w:val="2"/>
          </w:tcPr>
          <w:p>
            <w:pPr>
              <w:ind w:left="160"/>
              <w:spacing w:after="0"/>
              <w:rPr>
                <w:sz w:val="20"/>
                <w:szCs w:val="20"/>
                <w:color w:val="auto"/>
              </w:rPr>
            </w:pPr>
            <w:r>
              <w:rPr>
                <w:rFonts w:ascii="Arial" w:cs="Arial" w:eastAsia="Arial" w:hAnsi="Arial"/>
                <w:sz w:val="11"/>
                <w:szCs w:val="11"/>
                <w:color w:val="auto"/>
              </w:rPr>
              <w:t>Deferred</w:t>
            </w:r>
          </w:p>
        </w:tc>
        <w:tc>
          <w:tcPr>
            <w:tcW w:w="340" w:type="dxa"/>
            <w:vAlign w:val="bottom"/>
          </w:tcPr>
          <w:p>
            <w:pPr>
              <w:spacing w:after="0"/>
              <w:rPr>
                <w:sz w:val="13"/>
                <w:szCs w:val="13"/>
                <w:color w:val="auto"/>
              </w:rPr>
            </w:pPr>
          </w:p>
        </w:tc>
        <w:tc>
          <w:tcPr>
            <w:tcW w:w="116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w:t>
            </w:r>
          </w:p>
        </w:tc>
      </w:tr>
      <w:tr>
        <w:trPr>
          <w:trHeight w:val="160"/>
        </w:trPr>
        <w:tc>
          <w:tcPr>
            <w:tcW w:w="20" w:type="dxa"/>
            <w:vAlign w:val="bottom"/>
            <w:shd w:val="clear" w:color="auto" w:fill="CCEEFF"/>
          </w:tcPr>
          <w:p>
            <w:pPr>
              <w:spacing w:after="0"/>
              <w:rPr>
                <w:sz w:val="13"/>
                <w:szCs w:val="13"/>
                <w:color w:val="auto"/>
              </w:rPr>
            </w:pPr>
          </w:p>
        </w:tc>
        <w:tc>
          <w:tcPr>
            <w:tcW w:w="65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State Income Taxes</w:t>
            </w:r>
          </w:p>
        </w:tc>
        <w:tc>
          <w:tcPr>
            <w:tcW w:w="3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r>
      <w:tr>
        <w:trPr>
          <w:trHeight w:val="152"/>
        </w:trPr>
        <w:tc>
          <w:tcPr>
            <w:tcW w:w="20" w:type="dxa"/>
            <w:vAlign w:val="bottom"/>
          </w:tcPr>
          <w:p>
            <w:pPr>
              <w:spacing w:after="0"/>
              <w:rPr>
                <w:sz w:val="13"/>
                <w:szCs w:val="13"/>
                <w:color w:val="auto"/>
              </w:rPr>
            </w:pPr>
          </w:p>
        </w:tc>
        <w:tc>
          <w:tcPr>
            <w:tcW w:w="6560" w:type="dxa"/>
            <w:vAlign w:val="bottom"/>
            <w:gridSpan w:val="2"/>
          </w:tcPr>
          <w:p>
            <w:pPr>
              <w:ind w:left="160"/>
              <w:spacing w:after="0"/>
              <w:rPr>
                <w:sz w:val="20"/>
                <w:szCs w:val="20"/>
                <w:color w:val="auto"/>
              </w:rPr>
            </w:pPr>
            <w:r>
              <w:rPr>
                <w:rFonts w:ascii="Arial" w:cs="Arial" w:eastAsia="Arial" w:hAnsi="Arial"/>
                <w:sz w:val="11"/>
                <w:szCs w:val="11"/>
                <w:color w:val="auto"/>
              </w:rPr>
              <w:t>Current</w:t>
            </w:r>
          </w:p>
        </w:tc>
        <w:tc>
          <w:tcPr>
            <w:tcW w:w="340" w:type="dxa"/>
            <w:vAlign w:val="bottom"/>
          </w:tcPr>
          <w:p>
            <w:pPr>
              <w:spacing w:after="0"/>
              <w:rPr>
                <w:sz w:val="13"/>
                <w:szCs w:val="13"/>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420" w:type="dxa"/>
            <w:vAlign w:val="bottom"/>
          </w:tcPr>
          <w:p>
            <w:pPr>
              <w:jc w:val="right"/>
              <w:ind w:right="4"/>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3</w:t>
            </w:r>
          </w:p>
        </w:tc>
      </w:tr>
      <w:tr>
        <w:trPr>
          <w:trHeight w:val="156"/>
        </w:trPr>
        <w:tc>
          <w:tcPr>
            <w:tcW w:w="20" w:type="dxa"/>
            <w:vAlign w:val="bottom"/>
            <w:shd w:val="clear" w:color="auto" w:fill="CCEEFF"/>
          </w:tcPr>
          <w:p>
            <w:pPr>
              <w:spacing w:after="0"/>
              <w:rPr>
                <w:sz w:val="13"/>
                <w:szCs w:val="13"/>
                <w:color w:val="auto"/>
              </w:rPr>
            </w:pPr>
          </w:p>
        </w:tc>
        <w:tc>
          <w:tcPr>
            <w:tcW w:w="65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Deferred</w:t>
            </w:r>
          </w:p>
        </w:tc>
        <w:tc>
          <w:tcPr>
            <w:tcW w:w="340" w:type="dxa"/>
            <w:vAlign w:val="bottom"/>
            <w:tcBorders>
              <w:bottom w:val="single" w:sz="8" w:color="auto"/>
            </w:tcBorders>
            <w:shd w:val="clear" w:color="auto" w:fill="CCEEFF"/>
          </w:tcPr>
          <w:p>
            <w:pPr>
              <w:spacing w:after="0"/>
              <w:rPr>
                <w:sz w:val="13"/>
                <w:szCs w:val="13"/>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10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1"/>
        </w:trPr>
        <w:tc>
          <w:tcPr>
            <w:tcW w:w="20" w:type="dxa"/>
            <w:vAlign w:val="bottom"/>
          </w:tcPr>
          <w:p>
            <w:pPr>
              <w:spacing w:after="0"/>
              <w:rPr>
                <w:sz w:val="13"/>
                <w:szCs w:val="13"/>
                <w:color w:val="auto"/>
              </w:rPr>
            </w:pPr>
          </w:p>
        </w:tc>
        <w:tc>
          <w:tcPr>
            <w:tcW w:w="6560" w:type="dxa"/>
            <w:vAlign w:val="bottom"/>
            <w:gridSpan w:val="2"/>
          </w:tcPr>
          <w:p>
            <w:pPr>
              <w:spacing w:after="0"/>
              <w:rPr>
                <w:sz w:val="20"/>
                <w:szCs w:val="20"/>
                <w:color w:val="auto"/>
              </w:rPr>
            </w:pPr>
            <w:r>
              <w:rPr>
                <w:rFonts w:ascii="Arial" w:cs="Arial" w:eastAsia="Arial" w:hAnsi="Arial"/>
                <w:sz w:val="11"/>
                <w:szCs w:val="11"/>
                <w:b w:val="1"/>
                <w:bCs w:val="1"/>
                <w:color w:val="auto"/>
              </w:rPr>
              <w:t>Total Provision (Benefit)</w:t>
            </w:r>
          </w:p>
        </w:tc>
        <w:tc>
          <w:tcPr>
            <w:tcW w:w="340" w:type="dxa"/>
            <w:vAlign w:val="bottom"/>
            <w:tcBorders>
              <w:bottom w:val="single" w:sz="8" w:color="auto"/>
            </w:tcBorders>
          </w:tcPr>
          <w:p>
            <w:pPr>
              <w:jc w:val="right"/>
              <w:ind w:right="204"/>
              <w:spacing w:after="0"/>
              <w:rPr>
                <w:sz w:val="20"/>
                <w:szCs w:val="20"/>
                <w:color w:val="auto"/>
              </w:rPr>
            </w:pPr>
            <w:r>
              <w:rPr>
                <w:rFonts w:ascii="Arial" w:cs="Arial" w:eastAsia="Arial" w:hAnsi="Arial"/>
                <w:sz w:val="11"/>
                <w:szCs w:val="11"/>
                <w:color w:val="auto"/>
                <w:w w:val="97"/>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w:t>
            </w:r>
          </w:p>
        </w:tc>
        <w:tc>
          <w:tcPr>
            <w:tcW w:w="100" w:type="dxa"/>
            <w:vAlign w:val="bottom"/>
          </w:tcPr>
          <w:p>
            <w:pPr>
              <w:spacing w:after="0"/>
              <w:rPr>
                <w:sz w:val="13"/>
                <w:szCs w:val="13"/>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55</w:t>
            </w:r>
          </w:p>
        </w:tc>
        <w:tc>
          <w:tcPr>
            <w:tcW w:w="80" w:type="dxa"/>
            <w:vAlign w:val="bottom"/>
          </w:tcPr>
          <w:p>
            <w:pPr>
              <w:spacing w:after="0"/>
              <w:rPr>
                <w:sz w:val="13"/>
                <w:szCs w:val="13"/>
                <w:color w:val="auto"/>
              </w:rPr>
            </w:pPr>
          </w:p>
        </w:tc>
        <w:tc>
          <w:tcPr>
            <w:tcW w:w="360" w:type="dxa"/>
            <w:vAlign w:val="bottom"/>
            <w:tcBorders>
              <w:bottom w:val="single" w:sz="8" w:color="auto"/>
            </w:tcBorders>
          </w:tcPr>
          <w:p>
            <w:pPr>
              <w:jc w:val="right"/>
              <w:ind w:right="224"/>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w:t>
            </w: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83" w:name="page84"/>
    <w:bookmarkEnd w:id="83"/>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A reconciliation of the U.S. federal statutory income tax rate to the consolidated effective income tax rate was as follows:</w:t>
      </w:r>
    </w:p>
    <w:p>
      <w:pPr>
        <w:spacing w:after="0" w:line="45" w:lineRule="exact"/>
        <w:rPr>
          <w:sz w:val="20"/>
          <w:szCs w:val="20"/>
          <w:color w:val="auto"/>
        </w:rPr>
      </w:pPr>
    </w:p>
    <w:p>
      <w:pPr>
        <w:ind w:left="8100"/>
        <w:spacing w:after="0"/>
        <w:rPr>
          <w:sz w:val="20"/>
          <w:szCs w:val="20"/>
          <w:color w:val="auto"/>
        </w:rPr>
      </w:pPr>
      <w:r>
        <w:rPr>
          <w:rFonts w:ascii="Arial" w:cs="Arial" w:eastAsia="Arial" w:hAnsi="Arial"/>
          <w:sz w:val="11"/>
          <w:szCs w:val="11"/>
          <w:color w:val="auto"/>
        </w:rPr>
        <w:t>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220" w:type="dxa"/>
            <w:vAlign w:val="bottom"/>
            <w:tcBorders>
              <w:bottom w:val="single" w:sz="8" w:color="CCEEFF"/>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1"/>
                <w:szCs w:val="11"/>
                <w:color w:val="auto"/>
              </w:rPr>
              <w:t>2023</w:t>
            </w:r>
          </w:p>
        </w:tc>
        <w:tc>
          <w:tcPr>
            <w:tcW w:w="5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1"/>
                <w:szCs w:val="11"/>
                <w:color w:val="auto"/>
              </w:rPr>
              <w:t>2022</w:t>
            </w:r>
          </w:p>
        </w:tc>
        <w:tc>
          <w:tcPr>
            <w:tcW w:w="5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1620" w:type="dxa"/>
            <w:vAlign w:val="bottom"/>
            <w:tcBorders>
              <w:top w:val="single" w:sz="8" w:color="auto"/>
              <w:bottom w:val="single" w:sz="8" w:color="auto"/>
            </w:tcBorders>
          </w:tcPr>
          <w:p>
            <w:pPr>
              <w:jc w:val="right"/>
              <w:ind w:right="624"/>
              <w:spacing w:after="0"/>
              <w:rPr>
                <w:sz w:val="20"/>
                <w:szCs w:val="20"/>
                <w:color w:val="auto"/>
              </w:rPr>
            </w:pPr>
            <w:r>
              <w:rPr>
                <w:rFonts w:ascii="Arial" w:cs="Arial" w:eastAsia="Arial" w:hAnsi="Arial"/>
                <w:sz w:val="11"/>
                <w:szCs w:val="11"/>
                <w:color w:val="auto"/>
              </w:rPr>
              <w:t>2021</w:t>
            </w:r>
          </w:p>
        </w:tc>
      </w:tr>
      <w:tr>
        <w:trPr>
          <w:trHeight w:val="151"/>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U.S. federal statutory income tax rate</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21.0 %</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21.0 %</w:t>
            </w: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21.0 %</w:t>
            </w:r>
          </w:p>
        </w:tc>
      </w:tr>
      <w:tr>
        <w:trPr>
          <w:trHeight w:val="152"/>
        </w:trPr>
        <w:tc>
          <w:tcPr>
            <w:tcW w:w="7300" w:type="dxa"/>
            <w:vAlign w:val="bottom"/>
            <w:gridSpan w:val="2"/>
          </w:tcPr>
          <w:p>
            <w:pPr>
              <w:ind w:left="20"/>
              <w:spacing w:after="0"/>
              <w:rPr>
                <w:sz w:val="20"/>
                <w:szCs w:val="20"/>
                <w:color w:val="auto"/>
              </w:rPr>
            </w:pPr>
            <w:r>
              <w:rPr>
                <w:rFonts w:ascii="Arial" w:cs="Arial" w:eastAsia="Arial" w:hAnsi="Arial"/>
                <w:sz w:val="11"/>
                <w:szCs w:val="11"/>
                <w:color w:val="auto"/>
              </w:rPr>
              <w:t>Nondeductible expenses</w:t>
            </w:r>
          </w:p>
        </w:tc>
        <w:tc>
          <w:tcPr>
            <w:tcW w:w="540" w:type="dxa"/>
            <w:vAlign w:val="bottom"/>
          </w:tcPr>
          <w:p>
            <w:pPr>
              <w:jc w:val="right"/>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(3.5)%</w:t>
            </w:r>
          </w:p>
        </w:tc>
        <w:tc>
          <w:tcPr>
            <w:tcW w:w="1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1"/>
                <w:szCs w:val="11"/>
                <w:color w:val="auto"/>
              </w:rPr>
              <w:t>(15.5)%</w:t>
            </w:r>
          </w:p>
        </w:tc>
      </w:tr>
      <w:tr>
        <w:trPr>
          <w:trHeight w:val="160"/>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Change in valuation allowance for deferred tax assets</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0.8 %</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w:t>
            </w: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(20.4)%</w:t>
            </w:r>
          </w:p>
        </w:tc>
      </w:tr>
      <w:tr>
        <w:trPr>
          <w:trHeight w:val="152"/>
        </w:trPr>
        <w:tc>
          <w:tcPr>
            <w:tcW w:w="7300" w:type="dxa"/>
            <w:vAlign w:val="bottom"/>
            <w:gridSpan w:val="2"/>
          </w:tcPr>
          <w:p>
            <w:pPr>
              <w:ind w:left="20"/>
              <w:spacing w:after="0"/>
              <w:rPr>
                <w:sz w:val="20"/>
                <w:szCs w:val="20"/>
                <w:color w:val="auto"/>
              </w:rPr>
            </w:pPr>
            <w:r>
              <w:rPr>
                <w:rFonts w:ascii="Arial" w:cs="Arial" w:eastAsia="Arial" w:hAnsi="Arial"/>
                <w:sz w:val="11"/>
                <w:szCs w:val="11"/>
                <w:color w:val="auto"/>
              </w:rPr>
              <w:t>State taxes, net of federal benefit</w:t>
            </w:r>
          </w:p>
        </w:tc>
        <w:tc>
          <w:tcPr>
            <w:tcW w:w="540" w:type="dxa"/>
            <w:vAlign w:val="bottom"/>
          </w:tcPr>
          <w:p>
            <w:pPr>
              <w:jc w:val="right"/>
              <w:spacing w:after="0"/>
              <w:rPr>
                <w:sz w:val="20"/>
                <w:szCs w:val="20"/>
                <w:color w:val="auto"/>
              </w:rPr>
            </w:pPr>
            <w:r>
              <w:rPr>
                <w:rFonts w:ascii="Arial" w:cs="Arial" w:eastAsia="Arial" w:hAnsi="Arial"/>
                <w:sz w:val="11"/>
                <w:szCs w:val="11"/>
                <w:color w:val="auto"/>
              </w:rPr>
              <w:t>3.1 %</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1"/>
                <w:szCs w:val="11"/>
                <w:color w:val="auto"/>
              </w:rPr>
              <w:t>(8.6)%</w:t>
            </w:r>
          </w:p>
        </w:tc>
      </w:tr>
      <w:tr>
        <w:trPr>
          <w:trHeight w:val="160"/>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Tax-exempt income, credits and incentives</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0.8 %</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3.0 %</w:t>
            </w: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38.4 %</w:t>
            </w:r>
          </w:p>
        </w:tc>
      </w:tr>
      <w:tr>
        <w:trPr>
          <w:trHeight w:val="156"/>
        </w:trPr>
        <w:tc>
          <w:tcPr>
            <w:tcW w:w="7300" w:type="dxa"/>
            <w:vAlign w:val="bottom"/>
            <w:gridSpan w:val="2"/>
          </w:tcPr>
          <w:p>
            <w:pPr>
              <w:ind w:left="20"/>
              <w:spacing w:after="0" w:line="156" w:lineRule="exact"/>
              <w:rPr>
                <w:sz w:val="20"/>
                <w:szCs w:val="20"/>
                <w:color w:val="auto"/>
              </w:rPr>
            </w:pPr>
            <w:r>
              <w:rPr>
                <w:rFonts w:ascii="Arial" w:cs="Arial" w:eastAsia="Arial" w:hAnsi="Arial"/>
                <w:sz w:val="11"/>
                <w:szCs w:val="11"/>
                <w:color w:val="auto"/>
              </w:rPr>
              <w:t>Foreign rate differential adjusted for U.S. taxation of foreign profits</w:t>
            </w:r>
            <w:r>
              <w:rPr>
                <w:rFonts w:ascii="Arial" w:cs="Arial" w:eastAsia="Arial" w:hAnsi="Arial"/>
                <w:sz w:val="14"/>
                <w:szCs w:val="14"/>
                <w:color w:val="auto"/>
                <w:vertAlign w:val="superscript"/>
              </w:rPr>
              <w:t>(1)</w:t>
            </w:r>
          </w:p>
        </w:tc>
        <w:tc>
          <w:tcPr>
            <w:tcW w:w="540" w:type="dxa"/>
            <w:vAlign w:val="bottom"/>
          </w:tcPr>
          <w:p>
            <w:pPr>
              <w:jc w:val="right"/>
              <w:spacing w:after="0"/>
              <w:rPr>
                <w:sz w:val="20"/>
                <w:szCs w:val="20"/>
                <w:color w:val="auto"/>
              </w:rPr>
            </w:pPr>
            <w:r>
              <w:rPr>
                <w:rFonts w:ascii="Arial" w:cs="Arial" w:eastAsia="Arial" w:hAnsi="Arial"/>
                <w:sz w:val="11"/>
                <w:szCs w:val="11"/>
                <w:color w:val="auto"/>
              </w:rPr>
              <w:t>(0.4)%</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(1.9)%</w:t>
            </w:r>
          </w:p>
        </w:tc>
        <w:tc>
          <w:tcPr>
            <w:tcW w:w="1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1"/>
                <w:szCs w:val="11"/>
                <w:color w:val="auto"/>
              </w:rPr>
              <w:t>(11.1)%</w:t>
            </w:r>
          </w:p>
        </w:tc>
      </w:tr>
      <w:tr>
        <w:trPr>
          <w:trHeight w:val="156"/>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Divestitures</w:t>
            </w:r>
          </w:p>
        </w:tc>
        <w:tc>
          <w:tcPr>
            <w:tcW w:w="1720" w:type="dxa"/>
            <w:vAlign w:val="bottom"/>
            <w:gridSpan w:val="3"/>
            <w:shd w:val="clear" w:color="auto" w:fill="CCEEFF"/>
          </w:tcPr>
          <w:p>
            <w:pPr>
              <w:jc w:val="right"/>
              <w:ind w:right="1124"/>
              <w:spacing w:after="0"/>
              <w:rPr>
                <w:sz w:val="20"/>
                <w:szCs w:val="20"/>
                <w:color w:val="auto"/>
              </w:rPr>
            </w:pPr>
            <w:r>
              <w:rPr>
                <w:rFonts w:ascii="Arial" w:cs="Arial" w:eastAsia="Arial" w:hAnsi="Arial"/>
                <w:sz w:val="11"/>
                <w:szCs w:val="11"/>
                <w:color w:val="auto"/>
              </w:rPr>
              <w:t>— %</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(17.9)%</w:t>
            </w: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2.1 %</w:t>
            </w:r>
          </w:p>
        </w:tc>
      </w:tr>
      <w:tr>
        <w:trPr>
          <w:trHeight w:val="156"/>
        </w:trPr>
        <w:tc>
          <w:tcPr>
            <w:tcW w:w="7300" w:type="dxa"/>
            <w:vAlign w:val="bottom"/>
            <w:gridSpan w:val="2"/>
          </w:tcPr>
          <w:p>
            <w:pPr>
              <w:ind w:left="20"/>
              <w:spacing w:after="0" w:line="156" w:lineRule="exact"/>
              <w:rPr>
                <w:sz w:val="20"/>
                <w:szCs w:val="20"/>
                <w:color w:val="auto"/>
              </w:rPr>
            </w:pPr>
            <w:r>
              <w:rPr>
                <w:rFonts w:ascii="Arial" w:cs="Arial" w:eastAsia="Arial" w:hAnsi="Arial"/>
                <w:sz w:val="11"/>
                <w:szCs w:val="11"/>
                <w:color w:val="auto"/>
              </w:rPr>
              <w:t>Impairments</w:t>
            </w:r>
            <w:r>
              <w:rPr>
                <w:rFonts w:ascii="Arial" w:cs="Arial" w:eastAsia="Arial" w:hAnsi="Arial"/>
                <w:sz w:val="14"/>
                <w:szCs w:val="14"/>
                <w:color w:val="auto"/>
                <w:vertAlign w:val="superscript"/>
              </w:rPr>
              <w:t>(2)</w:t>
            </w:r>
          </w:p>
        </w:tc>
        <w:tc>
          <w:tcPr>
            <w:tcW w:w="540" w:type="dxa"/>
            <w:vAlign w:val="bottom"/>
          </w:tcPr>
          <w:p>
            <w:pPr>
              <w:jc w:val="right"/>
              <w:spacing w:after="0"/>
              <w:rPr>
                <w:sz w:val="20"/>
                <w:szCs w:val="20"/>
                <w:color w:val="auto"/>
              </w:rPr>
            </w:pPr>
            <w:r>
              <w:rPr>
                <w:rFonts w:ascii="Arial" w:cs="Arial" w:eastAsia="Arial" w:hAnsi="Arial"/>
                <w:sz w:val="11"/>
                <w:szCs w:val="11"/>
                <w:color w:val="auto"/>
              </w:rPr>
              <w:t>(12.2)%</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(39.8)%</w:t>
            </w:r>
          </w:p>
        </w:tc>
        <w:tc>
          <w:tcPr>
            <w:tcW w:w="1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1"/>
                <w:szCs w:val="11"/>
                <w:color w:val="auto"/>
              </w:rPr>
              <w:t>(3.1)%</w:t>
            </w:r>
          </w:p>
        </w:tc>
      </w:tr>
      <w:tr>
        <w:trPr>
          <w:trHeight w:val="156"/>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Unrecognized tax benefits</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0.4 %</w:t>
            </w: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6.6 %</w:t>
            </w: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0.8 %</w:t>
            </w:r>
          </w:p>
        </w:tc>
      </w:tr>
      <w:tr>
        <w:trPr>
          <w:trHeight w:val="152"/>
        </w:trPr>
        <w:tc>
          <w:tcPr>
            <w:tcW w:w="7300" w:type="dxa"/>
            <w:vAlign w:val="bottom"/>
            <w:gridSpan w:val="2"/>
          </w:tcPr>
          <w:p>
            <w:pPr>
              <w:ind w:left="20"/>
              <w:spacing w:after="0"/>
              <w:rPr>
                <w:sz w:val="20"/>
                <w:szCs w:val="20"/>
                <w:color w:val="auto"/>
              </w:rPr>
            </w:pPr>
            <w:r>
              <w:rPr>
                <w:rFonts w:ascii="Arial" w:cs="Arial" w:eastAsia="Arial" w:hAnsi="Arial"/>
                <w:sz w:val="11"/>
                <w:szCs w:val="11"/>
                <w:color w:val="auto"/>
              </w:rPr>
              <w:t>Audit and other tax adjustments</w:t>
            </w:r>
          </w:p>
        </w:tc>
        <w:tc>
          <w:tcPr>
            <w:tcW w:w="540" w:type="dxa"/>
            <w:vAlign w:val="bottom"/>
          </w:tcPr>
          <w:p>
            <w:pPr>
              <w:jc w:val="right"/>
              <w:spacing w:after="0"/>
              <w:rPr>
                <w:sz w:val="20"/>
                <w:szCs w:val="20"/>
                <w:color w:val="auto"/>
              </w:rPr>
            </w:pPr>
            <w:r>
              <w:rPr>
                <w:rFonts w:ascii="Arial" w:cs="Arial" w:eastAsia="Arial" w:hAnsi="Arial"/>
                <w:sz w:val="11"/>
                <w:szCs w:val="11"/>
                <w:color w:val="auto"/>
              </w:rPr>
              <w:t>(1.4)%</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Arial" w:cs="Arial" w:eastAsia="Arial" w:hAnsi="Arial"/>
                <w:sz w:val="11"/>
                <w:szCs w:val="11"/>
                <w:color w:val="auto"/>
              </w:rPr>
              <w:t>(22.9)%</w:t>
            </w:r>
          </w:p>
        </w:tc>
      </w:tr>
      <w:tr>
        <w:trPr>
          <w:trHeight w:val="160"/>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Excess tax benefits</w:t>
            </w:r>
          </w:p>
        </w:tc>
        <w:tc>
          <w:tcPr>
            <w:tcW w:w="1720" w:type="dxa"/>
            <w:vAlign w:val="bottom"/>
            <w:gridSpan w:val="3"/>
            <w:shd w:val="clear" w:color="auto" w:fill="CCEEFF"/>
          </w:tcPr>
          <w:p>
            <w:pPr>
              <w:jc w:val="right"/>
              <w:ind w:right="1124"/>
              <w:spacing w:after="0"/>
              <w:rPr>
                <w:sz w:val="20"/>
                <w:szCs w:val="20"/>
                <w:color w:val="auto"/>
              </w:rPr>
            </w:pPr>
            <w:r>
              <w:rPr>
                <w:rFonts w:ascii="Arial" w:cs="Arial" w:eastAsia="Arial" w:hAnsi="Arial"/>
                <w:sz w:val="11"/>
                <w:szCs w:val="11"/>
                <w:color w:val="auto"/>
              </w:rPr>
              <w:t>— %</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0.6 %</w:t>
            </w:r>
          </w:p>
        </w:tc>
        <w:tc>
          <w:tcPr>
            <w:tcW w:w="100" w:type="dxa"/>
            <w:vAlign w:val="bottom"/>
            <w:shd w:val="clear" w:color="auto" w:fill="CCEEFF"/>
          </w:tcPr>
          <w:p>
            <w:pPr>
              <w:spacing w:after="0"/>
              <w:rPr>
                <w:sz w:val="13"/>
                <w:szCs w:val="13"/>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7.5 %</w:t>
            </w:r>
          </w:p>
        </w:tc>
      </w:tr>
      <w:tr>
        <w:trPr>
          <w:trHeight w:val="156"/>
        </w:trPr>
        <w:tc>
          <w:tcPr>
            <w:tcW w:w="6220" w:type="dxa"/>
            <w:vAlign w:val="bottom"/>
            <w:tcBorders>
              <w:bottom w:val="single" w:sz="8" w:color="CCEEFF"/>
            </w:tcBorders>
          </w:tcPr>
          <w:p>
            <w:pPr>
              <w:ind w:left="20"/>
              <w:spacing w:after="0" w:line="156" w:lineRule="exact"/>
              <w:rPr>
                <w:sz w:val="20"/>
                <w:szCs w:val="20"/>
                <w:color w:val="auto"/>
              </w:rPr>
            </w:pPr>
            <w:r>
              <w:rPr>
                <w:rFonts w:ascii="Arial" w:cs="Arial" w:eastAsia="Arial" w:hAnsi="Arial"/>
                <w:sz w:val="11"/>
                <w:szCs w:val="11"/>
                <w:color w:val="auto"/>
              </w:rPr>
              <w:t>Other</w:t>
            </w:r>
            <w:r>
              <w:rPr>
                <w:rFonts w:ascii="Arial" w:cs="Arial" w:eastAsia="Arial" w:hAnsi="Arial"/>
                <w:sz w:val="14"/>
                <w:szCs w:val="14"/>
                <w:color w:val="auto"/>
                <w:vertAlign w:val="superscript"/>
              </w:rPr>
              <w:t>(3)</w:t>
            </w:r>
          </w:p>
        </w:tc>
        <w:tc>
          <w:tcPr>
            <w:tcW w:w="10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(0.2)%</w:t>
            </w:r>
          </w:p>
        </w:tc>
        <w:tc>
          <w:tcPr>
            <w:tcW w:w="10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(0.4)%</w:t>
            </w:r>
          </w:p>
        </w:tc>
        <w:tc>
          <w:tcPr>
            <w:tcW w:w="100" w:type="dxa"/>
            <w:vAlign w:val="bottom"/>
            <w:tcBorders>
              <w:bottom w:val="single" w:sz="8" w:color="CCEEFF"/>
            </w:tcBorders>
          </w:tcPr>
          <w:p>
            <w:pPr>
              <w:spacing w:after="0"/>
              <w:rPr>
                <w:sz w:val="13"/>
                <w:szCs w:val="13"/>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2.1 %</w:t>
            </w:r>
          </w:p>
        </w:tc>
      </w:tr>
      <w:tr>
        <w:trPr>
          <w:trHeight w:val="167"/>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Effective Income Tax Rate</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10.7 %</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(43.9)%</w:t>
            </w:r>
          </w:p>
        </w:tc>
        <w:tc>
          <w:tcPr>
            <w:tcW w:w="100" w:type="dxa"/>
            <w:vAlign w:val="bottom"/>
            <w:shd w:val="clear" w:color="auto" w:fill="CCEEFF"/>
          </w:tcPr>
          <w:p>
            <w:pPr>
              <w:spacing w:after="0"/>
              <w:rPr>
                <w:sz w:val="14"/>
                <w:szCs w:val="14"/>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(9.7)%</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r>
    </w:tbl>
    <w:p>
      <w:pPr>
        <w:spacing w:after="0" w:line="64" w:lineRule="exact"/>
        <w:rPr>
          <w:sz w:val="20"/>
          <w:szCs w:val="20"/>
          <w:color w:val="auto"/>
        </w:rPr>
      </w:pPr>
    </w:p>
    <w:p>
      <w:pPr>
        <w:ind w:left="20"/>
        <w:spacing w:after="0"/>
        <w:rPr>
          <w:sz w:val="20"/>
          <w:szCs w:val="20"/>
          <w:color w:val="auto"/>
        </w:rPr>
      </w:pPr>
      <w:r>
        <w:rPr>
          <w:rFonts w:ascii="Arial" w:cs="Arial" w:eastAsia="Arial" w:hAnsi="Arial"/>
          <w:sz w:val="8"/>
          <w:szCs w:val="8"/>
          <w:i w:val="1"/>
          <w:iCs w:val="1"/>
          <w:color w:val="auto"/>
        </w:rPr>
        <w:t>_______________</w:t>
      </w:r>
    </w:p>
    <w:p>
      <w:pPr>
        <w:spacing w:after="0" w:line="14" w:lineRule="exact"/>
        <w:rPr>
          <w:sz w:val="20"/>
          <w:szCs w:val="20"/>
          <w:color w:val="auto"/>
        </w:rPr>
      </w:pPr>
    </w:p>
    <w:p>
      <w:pPr>
        <w:ind w:left="260" w:hanging="257"/>
        <w:spacing w:after="0"/>
        <w:tabs>
          <w:tab w:leader="none" w:pos="260" w:val="left"/>
        </w:tabs>
        <w:numPr>
          <w:ilvl w:val="0"/>
          <w:numId w:val="44"/>
        </w:numPr>
        <w:rPr>
          <w:rFonts w:ascii="Arial" w:cs="Arial" w:eastAsia="Arial" w:hAnsi="Arial"/>
          <w:sz w:val="11"/>
          <w:szCs w:val="11"/>
          <w:i w:val="1"/>
          <w:iCs w:val="1"/>
          <w:color w:val="auto"/>
        </w:rPr>
      </w:pPr>
      <w:r>
        <w:rPr>
          <w:rFonts w:ascii="Arial" w:cs="Arial" w:eastAsia="Arial" w:hAnsi="Arial"/>
          <w:sz w:val="11"/>
          <w:szCs w:val="11"/>
          <w:i w:val="1"/>
          <w:iCs w:val="1"/>
          <w:color w:val="auto"/>
        </w:rPr>
        <w:t>The “Foreign rate differential adjusted for U.S. taxation of foreign profits” includes the U.S. tax, net of foreign tax credits, associated with actual and deemed repatriations of earnings from our non-U.S. subsidiaries.</w:t>
      </w:r>
    </w:p>
    <w:p>
      <w:pPr>
        <w:spacing w:after="0" w:line="8" w:lineRule="exact"/>
        <w:rPr>
          <w:rFonts w:ascii="Arial" w:cs="Arial" w:eastAsia="Arial" w:hAnsi="Arial"/>
          <w:sz w:val="11"/>
          <w:szCs w:val="11"/>
          <w:i w:val="1"/>
          <w:iCs w:val="1"/>
          <w:color w:val="auto"/>
        </w:rPr>
      </w:pPr>
    </w:p>
    <w:p>
      <w:pPr>
        <w:ind w:left="260" w:hanging="257"/>
        <w:spacing w:after="0"/>
        <w:tabs>
          <w:tab w:leader="none" w:pos="260" w:val="left"/>
        </w:tabs>
        <w:numPr>
          <w:ilvl w:val="0"/>
          <w:numId w:val="44"/>
        </w:numPr>
        <w:rPr>
          <w:rFonts w:ascii="Arial" w:cs="Arial" w:eastAsia="Arial" w:hAnsi="Arial"/>
          <w:sz w:val="11"/>
          <w:szCs w:val="11"/>
          <w:i w:val="1"/>
          <w:iCs w:val="1"/>
          <w:color w:val="auto"/>
        </w:rPr>
      </w:pPr>
      <w:r>
        <w:rPr>
          <w:rFonts w:ascii="Arial" w:cs="Arial" w:eastAsia="Arial" w:hAnsi="Arial"/>
          <w:sz w:val="11"/>
          <w:szCs w:val="11"/>
          <w:i w:val="1"/>
          <w:iCs w:val="1"/>
          <w:color w:val="auto"/>
        </w:rPr>
        <w:t>Impairment represents adjustments for the non-deductible component of goodwill in 2023 and 2022 and impairment of an equity investment in 2021.</w:t>
      </w:r>
    </w:p>
    <w:p>
      <w:pPr>
        <w:ind w:left="260" w:hanging="257"/>
        <w:spacing w:after="0"/>
        <w:tabs>
          <w:tab w:leader="none" w:pos="260" w:val="left"/>
        </w:tabs>
        <w:numPr>
          <w:ilvl w:val="0"/>
          <w:numId w:val="44"/>
        </w:numPr>
        <w:rPr>
          <w:rFonts w:ascii="Arial" w:cs="Arial" w:eastAsia="Arial" w:hAnsi="Arial"/>
          <w:sz w:val="11"/>
          <w:szCs w:val="11"/>
          <w:i w:val="1"/>
          <w:iCs w:val="1"/>
          <w:color w:val="auto"/>
        </w:rPr>
      </w:pPr>
      <w:r>
        <w:rPr>
          <w:rFonts w:ascii="Arial" w:cs="Arial" w:eastAsia="Arial" w:hAnsi="Arial"/>
          <w:sz w:val="11"/>
          <w:szCs w:val="11"/>
          <w:i w:val="1"/>
          <w:iCs w:val="1"/>
          <w:color w:val="auto"/>
        </w:rPr>
        <w:t>In 2023 and 2022, the "Other" line includes immaterial reconciling items. In 2021, the "Other" line includes two reconciling items above 5% of the federal statutory rate. The impact to the effective rate is driven by the low</w:t>
      </w:r>
    </w:p>
    <w:p>
      <w:pPr>
        <w:spacing w:after="0" w:line="8" w:lineRule="exact"/>
        <w:rPr>
          <w:sz w:val="20"/>
          <w:szCs w:val="20"/>
          <w:color w:val="auto"/>
        </w:rPr>
      </w:pPr>
    </w:p>
    <w:p>
      <w:pPr>
        <w:ind w:left="500"/>
        <w:spacing w:after="0"/>
        <w:rPr>
          <w:sz w:val="20"/>
          <w:szCs w:val="20"/>
          <w:color w:val="auto"/>
        </w:rPr>
      </w:pPr>
      <w:r>
        <w:rPr>
          <w:rFonts w:ascii="Arial" w:cs="Arial" w:eastAsia="Arial" w:hAnsi="Arial"/>
          <w:sz w:val="11"/>
          <w:szCs w:val="11"/>
          <w:i w:val="1"/>
          <w:iCs w:val="1"/>
          <w:color w:val="auto"/>
        </w:rPr>
        <w:t>pretax book income in 2021, and these items are otherwise immaterial.</w:t>
      </w:r>
    </w:p>
    <w:p>
      <w:pPr>
        <w:spacing w:after="0" w:line="117" w:lineRule="exact"/>
        <w:rPr>
          <w:sz w:val="20"/>
          <w:szCs w:val="20"/>
          <w:color w:val="auto"/>
        </w:rPr>
      </w:pPr>
    </w:p>
    <w:p>
      <w:pPr>
        <w:ind w:right="220"/>
        <w:spacing w:after="0" w:line="282" w:lineRule="auto"/>
        <w:rPr>
          <w:sz w:val="20"/>
          <w:szCs w:val="20"/>
          <w:color w:val="auto"/>
        </w:rPr>
      </w:pPr>
      <w:r>
        <w:rPr>
          <w:rFonts w:ascii="Arial" w:cs="Arial" w:eastAsia="Arial" w:hAnsi="Arial"/>
          <w:sz w:val="14"/>
          <w:szCs w:val="14"/>
          <w:color w:val="auto"/>
        </w:rPr>
        <w:t>On a consolidated basis, the Company paid $18 million, $53 million and $25 million in combined income taxes to federal, foreign and state jurisdictions during the three years ended December 31, 2023, 2022 and 2021, respectively.</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Unrecognized Tax Benefits and Audit Resolutions</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The Company recognizes tax liabilities when, despite its belief that its tax return positions are supportable, the Company believes that certain positions may not be fully sustained upon review by tax authorities. Each period the Company assesses uncertain tax positions for recognition, measurement and effective settlement. Benefits from uncertain tax positions are measured at the largest amount of benefit that is greater than 50 percent likely of being realized upon settlement. Where the Company has determined that its tax return filing position does not satisfy the more-likely-than-not recognition threshold, the Company has recorded no tax benefits.</w:t>
      </w:r>
    </w:p>
    <w:p>
      <w:pPr>
        <w:spacing w:after="0" w:line="97" w:lineRule="exact"/>
        <w:rPr>
          <w:sz w:val="20"/>
          <w:szCs w:val="20"/>
          <w:color w:val="auto"/>
        </w:rPr>
      </w:pPr>
    </w:p>
    <w:p>
      <w:pPr>
        <w:ind w:right="20"/>
        <w:spacing w:after="0" w:line="265" w:lineRule="auto"/>
        <w:rPr>
          <w:sz w:val="20"/>
          <w:szCs w:val="20"/>
          <w:color w:val="auto"/>
        </w:rPr>
      </w:pPr>
      <w:r>
        <w:rPr>
          <w:rFonts w:ascii="Arial" w:cs="Arial" w:eastAsia="Arial" w:hAnsi="Arial"/>
          <w:sz w:val="14"/>
          <w:szCs w:val="14"/>
          <w:color w:val="auto"/>
        </w:rPr>
        <w:t>The Company is also subject to ongoing tax examinations in numerous jurisdictions due to the extensive geographical scope of its operations. Ongoing assessments of the more-likely-than-not outcomes of the examinations and related tax positions require judgment and can increase or decrease the Company's effective tax rate, as well as impact its operating results. The specific timing of when the resolution of each tax position will be reached is uncertain.</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2023, the Company had $10 million of unrecognized tax benefits that, if recognized, would impact the Company's effective tax rate.</w:t>
      </w:r>
    </w:p>
    <w:p>
      <w:pPr>
        <w:spacing w:after="0" w:line="200" w:lineRule="exact"/>
        <w:rPr>
          <w:sz w:val="20"/>
          <w:szCs w:val="20"/>
          <w:color w:val="auto"/>
        </w:rPr>
      </w:pPr>
    </w:p>
    <w:p>
      <w:pPr>
        <w:spacing w:after="0" w:line="274"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84" w:name="page85"/>
    <w:bookmarkEnd w:id="84"/>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A reconciliation of the beginning and ending amount of unrecognized tax benefits was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380" w:type="dxa"/>
            <w:vAlign w:val="bottom"/>
            <w:gridSpan w:val="2"/>
          </w:tcPr>
          <w:p>
            <w:pPr>
              <w:spacing w:after="0"/>
              <w:rPr>
                <w:sz w:val="20"/>
                <w:szCs w:val="20"/>
                <w:color w:val="auto"/>
              </w:rPr>
            </w:pPr>
            <w:r>
              <w:rPr>
                <w:rFonts w:ascii="Arial" w:cs="Arial" w:eastAsia="Arial" w:hAnsi="Arial"/>
                <w:sz w:val="11"/>
                <w:szCs w:val="11"/>
                <w:color w:val="auto"/>
              </w:rPr>
              <w:t>(in millions)</w:t>
            </w:r>
          </w:p>
        </w:tc>
        <w:tc>
          <w:tcPr>
            <w:tcW w:w="380" w:type="dxa"/>
            <w:vAlign w:val="bottom"/>
          </w:tcPr>
          <w:p>
            <w:pPr>
              <w:spacing w:after="0"/>
              <w:rPr>
                <w:sz w:val="10"/>
                <w:szCs w:val="10"/>
                <w:color w:val="auto"/>
              </w:rPr>
            </w:pPr>
          </w:p>
        </w:tc>
        <w:tc>
          <w:tcPr>
            <w:tcW w:w="1200" w:type="dxa"/>
            <w:vAlign w:val="bottom"/>
          </w:tcPr>
          <w:p>
            <w:pPr>
              <w:jc w:val="right"/>
              <w:ind w:right="604"/>
              <w:spacing w:after="0"/>
              <w:rPr>
                <w:sz w:val="20"/>
                <w:szCs w:val="20"/>
                <w:color w:val="auto"/>
              </w:rPr>
            </w:pPr>
            <w:r>
              <w:rPr>
                <w:rFonts w:ascii="Arial" w:cs="Arial" w:eastAsia="Arial" w:hAnsi="Arial"/>
                <w:sz w:val="11"/>
                <w:szCs w:val="11"/>
                <w:color w:val="auto"/>
              </w:rPr>
              <w:t>2023</w:t>
            </w: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tcPr>
          <w:p>
            <w:pPr>
              <w:jc w:val="right"/>
              <w:ind w:right="584"/>
              <w:spacing w:after="0"/>
              <w:rPr>
                <w:sz w:val="20"/>
                <w:szCs w:val="20"/>
                <w:color w:val="auto"/>
              </w:rPr>
            </w:pPr>
            <w:r>
              <w:rPr>
                <w:rFonts w:ascii="Arial" w:cs="Arial" w:eastAsia="Arial" w:hAnsi="Arial"/>
                <w:sz w:val="11"/>
                <w:szCs w:val="11"/>
                <w:color w:val="auto"/>
              </w:rPr>
              <w:t>2022</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tcPr>
          <w:p>
            <w:pPr>
              <w:jc w:val="right"/>
              <w:ind w:right="604"/>
              <w:spacing w:after="0"/>
              <w:rPr>
                <w:sz w:val="20"/>
                <w:szCs w:val="20"/>
                <w:color w:val="auto"/>
              </w:rPr>
            </w:pPr>
            <w:r>
              <w:rPr>
                <w:rFonts w:ascii="Arial" w:cs="Arial" w:eastAsia="Arial" w:hAnsi="Arial"/>
                <w:sz w:val="11"/>
                <w:szCs w:val="1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Balance at January 1</w:t>
            </w: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12</w:t>
            </w:r>
          </w:p>
        </w:tc>
        <w:tc>
          <w:tcPr>
            <w:tcW w:w="80" w:type="dxa"/>
            <w:vAlign w:val="bottom"/>
            <w:shd w:val="clear" w:color="auto" w:fill="CCEEFF"/>
          </w:tcPr>
          <w:p>
            <w:pPr>
              <w:spacing w:after="0"/>
              <w:rPr>
                <w:sz w:val="11"/>
                <w:szCs w:val="11"/>
                <w:color w:val="auto"/>
              </w:rPr>
            </w:pP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224"/>
              <w:spacing w:after="0"/>
              <w:rPr>
                <w:sz w:val="20"/>
                <w:szCs w:val="20"/>
                <w:color w:val="auto"/>
              </w:rPr>
            </w:pPr>
            <w:r>
              <w:rPr>
                <w:rFonts w:ascii="Arial" w:cs="Arial" w:eastAsia="Arial" w:hAnsi="Arial"/>
                <w:sz w:val="11"/>
                <w:szCs w:val="11"/>
                <w:color w:val="auto"/>
                <w:w w:val="97"/>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w:t>
            </w:r>
          </w:p>
        </w:tc>
      </w:tr>
      <w:tr>
        <w:trPr>
          <w:trHeight w:val="152"/>
        </w:trPr>
        <w:tc>
          <w:tcPr>
            <w:tcW w:w="20" w:type="dxa"/>
            <w:vAlign w:val="bottom"/>
          </w:tcPr>
          <w:p>
            <w:pPr>
              <w:spacing w:after="0"/>
              <w:rPr>
                <w:sz w:val="13"/>
                <w:szCs w:val="13"/>
                <w:color w:val="auto"/>
              </w:rPr>
            </w:pPr>
          </w:p>
        </w:tc>
        <w:tc>
          <w:tcPr>
            <w:tcW w:w="6380" w:type="dxa"/>
            <w:vAlign w:val="bottom"/>
            <w:gridSpan w:val="2"/>
          </w:tcPr>
          <w:p>
            <w:pPr>
              <w:spacing w:after="0"/>
              <w:rPr>
                <w:sz w:val="20"/>
                <w:szCs w:val="20"/>
                <w:color w:val="auto"/>
              </w:rPr>
            </w:pPr>
            <w:r>
              <w:rPr>
                <w:rFonts w:ascii="Arial" w:cs="Arial" w:eastAsia="Arial" w:hAnsi="Arial"/>
                <w:sz w:val="11"/>
                <w:szCs w:val="11"/>
                <w:color w:val="auto"/>
              </w:rPr>
              <w:t>Additions related to prior years positions</w:t>
            </w:r>
          </w:p>
        </w:tc>
        <w:tc>
          <w:tcPr>
            <w:tcW w:w="380" w:type="dxa"/>
            <w:vAlign w:val="bottom"/>
          </w:tcPr>
          <w:p>
            <w:pPr>
              <w:spacing w:after="0"/>
              <w:rPr>
                <w:sz w:val="13"/>
                <w:szCs w:val="13"/>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3</w:t>
            </w:r>
          </w:p>
        </w:tc>
      </w:tr>
      <w:tr>
        <w:trPr>
          <w:trHeight w:val="160"/>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Reductions related to prior years positions</w:t>
            </w:r>
          </w:p>
        </w:tc>
        <w:tc>
          <w:tcPr>
            <w:tcW w:w="38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r>
      <w:tr>
        <w:trPr>
          <w:trHeight w:val="152"/>
        </w:trPr>
        <w:tc>
          <w:tcPr>
            <w:tcW w:w="20" w:type="dxa"/>
            <w:vAlign w:val="bottom"/>
          </w:tcPr>
          <w:p>
            <w:pPr>
              <w:spacing w:after="0"/>
              <w:rPr>
                <w:sz w:val="13"/>
                <w:szCs w:val="13"/>
                <w:color w:val="auto"/>
              </w:rPr>
            </w:pPr>
          </w:p>
        </w:tc>
        <w:tc>
          <w:tcPr>
            <w:tcW w:w="6380" w:type="dxa"/>
            <w:vAlign w:val="bottom"/>
            <w:gridSpan w:val="2"/>
          </w:tcPr>
          <w:p>
            <w:pPr>
              <w:spacing w:after="0"/>
              <w:rPr>
                <w:sz w:val="20"/>
                <w:szCs w:val="20"/>
                <w:color w:val="auto"/>
              </w:rPr>
            </w:pPr>
            <w:r>
              <w:rPr>
                <w:rFonts w:ascii="Arial" w:cs="Arial" w:eastAsia="Arial" w:hAnsi="Arial"/>
                <w:sz w:val="11"/>
                <w:szCs w:val="11"/>
                <w:color w:val="auto"/>
              </w:rPr>
              <w:t>Settlements with taxing authorities</w:t>
            </w:r>
          </w:p>
        </w:tc>
        <w:tc>
          <w:tcPr>
            <w:tcW w:w="38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56"/>
        </w:trPr>
        <w:tc>
          <w:tcPr>
            <w:tcW w:w="20" w:type="dxa"/>
            <w:vAlign w:val="bottom"/>
            <w:shd w:val="clear" w:color="auto" w:fill="CCEEFF"/>
          </w:tcPr>
          <w:p>
            <w:pPr>
              <w:spacing w:after="0"/>
              <w:rPr>
                <w:sz w:val="13"/>
                <w:szCs w:val="13"/>
                <w:color w:val="auto"/>
              </w:rPr>
            </w:pPr>
          </w:p>
        </w:tc>
        <w:tc>
          <w:tcPr>
            <w:tcW w:w="63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Lapse of Statute of limitations</w:t>
            </w:r>
          </w:p>
        </w:tc>
        <w:tc>
          <w:tcPr>
            <w:tcW w:w="3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1"/>
        </w:trPr>
        <w:tc>
          <w:tcPr>
            <w:tcW w:w="20" w:type="dxa"/>
            <w:vAlign w:val="bottom"/>
          </w:tcPr>
          <w:p>
            <w:pPr>
              <w:spacing w:after="0"/>
              <w:rPr>
                <w:sz w:val="13"/>
                <w:szCs w:val="13"/>
                <w:color w:val="auto"/>
              </w:rPr>
            </w:pPr>
          </w:p>
        </w:tc>
        <w:tc>
          <w:tcPr>
            <w:tcW w:w="6380" w:type="dxa"/>
            <w:vAlign w:val="bottom"/>
            <w:gridSpan w:val="2"/>
          </w:tcPr>
          <w:p>
            <w:pPr>
              <w:spacing w:after="0"/>
              <w:rPr>
                <w:sz w:val="20"/>
                <w:szCs w:val="20"/>
                <w:color w:val="auto"/>
              </w:rPr>
            </w:pPr>
            <w:r>
              <w:rPr>
                <w:rFonts w:ascii="Arial" w:cs="Arial" w:eastAsia="Arial" w:hAnsi="Arial"/>
                <w:sz w:val="11"/>
                <w:szCs w:val="11"/>
                <w:b w:val="1"/>
                <w:bCs w:val="1"/>
                <w:color w:val="auto"/>
              </w:rPr>
              <w:t>Balance at December 31</w:t>
            </w:r>
          </w:p>
        </w:tc>
        <w:tc>
          <w:tcPr>
            <w:tcW w:w="38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1"/>
                <w:szCs w:val="11"/>
                <w:color w:val="auto"/>
              </w:rPr>
              <w:t>10</w:t>
            </w:r>
          </w:p>
        </w:tc>
        <w:tc>
          <w:tcPr>
            <w:tcW w:w="8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1"/>
                <w:szCs w:val="11"/>
                <w:color w:val="auto"/>
                <w:w w:val="97"/>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12</w:t>
            </w:r>
          </w:p>
        </w:tc>
        <w:tc>
          <w:tcPr>
            <w:tcW w:w="10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1"/>
                <w:szCs w:val="11"/>
                <w:color w:val="auto"/>
                <w:w w:val="97"/>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23</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371"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The Company maintains offsetting benefits from other jurisdictions of $1 million, $1 million and $12 million, at December 31, 2023, 2022 and 2021, respectively. The Company recognized interest and penalties accrued on unrecognized tax benefits within income tax expense. The Company had $2 million, $3 million and $12 million accrued for the payment of interest and penalties associated with unrecognized tax benefits at December 31, 2023, 2022 and 2021, respectively. We are subject to federal income tax examinations in the U.S. and to income tax examinations in various states and foreign jurisdictions. In the U.S., the Company is no longer subject to U.S. federal income tax examinations for years before 2017. With limited exceptions, as of December 31, 2023, we are no longer subject to state, local or foreign examinations by tax authorities for years before 2017.</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Deferred Income Taxes</w:t>
      </w:r>
    </w:p>
    <w:p>
      <w:pPr>
        <w:spacing w:after="0" w:line="131" w:lineRule="exact"/>
        <w:rPr>
          <w:sz w:val="20"/>
          <w:szCs w:val="20"/>
          <w:color w:val="auto"/>
        </w:rPr>
      </w:pPr>
    </w:p>
    <w:p>
      <w:pPr>
        <w:ind w:right="60"/>
        <w:spacing w:after="0" w:line="255" w:lineRule="auto"/>
        <w:rPr>
          <w:sz w:val="20"/>
          <w:szCs w:val="20"/>
          <w:color w:val="auto"/>
        </w:rPr>
      </w:pPr>
      <w:r>
        <w:rPr>
          <w:rFonts w:ascii="Arial" w:cs="Arial" w:eastAsia="Arial" w:hAnsi="Arial"/>
          <w:sz w:val="14"/>
          <w:szCs w:val="14"/>
          <w:color w:val="auto"/>
        </w:rPr>
        <w:t>The Company is indefinitely reinvested in the undistributed earnings of its foreign subsidiaries with respect to the U.S. These foreign subsidiaries have aggregate cumulative undistributed earnings of $334 million as of December 31, 2023. For years after 2017, the Tax Reform does allow for certain earnings to be repatriated free from U.S. Federal taxes. However, the repatriation of earnings could give rise to additional tax liabilities. The Company has also not provided for deferred taxes on outside basis differences in its investments in its foreign subsidiaries. A determination of the unrecognized deferred taxes related to these other components of the Company's outside basis differences is not practicable. The Company has provided for deferred taxes with respect to certain unremitted earnings of foreign subsidiaries that are not indefinitely reinvested between foreign subsidiaries outside of the U.S.</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The tax effects of temporary differences that give rise to significant portions of the deferred taxes were as follows:</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44"/>
        </w:trPr>
        <w:tc>
          <w:tcPr>
            <w:tcW w:w="56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8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1"/>
                <w:szCs w:val="11"/>
                <w:color w:val="auto"/>
              </w:rPr>
              <w:t>December 31,</w:t>
            </w:r>
          </w:p>
        </w:tc>
        <w:tc>
          <w:tcPr>
            <w:tcW w:w="1100" w:type="dxa"/>
            <w:vAlign w:val="bottom"/>
            <w:tcBorders>
              <w:bottom w:val="single" w:sz="8" w:color="auto"/>
            </w:tcBorders>
          </w:tcPr>
          <w:p>
            <w:pPr>
              <w:spacing w:after="0"/>
              <w:rPr>
                <w:sz w:val="12"/>
                <w:szCs w:val="12"/>
                <w:color w:val="auto"/>
              </w:rPr>
            </w:pPr>
          </w:p>
        </w:tc>
      </w:tr>
      <w:tr>
        <w:trPr>
          <w:trHeight w:val="123"/>
        </w:trPr>
        <w:tc>
          <w:tcPr>
            <w:tcW w:w="7940" w:type="dxa"/>
            <w:vAlign w:val="bottom"/>
            <w:gridSpan w:val="2"/>
          </w:tcPr>
          <w:p>
            <w:pPr>
              <w:spacing w:after="0" w:line="123" w:lineRule="exact"/>
              <w:rPr>
                <w:sz w:val="20"/>
                <w:szCs w:val="20"/>
                <w:color w:val="auto"/>
              </w:rPr>
            </w:pPr>
            <w:r>
              <w:rPr>
                <w:rFonts w:ascii="Arial" w:cs="Arial" w:eastAsia="Arial" w:hAnsi="Arial"/>
                <w:sz w:val="11"/>
                <w:szCs w:val="11"/>
                <w:color w:val="auto"/>
              </w:rPr>
              <w:t>(in millions)</w:t>
            </w:r>
          </w:p>
        </w:tc>
        <w:tc>
          <w:tcPr>
            <w:tcW w:w="380" w:type="dxa"/>
            <w:vAlign w:val="bottom"/>
          </w:tcPr>
          <w:p>
            <w:pPr>
              <w:spacing w:after="0"/>
              <w:rPr>
                <w:sz w:val="10"/>
                <w:szCs w:val="10"/>
                <w:color w:val="auto"/>
              </w:rPr>
            </w:pPr>
          </w:p>
        </w:tc>
        <w:tc>
          <w:tcPr>
            <w:tcW w:w="1220" w:type="dxa"/>
            <w:vAlign w:val="bottom"/>
          </w:tcPr>
          <w:p>
            <w:pPr>
              <w:jc w:val="right"/>
              <w:ind w:right="624"/>
              <w:spacing w:after="0" w:line="123" w:lineRule="exact"/>
              <w:rPr>
                <w:sz w:val="20"/>
                <w:szCs w:val="20"/>
                <w:color w:val="auto"/>
              </w:rPr>
            </w:pPr>
            <w:r>
              <w:rPr>
                <w:rFonts w:ascii="Arial" w:cs="Arial" w:eastAsia="Arial" w:hAnsi="Arial"/>
                <w:sz w:val="11"/>
                <w:szCs w:val="11"/>
                <w:color w:val="auto"/>
              </w:rPr>
              <w:t>2023</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100" w:type="dxa"/>
            <w:vAlign w:val="bottom"/>
          </w:tcPr>
          <w:p>
            <w:pPr>
              <w:jc w:val="right"/>
              <w:ind w:right="624"/>
              <w:spacing w:after="0" w:line="123" w:lineRule="exact"/>
              <w:rPr>
                <w:sz w:val="20"/>
                <w:szCs w:val="20"/>
                <w:color w:val="auto"/>
              </w:rPr>
            </w:pPr>
            <w:r>
              <w:rPr>
                <w:rFonts w:ascii="Arial" w:cs="Arial" w:eastAsia="Arial" w:hAnsi="Arial"/>
                <w:sz w:val="11"/>
                <w:szCs w:val="11"/>
                <w:color w:val="auto"/>
              </w:rPr>
              <w:t>2022</w:t>
            </w:r>
          </w:p>
        </w:tc>
      </w:tr>
      <w:tr>
        <w:trPr>
          <w:trHeight w:val="20"/>
        </w:trPr>
        <w:tc>
          <w:tcPr>
            <w:tcW w:w="560" w:type="dxa"/>
            <w:vAlign w:val="bottom"/>
            <w:tcBorders>
              <w:top w:val="single" w:sz="8" w:color="auto"/>
              <w:bottom w:val="single" w:sz="8" w:color="CCEEFF"/>
            </w:tcBorders>
          </w:tcPr>
          <w:p>
            <w:pPr>
              <w:spacing w:after="0" w:line="20" w:lineRule="exact"/>
              <w:rPr>
                <w:sz w:val="1"/>
                <w:szCs w:val="1"/>
                <w:color w:val="auto"/>
              </w:rPr>
            </w:pPr>
          </w:p>
        </w:tc>
        <w:tc>
          <w:tcPr>
            <w:tcW w:w="7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38"/>
        </w:trPr>
        <w:tc>
          <w:tcPr>
            <w:tcW w:w="794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Deferred Tax Assets</w:t>
            </w:r>
          </w:p>
        </w:tc>
        <w:tc>
          <w:tcPr>
            <w:tcW w:w="38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152"/>
        </w:trPr>
        <w:tc>
          <w:tcPr>
            <w:tcW w:w="7940" w:type="dxa"/>
            <w:vAlign w:val="bottom"/>
            <w:gridSpan w:val="2"/>
          </w:tcPr>
          <w:p>
            <w:pPr>
              <w:spacing w:after="0"/>
              <w:rPr>
                <w:sz w:val="20"/>
                <w:szCs w:val="20"/>
                <w:color w:val="auto"/>
              </w:rPr>
            </w:pPr>
            <w:r>
              <w:rPr>
                <w:rFonts w:ascii="Arial" w:cs="Arial" w:eastAsia="Arial" w:hAnsi="Arial"/>
                <w:sz w:val="11"/>
                <w:szCs w:val="11"/>
                <w:color w:val="auto"/>
              </w:rPr>
              <w:t>Net operating losses and capital loss carryforward</w:t>
            </w:r>
          </w:p>
        </w:tc>
        <w:tc>
          <w:tcPr>
            <w:tcW w:w="380" w:type="dxa"/>
            <w:vAlign w:val="bottom"/>
          </w:tcPr>
          <w:p>
            <w:pPr>
              <w:jc w:val="right"/>
              <w:ind w:right="244"/>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4"/>
              <w:spacing w:after="0"/>
              <w:rPr>
                <w:sz w:val="20"/>
                <w:szCs w:val="20"/>
                <w:color w:val="auto"/>
              </w:rPr>
            </w:pPr>
            <w:r>
              <w:rPr>
                <w:rFonts w:ascii="Arial" w:cs="Arial" w:eastAsia="Arial" w:hAnsi="Arial"/>
                <w:sz w:val="11"/>
                <w:szCs w:val="11"/>
                <w:color w:val="auto"/>
              </w:rPr>
              <w:t>100</w:t>
            </w:r>
          </w:p>
        </w:tc>
        <w:tc>
          <w:tcPr>
            <w:tcW w:w="100" w:type="dxa"/>
            <w:vAlign w:val="bottom"/>
          </w:tcPr>
          <w:p>
            <w:pPr>
              <w:spacing w:after="0"/>
              <w:rPr>
                <w:sz w:val="13"/>
                <w:szCs w:val="13"/>
                <w:color w:val="auto"/>
              </w:rPr>
            </w:pPr>
          </w:p>
        </w:tc>
        <w:tc>
          <w:tcPr>
            <w:tcW w:w="480" w:type="dxa"/>
            <w:vAlign w:val="bottom"/>
          </w:tcPr>
          <w:p>
            <w:pPr>
              <w:jc w:val="right"/>
              <w:ind w:right="370"/>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4"/>
              <w:spacing w:after="0"/>
              <w:rPr>
                <w:sz w:val="20"/>
                <w:szCs w:val="20"/>
                <w:color w:val="auto"/>
              </w:rPr>
            </w:pPr>
            <w:r>
              <w:rPr>
                <w:rFonts w:ascii="Arial" w:cs="Arial" w:eastAsia="Arial" w:hAnsi="Arial"/>
                <w:sz w:val="11"/>
                <w:szCs w:val="11"/>
                <w:color w:val="auto"/>
              </w:rPr>
              <w:t>99</w:t>
            </w:r>
          </w:p>
        </w:tc>
      </w:tr>
      <w:tr>
        <w:trPr>
          <w:trHeight w:val="160"/>
        </w:trPr>
        <w:tc>
          <w:tcPr>
            <w:tcW w:w="7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Operating reserves, accruals and deferrals</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49</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46</w:t>
            </w:r>
          </w:p>
        </w:tc>
      </w:tr>
      <w:tr>
        <w:trPr>
          <w:trHeight w:val="152"/>
        </w:trPr>
        <w:tc>
          <w:tcPr>
            <w:tcW w:w="7940" w:type="dxa"/>
            <w:vAlign w:val="bottom"/>
            <w:gridSpan w:val="2"/>
          </w:tcPr>
          <w:p>
            <w:pPr>
              <w:spacing w:after="0"/>
              <w:rPr>
                <w:sz w:val="20"/>
                <w:szCs w:val="20"/>
                <w:color w:val="auto"/>
              </w:rPr>
            </w:pPr>
            <w:r>
              <w:rPr>
                <w:rFonts w:ascii="Arial" w:cs="Arial" w:eastAsia="Arial" w:hAnsi="Arial"/>
                <w:sz w:val="11"/>
                <w:szCs w:val="11"/>
                <w:color w:val="auto"/>
              </w:rPr>
              <w:t>Deferred compensation</w:t>
            </w:r>
          </w:p>
        </w:tc>
        <w:tc>
          <w:tcPr>
            <w:tcW w:w="380" w:type="dxa"/>
            <w:vAlign w:val="bottom"/>
          </w:tcPr>
          <w:p>
            <w:pPr>
              <w:spacing w:after="0"/>
              <w:rPr>
                <w:sz w:val="13"/>
                <w:szCs w:val="13"/>
                <w:color w:val="auto"/>
              </w:rPr>
            </w:pPr>
          </w:p>
        </w:tc>
        <w:tc>
          <w:tcPr>
            <w:tcW w:w="1220" w:type="dxa"/>
            <w:vAlign w:val="bottom"/>
          </w:tcPr>
          <w:p>
            <w:pPr>
              <w:jc w:val="right"/>
              <w:ind w:right="4"/>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Arial" w:cs="Arial" w:eastAsia="Arial" w:hAnsi="Arial"/>
                <w:sz w:val="11"/>
                <w:szCs w:val="11"/>
                <w:color w:val="auto"/>
              </w:rPr>
              <w:t>6</w:t>
            </w:r>
          </w:p>
        </w:tc>
      </w:tr>
      <w:tr>
        <w:trPr>
          <w:trHeight w:val="160"/>
        </w:trPr>
        <w:tc>
          <w:tcPr>
            <w:tcW w:w="7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Interest expense capitalization</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18</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w:t>
            </w:r>
          </w:p>
        </w:tc>
      </w:tr>
      <w:tr>
        <w:trPr>
          <w:trHeight w:val="152"/>
        </w:trPr>
        <w:tc>
          <w:tcPr>
            <w:tcW w:w="7940" w:type="dxa"/>
            <w:vAlign w:val="bottom"/>
            <w:gridSpan w:val="2"/>
          </w:tcPr>
          <w:p>
            <w:pPr>
              <w:spacing w:after="0"/>
              <w:rPr>
                <w:sz w:val="20"/>
                <w:szCs w:val="20"/>
                <w:color w:val="auto"/>
              </w:rPr>
            </w:pPr>
            <w:r>
              <w:rPr>
                <w:rFonts w:ascii="Arial" w:cs="Arial" w:eastAsia="Arial" w:hAnsi="Arial"/>
                <w:sz w:val="11"/>
                <w:szCs w:val="11"/>
                <w:color w:val="auto"/>
              </w:rPr>
              <w:t>Settlement reserves</w:t>
            </w:r>
          </w:p>
        </w:tc>
        <w:tc>
          <w:tcPr>
            <w:tcW w:w="380" w:type="dxa"/>
            <w:vAlign w:val="bottom"/>
          </w:tcPr>
          <w:p>
            <w:pPr>
              <w:spacing w:after="0"/>
              <w:rPr>
                <w:sz w:val="13"/>
                <w:szCs w:val="13"/>
                <w:color w:val="auto"/>
              </w:rPr>
            </w:pPr>
          </w:p>
        </w:tc>
        <w:tc>
          <w:tcPr>
            <w:tcW w:w="1220" w:type="dxa"/>
            <w:vAlign w:val="bottom"/>
          </w:tcPr>
          <w:p>
            <w:pPr>
              <w:jc w:val="right"/>
              <w:ind w:right="4"/>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Arial" w:cs="Arial" w:eastAsia="Arial" w:hAnsi="Arial"/>
                <w:sz w:val="11"/>
                <w:szCs w:val="11"/>
                <w:color w:val="auto"/>
              </w:rPr>
              <w:t>12</w:t>
            </w:r>
          </w:p>
        </w:tc>
      </w:tr>
      <w:tr>
        <w:trPr>
          <w:trHeight w:val="160"/>
        </w:trPr>
        <w:tc>
          <w:tcPr>
            <w:tcW w:w="7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Operating lease liabilities</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48</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54</w:t>
            </w:r>
          </w:p>
        </w:tc>
      </w:tr>
      <w:tr>
        <w:trPr>
          <w:trHeight w:val="152"/>
        </w:trPr>
        <w:tc>
          <w:tcPr>
            <w:tcW w:w="7940" w:type="dxa"/>
            <w:vAlign w:val="bottom"/>
            <w:gridSpan w:val="2"/>
          </w:tcPr>
          <w:p>
            <w:pPr>
              <w:spacing w:after="0"/>
              <w:rPr>
                <w:sz w:val="20"/>
                <w:szCs w:val="20"/>
                <w:color w:val="auto"/>
              </w:rPr>
            </w:pPr>
            <w:r>
              <w:rPr>
                <w:rFonts w:ascii="Arial" w:cs="Arial" w:eastAsia="Arial" w:hAnsi="Arial"/>
                <w:sz w:val="11"/>
                <w:szCs w:val="11"/>
                <w:color w:val="auto"/>
              </w:rPr>
              <w:t>Tax credits</w:t>
            </w:r>
          </w:p>
        </w:tc>
        <w:tc>
          <w:tcPr>
            <w:tcW w:w="380" w:type="dxa"/>
            <w:vAlign w:val="bottom"/>
          </w:tcPr>
          <w:p>
            <w:pPr>
              <w:spacing w:after="0"/>
              <w:rPr>
                <w:sz w:val="13"/>
                <w:szCs w:val="13"/>
                <w:color w:val="auto"/>
              </w:rPr>
            </w:pPr>
          </w:p>
        </w:tc>
        <w:tc>
          <w:tcPr>
            <w:tcW w:w="1220" w:type="dxa"/>
            <w:vAlign w:val="bottom"/>
          </w:tcPr>
          <w:p>
            <w:pPr>
              <w:jc w:val="right"/>
              <w:ind w:right="4"/>
              <w:spacing w:after="0"/>
              <w:rPr>
                <w:sz w:val="20"/>
                <w:szCs w:val="20"/>
                <w:color w:val="auto"/>
              </w:rPr>
            </w:pPr>
            <w:r>
              <w:rPr>
                <w:rFonts w:ascii="Arial" w:cs="Arial" w:eastAsia="Arial" w:hAnsi="Arial"/>
                <w:sz w:val="11"/>
                <w:szCs w:val="11"/>
                <w:color w:val="auto"/>
              </w:rPr>
              <w:t>6</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Arial" w:cs="Arial" w:eastAsia="Arial" w:hAnsi="Arial"/>
                <w:sz w:val="11"/>
                <w:szCs w:val="11"/>
                <w:color w:val="auto"/>
              </w:rPr>
              <w:t>6</w:t>
            </w:r>
          </w:p>
        </w:tc>
      </w:tr>
      <w:tr>
        <w:trPr>
          <w:trHeight w:val="160"/>
        </w:trPr>
        <w:tc>
          <w:tcPr>
            <w:tcW w:w="7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Capitalized research and experimentation costs</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21</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13</w:t>
            </w:r>
          </w:p>
        </w:tc>
      </w:tr>
      <w:tr>
        <w:trPr>
          <w:trHeight w:val="152"/>
        </w:trPr>
        <w:tc>
          <w:tcPr>
            <w:tcW w:w="794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Other</w:t>
            </w: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w:t>
            </w:r>
          </w:p>
        </w:tc>
      </w:tr>
      <w:tr>
        <w:trPr>
          <w:trHeight w:val="151"/>
        </w:trPr>
        <w:tc>
          <w:tcPr>
            <w:tcW w:w="794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Subtotal</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253</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239</w:t>
            </w:r>
          </w:p>
        </w:tc>
      </w:tr>
      <w:tr>
        <w:trPr>
          <w:trHeight w:val="152"/>
        </w:trPr>
        <w:tc>
          <w:tcPr>
            <w:tcW w:w="794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Valuation allowance</w:t>
            </w: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(100)</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(102)</w:t>
            </w:r>
          </w:p>
        </w:tc>
      </w:tr>
      <w:tr>
        <w:trPr>
          <w:trHeight w:val="176"/>
        </w:trPr>
        <w:tc>
          <w:tcPr>
            <w:tcW w:w="7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Total</w:t>
            </w:r>
          </w:p>
        </w:tc>
        <w:tc>
          <w:tcPr>
            <w:tcW w:w="38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153</w:t>
            </w:r>
          </w:p>
        </w:tc>
        <w:tc>
          <w:tcPr>
            <w:tcW w:w="100" w:type="dxa"/>
            <w:vAlign w:val="bottom"/>
            <w:tcBorders>
              <w:bottom w:val="single" w:sz="8" w:color="CCEEFF"/>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137</w:t>
            </w:r>
          </w:p>
        </w:tc>
      </w:tr>
      <w:tr>
        <w:trPr>
          <w:trHeight w:val="20"/>
        </w:trPr>
        <w:tc>
          <w:tcPr>
            <w:tcW w:w="560" w:type="dxa"/>
            <w:vAlign w:val="bottom"/>
            <w:tcBorders>
              <w:top w:val="single" w:sz="8" w:color="CCEEFF"/>
            </w:tcBorders>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39"/>
        </w:trPr>
        <w:tc>
          <w:tcPr>
            <w:tcW w:w="56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156"/>
        </w:trPr>
        <w:tc>
          <w:tcPr>
            <w:tcW w:w="794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Deferred Tax Liabilities</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152"/>
        </w:trPr>
        <w:tc>
          <w:tcPr>
            <w:tcW w:w="7940" w:type="dxa"/>
            <w:vAlign w:val="bottom"/>
            <w:gridSpan w:val="2"/>
          </w:tcPr>
          <w:p>
            <w:pPr>
              <w:spacing w:after="0"/>
              <w:rPr>
                <w:sz w:val="20"/>
                <w:szCs w:val="20"/>
                <w:color w:val="auto"/>
              </w:rPr>
            </w:pPr>
            <w:r>
              <w:rPr>
                <w:rFonts w:ascii="Arial" w:cs="Arial" w:eastAsia="Arial" w:hAnsi="Arial"/>
                <w:sz w:val="11"/>
                <w:szCs w:val="11"/>
                <w:color w:val="auto"/>
              </w:rPr>
              <w:t>Intangibles and goodwill</w:t>
            </w:r>
          </w:p>
        </w:tc>
        <w:tc>
          <w:tcPr>
            <w:tcW w:w="380" w:type="dxa"/>
            <w:vAlign w:val="bottom"/>
          </w:tcPr>
          <w:p>
            <w:pPr>
              <w:jc w:val="right"/>
              <w:ind w:right="244"/>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4"/>
              <w:spacing w:after="0"/>
              <w:rPr>
                <w:sz w:val="20"/>
                <w:szCs w:val="20"/>
                <w:color w:val="auto"/>
              </w:rPr>
            </w:pPr>
            <w:r>
              <w:rPr>
                <w:rFonts w:ascii="Arial" w:cs="Arial" w:eastAsia="Arial" w:hAnsi="Arial"/>
                <w:sz w:val="11"/>
                <w:szCs w:val="11"/>
                <w:color w:val="auto"/>
              </w:rPr>
              <w:t>29</w:t>
            </w:r>
          </w:p>
        </w:tc>
        <w:tc>
          <w:tcPr>
            <w:tcW w:w="100" w:type="dxa"/>
            <w:vAlign w:val="bottom"/>
          </w:tcPr>
          <w:p>
            <w:pPr>
              <w:spacing w:after="0"/>
              <w:rPr>
                <w:sz w:val="13"/>
                <w:szCs w:val="13"/>
                <w:color w:val="auto"/>
              </w:rPr>
            </w:pPr>
          </w:p>
        </w:tc>
        <w:tc>
          <w:tcPr>
            <w:tcW w:w="480" w:type="dxa"/>
            <w:vAlign w:val="bottom"/>
          </w:tcPr>
          <w:p>
            <w:pPr>
              <w:jc w:val="right"/>
              <w:ind w:right="370"/>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ind w:right="4"/>
              <w:spacing w:after="0"/>
              <w:rPr>
                <w:sz w:val="20"/>
                <w:szCs w:val="20"/>
                <w:color w:val="auto"/>
              </w:rPr>
            </w:pPr>
            <w:r>
              <w:rPr>
                <w:rFonts w:ascii="Arial" w:cs="Arial" w:eastAsia="Arial" w:hAnsi="Arial"/>
                <w:sz w:val="11"/>
                <w:szCs w:val="11"/>
                <w:color w:val="auto"/>
              </w:rPr>
              <w:t>44</w:t>
            </w:r>
          </w:p>
        </w:tc>
      </w:tr>
      <w:tr>
        <w:trPr>
          <w:trHeight w:val="160"/>
        </w:trPr>
        <w:tc>
          <w:tcPr>
            <w:tcW w:w="7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Depreciation</w:t>
            </w: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72</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1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90</w:t>
            </w:r>
          </w:p>
        </w:tc>
      </w:tr>
      <w:tr>
        <w:trPr>
          <w:trHeight w:val="152"/>
        </w:trPr>
        <w:tc>
          <w:tcPr>
            <w:tcW w:w="7940" w:type="dxa"/>
            <w:vAlign w:val="bottom"/>
            <w:gridSpan w:val="2"/>
          </w:tcPr>
          <w:p>
            <w:pPr>
              <w:spacing w:after="0"/>
              <w:rPr>
                <w:sz w:val="20"/>
                <w:szCs w:val="20"/>
                <w:color w:val="auto"/>
              </w:rPr>
            </w:pPr>
            <w:r>
              <w:rPr>
                <w:rFonts w:ascii="Arial" w:cs="Arial" w:eastAsia="Arial" w:hAnsi="Arial"/>
                <w:sz w:val="11"/>
                <w:szCs w:val="11"/>
                <w:color w:val="auto"/>
              </w:rPr>
              <w:t>Operating lease right-of-use assets</w:t>
            </w:r>
          </w:p>
        </w:tc>
        <w:tc>
          <w:tcPr>
            <w:tcW w:w="380" w:type="dxa"/>
            <w:vAlign w:val="bottom"/>
          </w:tcPr>
          <w:p>
            <w:pPr>
              <w:spacing w:after="0"/>
              <w:rPr>
                <w:sz w:val="13"/>
                <w:szCs w:val="13"/>
                <w:color w:val="auto"/>
              </w:rPr>
            </w:pPr>
          </w:p>
        </w:tc>
        <w:tc>
          <w:tcPr>
            <w:tcW w:w="1220" w:type="dxa"/>
            <w:vAlign w:val="bottom"/>
          </w:tcPr>
          <w:p>
            <w:pPr>
              <w:jc w:val="right"/>
              <w:ind w:right="4"/>
              <w:spacing w:after="0"/>
              <w:rPr>
                <w:sz w:val="20"/>
                <w:szCs w:val="20"/>
                <w:color w:val="auto"/>
              </w:rPr>
            </w:pPr>
            <w:r>
              <w:rPr>
                <w:rFonts w:ascii="Arial" w:cs="Arial" w:eastAsia="Arial" w:hAnsi="Arial"/>
                <w:sz w:val="11"/>
                <w:szCs w:val="11"/>
                <w:color w:val="auto"/>
              </w:rPr>
              <w:t>43</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100" w:type="dxa"/>
            <w:vAlign w:val="bottom"/>
          </w:tcPr>
          <w:p>
            <w:pPr>
              <w:jc w:val="right"/>
              <w:ind w:right="4"/>
              <w:spacing w:after="0"/>
              <w:rPr>
                <w:sz w:val="20"/>
                <w:szCs w:val="20"/>
                <w:color w:val="auto"/>
              </w:rPr>
            </w:pPr>
            <w:r>
              <w:rPr>
                <w:rFonts w:ascii="Arial" w:cs="Arial" w:eastAsia="Arial" w:hAnsi="Arial"/>
                <w:sz w:val="11"/>
                <w:szCs w:val="11"/>
                <w:color w:val="auto"/>
              </w:rPr>
              <w:t>49</w:t>
            </w:r>
          </w:p>
        </w:tc>
      </w:tr>
      <w:tr>
        <w:trPr>
          <w:trHeight w:val="160"/>
        </w:trPr>
        <w:tc>
          <w:tcPr>
            <w:tcW w:w="794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Other</w:t>
            </w:r>
          </w:p>
        </w:tc>
        <w:tc>
          <w:tcPr>
            <w:tcW w:w="38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18</w:t>
            </w:r>
          </w:p>
        </w:tc>
        <w:tc>
          <w:tcPr>
            <w:tcW w:w="10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17</w:t>
            </w:r>
          </w:p>
        </w:tc>
      </w:tr>
      <w:tr>
        <w:trPr>
          <w:trHeight w:val="220"/>
        </w:trPr>
        <w:tc>
          <w:tcPr>
            <w:tcW w:w="794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b w:val="1"/>
                <w:bCs w:val="1"/>
                <w:color w:val="auto"/>
              </w:rPr>
              <w:t>Total</w:t>
            </w:r>
          </w:p>
        </w:tc>
        <w:tc>
          <w:tcPr>
            <w:tcW w:w="38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162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200</w:t>
            </w:r>
          </w:p>
        </w:tc>
      </w:tr>
      <w:tr>
        <w:trPr>
          <w:trHeight w:val="147"/>
        </w:trPr>
        <w:tc>
          <w:tcPr>
            <w:tcW w:w="7940" w:type="dxa"/>
            <w:vAlign w:val="bottom"/>
            <w:gridSpan w:val="2"/>
          </w:tcPr>
          <w:p>
            <w:pPr>
              <w:spacing w:after="0"/>
              <w:rPr>
                <w:sz w:val="20"/>
                <w:szCs w:val="20"/>
                <w:color w:val="auto"/>
              </w:rPr>
            </w:pPr>
            <w:r>
              <w:rPr>
                <w:rFonts w:ascii="Arial" w:cs="Arial" w:eastAsia="Arial" w:hAnsi="Arial"/>
                <w:sz w:val="11"/>
                <w:szCs w:val="11"/>
                <w:b w:val="1"/>
                <w:bCs w:val="1"/>
                <w:color w:val="auto"/>
              </w:rPr>
              <w:t>Total Deferred Tax Assets (Liabilities), Net</w:t>
            </w:r>
          </w:p>
        </w:tc>
        <w:tc>
          <w:tcPr>
            <w:tcW w:w="38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w:t>
            </w:r>
          </w:p>
        </w:tc>
        <w:tc>
          <w:tcPr>
            <w:tcW w:w="100" w:type="dxa"/>
            <w:vAlign w:val="bottom"/>
          </w:tcPr>
          <w:p>
            <w:pPr>
              <w:spacing w:after="0"/>
              <w:rPr>
                <w:sz w:val="12"/>
                <w:szCs w:val="12"/>
                <w:color w:val="auto"/>
              </w:rPr>
            </w:pPr>
          </w:p>
        </w:tc>
        <w:tc>
          <w:tcPr>
            <w:tcW w:w="480" w:type="dxa"/>
            <w:vAlign w:val="bottom"/>
            <w:tcBorders>
              <w:bottom w:val="single" w:sz="8" w:color="auto"/>
            </w:tcBorders>
          </w:tcPr>
          <w:p>
            <w:pPr>
              <w:jc w:val="right"/>
              <w:ind w:right="37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(63)</w:t>
            </w:r>
          </w:p>
        </w:tc>
      </w:tr>
      <w:tr>
        <w:trPr>
          <w:trHeight w:val="20"/>
        </w:trPr>
        <w:tc>
          <w:tcPr>
            <w:tcW w:w="56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7"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85" w:name="page86"/>
    <w:bookmarkEnd w:id="85"/>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The deferred tax assets for the respective periods were assessed for recoverability and, where applicable, a valuation allowance was recorded to reduce the total deferred tax asset to an amount that will, more-likely-than-not, be realized in the future. The net change in the total valuation allowance for the years ended December 31, 2023 and 2022 was a decrease of $2 million and an increase of $20 million, respectively. The valuation allowance relates primarily to certain net operating loss carryforwards, tax credit carryforwards and deductible temporary differences for which the Company has concluded it is more-likely-than-not that these items will not be realized in the ordinary course of operations.</w:t>
      </w:r>
    </w:p>
    <w:p>
      <w:pPr>
        <w:spacing w:after="0" w:line="97" w:lineRule="exact"/>
        <w:rPr>
          <w:sz w:val="20"/>
          <w:szCs w:val="20"/>
          <w:color w:val="auto"/>
        </w:rPr>
      </w:pPr>
    </w:p>
    <w:p>
      <w:pPr>
        <w:ind w:right="220"/>
        <w:spacing w:after="0" w:line="259" w:lineRule="auto"/>
        <w:rPr>
          <w:sz w:val="20"/>
          <w:szCs w:val="20"/>
          <w:color w:val="auto"/>
        </w:rPr>
      </w:pPr>
      <w:r>
        <w:rPr>
          <w:rFonts w:ascii="Arial" w:cs="Arial" w:eastAsia="Arial" w:hAnsi="Arial"/>
          <w:sz w:val="14"/>
          <w:szCs w:val="14"/>
          <w:color w:val="auto"/>
        </w:rPr>
        <w:t>Although realization is not assured, the Company has concluded that it is more-likely-than-not that the deferred tax assets, for which a valuation allowance was determined to be unnecessary, will be realized in the ordinary course of operations based on the available positive and negative evidence, including scheduling of deferred tax liabilities and projected income from operating activities. The amount of the net deferred tax assets considered realizable, however, could be reduced in the near term if actual future income or income tax rates are lower than estimated, or if there are differences in the timing or amount of future reversals of existing taxable or deductible temporary differences.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At December 31, 2023, the Company had tax credit carryforwards of $6 million available to offset future income taxes, which will expire between 2027 and 2042, if not utilized.</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Company's worldwide net operating loss carryforwards ("NOLs") as of December 31, 2023 and 2022:</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780" w:type="dxa"/>
            <w:vAlign w:val="bottom"/>
            <w:tcBorders>
              <w:bottom w:val="single" w:sz="8" w:color="auto"/>
            </w:tcBorders>
            <w:gridSpan w:val="3"/>
          </w:tcPr>
          <w:p>
            <w:pPr>
              <w:jc w:val="right"/>
              <w:ind w:right="684"/>
              <w:spacing w:after="0"/>
              <w:rPr>
                <w:sz w:val="20"/>
                <w:szCs w:val="20"/>
                <w:color w:val="auto"/>
              </w:rPr>
            </w:pPr>
            <w:r>
              <w:rPr>
                <w:rFonts w:ascii="Arial" w:cs="Arial" w:eastAsia="Arial" w:hAnsi="Arial"/>
                <w:sz w:val="11"/>
                <w:szCs w:val="11"/>
                <w:color w:val="auto"/>
              </w:rPr>
              <w:t>December 31, 2023</w:t>
            </w:r>
          </w:p>
        </w:tc>
        <w:tc>
          <w:tcPr>
            <w:tcW w:w="3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December 31, 2022</w:t>
            </w:r>
          </w:p>
        </w:tc>
        <w:tc>
          <w:tcPr>
            <w:tcW w:w="1040" w:type="dxa"/>
            <w:vAlign w:val="bottom"/>
            <w:tcBorders>
              <w:bottom w:val="single" w:sz="8" w:color="auto"/>
            </w:tcBorders>
          </w:tcPr>
          <w:p>
            <w:pPr>
              <w:spacing w:after="0"/>
              <w:rPr>
                <w:sz w:val="12"/>
                <w:szCs w:val="12"/>
                <w:color w:val="auto"/>
              </w:rPr>
            </w:pPr>
          </w:p>
        </w:tc>
      </w:tr>
      <w:tr>
        <w:trPr>
          <w:trHeight w:val="123"/>
        </w:trPr>
        <w:tc>
          <w:tcPr>
            <w:tcW w:w="20" w:type="dxa"/>
            <w:vAlign w:val="bottom"/>
          </w:tcPr>
          <w:p>
            <w:pPr>
              <w:spacing w:after="0"/>
              <w:rPr>
                <w:sz w:val="10"/>
                <w:szCs w:val="10"/>
                <w:color w:val="auto"/>
              </w:rPr>
            </w:pPr>
          </w:p>
        </w:tc>
        <w:tc>
          <w:tcPr>
            <w:tcW w:w="5020" w:type="dxa"/>
            <w:vAlign w:val="bottom"/>
            <w:gridSpan w:val="2"/>
          </w:tcPr>
          <w:p>
            <w:pPr>
              <w:spacing w:after="0" w:line="123" w:lineRule="exact"/>
              <w:rPr>
                <w:sz w:val="20"/>
                <w:szCs w:val="20"/>
                <w:color w:val="auto"/>
              </w:rPr>
            </w:pPr>
            <w:r>
              <w:rPr>
                <w:rFonts w:ascii="Arial" w:cs="Arial" w:eastAsia="Arial" w:hAnsi="Arial"/>
                <w:sz w:val="11"/>
                <w:szCs w:val="11"/>
                <w:color w:val="auto"/>
              </w:rPr>
              <w:t>(in millions)</w:t>
            </w:r>
          </w:p>
        </w:tc>
        <w:tc>
          <w:tcPr>
            <w:tcW w:w="980" w:type="dxa"/>
            <w:vAlign w:val="bottom"/>
          </w:tcPr>
          <w:p>
            <w:pPr>
              <w:jc w:val="right"/>
              <w:ind w:right="24"/>
              <w:spacing w:after="0" w:line="123" w:lineRule="exact"/>
              <w:rPr>
                <w:sz w:val="20"/>
                <w:szCs w:val="20"/>
                <w:color w:val="auto"/>
              </w:rPr>
            </w:pPr>
            <w:r>
              <w:rPr>
                <w:rFonts w:ascii="Arial" w:cs="Arial" w:eastAsia="Arial" w:hAnsi="Arial"/>
                <w:sz w:val="11"/>
                <w:szCs w:val="11"/>
                <w:color w:val="auto"/>
              </w:rPr>
              <w:t>Gross</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tcPr>
          <w:p>
            <w:pPr>
              <w:jc w:val="right"/>
              <w:ind w:right="64"/>
              <w:spacing w:after="0" w:line="123" w:lineRule="exact"/>
              <w:rPr>
                <w:sz w:val="20"/>
                <w:szCs w:val="20"/>
                <w:color w:val="auto"/>
              </w:rPr>
            </w:pPr>
            <w:r>
              <w:rPr>
                <w:rFonts w:ascii="Arial" w:cs="Arial" w:eastAsia="Arial" w:hAnsi="Arial"/>
                <w:sz w:val="11"/>
                <w:szCs w:val="11"/>
                <w:color w:val="auto"/>
              </w:rPr>
              <w:t>Tax Effected</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tcPr>
          <w:p>
            <w:pPr>
              <w:jc w:val="right"/>
              <w:ind w:right="24"/>
              <w:spacing w:after="0" w:line="123" w:lineRule="exact"/>
              <w:rPr>
                <w:sz w:val="20"/>
                <w:szCs w:val="20"/>
                <w:color w:val="auto"/>
              </w:rPr>
            </w:pPr>
            <w:r>
              <w:rPr>
                <w:rFonts w:ascii="Arial" w:cs="Arial" w:eastAsia="Arial" w:hAnsi="Arial"/>
                <w:sz w:val="11"/>
                <w:szCs w:val="11"/>
                <w:color w:val="auto"/>
              </w:rPr>
              <w:t>Gross</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tcPr>
          <w:p>
            <w:pPr>
              <w:jc w:val="right"/>
              <w:ind w:right="384"/>
              <w:spacing w:after="0" w:line="123" w:lineRule="exact"/>
              <w:rPr>
                <w:sz w:val="20"/>
                <w:szCs w:val="20"/>
                <w:color w:val="auto"/>
              </w:rPr>
            </w:pPr>
            <w:r>
              <w:rPr>
                <w:rFonts w:ascii="Arial" w:cs="Arial" w:eastAsia="Arial" w:hAnsi="Arial"/>
                <w:sz w:val="11"/>
                <w:szCs w:val="11"/>
                <w:color w:val="auto"/>
                <w:w w:val="93"/>
              </w:rPr>
              <w:t>Tax Effected</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U.S Federal NOLs limited by Section 382 of the Tax Code</w:t>
            </w:r>
          </w:p>
        </w:tc>
        <w:tc>
          <w:tcPr>
            <w:tcW w:w="980" w:type="dxa"/>
            <w:vAlign w:val="bottom"/>
            <w:shd w:val="clear" w:color="auto" w:fill="CCEEFF"/>
          </w:tcPr>
          <w:p>
            <w:pPr>
              <w:jc w:val="right"/>
              <w:ind w:right="844"/>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1"/>
                <w:szCs w:val="11"/>
                <w:color w:val="auto"/>
              </w:rPr>
            </w:pPr>
          </w:p>
        </w:tc>
        <w:tc>
          <w:tcPr>
            <w:tcW w:w="1180" w:type="dxa"/>
            <w:vAlign w:val="bottom"/>
            <w:shd w:val="clear" w:color="auto" w:fill="CCEEFF"/>
          </w:tcPr>
          <w:p>
            <w:pPr>
              <w:jc w:val="right"/>
              <w:ind w:right="1044"/>
              <w:spacing w:after="0"/>
              <w:rPr>
                <w:sz w:val="20"/>
                <w:szCs w:val="20"/>
                <w:color w:val="auto"/>
              </w:rPr>
            </w:pPr>
            <w:r>
              <w:rPr>
                <w:rFonts w:ascii="Arial" w:cs="Arial" w:eastAsia="Arial" w:hAnsi="Arial"/>
                <w:sz w:val="11"/>
                <w:szCs w:val="11"/>
                <w:color w:val="auto"/>
                <w:w w:val="97"/>
              </w:rPr>
              <w:t>$</w:t>
            </w:r>
          </w:p>
        </w:tc>
        <w:tc>
          <w:tcPr>
            <w:tcW w:w="3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jc w:val="right"/>
              <w:ind w:right="844"/>
              <w:spacing w:after="0"/>
              <w:rPr>
                <w:sz w:val="20"/>
                <w:szCs w:val="20"/>
                <w:color w:val="auto"/>
              </w:rPr>
            </w:pPr>
            <w:r>
              <w:rPr>
                <w:rFonts w:ascii="Arial" w:cs="Arial" w:eastAsia="Arial" w:hAnsi="Arial"/>
                <w:sz w:val="11"/>
                <w:szCs w:val="11"/>
                <w:color w:val="auto"/>
                <w:w w:val="97"/>
              </w:rPr>
              <w:t>$</w:t>
            </w:r>
          </w:p>
        </w:tc>
        <w:tc>
          <w:tcPr>
            <w:tcW w:w="5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w:t>
            </w: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324"/>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52"/>
        </w:trPr>
        <w:tc>
          <w:tcPr>
            <w:tcW w:w="20" w:type="dxa"/>
            <w:vAlign w:val="bottom"/>
          </w:tcPr>
          <w:p>
            <w:pPr>
              <w:spacing w:after="0"/>
              <w:rPr>
                <w:sz w:val="13"/>
                <w:szCs w:val="13"/>
                <w:color w:val="auto"/>
              </w:rPr>
            </w:pPr>
          </w:p>
        </w:tc>
        <w:tc>
          <w:tcPr>
            <w:tcW w:w="5020" w:type="dxa"/>
            <w:vAlign w:val="bottom"/>
            <w:gridSpan w:val="2"/>
          </w:tcPr>
          <w:p>
            <w:pPr>
              <w:spacing w:after="0"/>
              <w:rPr>
                <w:sz w:val="20"/>
                <w:szCs w:val="20"/>
                <w:color w:val="auto"/>
              </w:rPr>
            </w:pPr>
            <w:r>
              <w:rPr>
                <w:rFonts w:ascii="Arial" w:cs="Arial" w:eastAsia="Arial" w:hAnsi="Arial"/>
                <w:sz w:val="11"/>
                <w:szCs w:val="11"/>
                <w:color w:val="auto"/>
              </w:rPr>
              <w:t>U.S. State NOLs</w:t>
            </w:r>
          </w:p>
        </w:tc>
        <w:tc>
          <w:tcPr>
            <w:tcW w:w="980" w:type="dxa"/>
            <w:vAlign w:val="bottom"/>
          </w:tcPr>
          <w:p>
            <w:pPr>
              <w:spacing w:after="0"/>
              <w:rPr>
                <w:sz w:val="13"/>
                <w:szCs w:val="13"/>
                <w:color w:val="auto"/>
              </w:rPr>
            </w:pPr>
          </w:p>
        </w:tc>
        <w:tc>
          <w:tcPr>
            <w:tcW w:w="520" w:type="dxa"/>
            <w:vAlign w:val="bottom"/>
          </w:tcPr>
          <w:p>
            <w:pPr>
              <w:jc w:val="right"/>
              <w:ind w:right="4"/>
              <w:spacing w:after="0"/>
              <w:rPr>
                <w:sz w:val="20"/>
                <w:szCs w:val="20"/>
                <w:color w:val="auto"/>
              </w:rPr>
            </w:pPr>
            <w:r>
              <w:rPr>
                <w:rFonts w:ascii="Arial" w:cs="Arial" w:eastAsia="Arial" w:hAnsi="Arial"/>
                <w:sz w:val="11"/>
                <w:szCs w:val="11"/>
                <w:color w:val="auto"/>
              </w:rPr>
              <w:t>367</w:t>
            </w: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20" w:type="dxa"/>
            <w:vAlign w:val="bottom"/>
          </w:tcPr>
          <w:p>
            <w:pPr>
              <w:jc w:val="right"/>
              <w:ind w:right="4"/>
              <w:spacing w:after="0"/>
              <w:rPr>
                <w:sz w:val="20"/>
                <w:szCs w:val="20"/>
                <w:color w:val="auto"/>
              </w:rPr>
            </w:pPr>
            <w:r>
              <w:rPr>
                <w:rFonts w:ascii="Arial" w:cs="Arial" w:eastAsia="Arial" w:hAnsi="Arial"/>
                <w:sz w:val="11"/>
                <w:szCs w:val="11"/>
                <w:color w:val="auto"/>
              </w:rPr>
              <w:t>18</w:t>
            </w: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20" w:type="dxa"/>
            <w:vAlign w:val="bottom"/>
          </w:tcPr>
          <w:p>
            <w:pPr>
              <w:jc w:val="right"/>
              <w:ind w:right="4"/>
              <w:spacing w:after="0"/>
              <w:rPr>
                <w:sz w:val="20"/>
                <w:szCs w:val="20"/>
                <w:color w:val="auto"/>
              </w:rPr>
            </w:pPr>
            <w:r>
              <w:rPr>
                <w:rFonts w:ascii="Arial" w:cs="Arial" w:eastAsia="Arial" w:hAnsi="Arial"/>
                <w:sz w:val="11"/>
                <w:szCs w:val="11"/>
                <w:color w:val="auto"/>
              </w:rPr>
              <w:t>367</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1"/>
                <w:szCs w:val="11"/>
                <w:color w:val="auto"/>
              </w:rPr>
              <w:t>19</w:t>
            </w:r>
          </w:p>
        </w:tc>
      </w:tr>
      <w:tr>
        <w:trPr>
          <w:trHeight w:val="156"/>
        </w:trPr>
        <w:tc>
          <w:tcPr>
            <w:tcW w:w="20" w:type="dxa"/>
            <w:vAlign w:val="bottom"/>
            <w:shd w:val="clear" w:color="auto" w:fill="CCEEFF"/>
          </w:tcPr>
          <w:p>
            <w:pPr>
              <w:spacing w:after="0"/>
              <w:rPr>
                <w:sz w:val="13"/>
                <w:szCs w:val="13"/>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Foreign NOLs</w:t>
            </w:r>
          </w:p>
        </w:tc>
        <w:tc>
          <w:tcPr>
            <w:tcW w:w="9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308</w:t>
            </w:r>
          </w:p>
        </w:tc>
        <w:tc>
          <w:tcPr>
            <w:tcW w:w="80" w:type="dxa"/>
            <w:vAlign w:val="bottom"/>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79</w:t>
            </w:r>
          </w:p>
        </w:tc>
        <w:tc>
          <w:tcPr>
            <w:tcW w:w="8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304</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76</w:t>
            </w:r>
          </w:p>
        </w:tc>
      </w:tr>
      <w:tr>
        <w:trPr>
          <w:trHeight w:val="151"/>
        </w:trPr>
        <w:tc>
          <w:tcPr>
            <w:tcW w:w="20" w:type="dxa"/>
            <w:vAlign w:val="bottom"/>
          </w:tcPr>
          <w:p>
            <w:pPr>
              <w:spacing w:after="0"/>
              <w:rPr>
                <w:sz w:val="13"/>
                <w:szCs w:val="13"/>
                <w:color w:val="auto"/>
              </w:rPr>
            </w:pPr>
          </w:p>
        </w:tc>
        <w:tc>
          <w:tcPr>
            <w:tcW w:w="5020" w:type="dxa"/>
            <w:vAlign w:val="bottom"/>
            <w:gridSpan w:val="2"/>
          </w:tcPr>
          <w:p>
            <w:pPr>
              <w:spacing w:after="0"/>
              <w:rPr>
                <w:sz w:val="20"/>
                <w:szCs w:val="20"/>
                <w:color w:val="auto"/>
              </w:rPr>
            </w:pPr>
            <w:r>
              <w:rPr>
                <w:rFonts w:ascii="Arial" w:cs="Arial" w:eastAsia="Arial" w:hAnsi="Arial"/>
                <w:sz w:val="11"/>
                <w:szCs w:val="11"/>
                <w:b w:val="1"/>
                <w:bCs w:val="1"/>
                <w:color w:val="auto"/>
              </w:rPr>
              <w:t>Total</w:t>
            </w:r>
          </w:p>
        </w:tc>
        <w:tc>
          <w:tcPr>
            <w:tcW w:w="980" w:type="dxa"/>
            <w:vAlign w:val="bottom"/>
            <w:tcBorders>
              <w:bottom w:val="single" w:sz="8" w:color="auto"/>
            </w:tcBorders>
          </w:tcPr>
          <w:p>
            <w:pPr>
              <w:jc w:val="right"/>
              <w:ind w:right="844"/>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678</w:t>
            </w:r>
          </w:p>
        </w:tc>
        <w:tc>
          <w:tcPr>
            <w:tcW w:w="80" w:type="dxa"/>
            <w:vAlign w:val="bottom"/>
          </w:tcPr>
          <w:p>
            <w:pPr>
              <w:spacing w:after="0"/>
              <w:rPr>
                <w:sz w:val="13"/>
                <w:szCs w:val="13"/>
                <w:color w:val="auto"/>
              </w:rPr>
            </w:pPr>
          </w:p>
        </w:tc>
        <w:tc>
          <w:tcPr>
            <w:tcW w:w="1180" w:type="dxa"/>
            <w:vAlign w:val="bottom"/>
            <w:tcBorders>
              <w:bottom w:val="single" w:sz="8" w:color="auto"/>
            </w:tcBorders>
          </w:tcPr>
          <w:p>
            <w:pPr>
              <w:jc w:val="right"/>
              <w:ind w:right="1044"/>
              <w:spacing w:after="0"/>
              <w:rPr>
                <w:sz w:val="20"/>
                <w:szCs w:val="20"/>
                <w:color w:val="auto"/>
              </w:rPr>
            </w:pPr>
            <w:r>
              <w:rPr>
                <w:rFonts w:ascii="Arial" w:cs="Arial" w:eastAsia="Arial" w:hAnsi="Arial"/>
                <w:sz w:val="11"/>
                <w:szCs w:val="11"/>
                <w:color w:val="auto"/>
                <w:w w:val="97"/>
              </w:rPr>
              <w:t>$</w:t>
            </w:r>
          </w:p>
        </w:tc>
        <w:tc>
          <w:tcPr>
            <w:tcW w:w="3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98</w:t>
            </w:r>
          </w:p>
        </w:tc>
        <w:tc>
          <w:tcPr>
            <w:tcW w:w="80" w:type="dxa"/>
            <w:vAlign w:val="bottom"/>
          </w:tcPr>
          <w:p>
            <w:pPr>
              <w:spacing w:after="0"/>
              <w:rPr>
                <w:sz w:val="13"/>
                <w:szCs w:val="13"/>
                <w:color w:val="auto"/>
              </w:rPr>
            </w:pPr>
          </w:p>
        </w:tc>
        <w:tc>
          <w:tcPr>
            <w:tcW w:w="980" w:type="dxa"/>
            <w:vAlign w:val="bottom"/>
            <w:tcBorders>
              <w:bottom w:val="single" w:sz="8" w:color="auto"/>
            </w:tcBorders>
          </w:tcPr>
          <w:p>
            <w:pPr>
              <w:jc w:val="right"/>
              <w:ind w:right="844"/>
              <w:spacing w:after="0"/>
              <w:rPr>
                <w:sz w:val="20"/>
                <w:szCs w:val="20"/>
                <w:color w:val="auto"/>
              </w:rPr>
            </w:pPr>
            <w:r>
              <w:rPr>
                <w:rFonts w:ascii="Arial" w:cs="Arial" w:eastAsia="Arial" w:hAnsi="Arial"/>
                <w:sz w:val="11"/>
                <w:szCs w:val="11"/>
                <w:color w:val="auto"/>
                <w:w w:val="97"/>
              </w:rPr>
              <w:t>$</w:t>
            </w:r>
          </w:p>
        </w:tc>
        <w:tc>
          <w:tcPr>
            <w:tcW w:w="5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675</w:t>
            </w:r>
          </w:p>
        </w:tc>
        <w:tc>
          <w:tcPr>
            <w:tcW w:w="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ind w:right="324"/>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96</w:t>
            </w:r>
          </w:p>
        </w:tc>
      </w:tr>
      <w:tr>
        <w:trPr>
          <w:trHeight w:val="20"/>
        </w:trPr>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$678 million of gross net operating loss carryforwards for income tax purposes including $532 million that will expire between 2024 and 2043, if not utilized, and</w:t>
      </w:r>
    </w:p>
    <w:p>
      <w:pPr>
        <w:spacing w:after="0" w:line="20" w:lineRule="exact"/>
        <w:rPr>
          <w:sz w:val="20"/>
          <w:szCs w:val="20"/>
          <w:color w:val="auto"/>
        </w:rPr>
      </w:pPr>
    </w:p>
    <w:p>
      <w:pPr>
        <w:jc w:val="both"/>
        <w:ind w:right="120"/>
        <w:spacing w:after="0" w:line="254" w:lineRule="auto"/>
        <w:rPr>
          <w:sz w:val="20"/>
          <w:szCs w:val="20"/>
          <w:color w:val="auto"/>
        </w:rPr>
      </w:pPr>
      <w:r>
        <w:rPr>
          <w:rFonts w:ascii="Arial" w:cs="Arial" w:eastAsia="Arial" w:hAnsi="Arial"/>
          <w:sz w:val="14"/>
          <w:szCs w:val="14"/>
          <w:color w:val="auto"/>
        </w:rPr>
        <w:t>$146 million available to offset future taxable income indefinitely. The Company had $ 6 million of state capital loss carryforwards for income tax purposes that will expire in 2024, if not utilized, and $11 million of foreign capital losses available to offset future capital gains income indefinitely. The Company does not expect to receive a tax benefit for the majority of the NOLs presented above, as valuation allowances have been recorded against most of the state and foreign NOLs and capital losses.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16 – Contingencies and Litigation</w:t>
      </w:r>
    </w:p>
    <w:p>
      <w:pPr>
        <w:spacing w:after="0" w:line="123" w:lineRule="exact"/>
        <w:rPr>
          <w:sz w:val="20"/>
          <w:szCs w:val="20"/>
          <w:color w:val="auto"/>
        </w:rPr>
      </w:pPr>
    </w:p>
    <w:p>
      <w:pPr>
        <w:ind w:right="100"/>
        <w:spacing w:after="0" w:line="251" w:lineRule="auto"/>
        <w:rPr>
          <w:sz w:val="20"/>
          <w:szCs w:val="20"/>
          <w:color w:val="auto"/>
        </w:rPr>
      </w:pPr>
      <w:r>
        <w:rPr>
          <w:rFonts w:ascii="Arial" w:cs="Arial" w:eastAsia="Arial" w:hAnsi="Arial"/>
          <w:sz w:val="14"/>
          <w:szCs w:val="14"/>
          <w:color w:val="auto"/>
        </w:rPr>
        <w:t>As more fully discussed below, the Company is involved in a variety of claims, lawsuits, investigations and proceedings concerning a variety of matters, including: governmental entity contracting, servicing and procurement law; intellectual property law; employment law; commercial and contracts law; the Employee Retirement Income Security Act ("ERISA"); and other laws and regulations. The Company determines whether an estimated loss from a contingency should be accrued by assessing whether a loss is deemed probable and can be reasonably estimated. The Company assesses its potential liability by analyzing its litigation and regulatory matters using available information. The Company develops its view on estimated losses in consultation with outside counsel handling its defense in these matters, which involves an analysis of potential results, assuming a combination of litigation and settlement strategies. Should developments in any of these matters cause a change in the Company's determination as to an unfavorable outcome and result in the need to recognize a material accrual, or should any of these matters result in a final adverse judgment or be settled for significant amounts in excess of any accrual for such matter or matters, this could have a material adverse effect on the Company's results of operations, cash flows and financial position in the period or periods in which such change in determination, judgment or settlement occurs. The Company believes it has recorded adequate provisions for any such matters as of December 31, 2023. Litigation is inherently unpredictable, and it is not possible to predict the ultimate outcome of these matters and such outcome in any such matters could be more than any amounts accrued and could be material to the Company's results of operations, cash flows or financial position in any reporting period.</w:t>
      </w:r>
    </w:p>
    <w:p>
      <w:pPr>
        <w:spacing w:after="0" w:line="106" w:lineRule="exact"/>
        <w:rPr>
          <w:sz w:val="20"/>
          <w:szCs w:val="20"/>
          <w:color w:val="auto"/>
        </w:rPr>
      </w:pPr>
    </w:p>
    <w:p>
      <w:pPr>
        <w:ind w:right="60"/>
        <w:spacing w:after="0" w:line="282" w:lineRule="auto"/>
        <w:rPr>
          <w:sz w:val="20"/>
          <w:szCs w:val="20"/>
          <w:color w:val="auto"/>
        </w:rPr>
      </w:pPr>
      <w:r>
        <w:rPr>
          <w:rFonts w:ascii="Arial" w:cs="Arial" w:eastAsia="Arial" w:hAnsi="Arial"/>
          <w:sz w:val="14"/>
          <w:szCs w:val="14"/>
          <w:color w:val="auto"/>
        </w:rPr>
        <w:t>Additionally, guarantees, indemnifications and claims arise during the ordinary course of business from relationships with suppliers, customers and non-consolidated affiliates when the Company undertakes an obligation to guarantee the performance of others if specified triggering events occur. Nonperformance under a contract could trigger an</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86" w:name="page87"/>
    <w:bookmarkEnd w:id="86"/>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20"/>
        <w:spacing w:after="0" w:line="256" w:lineRule="auto"/>
        <w:rPr>
          <w:sz w:val="20"/>
          <w:szCs w:val="20"/>
          <w:color w:val="auto"/>
        </w:rPr>
      </w:pPr>
      <w:r>
        <w:rPr>
          <w:rFonts w:ascii="Arial" w:cs="Arial" w:eastAsia="Arial" w:hAnsi="Arial"/>
          <w:sz w:val="14"/>
          <w:szCs w:val="14"/>
          <w:color w:val="auto"/>
        </w:rPr>
        <w:t>obligation of the Company. These potential claims include actions based upon alleged exposures to products, real estate, intellectual property such as patents, environmental matters and other indemnifications. The ultimate effect on future financial results is not subject to reasonable estimation because considerable uncertainty exists as to the outcome of these claims. However, while the ultimate liabilities resulting from such claims may be significant to results of operations in the period recognized, management does not anticipate they will have a material adverse effect on the Company's Consolidated Financial position or liquidity. As of December 31, 2023, the Company had accrued its estimate of liability incurred under its indemnification arrangements and guarantees.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color w:val="0066CC"/>
        </w:rPr>
        <w:t>Litigation Against the Company</w:t>
      </w:r>
    </w:p>
    <w:p>
      <w:pPr>
        <w:spacing w:after="0" w:line="144" w:lineRule="exact"/>
        <w:rPr>
          <w:sz w:val="20"/>
          <w:szCs w:val="20"/>
          <w:color w:val="auto"/>
        </w:rPr>
      </w:pPr>
    </w:p>
    <w:p>
      <w:pPr>
        <w:spacing w:after="0" w:line="272" w:lineRule="auto"/>
        <w:rPr>
          <w:sz w:val="20"/>
          <w:szCs w:val="20"/>
          <w:color w:val="auto"/>
        </w:rPr>
      </w:pPr>
      <w:r>
        <w:rPr>
          <w:rFonts w:ascii="Arial" w:cs="Arial" w:eastAsia="Arial" w:hAnsi="Arial"/>
          <w:sz w:val="13"/>
          <w:szCs w:val="13"/>
          <w:b w:val="1"/>
          <w:bCs w:val="1"/>
          <w:i w:val="1"/>
          <w:iCs w:val="1"/>
          <w:u w:val="single" w:color="auto"/>
          <w:color w:val="1269BC"/>
        </w:rPr>
        <w:t>Employees’ Retirement System of the Puerto Rico Electric Power Authority et al v. Conduent Inc. et al.:</w:t>
      </w:r>
      <w:r>
        <w:rPr>
          <w:rFonts w:ascii="Arial" w:cs="Arial" w:eastAsia="Arial" w:hAnsi="Arial"/>
          <w:sz w:val="13"/>
          <w:szCs w:val="13"/>
          <w:b w:val="1"/>
          <w:bCs w:val="1"/>
          <w:i w:val="1"/>
          <w:iCs w:val="1"/>
          <w:color w:val="1269BC"/>
        </w:rPr>
        <w:t xml:space="preserve"> </w:t>
      </w:r>
      <w:r>
        <w:rPr>
          <w:rFonts w:ascii="Arial" w:cs="Arial" w:eastAsia="Arial" w:hAnsi="Arial"/>
          <w:sz w:val="13"/>
          <w:szCs w:val="13"/>
          <w:color w:val="000000"/>
        </w:rPr>
        <w:t>On March 8, 2019, a putative class action lawsuit alleging violations of</w:t>
      </w:r>
      <w:r>
        <w:rPr>
          <w:rFonts w:ascii="Arial" w:cs="Arial" w:eastAsia="Arial" w:hAnsi="Arial"/>
          <w:sz w:val="13"/>
          <w:szCs w:val="13"/>
          <w:b w:val="1"/>
          <w:bCs w:val="1"/>
          <w:i w:val="1"/>
          <w:iCs w:val="1"/>
          <w:color w:val="1269BC"/>
        </w:rPr>
        <w:t xml:space="preserve"> </w:t>
      </w:r>
      <w:r>
        <w:rPr>
          <w:rFonts w:ascii="Arial" w:cs="Arial" w:eastAsia="Arial" w:hAnsi="Arial"/>
          <w:sz w:val="13"/>
          <w:szCs w:val="13"/>
          <w:color w:val="000000"/>
        </w:rPr>
        <w:t>certain federal securities laws in connection with our statements and alleged omissions regarding the Company's financial guidance and business and operations was filed against the Company, its former Chief Executive Officer, and its former Chief Financial Officer in the United States District Court for the District of New Jersey (the "Court"). The complaint sought certification of a class of all persons who purchased or otherwise acquired the Company's securities from February 21, 2018 through November 6, 2018, and also sought unspecified monetary damages, costs, and attorneys’ fees. The Company moved to dismiss the class action complaint in its entirety. In June 2020, the Court denied the motion to dismiss and allowed the claims to proceed. The Court granted Class Certification on February 28, 2022. Upon the substantial completion of document discovery, the parties agreed to engage in mediation, and the Court administratively terminated the litigation to permit those efforts to proceed. Without any admission of liability or damages, in the third quarter of 2022, the parties settled this matter following that mediation, and filed the necessary documentation for preliminary approval by the court, class notice, and the claims administration process. The Court granted preliminary approval of the settlement terms and related documentation on January 27, 2023, and conducted the final Settlement Hearing on May 24, 2023, at which time the settlement received final approval as did plaintiffs' fee request. The Court's preliminary order had previously noted that it "will likely be able to approve the proposed Settlement as fair, reasonable and adequate under Federal Rule of Civil Procedure 23(e)(2)." The Company maintains insurance that covers the costs arising out of this litigation and resulting settlement having met the deductible and other terms and conditions thereof. As a result, during the fourth quarter of 2022, the Company reversed the reserve pertaining to this matter.</w:t>
      </w:r>
    </w:p>
    <w:p>
      <w:pPr>
        <w:spacing w:after="0" w:line="92" w:lineRule="exact"/>
        <w:rPr>
          <w:sz w:val="20"/>
          <w:szCs w:val="20"/>
          <w:color w:val="auto"/>
        </w:rPr>
      </w:pPr>
    </w:p>
    <w:p>
      <w:pPr>
        <w:spacing w:after="0" w:line="251" w:lineRule="auto"/>
        <w:rPr>
          <w:sz w:val="20"/>
          <w:szCs w:val="20"/>
          <w:color w:val="auto"/>
        </w:rPr>
      </w:pPr>
      <w:r>
        <w:rPr>
          <w:rFonts w:ascii="Arial" w:cs="Arial" w:eastAsia="Arial" w:hAnsi="Arial"/>
          <w:sz w:val="14"/>
          <w:szCs w:val="14"/>
          <w:b w:val="1"/>
          <w:bCs w:val="1"/>
          <w:i w:val="1"/>
          <w:iCs w:val="1"/>
          <w:u w:val="single" w:color="auto"/>
          <w:color w:val="1269BC"/>
        </w:rPr>
        <w:t>Skyview Capital LLC and Continuum Global Solutions, LLC v. Conduent Business Services, LLC:</w:t>
      </w:r>
      <w:r>
        <w:rPr>
          <w:rFonts w:ascii="Arial" w:cs="Arial" w:eastAsia="Arial" w:hAnsi="Arial"/>
          <w:sz w:val="14"/>
          <w:szCs w:val="14"/>
          <w:b w:val="1"/>
          <w:bCs w:val="1"/>
          <w:i w:val="1"/>
          <w:iCs w:val="1"/>
          <w:color w:val="1269BC"/>
        </w:rPr>
        <w:t xml:space="preserve"> </w:t>
      </w:r>
      <w:r>
        <w:rPr>
          <w:rFonts w:ascii="Arial" w:cs="Arial" w:eastAsia="Arial" w:hAnsi="Arial"/>
          <w:sz w:val="14"/>
          <w:szCs w:val="14"/>
          <w:color w:val="000000"/>
        </w:rPr>
        <w:t>On February 3, 2020, plaintiffs filed a lawsuit in the Superior Court of New York</w:t>
      </w:r>
      <w:r>
        <w:rPr>
          <w:rFonts w:ascii="Arial" w:cs="Arial" w:eastAsia="Arial" w:hAnsi="Arial"/>
          <w:sz w:val="14"/>
          <w:szCs w:val="14"/>
          <w:b w:val="1"/>
          <w:bCs w:val="1"/>
          <w:i w:val="1"/>
          <w:iCs w:val="1"/>
          <w:color w:val="1269BC"/>
        </w:rPr>
        <w:t xml:space="preserve"> </w:t>
      </w:r>
      <w:r>
        <w:rPr>
          <w:rFonts w:ascii="Arial" w:cs="Arial" w:eastAsia="Arial" w:hAnsi="Arial"/>
          <w:sz w:val="14"/>
          <w:szCs w:val="14"/>
          <w:color w:val="000000"/>
        </w:rPr>
        <w:t>County, New York. The lawsuit relates to the sale of a portion of Conduent Business Services, LLC’s ("CBS") select standalone customer care call center business to plaintiffs, which sale closed in February 2019. Under the terms of the sale agreement, CBS received approximately $23 million of notes from plaintiffs (the "Notes"). The lawsuit alleges various causes of action in connection with the acquisition, including: indemnification for breach of representation and warranty; indemnification for breach of contract and fraud. Plaintiffs allege that their obligation to mitigate damages and their contractual right of set-off permits them to withhold and deduct from any amounts that are owed to CBS under the Notes, and plaintiffs seek a judgement that they have no obligation to pay the Notes. On August 20, 2020, CBS filed a counterclaim against Skyview seeking the outstanding balance on the Notes, the amounts owed for the Jamaica deferred closing, and other transition services agreement and late rent payment obligations. CBS also moved to dismiss Skyview’s claims in 2020. In May 2021, the court denied the motion and allowed the claims to proceed. Fact and expert discovery has been concluded and the parties filed summary judgment motions on July 24, 2023. On December 5, 2023, the court heard oral argument on the parties’ cross-motions for summary judgment and rendered its decision on December 8, 2023, finding there are certain material issues of fact that require trial, and also entering partial summary judgment for each side. On January 5, 2024, CBS filed its notice of appeal of the portion of the ruling that did not grant its motion for summary judgment in its entirety and that granted certain limited relief in favor of plaintiffs. On January 23, 2024, Skyview filed its own notice of appeal, challenging the decision granting a portion of CBS’s counterclaims. CBS continues to deny all the plaintiffs' allegations, believes that it has strong defenses to all of plaintiffs’ claims and will continue to defend the litigation vigorously. The Company is not able to determine or predict the ultimate outcome of this proceeding or reasonably provide an estimate or range of estimate of the possible outcome or loss, if any, in excess of currently recorded reserves.</w:t>
      </w:r>
    </w:p>
    <w:p>
      <w:pPr>
        <w:spacing w:after="0" w:line="101" w:lineRule="exact"/>
        <w:rPr>
          <w:sz w:val="20"/>
          <w:szCs w:val="20"/>
          <w:color w:val="auto"/>
        </w:rPr>
      </w:pPr>
    </w:p>
    <w:p>
      <w:pPr>
        <w:ind w:right="100"/>
        <w:spacing w:after="0" w:line="265" w:lineRule="auto"/>
        <w:rPr>
          <w:sz w:val="20"/>
          <w:szCs w:val="20"/>
          <w:color w:val="auto"/>
        </w:rPr>
      </w:pPr>
      <w:r>
        <w:rPr>
          <w:rFonts w:ascii="Arial" w:cs="Arial" w:eastAsia="Arial" w:hAnsi="Arial"/>
          <w:sz w:val="14"/>
          <w:szCs w:val="14"/>
          <w:b w:val="1"/>
          <w:bCs w:val="1"/>
          <w:i w:val="1"/>
          <w:iCs w:val="1"/>
          <w:u w:val="single" w:color="auto"/>
          <w:color w:val="1269BC"/>
        </w:rPr>
        <w:t>Conduent Business Services, LLC v. Cognizant Business Services Corporation:</w:t>
      </w:r>
      <w:r>
        <w:rPr>
          <w:rFonts w:ascii="Arial" w:cs="Arial" w:eastAsia="Arial" w:hAnsi="Arial"/>
          <w:sz w:val="14"/>
          <w:szCs w:val="14"/>
          <w:b w:val="1"/>
          <w:bCs w:val="1"/>
          <w:i w:val="1"/>
          <w:iCs w:val="1"/>
          <w:color w:val="1269BC"/>
        </w:rPr>
        <w:t xml:space="preserve"> </w:t>
      </w:r>
      <w:r>
        <w:rPr>
          <w:rFonts w:ascii="Arial" w:cs="Arial" w:eastAsia="Arial" w:hAnsi="Arial"/>
          <w:sz w:val="14"/>
          <w:szCs w:val="14"/>
          <w:color w:val="000000"/>
        </w:rPr>
        <w:t>On April 12, 2017, CBS filed a lawsuit against Cognizant Business Services Corporation</w:t>
      </w:r>
      <w:r>
        <w:rPr>
          <w:rFonts w:ascii="Arial" w:cs="Arial" w:eastAsia="Arial" w:hAnsi="Arial"/>
          <w:sz w:val="14"/>
          <w:szCs w:val="14"/>
          <w:b w:val="1"/>
          <w:bCs w:val="1"/>
          <w:i w:val="1"/>
          <w:iCs w:val="1"/>
          <w:color w:val="1269BC"/>
        </w:rPr>
        <w:t xml:space="preserve"> </w:t>
      </w:r>
      <w:r>
        <w:rPr>
          <w:rFonts w:ascii="Arial" w:cs="Arial" w:eastAsia="Arial" w:hAnsi="Arial"/>
          <w:sz w:val="14"/>
          <w:szCs w:val="14"/>
          <w:color w:val="000000"/>
        </w:rPr>
        <w:t>("Cognizant") in the Supreme Court of New York County, New York. The lawsuit relates to the Amended and Restated Master Outsourcing Services Agreement effective as of October 24, 2012, and the service delivery contracts and work orders thereunder, between CBS and Cognizant, as</w:t>
      </w:r>
    </w:p>
    <w:p>
      <w:pPr>
        <w:spacing w:after="0" w:line="200" w:lineRule="exact"/>
        <w:rPr>
          <w:sz w:val="20"/>
          <w:szCs w:val="20"/>
          <w:color w:val="auto"/>
        </w:rPr>
      </w:pPr>
    </w:p>
    <w:p>
      <w:pPr>
        <w:spacing w:after="0" w:line="235"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87" w:name="page88"/>
    <w:bookmarkEnd w:id="87"/>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20"/>
        <w:spacing w:after="0" w:line="273" w:lineRule="auto"/>
        <w:rPr>
          <w:sz w:val="20"/>
          <w:szCs w:val="20"/>
          <w:color w:val="auto"/>
        </w:rPr>
      </w:pPr>
      <w:r>
        <w:rPr>
          <w:rFonts w:ascii="Arial" w:cs="Arial" w:eastAsia="Arial" w:hAnsi="Arial"/>
          <w:sz w:val="13"/>
          <w:szCs w:val="13"/>
          <w:color w:val="auto"/>
        </w:rPr>
        <w:t>amended and supplemented (the "Contract"). The Contract contains certain minimum purchase obligations by CBS through the date of expiration. The lawsuit alleges that Cognizant committed multiple breaches of the Contract, including Cognizant’s failure to properly perform its obligations as subcontractor to CBS under CBS's contract with the New York Department of Health to provide Medicaid Management Information Systems. In the lawsuit, CBS seeks damages in excess of $150 million. During the first quarter of 2018, CBS provided notice to Cognizant that it was terminating the Contract for cause and recorded in the same period certain charges associated with the termination. CBS also alleges that it terminated the Contract for cause, because, among other things, Cognizant violated the Foreign Corrupt Practices Act. In its answer, Cognizant asserted two counterclaims for breach of contract seeking recovery of damages in excess of $47 million, which includes amounts alleged not paid to Cognizant under the Contract and an alleged $ 25 million termination fee. Cognizant's second amended counterclaim increased Cognizant's damages to $89 million. The parties participated in a mediation in late February 2023, and this matter settled, following negotiations that continued thereafter. The parties executed the Settlement Agreement and Mutual Release on March 30, 2023, with no admission of liability or wrongdoing by either party. In April 2023, each side made reciprocal payments of $6 million to the other, with Conduent’s payment made toward the termination fee payable under the applicable service delivery contract. As a result of the settlement, during the first quarter of 2023, the Company adjusted the balance sheet amounts recorded pertaining to this matter. As such, the Company recognized a $17 million benefit in Cost of services (excluding depreciation and amortization) and a $26 million benefit in Litigation settlements (recoveries), net.</w:t>
      </w:r>
    </w:p>
    <w:p>
      <w:pPr>
        <w:spacing w:after="0" w:line="84" w:lineRule="exact"/>
        <w:rPr>
          <w:sz w:val="20"/>
          <w:szCs w:val="20"/>
          <w:color w:val="auto"/>
        </w:rPr>
      </w:pPr>
    </w:p>
    <w:p>
      <w:pPr>
        <w:spacing w:after="0"/>
        <w:rPr>
          <w:sz w:val="20"/>
          <w:szCs w:val="20"/>
          <w:color w:val="auto"/>
        </w:rPr>
      </w:pPr>
      <w:r>
        <w:rPr>
          <w:rFonts w:ascii="Arial" w:cs="Arial" w:eastAsia="Arial" w:hAnsi="Arial"/>
          <w:sz w:val="15"/>
          <w:szCs w:val="15"/>
          <w:b w:val="1"/>
          <w:bCs w:val="1"/>
          <w:color w:val="1269BC"/>
        </w:rPr>
        <w:t>Other Matters</w:t>
      </w:r>
    </w:p>
    <w:p>
      <w:pPr>
        <w:spacing w:after="0" w:line="144" w:lineRule="exact"/>
        <w:rPr>
          <w:sz w:val="20"/>
          <w:szCs w:val="20"/>
          <w:color w:val="auto"/>
        </w:rPr>
      </w:pPr>
    </w:p>
    <w:p>
      <w:pPr>
        <w:ind w:right="240"/>
        <w:spacing w:after="0" w:line="259" w:lineRule="auto"/>
        <w:rPr>
          <w:sz w:val="20"/>
          <w:szCs w:val="20"/>
          <w:color w:val="auto"/>
        </w:rPr>
      </w:pPr>
      <w:r>
        <w:rPr>
          <w:rFonts w:ascii="Arial" w:cs="Arial" w:eastAsia="Arial" w:hAnsi="Arial"/>
          <w:sz w:val="14"/>
          <w:szCs w:val="14"/>
          <w:color w:val="auto"/>
        </w:rPr>
        <w:t>During the first quarter of 2022, the Company entered into settlement agreements with six of its insurers under its 2012–2013 errors and omission insurance policy in which the Company agreed to resolve its claims for insurance coverage in connection with the previously disclosed State of Texas matter that settled in February 2019. As a result of the settlement agreements entered with the insurers, the Company received an aggregate sum of $38 million, of which $14 million was recognized as defense costs recovery in Selling, general and administrative and $24 million was recognized in Litigation settlements (recoveries), net.</w:t>
      </w:r>
    </w:p>
    <w:p>
      <w:pPr>
        <w:spacing w:after="0" w:line="97" w:lineRule="exact"/>
        <w:rPr>
          <w:sz w:val="20"/>
          <w:szCs w:val="20"/>
          <w:color w:val="auto"/>
        </w:rPr>
      </w:pPr>
    </w:p>
    <w:p>
      <w:pPr>
        <w:ind w:right="80"/>
        <w:spacing w:after="0" w:line="278" w:lineRule="auto"/>
        <w:rPr>
          <w:sz w:val="20"/>
          <w:szCs w:val="20"/>
          <w:color w:val="auto"/>
        </w:rPr>
      </w:pPr>
      <w:r>
        <w:rPr>
          <w:rFonts w:ascii="Arial" w:cs="Arial" w:eastAsia="Arial" w:hAnsi="Arial"/>
          <w:sz w:val="13"/>
          <w:szCs w:val="13"/>
          <w:color w:val="auto"/>
        </w:rPr>
        <w:t>Since 2014, Xerox Education Services, Inc. ("XES") has cooperated with several federal and state agencies regarding a variety of matters, including XES' self-disclosure to the U.S. Department of Education (the "Department") and the Consumer Financial Protection Bureau ("CFPB") that some third-party student loans under outsourcing arrangements for various financial institutions required adjustments. With the exception of one remaining state attorney general inquiry, the Company has resolved all investigations by the CFPB, several state agencies, the Department and the U.S. Department of Justice. The Company cannot provide assurance that the CFPB, another regulator, a financial institution on behalf of which XES serviced third-party student loans, or another party will not ultimately commence a legal action against XES in which fines, penalties or other liabilities are sought from XES. In view of the absence of activity by these regulators or any other party, during the fourth quarter of 2023, the Company reversed the remaining reserve pertaining to this matter.</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b w:val="1"/>
          <w:bCs w:val="1"/>
          <w:color w:val="0066CC"/>
        </w:rPr>
        <w:t>Guarantees and Indemnifications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Indemnifications Provided as Part of Contracts and Agreements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0066CC"/>
        </w:rPr>
        <w:t>Acquisitions/Divestitures:</w:t>
      </w:r>
    </w:p>
    <w:p>
      <w:pPr>
        <w:spacing w:after="0" w:line="129" w:lineRule="exact"/>
        <w:rPr>
          <w:sz w:val="20"/>
          <w:szCs w:val="20"/>
          <w:color w:val="auto"/>
        </w:rPr>
      </w:pPr>
    </w:p>
    <w:p>
      <w:pPr>
        <w:ind w:right="20"/>
        <w:spacing w:after="0" w:line="275" w:lineRule="auto"/>
        <w:rPr>
          <w:sz w:val="20"/>
          <w:szCs w:val="20"/>
          <w:color w:val="auto"/>
        </w:rPr>
      </w:pPr>
      <w:r>
        <w:rPr>
          <w:rFonts w:ascii="Arial" w:cs="Arial" w:eastAsia="Arial" w:hAnsi="Arial"/>
          <w:sz w:val="13"/>
          <w:szCs w:val="13"/>
          <w:color w:val="auto"/>
        </w:rPr>
        <w:t>The Company has indemnified, subject to certain deductibles and limits, the purchasers of businesses or divested assets for the occurrence of specified events under certain of its divestiture agreements. In addition, the Company customarily agrees to hold the other party harmless against losses arising from a breach of representations and covenants, including such matters as adequate title to assets sold, intellectual property rights and certain income taxes arising prior to the date of acquisition. Where appropriate, an obligation for such indemnifications is recorded as a liability at the time of the acquisition or divestiture. Since the obligated amounts of these types of indemnifications are often not explicitly stated or are contingent on the occurrence of future events, the overall maximum amount, or range of amount of the obligation under such indemnifications cannot be reasonably estimated. Other than obligations recorded as liabilities at the time of divestiture, the Company has not historically made significant payments for these indemnifications. Additionally, under certain of the Company's acquisition agreements, it has provided for additional consideration to be paid to the sellers if established financial targets are achieved within specific timeframes post-closing. The Company has recognized liabilities for these contingent obligations based on an estimate of the fair value of these contingencies at the time of acquisition. Contingent</w:t>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88" w:name="page89"/>
    <w:bookmarkEnd w:id="88"/>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300"/>
        <w:spacing w:after="0" w:line="282" w:lineRule="auto"/>
        <w:rPr>
          <w:sz w:val="20"/>
          <w:szCs w:val="20"/>
          <w:color w:val="auto"/>
        </w:rPr>
      </w:pPr>
      <w:r>
        <w:rPr>
          <w:rFonts w:ascii="Arial" w:cs="Arial" w:eastAsia="Arial" w:hAnsi="Arial"/>
          <w:sz w:val="14"/>
          <w:szCs w:val="14"/>
          <w:color w:val="auto"/>
        </w:rPr>
        <w:t>obligations related to indemnifications arising from divestitures and contingent consideration provided for by acquisitions are not expected to be material to the Company's financial position, results of operations or cash flows.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u w:val="single" w:color="auto"/>
          <w:color w:val="0066CC"/>
        </w:rPr>
        <w:t>Other Agreements: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The Company is also party to the following types of agreements pursuant to which it may be obligated to indemnify the other party with respect to certain matters:</w:t>
      </w:r>
    </w:p>
    <w:p>
      <w:pPr>
        <w:spacing w:after="0" w:line="68" w:lineRule="exact"/>
        <w:rPr>
          <w:sz w:val="20"/>
          <w:szCs w:val="20"/>
          <w:color w:val="auto"/>
        </w:rPr>
      </w:pPr>
    </w:p>
    <w:p>
      <w:pPr>
        <w:ind w:left="240" w:hanging="237"/>
        <w:spacing w:after="0"/>
        <w:tabs>
          <w:tab w:leader="none" w:pos="2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Guarantees on behalf of the Company's subsidiaries with respect to real estate leases. These lease guarantees may remain in effect after the sale of the subsidiary.</w:t>
      </w:r>
    </w:p>
    <w:p>
      <w:pPr>
        <w:spacing w:after="0" w:line="47" w:lineRule="exact"/>
        <w:rPr>
          <w:rFonts w:ascii="Arial" w:cs="Arial" w:eastAsia="Arial" w:hAnsi="Arial"/>
          <w:sz w:val="14"/>
          <w:szCs w:val="14"/>
          <w:color w:val="auto"/>
        </w:rPr>
      </w:pPr>
    </w:p>
    <w:p>
      <w:pPr>
        <w:ind w:left="260" w:right="180" w:hanging="225"/>
        <w:spacing w:after="0" w:line="279" w:lineRule="auto"/>
        <w:tabs>
          <w:tab w:leader="none" w:pos="256" w:val="left"/>
        </w:tabs>
        <w:numPr>
          <w:ilvl w:val="1"/>
          <w:numId w:val="45"/>
        </w:numPr>
        <w:rPr>
          <w:rFonts w:ascii="Arial" w:cs="Arial" w:eastAsia="Arial" w:hAnsi="Arial"/>
          <w:sz w:val="14"/>
          <w:szCs w:val="14"/>
          <w:color w:val="auto"/>
        </w:rPr>
      </w:pPr>
      <w:r>
        <w:rPr>
          <w:rFonts w:ascii="Arial" w:cs="Arial" w:eastAsia="Arial" w:hAnsi="Arial"/>
          <w:sz w:val="14"/>
          <w:szCs w:val="14"/>
          <w:color w:val="auto"/>
        </w:rPr>
        <w:t>Agreements to indemnify various service providers, trustees and bank agents from any third-party claims related to their performance on the Company's behalf, except for claims that result from the third-party's own willful misconduct or gross negligence.</w:t>
      </w:r>
    </w:p>
    <w:p>
      <w:pPr>
        <w:ind w:left="260" w:right="60" w:hanging="225"/>
        <w:spacing w:after="0" w:line="322" w:lineRule="auto"/>
        <w:tabs>
          <w:tab w:leader="none" w:pos="256" w:val="left"/>
        </w:tabs>
        <w:numPr>
          <w:ilvl w:val="1"/>
          <w:numId w:val="45"/>
        </w:numPr>
        <w:rPr>
          <w:rFonts w:ascii="Arial" w:cs="Arial" w:eastAsia="Arial" w:hAnsi="Arial"/>
          <w:sz w:val="13"/>
          <w:szCs w:val="13"/>
          <w:color w:val="auto"/>
        </w:rPr>
      </w:pPr>
      <w:r>
        <w:rPr>
          <w:rFonts w:ascii="Arial" w:cs="Arial" w:eastAsia="Arial" w:hAnsi="Arial"/>
          <w:sz w:val="13"/>
          <w:szCs w:val="13"/>
          <w:color w:val="auto"/>
        </w:rPr>
        <w:t>Guarantees of the Company's performance in certain services contracts to its customers and indirectly the performance of third parties with whom the Company has subcontracted for their services. This includes indemnifications to customers for losses that may be sustained because of the Company's performance of services at a customer's location.</w:t>
      </w:r>
    </w:p>
    <w:p>
      <w:pPr>
        <w:spacing w:after="0" w:line="57" w:lineRule="exact"/>
        <w:rPr>
          <w:sz w:val="20"/>
          <w:szCs w:val="20"/>
          <w:color w:val="auto"/>
        </w:rPr>
      </w:pPr>
    </w:p>
    <w:p>
      <w:pPr>
        <w:ind w:right="180"/>
        <w:spacing w:after="0" w:line="259" w:lineRule="auto"/>
        <w:rPr>
          <w:sz w:val="20"/>
          <w:szCs w:val="20"/>
          <w:color w:val="auto"/>
        </w:rPr>
      </w:pPr>
      <w:r>
        <w:rPr>
          <w:rFonts w:ascii="Arial" w:cs="Arial" w:eastAsia="Arial" w:hAnsi="Arial"/>
          <w:sz w:val="14"/>
          <w:szCs w:val="14"/>
          <w:color w:val="auto"/>
        </w:rPr>
        <w:t>In each of these circumstances, payment is conditioned on the other party making a claim pursuant to the procedures specified in the particular contract and such procedures also typically allow the Company to challenge the other party's claims. In the case of lease guarantees, the Company may contest the liabilities asserted under the lease. Further, obligations under these agreements and guarantees may be limited in terms of time and/or amount, and in some instances, the Company may have recourse against third parties for certain payments it made.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Intellectual Property Indemnifications</w:t>
      </w:r>
    </w:p>
    <w:p>
      <w:pPr>
        <w:spacing w:after="0" w:line="131" w:lineRule="exact"/>
        <w:rPr>
          <w:sz w:val="20"/>
          <w:szCs w:val="20"/>
          <w:color w:val="auto"/>
        </w:rPr>
      </w:pPr>
    </w:p>
    <w:p>
      <w:pPr>
        <w:ind w:right="40"/>
        <w:spacing w:after="0" w:line="294" w:lineRule="auto"/>
        <w:rPr>
          <w:sz w:val="20"/>
          <w:szCs w:val="20"/>
          <w:color w:val="auto"/>
        </w:rPr>
      </w:pPr>
      <w:r>
        <w:rPr>
          <w:rFonts w:ascii="Arial" w:cs="Arial" w:eastAsia="Arial" w:hAnsi="Arial"/>
          <w:sz w:val="13"/>
          <w:szCs w:val="13"/>
          <w:color w:val="auto"/>
        </w:rPr>
        <w:t>The Company does not own all of the software that it uses to run its business. Instead, the Company licenses this software from a small number of primary vendors. The Company indemnifies certain software providers against claims that may arise as a result of the Company's use or its subsidiaries', customers' or resellers' use of their software in the Company's services and solutions. These indemnities usually do not include limits on the claims, provided the claim is made pursuant to the procedures required in the services contract.</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Indemnification of Officers and Directors</w:t>
      </w:r>
    </w:p>
    <w:p>
      <w:pPr>
        <w:spacing w:after="0" w:line="131" w:lineRule="exact"/>
        <w:rPr>
          <w:sz w:val="20"/>
          <w:szCs w:val="20"/>
          <w:color w:val="auto"/>
        </w:rPr>
      </w:pPr>
    </w:p>
    <w:p>
      <w:pPr>
        <w:ind w:right="100"/>
        <w:spacing w:after="0" w:line="254" w:lineRule="auto"/>
        <w:rPr>
          <w:sz w:val="20"/>
          <w:szCs w:val="20"/>
          <w:color w:val="auto"/>
        </w:rPr>
      </w:pPr>
      <w:r>
        <w:rPr>
          <w:rFonts w:ascii="Arial" w:cs="Arial" w:eastAsia="Arial" w:hAnsi="Arial"/>
          <w:sz w:val="14"/>
          <w:szCs w:val="14"/>
          <w:color w:val="auto"/>
        </w:rPr>
        <w:t>The Company's corporate by-laws require that, except to the extent expressly prohibited by law, the Company must indemnify its officers and directors against judgments, fines, penalties and amounts paid in settlement and reasonable expenses, including attorneys' fees, incurred in connection with civil or criminal action or proceedings or any appeal, as it relates to their services to the Company and its subsidiaries. Although the by-laws provide no limit on the amount of indemnification, the Company may have recourse against its insurance carriers for certain payments made by the Company. However, certain indemnification payments may not be covered under the Company's directors' and officers' insurance coverage. The Company also indemnifies certain fiduciaries of its employee benefit plans for liabilities incurred in their service as fiduciary whether or not they are officers of the Company. Finally, in connection with the Company's acquisition of businesses, it may become contractually obligated to indemnify certain former and current directors, officers and employees of those businesses in accordance with pre-acquisition by-laws or indemnification agreements or applicable state law.</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Other Contingencies</w:t>
      </w:r>
    </w:p>
    <w:p>
      <w:pPr>
        <w:spacing w:after="0" w:line="131" w:lineRule="exact"/>
        <w:rPr>
          <w:sz w:val="20"/>
          <w:szCs w:val="20"/>
          <w:color w:val="auto"/>
        </w:rPr>
      </w:pPr>
    </w:p>
    <w:p>
      <w:pPr>
        <w:ind w:right="20"/>
        <w:spacing w:after="0" w:line="281" w:lineRule="auto"/>
        <w:rPr>
          <w:sz w:val="20"/>
          <w:szCs w:val="20"/>
          <w:color w:val="auto"/>
        </w:rPr>
      </w:pPr>
      <w:r>
        <w:rPr>
          <w:rFonts w:ascii="Arial" w:cs="Arial" w:eastAsia="Arial" w:hAnsi="Arial"/>
          <w:sz w:val="13"/>
          <w:szCs w:val="13"/>
          <w:color w:val="auto"/>
        </w:rPr>
        <w:t>Certain contracts, primarily in the Company's Government and Transportation segments, require the Company to provide a surety bond or a letter of credit as a guarantee of performance. As of December 31, 2023, the Company had $625 million of outstanding surety bonds issued to secure its performance of contractual obligations with its clients and $175 million of outstanding letters of credit issued to secure the Company's performance of contractual obligations to its clients as well as other corporate obligations. In general, the Company would only be liable for these guarantees in the event of default in the Company's performance of its obligations under each contract. The Company believes it has sufficient capacity in the surety markets and liquidity from its cash flow and its various credit arrangements to allow it to respond to future requests for proposals that require such credit support.</w:t>
      </w: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89" w:name="page90"/>
    <w:bookmarkEnd w:id="89"/>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17 - Preferred Stock</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Series A Preferred Stock</w:t>
      </w:r>
    </w:p>
    <w:p>
      <w:pPr>
        <w:spacing w:after="0" w:line="131" w:lineRule="exact"/>
        <w:rPr>
          <w:sz w:val="20"/>
          <w:szCs w:val="20"/>
          <w:color w:val="auto"/>
        </w:rPr>
      </w:pPr>
    </w:p>
    <w:p>
      <w:pPr>
        <w:ind w:right="140"/>
        <w:spacing w:after="0" w:line="256" w:lineRule="auto"/>
        <w:rPr>
          <w:sz w:val="20"/>
          <w:szCs w:val="20"/>
          <w:color w:val="auto"/>
        </w:rPr>
      </w:pPr>
      <w:r>
        <w:rPr>
          <w:rFonts w:ascii="Arial" w:cs="Arial" w:eastAsia="Arial" w:hAnsi="Arial"/>
          <w:sz w:val="14"/>
          <w:szCs w:val="14"/>
          <w:color w:val="auto"/>
        </w:rPr>
        <w:t>In connection with the December 31, 2016 separation from the Company's former parent company (the "Separation"), the Company issued 120,000 shares of Series A convertible perpetual preferred stock with an aggregate liquidation preference of $120 million and an initial fair value of $142 million. The Series A convertible preferred stock pays quarterly cash dividends at a rate of 8% per year ($9.6 million per year). Each share of the Series A convertible preferred stock is convertible at any time, at the option of the holder, into 44.9438 shares of common stock for a total of 5,393,000 shares (reflecting an initial conversion price of approximately $22.25 per share of common stock), subject to customary anti-dilution adjustments.</w:t>
      </w:r>
    </w:p>
    <w:p>
      <w:pPr>
        <w:spacing w:after="0" w:line="100" w:lineRule="exact"/>
        <w:rPr>
          <w:sz w:val="20"/>
          <w:szCs w:val="20"/>
          <w:color w:val="auto"/>
        </w:rPr>
      </w:pPr>
    </w:p>
    <w:p>
      <w:pPr>
        <w:ind w:right="40"/>
        <w:spacing w:after="0" w:line="276" w:lineRule="auto"/>
        <w:rPr>
          <w:sz w:val="20"/>
          <w:szCs w:val="20"/>
          <w:color w:val="auto"/>
        </w:rPr>
      </w:pPr>
      <w:r>
        <w:rPr>
          <w:rFonts w:ascii="Arial" w:cs="Arial" w:eastAsia="Arial" w:hAnsi="Arial"/>
          <w:sz w:val="13"/>
          <w:szCs w:val="13"/>
          <w:color w:val="auto"/>
        </w:rPr>
        <w:t>If the closing price of the Company's common stock exceeds 137% of the initial conversion price for 20 out of 30 trading days, the Company has the right to cause any or all of the Series A convertible preferred stock to be converted into shares of common stock at the then applicable conversion rate. The Series A convertible preferred stock is also convertible, at the option of the holder, upon a change in control, at the applicable conversion rate plus an additional number of shares determined by reference to the price paid for the Company's common stock upon such change in control. In addition, upon the occurrence of certain fundamental change events, including a change in control or the delisting of Conduent's common stock, the holder of Series A convertible preferred stock has the right to require the Company to redeem any or all of the Series A convertible preferred stock in cash at a redemption price per share equal to the liquidation preference and any accrued and unpaid dividends to, but not including, the redemption date. As a result of the contingent redemption feature, the Series A convertible preferred stock is classified as temporary equity and reflected separately from permanent equity in the Consolidated Balance Sheets.</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18 – Shareholders’ Equity</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Preferred Stock</w:t>
      </w:r>
    </w:p>
    <w:p>
      <w:pPr>
        <w:spacing w:after="0" w:line="131" w:lineRule="exact"/>
        <w:rPr>
          <w:sz w:val="20"/>
          <w:szCs w:val="20"/>
          <w:color w:val="auto"/>
        </w:rPr>
      </w:pPr>
    </w:p>
    <w:p>
      <w:pPr>
        <w:ind w:right="160"/>
        <w:spacing w:after="0" w:line="282" w:lineRule="auto"/>
        <w:rPr>
          <w:sz w:val="20"/>
          <w:szCs w:val="20"/>
          <w:color w:val="auto"/>
        </w:rPr>
      </w:pPr>
      <w:r>
        <w:rPr>
          <w:rFonts w:ascii="Arial" w:cs="Arial" w:eastAsia="Arial" w:hAnsi="Arial"/>
          <w:sz w:val="14"/>
          <w:szCs w:val="14"/>
          <w:color w:val="auto"/>
        </w:rPr>
        <w:t>As of December 31, 2023, the Company had one class of preferred stock outstanding. Refer to Note 17 – Preferred Stock for further information. The Company is authorized to issue approximately 100 million shares of convertible preferred stock at $0.01 par value per share.</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Common Stock</w:t>
      </w:r>
    </w:p>
    <w:p>
      <w:pPr>
        <w:spacing w:after="0" w:line="131" w:lineRule="exact"/>
        <w:rPr>
          <w:sz w:val="20"/>
          <w:szCs w:val="20"/>
          <w:color w:val="auto"/>
        </w:rPr>
      </w:pPr>
    </w:p>
    <w:p>
      <w:pPr>
        <w:ind w:right="600"/>
        <w:spacing w:after="0" w:line="282" w:lineRule="auto"/>
        <w:rPr>
          <w:sz w:val="20"/>
          <w:szCs w:val="20"/>
          <w:color w:val="auto"/>
        </w:rPr>
      </w:pPr>
      <w:r>
        <w:rPr>
          <w:rFonts w:ascii="Arial" w:cs="Arial" w:eastAsia="Arial" w:hAnsi="Arial"/>
          <w:sz w:val="14"/>
          <w:szCs w:val="14"/>
          <w:color w:val="auto"/>
        </w:rPr>
        <w:t>The Company has 1 billion authorized shares of common stock at $0.01 par value per share. At December 31, 2023, 23.9 million shares were reserved for issuance under the Company's incentive compensation plans and 5.4 million shares were reserved for conversion of the Series A convertible preferred stock.</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Stock Compensation Plans</w:t>
      </w:r>
    </w:p>
    <w:p>
      <w:pPr>
        <w:spacing w:after="0" w:line="131" w:lineRule="exact"/>
        <w:rPr>
          <w:sz w:val="20"/>
          <w:szCs w:val="20"/>
          <w:color w:val="auto"/>
        </w:rPr>
      </w:pPr>
    </w:p>
    <w:p>
      <w:pPr>
        <w:ind w:right="240"/>
        <w:spacing w:after="0" w:line="282" w:lineRule="auto"/>
        <w:rPr>
          <w:sz w:val="20"/>
          <w:szCs w:val="20"/>
          <w:color w:val="auto"/>
        </w:rPr>
      </w:pPr>
      <w:r>
        <w:rPr>
          <w:rFonts w:ascii="Arial" w:cs="Arial" w:eastAsia="Arial" w:hAnsi="Arial"/>
          <w:sz w:val="14"/>
          <w:szCs w:val="14"/>
          <w:color w:val="auto"/>
        </w:rPr>
        <w:t>Certain of the Company's employees participate in a long-term incentive plan. The Company's long-term incentive plan authorizes the issuance of restricted stock units / shares and performance stock units / share to employees. Stock-based compensation expense includes expense based on the awards and terms previously granted to the employees.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 expense was as follows:</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color w:val="auto"/>
              </w:rPr>
              <w:t>Year Ended December 31,</w:t>
            </w:r>
          </w:p>
        </w:tc>
        <w:tc>
          <w:tcPr>
            <w:tcW w:w="40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r>
      <w:tr>
        <w:trPr>
          <w:trHeight w:val="123"/>
        </w:trPr>
        <w:tc>
          <w:tcPr>
            <w:tcW w:w="6100" w:type="dxa"/>
            <w:vAlign w:val="bottom"/>
            <w:gridSpan w:val="3"/>
          </w:tcPr>
          <w:p>
            <w:pPr>
              <w:ind w:left="20"/>
              <w:spacing w:after="0" w:line="123" w:lineRule="exact"/>
              <w:rPr>
                <w:sz w:val="20"/>
                <w:szCs w:val="20"/>
                <w:color w:val="auto"/>
              </w:rPr>
            </w:pPr>
            <w:r>
              <w:rPr>
                <w:rFonts w:ascii="Arial" w:cs="Arial" w:eastAsia="Arial" w:hAnsi="Arial"/>
                <w:sz w:val="11"/>
                <w:szCs w:val="11"/>
                <w:color w:val="auto"/>
              </w:rPr>
              <w:t>(in millions)</w:t>
            </w:r>
          </w:p>
        </w:tc>
        <w:tc>
          <w:tcPr>
            <w:tcW w:w="380" w:type="dxa"/>
            <w:vAlign w:val="bottom"/>
          </w:tcPr>
          <w:p>
            <w:pPr>
              <w:spacing w:after="0"/>
              <w:rPr>
                <w:sz w:val="10"/>
                <w:szCs w:val="10"/>
                <w:color w:val="auto"/>
              </w:rPr>
            </w:pPr>
          </w:p>
        </w:tc>
        <w:tc>
          <w:tcPr>
            <w:tcW w:w="1260" w:type="dxa"/>
            <w:vAlign w:val="bottom"/>
          </w:tcPr>
          <w:p>
            <w:pPr>
              <w:jc w:val="right"/>
              <w:ind w:right="644"/>
              <w:spacing w:after="0" w:line="123" w:lineRule="exact"/>
              <w:rPr>
                <w:sz w:val="20"/>
                <w:szCs w:val="20"/>
                <w:color w:val="auto"/>
              </w:rPr>
            </w:pPr>
            <w:r>
              <w:rPr>
                <w:rFonts w:ascii="Arial" w:cs="Arial" w:eastAsia="Arial" w:hAnsi="Arial"/>
                <w:sz w:val="11"/>
                <w:szCs w:val="11"/>
                <w:color w:val="auto"/>
              </w:rPr>
              <w:t>2023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40" w:type="dxa"/>
            <w:vAlign w:val="bottom"/>
          </w:tcPr>
          <w:p>
            <w:pPr>
              <w:jc w:val="right"/>
              <w:ind w:right="664"/>
              <w:spacing w:after="0" w:line="123" w:lineRule="exact"/>
              <w:rPr>
                <w:sz w:val="20"/>
                <w:szCs w:val="20"/>
                <w:color w:val="auto"/>
              </w:rPr>
            </w:pPr>
            <w:r>
              <w:rPr>
                <w:rFonts w:ascii="Arial" w:cs="Arial" w:eastAsia="Arial" w:hAnsi="Arial"/>
                <w:sz w:val="11"/>
                <w:szCs w:val="11"/>
                <w:color w:val="auto"/>
              </w:rPr>
              <w:t>2022</w:t>
            </w: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60" w:type="dxa"/>
            <w:vAlign w:val="bottom"/>
          </w:tcPr>
          <w:p>
            <w:pPr>
              <w:jc w:val="right"/>
              <w:ind w:right="644"/>
              <w:spacing w:after="0" w:line="123" w:lineRule="exact"/>
              <w:rPr>
                <w:sz w:val="20"/>
                <w:szCs w:val="20"/>
                <w:color w:val="auto"/>
              </w:rPr>
            </w:pPr>
            <w:r>
              <w:rPr>
                <w:rFonts w:ascii="Arial" w:cs="Arial" w:eastAsia="Arial" w:hAnsi="Arial"/>
                <w:sz w:val="11"/>
                <w:szCs w:val="1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60" w:type="dxa"/>
            <w:vAlign w:val="bottom"/>
            <w:tcBorders>
              <w:top w:val="single" w:sz="8" w:color="auto"/>
              <w:bottom w:val="single" w:sz="8" w:color="CCEEFF"/>
            </w:tcBorders>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38"/>
        </w:trPr>
        <w:tc>
          <w:tcPr>
            <w:tcW w:w="610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Stock-based compensation expense, pre-tax</w:t>
            </w: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21</w:t>
            </w: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jc w:val="right"/>
              <w:ind w:right="264"/>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w:t>
            </w:r>
          </w:p>
        </w:tc>
      </w:tr>
      <w:tr>
        <w:trPr>
          <w:trHeight w:val="149"/>
        </w:trPr>
        <w:tc>
          <w:tcPr>
            <w:tcW w:w="6100" w:type="dxa"/>
            <w:vAlign w:val="bottom"/>
            <w:gridSpan w:val="3"/>
          </w:tcPr>
          <w:p>
            <w:pPr>
              <w:ind w:left="20"/>
              <w:spacing w:after="0"/>
              <w:rPr>
                <w:sz w:val="20"/>
                <w:szCs w:val="20"/>
                <w:color w:val="auto"/>
              </w:rPr>
            </w:pPr>
            <w:r>
              <w:rPr>
                <w:rFonts w:ascii="Arial" w:cs="Arial" w:eastAsia="Arial" w:hAnsi="Arial"/>
                <w:sz w:val="11"/>
                <w:szCs w:val="11"/>
                <w:color w:val="auto"/>
              </w:rPr>
              <w:t>Income tax benefit recognized in earnings</w:t>
            </w:r>
          </w:p>
        </w:tc>
        <w:tc>
          <w:tcPr>
            <w:tcW w:w="3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right"/>
              <w:ind w:right="4"/>
              <w:spacing w:after="0"/>
              <w:rPr>
                <w:sz w:val="20"/>
                <w:szCs w:val="20"/>
                <w:color w:val="auto"/>
              </w:rPr>
            </w:pPr>
            <w:r>
              <w:rPr>
                <w:rFonts w:ascii="Arial" w:cs="Arial" w:eastAsia="Arial" w:hAnsi="Arial"/>
                <w:sz w:val="11"/>
                <w:szCs w:val="11"/>
                <w:color w:val="auto"/>
              </w:rPr>
              <w:t>4</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3</w:t>
            </w:r>
          </w:p>
        </w:tc>
      </w:tr>
    </w:tbl>
    <w:p>
      <w:pPr>
        <w:spacing w:after="0" w:line="253" w:lineRule="exact"/>
        <w:rPr>
          <w:sz w:val="20"/>
          <w:szCs w:val="20"/>
          <w:color w:val="auto"/>
        </w:rPr>
      </w:pPr>
    </w:p>
    <w:p>
      <w:pPr>
        <w:ind w:right="80"/>
        <w:spacing w:after="0" w:line="265" w:lineRule="auto"/>
        <w:rPr>
          <w:sz w:val="20"/>
          <w:szCs w:val="20"/>
          <w:color w:val="auto"/>
        </w:rPr>
      </w:pPr>
      <w:r>
        <w:rPr>
          <w:rFonts w:ascii="Arial" w:cs="Arial" w:eastAsia="Arial" w:hAnsi="Arial"/>
          <w:sz w:val="14"/>
          <w:szCs w:val="14"/>
          <w:b w:val="1"/>
          <w:bCs w:val="1"/>
          <w:color w:val="0066CC"/>
        </w:rPr>
        <w:t xml:space="preserve">Restricted Stock Units / Shares ("RSUs"): </w:t>
      </w:r>
      <w:r>
        <w:rPr>
          <w:rFonts w:ascii="Arial" w:cs="Arial" w:eastAsia="Arial" w:hAnsi="Arial"/>
          <w:sz w:val="14"/>
          <w:szCs w:val="14"/>
          <w:color w:val="000000"/>
        </w:rPr>
        <w:t>Compensation expense is based upon the grant date market price. The compensation expense is recorded over the vesting period based</w:t>
      </w:r>
      <w:r>
        <w:rPr>
          <w:rFonts w:ascii="Arial" w:cs="Arial" w:eastAsia="Arial" w:hAnsi="Arial"/>
          <w:sz w:val="14"/>
          <w:szCs w:val="14"/>
          <w:b w:val="1"/>
          <w:bCs w:val="1"/>
          <w:color w:val="0066CC"/>
        </w:rPr>
        <w:t xml:space="preserve"> </w:t>
      </w:r>
      <w:r>
        <w:rPr>
          <w:rFonts w:ascii="Arial" w:cs="Arial" w:eastAsia="Arial" w:hAnsi="Arial"/>
          <w:sz w:val="14"/>
          <w:szCs w:val="14"/>
          <w:color w:val="000000"/>
        </w:rPr>
        <w:t>on management's estimate of the number of shares expected to vest. The Company’s RSU awards typically vest in three separate and equal tranches over a three-year period. Each tranche vests annually, at December 31, following the date of grant.</w:t>
      </w:r>
    </w:p>
    <w:p>
      <w:pPr>
        <w:spacing w:after="0" w:line="92" w:lineRule="exact"/>
        <w:rPr>
          <w:sz w:val="20"/>
          <w:szCs w:val="20"/>
          <w:color w:val="auto"/>
        </w:rPr>
      </w:pPr>
    </w:p>
    <w:p>
      <w:pPr>
        <w:ind w:right="60"/>
        <w:spacing w:after="0" w:line="282" w:lineRule="auto"/>
        <w:rPr>
          <w:sz w:val="20"/>
          <w:szCs w:val="20"/>
          <w:color w:val="auto"/>
        </w:rPr>
      </w:pPr>
      <w:r>
        <w:rPr>
          <w:rFonts w:ascii="Arial" w:cs="Arial" w:eastAsia="Arial" w:hAnsi="Arial"/>
          <w:sz w:val="14"/>
          <w:szCs w:val="14"/>
          <w:color w:val="auto"/>
        </w:rPr>
        <w:t>In 2023, the Company issued 370,000 Deferred Stock Units ("DSU") to non-employee members of the Board of Directors. DSU awards typically vest in accordance with certain service conditions.</w:t>
      </w: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90" w:name="page91"/>
    <w:bookmarkEnd w:id="90"/>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 xml:space="preserve">Performance Stock Units / Shares ("PSUs"): </w:t>
      </w:r>
      <w:r>
        <w:rPr>
          <w:rFonts w:ascii="Arial" w:cs="Arial" w:eastAsia="Arial" w:hAnsi="Arial"/>
          <w:sz w:val="14"/>
          <w:szCs w:val="14"/>
          <w:color w:val="000000"/>
        </w:rPr>
        <w:t>The Company has granted PSUs under various scenarios including:</w:t>
      </w:r>
    </w:p>
    <w:p>
      <w:pPr>
        <w:spacing w:after="0" w:line="131" w:lineRule="exact"/>
        <w:rPr>
          <w:sz w:val="20"/>
          <w:szCs w:val="20"/>
          <w:color w:val="auto"/>
        </w:rPr>
      </w:pPr>
    </w:p>
    <w:p>
      <w:pPr>
        <w:ind w:left="500" w:right="20" w:hanging="247"/>
        <w:spacing w:after="0" w:line="256" w:lineRule="auto"/>
        <w:tabs>
          <w:tab w:leader="none" w:pos="496" w:val="left"/>
        </w:tabs>
        <w:numPr>
          <w:ilvl w:val="0"/>
          <w:numId w:val="46"/>
        </w:numPr>
        <w:rPr>
          <w:rFonts w:ascii="Arial" w:cs="Arial" w:eastAsia="Arial" w:hAnsi="Arial"/>
          <w:sz w:val="14"/>
          <w:szCs w:val="14"/>
          <w:color w:val="auto"/>
        </w:rPr>
      </w:pPr>
      <w:r>
        <w:rPr>
          <w:rFonts w:ascii="Arial" w:cs="Arial" w:eastAsia="Arial" w:hAnsi="Arial"/>
          <w:sz w:val="14"/>
          <w:szCs w:val="14"/>
          <w:color w:val="auto"/>
        </w:rPr>
        <w:t>PSUs that vest contingent upon its achievement of certain specified financial performance criteria over a three-year period. If the three-year actual results exceed the stated targets, then the plan participants have the potential to earn additional shares of common stock, which cannot exceed 50% of the original grant. The fair value of these PSUs is based upon the market price of Conduent's common stock on the date of the grant. Compensation expense is recognized over the vesting period, which is two years and nine months from the date of grant, based on management's estimate of the number of shares expected to vest. If the stated targets are not met, any recognized compensation cost would be reversed.</w:t>
      </w:r>
    </w:p>
    <w:p>
      <w:pPr>
        <w:spacing w:after="0" w:line="58" w:lineRule="exact"/>
        <w:rPr>
          <w:rFonts w:ascii="Arial" w:cs="Arial" w:eastAsia="Arial" w:hAnsi="Arial"/>
          <w:sz w:val="14"/>
          <w:szCs w:val="14"/>
          <w:color w:val="auto"/>
        </w:rPr>
      </w:pPr>
    </w:p>
    <w:p>
      <w:pPr>
        <w:ind w:left="500" w:right="40" w:hanging="247"/>
        <w:spacing w:after="0" w:line="254" w:lineRule="auto"/>
        <w:tabs>
          <w:tab w:leader="none" w:pos="496" w:val="left"/>
        </w:tabs>
        <w:numPr>
          <w:ilvl w:val="0"/>
          <w:numId w:val="46"/>
        </w:numPr>
        <w:rPr>
          <w:rFonts w:ascii="Arial" w:cs="Arial" w:eastAsia="Arial" w:hAnsi="Arial"/>
          <w:sz w:val="14"/>
          <w:szCs w:val="14"/>
          <w:color w:val="auto"/>
        </w:rPr>
      </w:pPr>
      <w:r>
        <w:rPr>
          <w:rFonts w:ascii="Arial" w:cs="Arial" w:eastAsia="Arial" w:hAnsi="Arial"/>
          <w:sz w:val="14"/>
          <w:szCs w:val="14"/>
          <w:color w:val="auto"/>
        </w:rPr>
        <w:t>PSUs that vest contingent upon the increase of Conduent’s stock price to certain levels over a two year and nine-month period from the date of grant. For PSUs granted in 2023, the number of shares eligible to vest may be adjusted upward or downward by 50% based on a total shareholder return modifier, which measures the Company’s stock performance relative to the stock performance of the Company’s 2023 proxy peers over each measurement period. For PSUs granted in 2022, the number of shares eligible to vest may be adjusted upward or downward by 5% based on a total shareholder return modifier, which measures the Company’s stock performance relative to the stock performance of the Company’s 2022 proxy peers over each measurement period. These PSUs also have a service requirement that must be met for them to vest. The fair value of these PSUs is based upon a Monte Carlo simulation. Compensation expense is recognized over the vesting period based on management's estimate of the number of shares expected to vest.</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0066CC"/>
        </w:rPr>
        <w:t>Summary of Stock-based Compensation Activity</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56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1"/>
                <w:szCs w:val="11"/>
                <w:color w:val="auto"/>
              </w:rPr>
              <w:t>2023</w:t>
            </w:r>
          </w:p>
        </w:tc>
        <w:tc>
          <w:tcPr>
            <w:tcW w:w="8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4"/>
          </w:tcPr>
          <w:p>
            <w:pPr>
              <w:jc w:val="right"/>
              <w:ind w:right="44"/>
              <w:spacing w:after="0"/>
              <w:rPr>
                <w:sz w:val="20"/>
                <w:szCs w:val="20"/>
                <w:color w:val="auto"/>
              </w:rPr>
            </w:pPr>
            <w:r>
              <w:rPr>
                <w:rFonts w:ascii="Arial" w:cs="Arial" w:eastAsia="Arial" w:hAnsi="Arial"/>
                <w:sz w:val="11"/>
                <w:szCs w:val="11"/>
                <w:color w:val="auto"/>
              </w:rPr>
              <w:t>2022</w:t>
            </w:r>
          </w:p>
        </w:tc>
        <w:tc>
          <w:tcPr>
            <w:tcW w:w="11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1"/>
                <w:szCs w:val="11"/>
                <w:color w:val="auto"/>
              </w:rPr>
              <w:t>2021</w:t>
            </w:r>
          </w:p>
        </w:tc>
        <w:tc>
          <w:tcPr>
            <w:tcW w:w="11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9"/>
        </w:trPr>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jc w:val="center"/>
              <w:ind w:left="24"/>
              <w:spacing w:after="0" w:line="109" w:lineRule="exact"/>
              <w:rPr>
                <w:sz w:val="20"/>
                <w:szCs w:val="20"/>
                <w:color w:val="auto"/>
              </w:rPr>
            </w:pPr>
            <w:r>
              <w:rPr>
                <w:rFonts w:ascii="Arial" w:cs="Arial" w:eastAsia="Arial" w:hAnsi="Arial"/>
                <w:sz w:val="11"/>
                <w:szCs w:val="11"/>
                <w:color w:val="auto"/>
                <w:w w:val="98"/>
              </w:rPr>
              <w:t>Weighted</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60" w:type="dxa"/>
            <w:vAlign w:val="bottom"/>
            <w:gridSpan w:val="3"/>
          </w:tcPr>
          <w:p>
            <w:pPr>
              <w:jc w:val="center"/>
              <w:ind w:right="520"/>
              <w:spacing w:after="0" w:line="109" w:lineRule="exact"/>
              <w:rPr>
                <w:sz w:val="20"/>
                <w:szCs w:val="20"/>
                <w:color w:val="auto"/>
              </w:rPr>
            </w:pPr>
            <w:r>
              <w:rPr>
                <w:rFonts w:ascii="Arial" w:cs="Arial" w:eastAsia="Arial" w:hAnsi="Arial"/>
                <w:sz w:val="11"/>
                <w:szCs w:val="11"/>
                <w:color w:val="auto"/>
                <w:w w:val="98"/>
              </w:rPr>
              <w:t>Weighted</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60" w:type="dxa"/>
            <w:vAlign w:val="bottom"/>
            <w:gridSpan w:val="2"/>
          </w:tcPr>
          <w:p>
            <w:pPr>
              <w:jc w:val="center"/>
              <w:ind w:right="520"/>
              <w:spacing w:after="0" w:line="109" w:lineRule="exact"/>
              <w:rPr>
                <w:sz w:val="20"/>
                <w:szCs w:val="20"/>
                <w:color w:val="auto"/>
              </w:rPr>
            </w:pPr>
            <w:r>
              <w:rPr>
                <w:rFonts w:ascii="Arial" w:cs="Arial" w:eastAsia="Arial" w:hAnsi="Arial"/>
                <w:sz w:val="11"/>
                <w:szCs w:val="11"/>
                <w:color w:val="auto"/>
                <w:w w:val="98"/>
              </w:rPr>
              <w:t>Weighted</w:t>
            </w: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jc w:val="center"/>
              <w:ind w:left="44"/>
              <w:spacing w:after="0" w:line="109" w:lineRule="exact"/>
              <w:rPr>
                <w:sz w:val="20"/>
                <w:szCs w:val="20"/>
                <w:color w:val="auto"/>
              </w:rPr>
            </w:pPr>
            <w:r>
              <w:rPr>
                <w:rFonts w:ascii="Arial" w:cs="Arial" w:eastAsia="Arial" w:hAnsi="Arial"/>
                <w:sz w:val="11"/>
                <w:szCs w:val="11"/>
                <w:color w:val="auto"/>
              </w:rPr>
              <w:t>Average Grant</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60" w:type="dxa"/>
            <w:vAlign w:val="bottom"/>
            <w:gridSpan w:val="3"/>
          </w:tcPr>
          <w:p>
            <w:pPr>
              <w:jc w:val="center"/>
              <w:ind w:right="540"/>
              <w:spacing w:after="0" w:line="109" w:lineRule="exact"/>
              <w:rPr>
                <w:sz w:val="20"/>
                <w:szCs w:val="20"/>
                <w:color w:val="auto"/>
              </w:rPr>
            </w:pPr>
            <w:r>
              <w:rPr>
                <w:rFonts w:ascii="Arial" w:cs="Arial" w:eastAsia="Arial" w:hAnsi="Arial"/>
                <w:sz w:val="11"/>
                <w:szCs w:val="11"/>
                <w:color w:val="auto"/>
              </w:rPr>
              <w:t>Average Grant</w:t>
            </w: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60" w:type="dxa"/>
            <w:vAlign w:val="bottom"/>
            <w:gridSpan w:val="2"/>
          </w:tcPr>
          <w:p>
            <w:pPr>
              <w:jc w:val="center"/>
              <w:ind w:right="540"/>
              <w:spacing w:after="0" w:line="109" w:lineRule="exact"/>
              <w:rPr>
                <w:sz w:val="20"/>
                <w:szCs w:val="20"/>
                <w:color w:val="auto"/>
              </w:rPr>
            </w:pPr>
            <w:r>
              <w:rPr>
                <w:rFonts w:ascii="Arial" w:cs="Arial" w:eastAsia="Arial" w:hAnsi="Arial"/>
                <w:sz w:val="11"/>
                <w:szCs w:val="11"/>
                <w:color w:val="auto"/>
              </w:rPr>
              <w:t>Average Grant</w:t>
            </w:r>
          </w:p>
        </w:tc>
        <w:tc>
          <w:tcPr>
            <w:tcW w:w="0" w:type="dxa"/>
            <w:vAlign w:val="bottom"/>
          </w:tcPr>
          <w:p>
            <w:pPr>
              <w:spacing w:after="0"/>
              <w:rPr>
                <w:sz w:val="1"/>
                <w:szCs w:val="1"/>
                <w:color w:val="auto"/>
              </w:rPr>
            </w:pPr>
          </w:p>
        </w:tc>
      </w:tr>
      <w:tr>
        <w:trPr>
          <w:trHeight w:val="115"/>
        </w:trPr>
        <w:tc>
          <w:tcPr>
            <w:tcW w:w="60" w:type="dxa"/>
            <w:vAlign w:val="bottom"/>
          </w:tcPr>
          <w:p>
            <w:pPr>
              <w:spacing w:after="0"/>
              <w:rPr>
                <w:sz w:val="9"/>
                <w:szCs w:val="9"/>
                <w:color w:val="auto"/>
              </w:rPr>
            </w:pPr>
          </w:p>
        </w:tc>
        <w:tc>
          <w:tcPr>
            <w:tcW w:w="2700" w:type="dxa"/>
            <w:vAlign w:val="bottom"/>
            <w:gridSpan w:val="4"/>
            <w:vMerge w:val="restart"/>
          </w:tcPr>
          <w:p>
            <w:pPr>
              <w:spacing w:after="0"/>
              <w:rPr>
                <w:sz w:val="20"/>
                <w:szCs w:val="20"/>
                <w:color w:val="auto"/>
              </w:rPr>
            </w:pPr>
            <w:r>
              <w:rPr>
                <w:rFonts w:ascii="Arial" w:cs="Arial" w:eastAsia="Arial" w:hAnsi="Arial"/>
                <w:sz w:val="11"/>
                <w:szCs w:val="11"/>
                <w:color w:val="auto"/>
              </w:rPr>
              <w:t>(shares in thousands)</w:t>
            </w:r>
          </w:p>
        </w:tc>
        <w:tc>
          <w:tcPr>
            <w:tcW w:w="1280" w:type="dxa"/>
            <w:vAlign w:val="bottom"/>
            <w:vMerge w:val="restart"/>
          </w:tcPr>
          <w:p>
            <w:pPr>
              <w:jc w:val="right"/>
              <w:ind w:right="404"/>
              <w:spacing w:after="0"/>
              <w:rPr>
                <w:sz w:val="20"/>
                <w:szCs w:val="20"/>
                <w:color w:val="auto"/>
              </w:rPr>
            </w:pPr>
            <w:r>
              <w:rPr>
                <w:rFonts w:ascii="Arial" w:cs="Arial" w:eastAsia="Arial" w:hAnsi="Arial"/>
                <w:sz w:val="11"/>
                <w:szCs w:val="11"/>
                <w:color w:val="auto"/>
              </w:rPr>
              <w:t>Shares</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jc w:val="center"/>
              <w:ind w:left="24"/>
              <w:spacing w:after="0" w:line="115" w:lineRule="exact"/>
              <w:rPr>
                <w:sz w:val="20"/>
                <w:szCs w:val="20"/>
                <w:color w:val="auto"/>
              </w:rPr>
            </w:pPr>
            <w:r>
              <w:rPr>
                <w:rFonts w:ascii="Arial" w:cs="Arial" w:eastAsia="Arial" w:hAnsi="Arial"/>
                <w:sz w:val="11"/>
                <w:szCs w:val="11"/>
                <w:color w:val="auto"/>
              </w:rPr>
              <w:t>Date Fair</w:t>
            </w: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vMerge w:val="restart"/>
          </w:tcPr>
          <w:p>
            <w:pPr>
              <w:ind w:left="460"/>
              <w:spacing w:after="0"/>
              <w:rPr>
                <w:sz w:val="20"/>
                <w:szCs w:val="20"/>
                <w:color w:val="auto"/>
              </w:rPr>
            </w:pPr>
            <w:r>
              <w:rPr>
                <w:rFonts w:ascii="Arial" w:cs="Arial" w:eastAsia="Arial" w:hAnsi="Arial"/>
                <w:sz w:val="11"/>
                <w:szCs w:val="11"/>
                <w:color w:val="auto"/>
              </w:rPr>
              <w:t>Shares</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60" w:type="dxa"/>
            <w:vAlign w:val="bottom"/>
            <w:gridSpan w:val="3"/>
          </w:tcPr>
          <w:p>
            <w:pPr>
              <w:jc w:val="center"/>
              <w:ind w:right="520"/>
              <w:spacing w:after="0" w:line="115" w:lineRule="exact"/>
              <w:rPr>
                <w:sz w:val="20"/>
                <w:szCs w:val="20"/>
                <w:color w:val="auto"/>
              </w:rPr>
            </w:pPr>
            <w:r>
              <w:rPr>
                <w:rFonts w:ascii="Arial" w:cs="Arial" w:eastAsia="Arial" w:hAnsi="Arial"/>
                <w:sz w:val="11"/>
                <w:szCs w:val="11"/>
                <w:color w:val="auto"/>
              </w:rPr>
              <w:t>Date Fair</w:t>
            </w:r>
          </w:p>
        </w:tc>
        <w:tc>
          <w:tcPr>
            <w:tcW w:w="1020" w:type="dxa"/>
            <w:vAlign w:val="bottom"/>
            <w:gridSpan w:val="3"/>
            <w:vMerge w:val="restart"/>
          </w:tcPr>
          <w:p>
            <w:pPr>
              <w:jc w:val="right"/>
              <w:ind w:right="404"/>
              <w:spacing w:after="0"/>
              <w:rPr>
                <w:sz w:val="20"/>
                <w:szCs w:val="20"/>
                <w:color w:val="auto"/>
              </w:rPr>
            </w:pPr>
            <w:r>
              <w:rPr>
                <w:rFonts w:ascii="Arial" w:cs="Arial" w:eastAsia="Arial" w:hAnsi="Arial"/>
                <w:sz w:val="11"/>
                <w:szCs w:val="11"/>
                <w:color w:val="auto"/>
              </w:rPr>
              <w:t>Shares</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60" w:type="dxa"/>
            <w:vAlign w:val="bottom"/>
            <w:gridSpan w:val="2"/>
          </w:tcPr>
          <w:p>
            <w:pPr>
              <w:jc w:val="center"/>
              <w:ind w:right="520"/>
              <w:spacing w:after="0" w:line="115" w:lineRule="exact"/>
              <w:rPr>
                <w:sz w:val="20"/>
                <w:szCs w:val="20"/>
                <w:color w:val="auto"/>
              </w:rPr>
            </w:pPr>
            <w:r>
              <w:rPr>
                <w:rFonts w:ascii="Arial" w:cs="Arial" w:eastAsia="Arial" w:hAnsi="Arial"/>
                <w:sz w:val="11"/>
                <w:szCs w:val="11"/>
                <w:color w:val="auto"/>
              </w:rPr>
              <w:t>Date Fair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2700" w:type="dxa"/>
            <w:vAlign w:val="bottom"/>
            <w:gridSpan w:val="4"/>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jc w:val="center"/>
              <w:ind w:left="44"/>
              <w:spacing w:after="0" w:line="121" w:lineRule="exact"/>
              <w:rPr>
                <w:sz w:val="20"/>
                <w:szCs w:val="20"/>
                <w:color w:val="auto"/>
              </w:rPr>
            </w:pPr>
            <w:r>
              <w:rPr>
                <w:rFonts w:ascii="Arial" w:cs="Arial" w:eastAsia="Arial" w:hAnsi="Arial"/>
                <w:sz w:val="11"/>
                <w:szCs w:val="11"/>
                <w:color w:val="auto"/>
                <w:w w:val="99"/>
              </w:rPr>
              <w:t>Value</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3"/>
          </w:tcPr>
          <w:p>
            <w:pPr>
              <w:jc w:val="center"/>
              <w:ind w:right="540"/>
              <w:spacing w:after="0" w:line="121" w:lineRule="exact"/>
              <w:rPr>
                <w:sz w:val="20"/>
                <w:szCs w:val="20"/>
                <w:color w:val="auto"/>
              </w:rPr>
            </w:pPr>
            <w:r>
              <w:rPr>
                <w:rFonts w:ascii="Arial" w:cs="Arial" w:eastAsia="Arial" w:hAnsi="Arial"/>
                <w:sz w:val="11"/>
                <w:szCs w:val="11"/>
                <w:color w:val="auto"/>
                <w:w w:val="99"/>
              </w:rPr>
              <w:t>Value</w:t>
            </w:r>
          </w:p>
        </w:tc>
        <w:tc>
          <w:tcPr>
            <w:tcW w:w="10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tcPr>
          <w:p>
            <w:pPr>
              <w:jc w:val="center"/>
              <w:ind w:right="540"/>
              <w:spacing w:after="0" w:line="121" w:lineRule="exact"/>
              <w:rPr>
                <w:sz w:val="20"/>
                <w:szCs w:val="20"/>
                <w:color w:val="auto"/>
              </w:rPr>
            </w:pPr>
            <w:r>
              <w:rPr>
                <w:rFonts w:ascii="Arial" w:cs="Arial" w:eastAsia="Arial" w:hAnsi="Arial"/>
                <w:sz w:val="11"/>
                <w:szCs w:val="11"/>
                <w:color w:val="auto"/>
                <w:w w:val="99"/>
              </w:rPr>
              <w:t>Value</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60" w:type="dxa"/>
            <w:vAlign w:val="bottom"/>
            <w:tcBorders>
              <w:top w:val="single" w:sz="8" w:color="auto"/>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0" w:type="dxa"/>
            <w:vAlign w:val="bottom"/>
            <w:tcBorders>
              <w:right w:val="single" w:sz="8" w:color="CCEEFF"/>
            </w:tcBorders>
          </w:tcPr>
          <w:p>
            <w:pPr>
              <w:spacing w:after="0"/>
              <w:rPr>
                <w:sz w:val="8"/>
                <w:szCs w:val="8"/>
                <w:color w:val="auto"/>
              </w:rPr>
            </w:pPr>
          </w:p>
        </w:tc>
        <w:tc>
          <w:tcPr>
            <w:tcW w:w="2700" w:type="dxa"/>
            <w:vAlign w:val="bottom"/>
            <w:gridSpan w:val="4"/>
            <w:shd w:val="clear" w:color="auto" w:fill="CCEEFF"/>
          </w:tcPr>
          <w:p>
            <w:pPr>
              <w:spacing w:after="0" w:line="96" w:lineRule="exact"/>
              <w:rPr>
                <w:sz w:val="20"/>
                <w:szCs w:val="20"/>
                <w:color w:val="auto"/>
              </w:rPr>
            </w:pPr>
            <w:r>
              <w:rPr>
                <w:rFonts w:ascii="Arial" w:cs="Arial" w:eastAsia="Arial" w:hAnsi="Arial"/>
                <w:sz w:val="11"/>
                <w:szCs w:val="11"/>
                <w:b w:val="1"/>
                <w:bCs w:val="1"/>
                <w:color w:val="auto"/>
              </w:rPr>
              <w:t>Restricted Stock Units / Shares</w:t>
            </w:r>
          </w:p>
        </w:tc>
        <w:tc>
          <w:tcPr>
            <w:tcW w:w="12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120" w:type="dxa"/>
            <w:vAlign w:val="bottom"/>
            <w:shd w:val="clear" w:color="auto" w:fill="CCEEFF"/>
          </w:tcPr>
          <w:p>
            <w:pPr>
              <w:spacing w:after="0"/>
              <w:rPr>
                <w:sz w:val="8"/>
                <w:szCs w:val="8"/>
                <w:color w:val="auto"/>
              </w:rPr>
            </w:pP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1"/>
        </w:trPr>
        <w:tc>
          <w:tcPr>
            <w:tcW w:w="60" w:type="dxa"/>
            <w:vAlign w:val="bottom"/>
            <w:tcBorders>
              <w:right w:val="single" w:sz="8" w:color="CCEEFF"/>
            </w:tcBorders>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2"/>
        </w:trPr>
        <w:tc>
          <w:tcPr>
            <w:tcW w:w="60" w:type="dxa"/>
            <w:vAlign w:val="bottom"/>
          </w:tcPr>
          <w:p>
            <w:pPr>
              <w:spacing w:after="0"/>
              <w:rPr>
                <w:sz w:val="13"/>
                <w:szCs w:val="13"/>
                <w:color w:val="auto"/>
              </w:rPr>
            </w:pPr>
          </w:p>
        </w:tc>
        <w:tc>
          <w:tcPr>
            <w:tcW w:w="2700" w:type="dxa"/>
            <w:vAlign w:val="bottom"/>
            <w:gridSpan w:val="4"/>
          </w:tcPr>
          <w:p>
            <w:pPr>
              <w:spacing w:after="0"/>
              <w:rPr>
                <w:sz w:val="20"/>
                <w:szCs w:val="20"/>
                <w:color w:val="auto"/>
              </w:rPr>
            </w:pPr>
            <w:r>
              <w:rPr>
                <w:rFonts w:ascii="Arial" w:cs="Arial" w:eastAsia="Arial" w:hAnsi="Arial"/>
                <w:sz w:val="11"/>
                <w:szCs w:val="11"/>
                <w:color w:val="auto"/>
              </w:rPr>
              <w:t>Outstanding at January 1</w:t>
            </w:r>
          </w:p>
        </w:tc>
        <w:tc>
          <w:tcPr>
            <w:tcW w:w="1280" w:type="dxa"/>
            <w:vAlign w:val="bottom"/>
          </w:tcPr>
          <w:p>
            <w:pPr>
              <w:jc w:val="right"/>
              <w:ind w:right="4"/>
              <w:spacing w:after="0"/>
              <w:rPr>
                <w:sz w:val="20"/>
                <w:szCs w:val="20"/>
                <w:color w:val="auto"/>
              </w:rPr>
            </w:pPr>
            <w:r>
              <w:rPr>
                <w:rFonts w:ascii="Arial" w:cs="Arial" w:eastAsia="Arial" w:hAnsi="Arial"/>
                <w:sz w:val="11"/>
                <w:szCs w:val="11"/>
                <w:color w:val="auto"/>
              </w:rPr>
              <w:t>3,165</w:t>
            </w:r>
          </w:p>
        </w:tc>
        <w:tc>
          <w:tcPr>
            <w:tcW w:w="28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820" w:type="dxa"/>
            <w:vAlign w:val="bottom"/>
          </w:tcPr>
          <w:p>
            <w:pPr>
              <w:spacing w:after="0"/>
              <w:rPr>
                <w:sz w:val="13"/>
                <w:szCs w:val="13"/>
                <w:color w:val="auto"/>
              </w:rPr>
            </w:pPr>
          </w:p>
        </w:tc>
        <w:tc>
          <w:tcPr>
            <w:tcW w:w="280" w:type="dxa"/>
            <w:vAlign w:val="bottom"/>
          </w:tcPr>
          <w:p>
            <w:pPr>
              <w:jc w:val="right"/>
              <w:ind w:right="4"/>
              <w:spacing w:after="0"/>
              <w:rPr>
                <w:sz w:val="20"/>
                <w:szCs w:val="20"/>
                <w:color w:val="auto"/>
              </w:rPr>
            </w:pPr>
            <w:r>
              <w:rPr>
                <w:rFonts w:ascii="Arial" w:cs="Arial" w:eastAsia="Arial" w:hAnsi="Arial"/>
                <w:sz w:val="11"/>
                <w:szCs w:val="11"/>
                <w:color w:val="auto"/>
                <w:w w:val="93"/>
              </w:rPr>
              <w:t>5.39</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3,792</w:t>
            </w:r>
          </w:p>
        </w:tc>
        <w:tc>
          <w:tcPr>
            <w:tcW w:w="280" w:type="dxa"/>
            <w:vAlign w:val="bottom"/>
            <w:gridSpan w:val="2"/>
          </w:tcPr>
          <w:p>
            <w:pPr>
              <w:jc w:val="right"/>
              <w:ind w:right="44"/>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4"/>
              <w:spacing w:after="0"/>
              <w:rPr>
                <w:sz w:val="20"/>
                <w:szCs w:val="20"/>
                <w:color w:val="auto"/>
              </w:rPr>
            </w:pPr>
            <w:r>
              <w:rPr>
                <w:rFonts w:ascii="Arial" w:cs="Arial" w:eastAsia="Arial" w:hAnsi="Arial"/>
                <w:sz w:val="11"/>
                <w:szCs w:val="11"/>
                <w:color w:val="auto"/>
              </w:rPr>
              <w:t>4.57</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3"/>
          </w:tcPr>
          <w:p>
            <w:pPr>
              <w:jc w:val="right"/>
              <w:spacing w:after="0"/>
              <w:rPr>
                <w:sz w:val="20"/>
                <w:szCs w:val="20"/>
                <w:color w:val="auto"/>
              </w:rPr>
            </w:pPr>
            <w:r>
              <w:rPr>
                <w:rFonts w:ascii="Arial" w:cs="Arial" w:eastAsia="Arial" w:hAnsi="Arial"/>
                <w:sz w:val="11"/>
                <w:szCs w:val="11"/>
                <w:color w:val="auto"/>
              </w:rPr>
              <w:t>5,620</w:t>
            </w:r>
          </w:p>
        </w:tc>
        <w:tc>
          <w:tcPr>
            <w:tcW w:w="280" w:type="dxa"/>
            <w:vAlign w:val="bottom"/>
            <w:gridSpan w:val="2"/>
          </w:tcPr>
          <w:p>
            <w:pPr>
              <w:jc w:val="right"/>
              <w:ind w:right="100"/>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4"/>
              <w:spacing w:after="0"/>
              <w:rPr>
                <w:sz w:val="20"/>
                <w:szCs w:val="20"/>
                <w:color w:val="auto"/>
              </w:rPr>
            </w:pPr>
            <w:r>
              <w:rPr>
                <w:rFonts w:ascii="Arial" w:cs="Arial" w:eastAsia="Arial" w:hAnsi="Arial"/>
                <w:sz w:val="11"/>
                <w:szCs w:val="11"/>
                <w:color w:val="auto"/>
              </w:rPr>
              <w:t>3.49</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 w:type="dxa"/>
            <w:vAlign w:val="bottom"/>
            <w:tcBorders>
              <w:right w:val="single" w:sz="8" w:color="CCEEFF"/>
            </w:tcBorders>
          </w:tcPr>
          <w:p>
            <w:pPr>
              <w:spacing w:after="0"/>
              <w:rPr>
                <w:sz w:val="13"/>
                <w:szCs w:val="13"/>
                <w:color w:val="auto"/>
              </w:rPr>
            </w:pPr>
          </w:p>
        </w:tc>
        <w:tc>
          <w:tcPr>
            <w:tcW w:w="2700" w:type="dxa"/>
            <w:vAlign w:val="bottom"/>
            <w:gridSpan w:val="4"/>
            <w:shd w:val="clear" w:color="auto" w:fill="CCEEFF"/>
          </w:tcPr>
          <w:p>
            <w:pPr>
              <w:spacing w:after="0"/>
              <w:rPr>
                <w:sz w:val="20"/>
                <w:szCs w:val="20"/>
                <w:color w:val="auto"/>
              </w:rPr>
            </w:pPr>
            <w:r>
              <w:rPr>
                <w:rFonts w:ascii="Arial" w:cs="Arial" w:eastAsia="Arial" w:hAnsi="Arial"/>
                <w:sz w:val="11"/>
                <w:szCs w:val="11"/>
                <w:color w:val="auto"/>
              </w:rPr>
              <w:t>Granted</w:t>
            </w: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5,418</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3"/>
              </w:rPr>
              <w:t>3.51</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3,431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5.15</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2,677</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6.65</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700" w:type="dxa"/>
            <w:vAlign w:val="bottom"/>
            <w:gridSpan w:val="4"/>
          </w:tcPr>
          <w:p>
            <w:pPr>
              <w:spacing w:after="0"/>
              <w:rPr>
                <w:sz w:val="20"/>
                <w:szCs w:val="20"/>
                <w:color w:val="auto"/>
              </w:rPr>
            </w:pPr>
            <w:r>
              <w:rPr>
                <w:rFonts w:ascii="Arial" w:cs="Arial" w:eastAsia="Arial" w:hAnsi="Arial"/>
                <w:sz w:val="11"/>
                <w:szCs w:val="11"/>
                <w:color w:val="auto"/>
              </w:rPr>
              <w:t>Vested</w:t>
            </w:r>
          </w:p>
        </w:tc>
        <w:tc>
          <w:tcPr>
            <w:tcW w:w="1280" w:type="dxa"/>
            <w:vAlign w:val="bottom"/>
          </w:tcPr>
          <w:p>
            <w:pPr>
              <w:jc w:val="right"/>
              <w:spacing w:after="0"/>
              <w:rPr>
                <w:sz w:val="20"/>
                <w:szCs w:val="20"/>
                <w:color w:val="auto"/>
              </w:rPr>
            </w:pPr>
            <w:r>
              <w:rPr>
                <w:rFonts w:ascii="Arial" w:cs="Arial" w:eastAsia="Arial" w:hAnsi="Arial"/>
                <w:sz w:val="11"/>
                <w:szCs w:val="11"/>
                <w:color w:val="auto"/>
              </w:rPr>
              <w:t>(3,103)</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jc w:val="right"/>
              <w:ind w:right="4"/>
              <w:spacing w:after="0"/>
              <w:rPr>
                <w:sz w:val="20"/>
                <w:szCs w:val="20"/>
                <w:color w:val="auto"/>
              </w:rPr>
            </w:pPr>
            <w:r>
              <w:rPr>
                <w:rFonts w:ascii="Arial" w:cs="Arial" w:eastAsia="Arial" w:hAnsi="Arial"/>
                <w:sz w:val="11"/>
                <w:szCs w:val="11"/>
                <w:color w:val="auto"/>
                <w:w w:val="93"/>
              </w:rPr>
              <w:t>4.49</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1"/>
                <w:szCs w:val="11"/>
                <w:color w:val="auto"/>
              </w:rPr>
              <w:t>(3,238)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4"/>
              <w:spacing w:after="0"/>
              <w:rPr>
                <w:sz w:val="20"/>
                <w:szCs w:val="20"/>
                <w:color w:val="auto"/>
              </w:rPr>
            </w:pPr>
            <w:r>
              <w:rPr>
                <w:rFonts w:ascii="Arial" w:cs="Arial" w:eastAsia="Arial" w:hAnsi="Arial"/>
                <w:sz w:val="11"/>
                <w:szCs w:val="11"/>
                <w:color w:val="auto"/>
              </w:rPr>
              <w:t>4.38</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3"/>
          </w:tcPr>
          <w:p>
            <w:pPr>
              <w:jc w:val="right"/>
              <w:spacing w:after="0"/>
              <w:rPr>
                <w:sz w:val="20"/>
                <w:szCs w:val="20"/>
                <w:color w:val="auto"/>
              </w:rPr>
            </w:pPr>
            <w:r>
              <w:rPr>
                <w:rFonts w:ascii="Arial" w:cs="Arial" w:eastAsia="Arial" w:hAnsi="Arial"/>
                <w:sz w:val="11"/>
                <w:szCs w:val="11"/>
                <w:color w:val="auto"/>
              </w:rPr>
              <w:t>(3,117)</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4"/>
              <w:spacing w:after="0"/>
              <w:rPr>
                <w:sz w:val="20"/>
                <w:szCs w:val="20"/>
                <w:color w:val="auto"/>
              </w:rPr>
            </w:pPr>
            <w:r>
              <w:rPr>
                <w:rFonts w:ascii="Arial" w:cs="Arial" w:eastAsia="Arial" w:hAnsi="Arial"/>
                <w:sz w:val="11"/>
                <w:szCs w:val="11"/>
                <w:color w:val="auto"/>
              </w:rPr>
              <w:t>4.69</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 w:type="dxa"/>
            <w:vAlign w:val="bottom"/>
            <w:tcBorders>
              <w:right w:val="single" w:sz="8" w:color="CCEEFF"/>
            </w:tcBorders>
          </w:tcPr>
          <w:p>
            <w:pPr>
              <w:spacing w:after="0"/>
              <w:rPr>
                <w:sz w:val="13"/>
                <w:szCs w:val="13"/>
                <w:color w:val="auto"/>
              </w:rPr>
            </w:pPr>
          </w:p>
        </w:tc>
        <w:tc>
          <w:tcPr>
            <w:tcW w:w="2700" w:type="dxa"/>
            <w:vAlign w:val="bottom"/>
            <w:gridSpan w:val="4"/>
            <w:shd w:val="clear" w:color="auto" w:fill="CCEEFF"/>
          </w:tcPr>
          <w:p>
            <w:pPr>
              <w:spacing w:after="0"/>
              <w:rPr>
                <w:sz w:val="20"/>
                <w:szCs w:val="20"/>
                <w:color w:val="auto"/>
              </w:rPr>
            </w:pPr>
            <w:r>
              <w:rPr>
                <w:rFonts w:ascii="Arial" w:cs="Arial" w:eastAsia="Arial" w:hAnsi="Arial"/>
                <w:sz w:val="11"/>
                <w:szCs w:val="11"/>
                <w:color w:val="auto"/>
              </w:rPr>
              <w:t>Canceled</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(449)</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3"/>
              </w:rPr>
              <w:t>4.26</w:t>
            </w:r>
          </w:p>
        </w:tc>
        <w:tc>
          <w:tcPr>
            <w:tcW w:w="100" w:type="dxa"/>
            <w:vAlign w:val="bottom"/>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(820)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4.56</w:t>
            </w:r>
          </w:p>
        </w:tc>
        <w:tc>
          <w:tcPr>
            <w:tcW w:w="8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rPr>
              <w:t>(1,388)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3.96</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60" w:type="dxa"/>
            <w:vAlign w:val="bottom"/>
          </w:tcPr>
          <w:p>
            <w:pPr>
              <w:spacing w:after="0"/>
              <w:rPr>
                <w:sz w:val="13"/>
                <w:szCs w:val="13"/>
                <w:color w:val="auto"/>
              </w:rPr>
            </w:pPr>
          </w:p>
        </w:tc>
        <w:tc>
          <w:tcPr>
            <w:tcW w:w="2700" w:type="dxa"/>
            <w:vAlign w:val="bottom"/>
            <w:gridSpan w:val="4"/>
          </w:tcPr>
          <w:p>
            <w:pPr>
              <w:spacing w:after="0"/>
              <w:rPr>
                <w:sz w:val="20"/>
                <w:szCs w:val="20"/>
                <w:color w:val="auto"/>
              </w:rPr>
            </w:pPr>
            <w:r>
              <w:rPr>
                <w:rFonts w:ascii="Arial" w:cs="Arial" w:eastAsia="Arial" w:hAnsi="Arial"/>
                <w:sz w:val="11"/>
                <w:szCs w:val="11"/>
                <w:b w:val="1"/>
                <w:bCs w:val="1"/>
                <w:color w:val="auto"/>
              </w:rPr>
              <w:t>Outstanding at December 31</w:t>
            </w:r>
          </w:p>
        </w:tc>
        <w:tc>
          <w:tcPr>
            <w:tcW w:w="128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5,031</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jc w:val="right"/>
              <w:ind w:right="4"/>
              <w:spacing w:after="0"/>
              <w:rPr>
                <w:sz w:val="20"/>
                <w:szCs w:val="20"/>
                <w:color w:val="auto"/>
              </w:rPr>
            </w:pPr>
            <w:r>
              <w:rPr>
                <w:rFonts w:ascii="Arial" w:cs="Arial" w:eastAsia="Arial" w:hAnsi="Arial"/>
                <w:sz w:val="11"/>
                <w:szCs w:val="11"/>
                <w:color w:val="auto"/>
                <w:w w:val="93"/>
              </w:rPr>
              <w:t>4.02</w:t>
            </w:r>
          </w:p>
        </w:tc>
        <w:tc>
          <w:tcPr>
            <w:tcW w:w="1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1"/>
                <w:szCs w:val="11"/>
                <w:color w:val="auto"/>
              </w:rPr>
              <w:t>3,165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4"/>
              <w:spacing w:after="0"/>
              <w:rPr>
                <w:sz w:val="20"/>
                <w:szCs w:val="20"/>
                <w:color w:val="auto"/>
              </w:rPr>
            </w:pPr>
            <w:r>
              <w:rPr>
                <w:rFonts w:ascii="Arial" w:cs="Arial" w:eastAsia="Arial" w:hAnsi="Arial"/>
                <w:sz w:val="11"/>
                <w:szCs w:val="11"/>
                <w:color w:val="auto"/>
              </w:rPr>
              <w:t>5.39</w:t>
            </w: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3,792</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4"/>
              <w:spacing w:after="0"/>
              <w:rPr>
                <w:sz w:val="20"/>
                <w:szCs w:val="20"/>
                <w:color w:val="auto"/>
              </w:rPr>
            </w:pPr>
            <w:r>
              <w:rPr>
                <w:rFonts w:ascii="Arial" w:cs="Arial" w:eastAsia="Arial" w:hAnsi="Arial"/>
                <w:sz w:val="11"/>
                <w:szCs w:val="11"/>
                <w:color w:val="auto"/>
              </w:rPr>
              <w:t>4.57</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0" w:type="dxa"/>
            <w:vAlign w:val="bottom"/>
            <w:tcBorders>
              <w:right w:val="single" w:sz="8" w:color="CCEEFF"/>
            </w:tcBorders>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60" w:type="dxa"/>
            <w:vAlign w:val="bottom"/>
          </w:tcPr>
          <w:p>
            <w:pPr>
              <w:spacing w:after="0"/>
              <w:rPr>
                <w:sz w:val="10"/>
                <w:szCs w:val="10"/>
                <w:color w:val="auto"/>
              </w:rPr>
            </w:pPr>
          </w:p>
        </w:tc>
        <w:tc>
          <w:tcPr>
            <w:tcW w:w="270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Performance Stock Units / Shares</w:t>
            </w:r>
          </w:p>
        </w:tc>
        <w:tc>
          <w:tcPr>
            <w:tcW w:w="1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
        </w:trPr>
        <w:tc>
          <w:tcPr>
            <w:tcW w:w="6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60" w:type="dxa"/>
            <w:vAlign w:val="bottom"/>
            <w:tcBorders>
              <w:right w:val="single" w:sz="8" w:color="CCEEFF"/>
            </w:tcBorders>
          </w:tcPr>
          <w:p>
            <w:pPr>
              <w:spacing w:after="0"/>
              <w:rPr>
                <w:sz w:val="14"/>
                <w:szCs w:val="14"/>
                <w:color w:val="auto"/>
              </w:rPr>
            </w:pPr>
          </w:p>
        </w:tc>
        <w:tc>
          <w:tcPr>
            <w:tcW w:w="2700" w:type="dxa"/>
            <w:vAlign w:val="bottom"/>
            <w:gridSpan w:val="4"/>
            <w:shd w:val="clear" w:color="auto" w:fill="CCEEFF"/>
          </w:tcPr>
          <w:p>
            <w:pPr>
              <w:spacing w:after="0"/>
              <w:rPr>
                <w:sz w:val="20"/>
                <w:szCs w:val="20"/>
                <w:color w:val="auto"/>
              </w:rPr>
            </w:pPr>
            <w:r>
              <w:rPr>
                <w:rFonts w:ascii="Arial" w:cs="Arial" w:eastAsia="Arial" w:hAnsi="Arial"/>
                <w:sz w:val="11"/>
                <w:szCs w:val="11"/>
                <w:color w:val="auto"/>
              </w:rPr>
              <w:t>Outstanding at January 1</w:t>
            </w:r>
          </w:p>
        </w:tc>
        <w:tc>
          <w:tcPr>
            <w:tcW w:w="12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3,097</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3"/>
              </w:rPr>
              <w:t>5.16</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3,609</w:t>
            </w:r>
          </w:p>
        </w:tc>
        <w:tc>
          <w:tcPr>
            <w:tcW w:w="280" w:type="dxa"/>
            <w:vAlign w:val="bottom"/>
            <w:gridSpan w:val="2"/>
            <w:shd w:val="clear" w:color="auto" w:fill="CCEEFF"/>
          </w:tcPr>
          <w:p>
            <w:pPr>
              <w:jc w:val="right"/>
              <w:ind w:right="44"/>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4.71</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5,453</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1"/>
                <w:szCs w:val="11"/>
                <w:color w:val="auto"/>
              </w:rPr>
              <w:t>$</w:t>
            </w: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3.83</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700" w:type="dxa"/>
            <w:vAlign w:val="bottom"/>
            <w:gridSpan w:val="4"/>
          </w:tcPr>
          <w:p>
            <w:pPr>
              <w:spacing w:after="0"/>
              <w:rPr>
                <w:sz w:val="20"/>
                <w:szCs w:val="20"/>
                <w:color w:val="auto"/>
              </w:rPr>
            </w:pPr>
            <w:r>
              <w:rPr>
                <w:rFonts w:ascii="Arial" w:cs="Arial" w:eastAsia="Arial" w:hAnsi="Arial"/>
                <w:sz w:val="11"/>
                <w:szCs w:val="11"/>
                <w:color w:val="auto"/>
              </w:rPr>
              <w:t>Granted</w:t>
            </w:r>
          </w:p>
        </w:tc>
        <w:tc>
          <w:tcPr>
            <w:tcW w:w="1280" w:type="dxa"/>
            <w:vAlign w:val="bottom"/>
          </w:tcPr>
          <w:p>
            <w:pPr>
              <w:jc w:val="right"/>
              <w:ind w:right="4"/>
              <w:spacing w:after="0"/>
              <w:rPr>
                <w:sz w:val="20"/>
                <w:szCs w:val="20"/>
                <w:color w:val="auto"/>
              </w:rPr>
            </w:pPr>
            <w:r>
              <w:rPr>
                <w:rFonts w:ascii="Arial" w:cs="Arial" w:eastAsia="Arial" w:hAnsi="Arial"/>
                <w:sz w:val="11"/>
                <w:szCs w:val="11"/>
                <w:color w:val="auto"/>
              </w:rPr>
              <w:t>3,052</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jc w:val="right"/>
              <w:ind w:right="4"/>
              <w:spacing w:after="0"/>
              <w:rPr>
                <w:sz w:val="20"/>
                <w:szCs w:val="20"/>
                <w:color w:val="auto"/>
              </w:rPr>
            </w:pPr>
            <w:r>
              <w:rPr>
                <w:rFonts w:ascii="Arial" w:cs="Arial" w:eastAsia="Arial" w:hAnsi="Arial"/>
                <w:sz w:val="11"/>
                <w:szCs w:val="11"/>
                <w:color w:val="auto"/>
                <w:w w:val="93"/>
              </w:rPr>
              <w:t>3.27</w:t>
            </w: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1"/>
                <w:szCs w:val="11"/>
                <w:color w:val="auto"/>
              </w:rPr>
              <w:t>2,186</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4"/>
              <w:spacing w:after="0"/>
              <w:rPr>
                <w:sz w:val="20"/>
                <w:szCs w:val="20"/>
                <w:color w:val="auto"/>
              </w:rPr>
            </w:pPr>
            <w:r>
              <w:rPr>
                <w:rFonts w:ascii="Arial" w:cs="Arial" w:eastAsia="Arial" w:hAnsi="Arial"/>
                <w:sz w:val="11"/>
                <w:szCs w:val="11"/>
                <w:color w:val="auto"/>
              </w:rPr>
              <w:t>4.80</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gridSpan w:val="3"/>
          </w:tcPr>
          <w:p>
            <w:pPr>
              <w:jc w:val="right"/>
              <w:spacing w:after="0"/>
              <w:rPr>
                <w:sz w:val="20"/>
                <w:szCs w:val="20"/>
                <w:color w:val="auto"/>
              </w:rPr>
            </w:pPr>
            <w:r>
              <w:rPr>
                <w:rFonts w:ascii="Arial" w:cs="Arial" w:eastAsia="Arial" w:hAnsi="Arial"/>
                <w:sz w:val="11"/>
                <w:szCs w:val="11"/>
                <w:color w:val="auto"/>
              </w:rPr>
              <w:t>1,545</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jc w:val="right"/>
              <w:ind w:right="4"/>
              <w:spacing w:after="0"/>
              <w:rPr>
                <w:sz w:val="20"/>
                <w:szCs w:val="20"/>
                <w:color w:val="auto"/>
              </w:rPr>
            </w:pPr>
            <w:r>
              <w:rPr>
                <w:rFonts w:ascii="Arial" w:cs="Arial" w:eastAsia="Arial" w:hAnsi="Arial"/>
                <w:sz w:val="11"/>
                <w:szCs w:val="11"/>
                <w:color w:val="auto"/>
              </w:rPr>
              <w:t>6.54</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60" w:type="dxa"/>
            <w:vAlign w:val="bottom"/>
            <w:tcBorders>
              <w:right w:val="single" w:sz="8" w:color="CCEEFF"/>
            </w:tcBorders>
          </w:tcPr>
          <w:p>
            <w:pPr>
              <w:spacing w:after="0"/>
              <w:rPr>
                <w:sz w:val="13"/>
                <w:szCs w:val="13"/>
                <w:color w:val="auto"/>
              </w:rPr>
            </w:pPr>
          </w:p>
        </w:tc>
        <w:tc>
          <w:tcPr>
            <w:tcW w:w="2700" w:type="dxa"/>
            <w:vAlign w:val="bottom"/>
            <w:gridSpan w:val="4"/>
            <w:shd w:val="clear" w:color="auto" w:fill="CCEEFF"/>
          </w:tcPr>
          <w:p>
            <w:pPr>
              <w:spacing w:after="0"/>
              <w:rPr>
                <w:sz w:val="20"/>
                <w:szCs w:val="20"/>
                <w:color w:val="auto"/>
              </w:rPr>
            </w:pPr>
            <w:r>
              <w:rPr>
                <w:rFonts w:ascii="Arial" w:cs="Arial" w:eastAsia="Arial" w:hAnsi="Arial"/>
                <w:sz w:val="11"/>
                <w:szCs w:val="11"/>
                <w:color w:val="auto"/>
              </w:rPr>
              <w:t>Vested</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(49)</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8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w w:val="93"/>
              </w:rPr>
              <w:t>1.39</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(1,688)</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2.02</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(1,945)</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3.37</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60" w:type="dxa"/>
            <w:vAlign w:val="bottom"/>
          </w:tcPr>
          <w:p>
            <w:pPr>
              <w:spacing w:after="0"/>
              <w:rPr>
                <w:sz w:val="13"/>
                <w:szCs w:val="13"/>
                <w:color w:val="auto"/>
              </w:rPr>
            </w:pPr>
          </w:p>
        </w:tc>
        <w:tc>
          <w:tcPr>
            <w:tcW w:w="2700" w:type="dxa"/>
            <w:vAlign w:val="bottom"/>
            <w:tcBorders>
              <w:bottom w:val="single" w:sz="8" w:color="CCEEFF"/>
            </w:tcBorders>
            <w:gridSpan w:val="4"/>
          </w:tcPr>
          <w:p>
            <w:pPr>
              <w:spacing w:after="0"/>
              <w:rPr>
                <w:sz w:val="20"/>
                <w:szCs w:val="20"/>
                <w:color w:val="auto"/>
              </w:rPr>
            </w:pPr>
            <w:r>
              <w:rPr>
                <w:rFonts w:ascii="Arial" w:cs="Arial" w:eastAsia="Arial" w:hAnsi="Arial"/>
                <w:sz w:val="11"/>
                <w:szCs w:val="11"/>
                <w:color w:val="auto"/>
              </w:rPr>
              <w:t>Canceled</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(1,087)</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jc w:val="right"/>
              <w:ind w:right="4"/>
              <w:spacing w:after="0"/>
              <w:rPr>
                <w:sz w:val="20"/>
                <w:szCs w:val="20"/>
                <w:color w:val="auto"/>
              </w:rPr>
            </w:pPr>
            <w:r>
              <w:rPr>
                <w:rFonts w:ascii="Arial" w:cs="Arial" w:eastAsia="Arial" w:hAnsi="Arial"/>
                <w:sz w:val="11"/>
                <w:szCs w:val="11"/>
                <w:color w:val="auto"/>
                <w:w w:val="93"/>
              </w:rPr>
              <w:t>5.52</w:t>
            </w: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1"/>
                <w:szCs w:val="11"/>
                <w:color w:val="auto"/>
              </w:rPr>
              <w:t>(1,010)</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jc w:val="right"/>
              <w:ind w:right="4"/>
              <w:spacing w:after="0"/>
              <w:rPr>
                <w:sz w:val="20"/>
                <w:szCs w:val="20"/>
                <w:color w:val="auto"/>
              </w:rPr>
            </w:pPr>
            <w:r>
              <w:rPr>
                <w:rFonts w:ascii="Arial" w:cs="Arial" w:eastAsia="Arial" w:hAnsi="Arial"/>
                <w:sz w:val="11"/>
                <w:szCs w:val="11"/>
                <w:color w:val="auto"/>
              </w:rPr>
              <w:t>8.02</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color w:val="auto"/>
              </w:rPr>
              <w:t>(1,444)</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120" w:type="dxa"/>
            <w:vAlign w:val="bottom"/>
            <w:tcBorders>
              <w:bottom w:val="single" w:sz="8" w:color="CCEEFF"/>
            </w:tcBorders>
          </w:tcPr>
          <w:p>
            <w:pPr>
              <w:jc w:val="right"/>
              <w:ind w:right="4"/>
              <w:spacing w:after="0"/>
              <w:rPr>
                <w:sz w:val="20"/>
                <w:szCs w:val="20"/>
                <w:color w:val="auto"/>
              </w:rPr>
            </w:pPr>
            <w:r>
              <w:rPr>
                <w:rFonts w:ascii="Arial" w:cs="Arial" w:eastAsia="Arial" w:hAnsi="Arial"/>
                <w:sz w:val="11"/>
                <w:szCs w:val="11"/>
                <w:color w:val="auto"/>
              </w:rPr>
              <w:t>5.13</w:t>
            </w:r>
          </w:p>
        </w:tc>
        <w:tc>
          <w:tcPr>
            <w:tcW w:w="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0" w:type="dxa"/>
            <w:vAlign w:val="bottom"/>
            <w:tcBorders>
              <w:right w:val="single" w:sz="8" w:color="CCEEFF"/>
            </w:tcBorders>
          </w:tcPr>
          <w:p>
            <w:pPr>
              <w:spacing w:after="0"/>
              <w:rPr>
                <w:sz w:val="14"/>
                <w:szCs w:val="14"/>
                <w:color w:val="auto"/>
              </w:rPr>
            </w:pPr>
          </w:p>
        </w:tc>
        <w:tc>
          <w:tcPr>
            <w:tcW w:w="270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1"/>
                <w:szCs w:val="11"/>
                <w:b w:val="1"/>
                <w:bCs w:val="1"/>
                <w:color w:val="auto"/>
              </w:rPr>
              <w:t>Outstanding at December 31</w:t>
            </w:r>
          </w:p>
        </w:tc>
        <w:tc>
          <w:tcPr>
            <w:tcW w:w="128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5,013</w:t>
            </w:r>
          </w:p>
        </w:tc>
        <w:tc>
          <w:tcPr>
            <w:tcW w:w="8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8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w w:val="93"/>
              </w:rPr>
              <w:t>3.97</w:t>
            </w:r>
          </w:p>
        </w:tc>
        <w:tc>
          <w:tcPr>
            <w:tcW w:w="10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4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1"/>
                <w:szCs w:val="11"/>
                <w:color w:val="auto"/>
              </w:rPr>
              <w:t>3,097</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5.16</w:t>
            </w: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1"/>
                <w:szCs w:val="11"/>
                <w:color w:val="auto"/>
              </w:rPr>
              <w:t>3,609</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1"/>
                <w:szCs w:val="11"/>
                <w:color w:val="auto"/>
              </w:rPr>
              <w:t>4.71</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520" w:type="dxa"/>
            <w:vAlign w:val="bottom"/>
            <w:gridSpan w:val="19"/>
          </w:tcPr>
          <w:p>
            <w:pPr>
              <w:spacing w:after="0"/>
              <w:rPr>
                <w:sz w:val="20"/>
                <w:szCs w:val="20"/>
                <w:color w:val="auto"/>
              </w:rPr>
            </w:pPr>
            <w:r>
              <w:rPr>
                <w:rFonts w:ascii="Arial" w:cs="Arial" w:eastAsia="Arial" w:hAnsi="Arial"/>
                <w:sz w:val="14"/>
                <w:szCs w:val="14"/>
                <w:color w:val="auto"/>
              </w:rPr>
              <w:t>The total unrecognized compensation cost related to non-vested stock-based awards at December 31, 2023 was as follows (in millions):</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76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rPr>
              <w:t>Awards</w:t>
            </w: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4"/>
            <w:vMerge w:val="restart"/>
          </w:tcPr>
          <w:p>
            <w:pPr>
              <w:ind w:left="60"/>
              <w:spacing w:after="0"/>
              <w:rPr>
                <w:sz w:val="20"/>
                <w:szCs w:val="20"/>
                <w:color w:val="auto"/>
              </w:rPr>
            </w:pPr>
            <w:r>
              <w:rPr>
                <w:rFonts w:ascii="Arial" w:cs="Arial" w:eastAsia="Arial" w:hAnsi="Arial"/>
                <w:sz w:val="11"/>
                <w:szCs w:val="11"/>
                <w:color w:val="auto"/>
              </w:rPr>
              <w:t>Unrecognized Compensation</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40" w:type="dxa"/>
            <w:vAlign w:val="bottom"/>
            <w:gridSpan w:val="5"/>
          </w:tcPr>
          <w:p>
            <w:pPr>
              <w:jc w:val="center"/>
              <w:spacing w:after="0"/>
              <w:rPr>
                <w:sz w:val="20"/>
                <w:szCs w:val="20"/>
                <w:color w:val="auto"/>
              </w:rPr>
            </w:pPr>
            <w:r>
              <w:rPr>
                <w:rFonts w:ascii="Arial" w:cs="Arial" w:eastAsia="Arial" w:hAnsi="Arial"/>
                <w:sz w:val="11"/>
                <w:szCs w:val="11"/>
                <w:color w:val="auto"/>
              </w:rPr>
              <w:t>Remaining Weighted-Average Expense Period</w:t>
            </w:r>
          </w:p>
        </w:tc>
        <w:tc>
          <w:tcPr>
            <w:tcW w:w="0" w:type="dxa"/>
            <w:vAlign w:val="bottom"/>
          </w:tcPr>
          <w:p>
            <w:pPr>
              <w:spacing w:after="0"/>
              <w:rPr>
                <w:sz w:val="1"/>
                <w:szCs w:val="1"/>
                <w:color w:val="auto"/>
              </w:rPr>
            </w:pPr>
          </w:p>
        </w:tc>
      </w:tr>
      <w:tr>
        <w:trPr>
          <w:trHeight w:val="142"/>
        </w:trPr>
        <w:tc>
          <w:tcPr>
            <w:tcW w:w="2760" w:type="dxa"/>
            <w:vAlign w:val="bottom"/>
            <w:tcBorders>
              <w:bottom w:val="single" w:sz="8" w:color="auto"/>
            </w:tcBorders>
            <w:gridSpan w:val="5"/>
            <w:vMerge w:val="continue"/>
          </w:tcPr>
          <w:p>
            <w:pPr>
              <w:spacing w:after="0"/>
              <w:rPr>
                <w:sz w:val="12"/>
                <w:szCs w:val="12"/>
                <w:color w:val="auto"/>
              </w:rPr>
            </w:pPr>
          </w:p>
        </w:tc>
        <w:tc>
          <w:tcPr>
            <w:tcW w:w="12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4"/>
            <w:vMerge w:val="continue"/>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gridSpan w:val="2"/>
          </w:tcPr>
          <w:p>
            <w:pPr>
              <w:jc w:val="center"/>
              <w:ind w:right="880"/>
              <w:spacing w:after="0"/>
              <w:rPr>
                <w:sz w:val="20"/>
                <w:szCs w:val="20"/>
                <w:color w:val="auto"/>
              </w:rPr>
            </w:pPr>
            <w:r>
              <w:rPr>
                <w:rFonts w:ascii="Arial" w:cs="Arial" w:eastAsia="Arial" w:hAnsi="Arial"/>
                <w:sz w:val="11"/>
                <w:szCs w:val="11"/>
                <w:color w:val="auto"/>
                <w:w w:val="94"/>
              </w:rPr>
              <w:t>(Years)</w:t>
            </w:r>
          </w:p>
        </w:tc>
        <w:tc>
          <w:tcPr>
            <w:tcW w:w="0" w:type="dxa"/>
            <w:vAlign w:val="bottom"/>
          </w:tcPr>
          <w:p>
            <w:pPr>
              <w:spacing w:after="0"/>
              <w:rPr>
                <w:sz w:val="1"/>
                <w:szCs w:val="1"/>
                <w:color w:val="auto"/>
              </w:rPr>
            </w:pPr>
          </w:p>
        </w:tc>
      </w:tr>
      <w:tr>
        <w:trPr>
          <w:trHeight w:val="147"/>
        </w:trPr>
        <w:tc>
          <w:tcPr>
            <w:tcW w:w="2760" w:type="dxa"/>
            <w:vAlign w:val="bottom"/>
            <w:gridSpan w:val="5"/>
            <w:shd w:val="clear" w:color="auto" w:fill="CCEEFF"/>
          </w:tcPr>
          <w:p>
            <w:pPr>
              <w:ind w:left="20"/>
              <w:spacing w:after="0"/>
              <w:rPr>
                <w:sz w:val="20"/>
                <w:szCs w:val="20"/>
                <w:color w:val="auto"/>
              </w:rPr>
            </w:pPr>
            <w:r>
              <w:rPr>
                <w:rFonts w:ascii="Arial" w:cs="Arial" w:eastAsia="Arial" w:hAnsi="Arial"/>
                <w:sz w:val="11"/>
                <w:szCs w:val="11"/>
                <w:color w:val="auto"/>
              </w:rPr>
              <w:t>Restricted Stock Units / Shares</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3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12</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300"/>
              <w:spacing w:after="0"/>
              <w:rPr>
                <w:sz w:val="20"/>
                <w:szCs w:val="20"/>
                <w:color w:val="auto"/>
              </w:rPr>
            </w:pPr>
            <w:r>
              <w:rPr>
                <w:rFonts w:ascii="Arial" w:cs="Arial" w:eastAsia="Arial" w:hAnsi="Arial"/>
                <w:sz w:val="11"/>
                <w:szCs w:val="11"/>
                <w:color w:val="auto"/>
                <w:w w:val="91"/>
              </w:rPr>
              <w:t>1.7</w:t>
            </w:r>
          </w:p>
        </w:tc>
        <w:tc>
          <w:tcPr>
            <w:tcW w:w="0" w:type="dxa"/>
            <w:vAlign w:val="bottom"/>
          </w:tcPr>
          <w:p>
            <w:pPr>
              <w:spacing w:after="0"/>
              <w:rPr>
                <w:sz w:val="1"/>
                <w:szCs w:val="1"/>
                <w:color w:val="auto"/>
              </w:rPr>
            </w:pPr>
          </w:p>
        </w:tc>
      </w:tr>
      <w:tr>
        <w:trPr>
          <w:trHeight w:val="152"/>
        </w:trPr>
        <w:tc>
          <w:tcPr>
            <w:tcW w:w="2760" w:type="dxa"/>
            <w:vAlign w:val="bottom"/>
            <w:tcBorders>
              <w:bottom w:val="single" w:sz="8" w:color="CCEEFF"/>
            </w:tcBorders>
            <w:gridSpan w:val="5"/>
          </w:tcPr>
          <w:p>
            <w:pPr>
              <w:ind w:left="20"/>
              <w:spacing w:after="0"/>
              <w:rPr>
                <w:sz w:val="20"/>
                <w:szCs w:val="20"/>
                <w:color w:val="auto"/>
              </w:rPr>
            </w:pPr>
            <w:r>
              <w:rPr>
                <w:rFonts w:ascii="Arial" w:cs="Arial" w:eastAsia="Arial" w:hAnsi="Arial"/>
                <w:sz w:val="11"/>
                <w:szCs w:val="11"/>
                <w:color w:val="auto"/>
              </w:rPr>
              <w:t>Performance Stock Units / Shares</w:t>
            </w:r>
          </w:p>
        </w:tc>
        <w:tc>
          <w:tcPr>
            <w:tcW w:w="12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820" w:type="dxa"/>
            <w:vAlign w:val="bottom"/>
            <w:tcBorders>
              <w:bottom w:val="single" w:sz="8" w:color="CCEEFF"/>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tcPr>
          <w:p>
            <w:pPr>
              <w:spacing w:after="0"/>
              <w:rPr>
                <w:sz w:val="13"/>
                <w:szCs w:val="13"/>
                <w:color w:val="auto"/>
              </w:rPr>
            </w:pPr>
          </w:p>
        </w:tc>
        <w:tc>
          <w:tcPr>
            <w:tcW w:w="6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460" w:type="dxa"/>
            <w:vAlign w:val="bottom"/>
            <w:tcBorders>
              <w:bottom w:val="single" w:sz="8" w:color="CCEEFF"/>
            </w:tcBorders>
            <w:gridSpan w:val="2"/>
          </w:tcPr>
          <w:p>
            <w:pPr>
              <w:ind w:left="1300"/>
              <w:spacing w:after="0"/>
              <w:rPr>
                <w:sz w:val="20"/>
                <w:szCs w:val="20"/>
                <w:color w:val="auto"/>
              </w:rPr>
            </w:pPr>
            <w:r>
              <w:rPr>
                <w:rFonts w:ascii="Arial" w:cs="Arial" w:eastAsia="Arial" w:hAnsi="Arial"/>
                <w:sz w:val="11"/>
                <w:szCs w:val="11"/>
                <w:color w:val="auto"/>
                <w:w w:val="91"/>
              </w:rPr>
              <w:t>1.8</w:t>
            </w:r>
          </w:p>
        </w:tc>
        <w:tc>
          <w:tcPr>
            <w:tcW w:w="0" w:type="dxa"/>
            <w:vAlign w:val="bottom"/>
          </w:tcPr>
          <w:p>
            <w:pPr>
              <w:spacing w:after="0"/>
              <w:rPr>
                <w:sz w:val="1"/>
                <w:szCs w:val="1"/>
                <w:color w:val="auto"/>
              </w:rPr>
            </w:pPr>
          </w:p>
        </w:tc>
      </w:tr>
      <w:tr>
        <w:trPr>
          <w:trHeight w:val="171"/>
        </w:trPr>
        <w:tc>
          <w:tcPr>
            <w:tcW w:w="2760" w:type="dxa"/>
            <w:vAlign w:val="bottom"/>
            <w:gridSpan w:val="5"/>
            <w:shd w:val="clear" w:color="auto" w:fill="CCEEFF"/>
          </w:tcPr>
          <w:p>
            <w:pPr>
              <w:ind w:left="20"/>
              <w:spacing w:after="0"/>
              <w:rPr>
                <w:sz w:val="20"/>
                <w:szCs w:val="20"/>
                <w:color w:val="auto"/>
              </w:rPr>
            </w:pPr>
            <w:r>
              <w:rPr>
                <w:rFonts w:ascii="Arial" w:cs="Arial" w:eastAsia="Arial" w:hAnsi="Arial"/>
                <w:sz w:val="11"/>
                <w:szCs w:val="11"/>
                <w:b w:val="1"/>
                <w:bCs w:val="1"/>
                <w:color w:val="auto"/>
              </w:rPr>
              <w:t>Total</w:t>
            </w: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17</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gridSpan w:val="12"/>
            <w:vMerge w:val="restart"/>
          </w:tcPr>
          <w:p>
            <w:pPr>
              <w:spacing w:after="0"/>
              <w:rPr>
                <w:sz w:val="20"/>
                <w:szCs w:val="20"/>
                <w:color w:val="auto"/>
              </w:rPr>
            </w:pPr>
            <w:r>
              <w:rPr>
                <w:rFonts w:ascii="Arial" w:cs="Arial" w:eastAsia="Arial" w:hAnsi="Arial"/>
                <w:sz w:val="14"/>
                <w:szCs w:val="14"/>
                <w:color w:val="auto"/>
              </w:rPr>
              <w:t>The aggregate intrinsic value of outstanding RSUs and PSUs awards were as follows (in millions):</w:t>
            </w: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9"/>
        </w:trPr>
        <w:tc>
          <w:tcPr>
            <w:tcW w:w="6380" w:type="dxa"/>
            <w:vAlign w:val="bottom"/>
            <w:gridSpan w:val="12"/>
            <w:vMerge w:val="continue"/>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760" w:type="dxa"/>
            <w:vAlign w:val="bottom"/>
            <w:tcBorders>
              <w:bottom w:val="single" w:sz="8" w:color="CCEEFF"/>
            </w:tcBorders>
            <w:gridSpan w:val="5"/>
          </w:tcPr>
          <w:p>
            <w:pPr>
              <w:ind w:left="20"/>
              <w:spacing w:after="0"/>
              <w:rPr>
                <w:sz w:val="20"/>
                <w:szCs w:val="20"/>
                <w:color w:val="auto"/>
              </w:rPr>
            </w:pPr>
            <w:r>
              <w:rPr>
                <w:rFonts w:ascii="Arial" w:cs="Arial" w:eastAsia="Arial" w:hAnsi="Arial"/>
                <w:sz w:val="11"/>
                <w:szCs w:val="11"/>
                <w:b w:val="1"/>
                <w:bCs w:val="1"/>
                <w:color w:val="auto"/>
              </w:rPr>
              <w:t>Awards</w:t>
            </w:r>
          </w:p>
        </w:tc>
        <w:tc>
          <w:tcPr>
            <w:tcW w:w="12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gridSpan w:val="4"/>
          </w:tcPr>
          <w:p>
            <w:pPr>
              <w:jc w:val="center"/>
              <w:ind w:right="600"/>
              <w:spacing w:after="0"/>
              <w:rPr>
                <w:sz w:val="20"/>
                <w:szCs w:val="20"/>
                <w:color w:val="auto"/>
              </w:rPr>
            </w:pPr>
            <w:r>
              <w:rPr>
                <w:rFonts w:ascii="Arial" w:cs="Arial" w:eastAsia="Arial" w:hAnsi="Arial"/>
                <w:sz w:val="11"/>
                <w:szCs w:val="11"/>
                <w:color w:val="auto"/>
              </w:rPr>
              <w:t>December 31, 2023</w:t>
            </w:r>
          </w:p>
        </w:tc>
        <w:tc>
          <w:tcPr>
            <w:tcW w:w="0" w:type="dxa"/>
            <w:vAlign w:val="bottom"/>
          </w:tcPr>
          <w:p>
            <w:pPr>
              <w:spacing w:after="0"/>
              <w:rPr>
                <w:sz w:val="1"/>
                <w:szCs w:val="1"/>
                <w:color w:val="auto"/>
              </w:rPr>
            </w:pPr>
          </w:p>
        </w:tc>
      </w:tr>
      <w:tr>
        <w:trPr>
          <w:trHeight w:val="148"/>
        </w:trPr>
        <w:tc>
          <w:tcPr>
            <w:tcW w:w="2760" w:type="dxa"/>
            <w:vAlign w:val="bottom"/>
            <w:gridSpan w:val="5"/>
            <w:shd w:val="clear" w:color="auto" w:fill="CCEEFF"/>
          </w:tcPr>
          <w:p>
            <w:pPr>
              <w:ind w:left="20"/>
              <w:spacing w:after="0"/>
              <w:rPr>
                <w:sz w:val="20"/>
                <w:szCs w:val="20"/>
                <w:color w:val="auto"/>
              </w:rPr>
            </w:pPr>
            <w:r>
              <w:rPr>
                <w:rFonts w:ascii="Arial" w:cs="Arial" w:eastAsia="Arial" w:hAnsi="Arial"/>
                <w:sz w:val="11"/>
                <w:szCs w:val="11"/>
                <w:color w:val="auto"/>
              </w:rPr>
              <w:t>Restricted Stock Units / Shares</w:t>
            </w:r>
          </w:p>
        </w:tc>
        <w:tc>
          <w:tcPr>
            <w:tcW w:w="1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484"/>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60" w:type="dxa"/>
            <w:vAlign w:val="bottom"/>
            <w:gridSpan w:val="2"/>
            <w:shd w:val="clear" w:color="auto" w:fill="CCEEFF"/>
          </w:tcPr>
          <w:p>
            <w:pPr>
              <w:ind w:left="1280"/>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49"/>
        </w:trPr>
        <w:tc>
          <w:tcPr>
            <w:tcW w:w="2760" w:type="dxa"/>
            <w:vAlign w:val="bottom"/>
            <w:gridSpan w:val="5"/>
          </w:tcPr>
          <w:p>
            <w:pPr>
              <w:ind w:left="20"/>
              <w:spacing w:after="0"/>
              <w:rPr>
                <w:sz w:val="20"/>
                <w:szCs w:val="20"/>
                <w:color w:val="auto"/>
              </w:rPr>
            </w:pPr>
            <w:r>
              <w:rPr>
                <w:rFonts w:ascii="Arial" w:cs="Arial" w:eastAsia="Arial" w:hAnsi="Arial"/>
                <w:sz w:val="11"/>
                <w:szCs w:val="11"/>
                <w:color w:val="auto"/>
              </w:rPr>
              <w:t>Performance Stock Units / Shares</w:t>
            </w: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ind w:left="1280"/>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91" w:name="page92"/>
    <w:bookmarkEnd w:id="91"/>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The total intrinsic value and actual tax benefit realized for vested and exercised stock-based awards were as follows:</w:t>
      </w:r>
    </w:p>
    <w:p>
      <w:pPr>
        <w:spacing w:after="0" w:line="40"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040" w:type="dxa"/>
            <w:vAlign w:val="bottom"/>
            <w:gridSpan w:val="4"/>
          </w:tcPr>
          <w:p>
            <w:pPr>
              <w:ind w:left="20"/>
              <w:spacing w:after="0"/>
              <w:rPr>
                <w:sz w:val="20"/>
                <w:szCs w:val="20"/>
                <w:color w:val="auto"/>
              </w:rPr>
            </w:pPr>
            <w:r>
              <w:rPr>
                <w:rFonts w:ascii="Arial" w:cs="Arial" w:eastAsia="Arial" w:hAnsi="Arial"/>
                <w:sz w:val="11"/>
                <w:szCs w:val="11"/>
                <w:color w:val="auto"/>
              </w:rPr>
              <w:t>(in millions)</w:t>
            </w: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40" w:type="dxa"/>
            <w:vAlign w:val="bottom"/>
            <w:gridSpan w:val="5"/>
          </w:tcPr>
          <w:p>
            <w:pPr>
              <w:jc w:val="center"/>
              <w:ind w:right="140"/>
              <w:spacing w:after="0"/>
              <w:rPr>
                <w:sz w:val="20"/>
                <w:szCs w:val="20"/>
                <w:color w:val="auto"/>
              </w:rPr>
            </w:pPr>
            <w:r>
              <w:rPr>
                <w:rFonts w:ascii="Arial" w:cs="Arial" w:eastAsia="Arial" w:hAnsi="Arial"/>
                <w:sz w:val="11"/>
                <w:szCs w:val="11"/>
                <w:color w:val="auto"/>
              </w:rPr>
              <w:t>December 31, 2023</w:t>
            </w: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140" w:type="dxa"/>
            <w:vAlign w:val="bottom"/>
            <w:gridSpan w:val="4"/>
          </w:tcPr>
          <w:p>
            <w:pPr>
              <w:jc w:val="center"/>
              <w:spacing w:after="0"/>
              <w:rPr>
                <w:sz w:val="20"/>
                <w:szCs w:val="20"/>
                <w:color w:val="auto"/>
              </w:rPr>
            </w:pPr>
            <w:r>
              <w:rPr>
                <w:rFonts w:ascii="Arial" w:cs="Arial" w:eastAsia="Arial" w:hAnsi="Arial"/>
                <w:sz w:val="11"/>
                <w:szCs w:val="11"/>
                <w:color w:val="auto"/>
              </w:rPr>
              <w:t>December 31, 2022</w:t>
            </w: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60" w:type="dxa"/>
            <w:vAlign w:val="bottom"/>
            <w:gridSpan w:val="5"/>
          </w:tcPr>
          <w:p>
            <w:pPr>
              <w:jc w:val="center"/>
              <w:ind w:right="120"/>
              <w:spacing w:after="0"/>
              <w:rPr>
                <w:sz w:val="20"/>
                <w:szCs w:val="20"/>
                <w:color w:val="auto"/>
              </w:rPr>
            </w:pPr>
            <w:r>
              <w:rPr>
                <w:rFonts w:ascii="Arial" w:cs="Arial" w:eastAsia="Arial" w:hAnsi="Arial"/>
                <w:sz w:val="11"/>
                <w:szCs w:val="11"/>
                <w:color w:val="auto"/>
              </w:rPr>
              <w:t>December 31, 2021</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1960" w:type="dxa"/>
            <w:vAlign w:val="bottom"/>
            <w:gridSpan w:val="3"/>
            <w:vMerge w:val="restart"/>
          </w:tcPr>
          <w:p>
            <w:pPr>
              <w:ind w:left="20"/>
              <w:spacing w:after="0"/>
              <w:rPr>
                <w:sz w:val="20"/>
                <w:szCs w:val="20"/>
                <w:color w:val="auto"/>
              </w:rPr>
            </w:pPr>
            <w:r>
              <w:rPr>
                <w:rFonts w:ascii="Arial" w:cs="Arial" w:eastAsia="Arial" w:hAnsi="Arial"/>
                <w:sz w:val="11"/>
                <w:szCs w:val="11"/>
                <w:color w:val="auto"/>
              </w:rPr>
              <w:t>Awards</w:t>
            </w:r>
          </w:p>
        </w:tc>
        <w:tc>
          <w:tcPr>
            <w:tcW w:w="8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jc w:val="right"/>
              <w:ind w:right="84"/>
              <w:spacing w:after="0" w:line="101" w:lineRule="exact"/>
              <w:rPr>
                <w:sz w:val="20"/>
                <w:szCs w:val="20"/>
                <w:color w:val="auto"/>
              </w:rPr>
            </w:pPr>
            <w:r>
              <w:rPr>
                <w:rFonts w:ascii="Arial" w:cs="Arial" w:eastAsia="Arial" w:hAnsi="Arial"/>
                <w:sz w:val="11"/>
                <w:szCs w:val="11"/>
                <w:color w:val="auto"/>
              </w:rPr>
              <w:t>Total Intrinsic</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vMerge w:val="restart"/>
          </w:tcPr>
          <w:p>
            <w:pPr>
              <w:jc w:val="center"/>
              <w:ind w:right="24"/>
              <w:spacing w:after="0"/>
              <w:rPr>
                <w:sz w:val="20"/>
                <w:szCs w:val="20"/>
                <w:color w:val="auto"/>
              </w:rPr>
            </w:pPr>
            <w:r>
              <w:rPr>
                <w:rFonts w:ascii="Arial" w:cs="Arial" w:eastAsia="Arial" w:hAnsi="Arial"/>
                <w:sz w:val="11"/>
                <w:szCs w:val="11"/>
                <w:color w:val="auto"/>
                <w:w w:val="99"/>
              </w:rPr>
              <w:t>Cash Received</w:t>
            </w:r>
          </w:p>
        </w:tc>
        <w:tc>
          <w:tcPr>
            <w:tcW w:w="80" w:type="dxa"/>
            <w:vAlign w:val="bottom"/>
            <w:vMerge w:val="restart"/>
          </w:tcPr>
          <w:p>
            <w:pPr>
              <w:spacing w:after="0"/>
              <w:rPr>
                <w:sz w:val="8"/>
                <w:szCs w:val="8"/>
                <w:color w:val="auto"/>
              </w:rPr>
            </w:pPr>
          </w:p>
        </w:tc>
        <w:tc>
          <w:tcPr>
            <w:tcW w:w="140" w:type="dxa"/>
            <w:vAlign w:val="bottom"/>
            <w:vMerge w:val="restart"/>
          </w:tcPr>
          <w:p>
            <w:pPr>
              <w:spacing w:after="0"/>
              <w:rPr>
                <w:sz w:val="8"/>
                <w:szCs w:val="8"/>
                <w:color w:val="auto"/>
              </w:rPr>
            </w:pPr>
          </w:p>
        </w:tc>
        <w:tc>
          <w:tcPr>
            <w:tcW w:w="800" w:type="dxa"/>
            <w:vAlign w:val="bottom"/>
            <w:vMerge w:val="restart"/>
          </w:tcPr>
          <w:p>
            <w:pPr>
              <w:jc w:val="right"/>
              <w:ind w:right="144"/>
              <w:spacing w:after="0"/>
              <w:rPr>
                <w:sz w:val="20"/>
                <w:szCs w:val="20"/>
                <w:color w:val="auto"/>
              </w:rPr>
            </w:pPr>
            <w:r>
              <w:rPr>
                <w:rFonts w:ascii="Arial" w:cs="Arial" w:eastAsia="Arial" w:hAnsi="Arial"/>
                <w:sz w:val="11"/>
                <w:szCs w:val="11"/>
                <w:color w:val="auto"/>
              </w:rPr>
              <w:t>Tax Benefit</w:t>
            </w:r>
          </w:p>
        </w:tc>
        <w:tc>
          <w:tcPr>
            <w:tcW w:w="8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jc w:val="right"/>
              <w:ind w:right="84"/>
              <w:spacing w:after="0" w:line="101" w:lineRule="exact"/>
              <w:rPr>
                <w:sz w:val="20"/>
                <w:szCs w:val="20"/>
                <w:color w:val="auto"/>
              </w:rPr>
            </w:pPr>
            <w:r>
              <w:rPr>
                <w:rFonts w:ascii="Arial" w:cs="Arial" w:eastAsia="Arial" w:hAnsi="Arial"/>
                <w:sz w:val="11"/>
                <w:szCs w:val="11"/>
                <w:color w:val="auto"/>
              </w:rPr>
              <w:t>Total Intrinsic</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vMerge w:val="restart"/>
          </w:tcPr>
          <w:p>
            <w:pPr>
              <w:jc w:val="center"/>
              <w:ind w:right="24"/>
              <w:spacing w:after="0"/>
              <w:rPr>
                <w:sz w:val="20"/>
                <w:szCs w:val="20"/>
                <w:color w:val="auto"/>
              </w:rPr>
            </w:pPr>
            <w:r>
              <w:rPr>
                <w:rFonts w:ascii="Arial" w:cs="Arial" w:eastAsia="Arial" w:hAnsi="Arial"/>
                <w:sz w:val="11"/>
                <w:szCs w:val="11"/>
                <w:color w:val="auto"/>
                <w:w w:val="99"/>
              </w:rPr>
              <w:t>Cash Received</w:t>
            </w:r>
          </w:p>
        </w:tc>
        <w:tc>
          <w:tcPr>
            <w:tcW w:w="100" w:type="dxa"/>
            <w:vAlign w:val="bottom"/>
            <w:vMerge w:val="restart"/>
          </w:tcPr>
          <w:p>
            <w:pPr>
              <w:spacing w:after="0"/>
              <w:rPr>
                <w:sz w:val="8"/>
                <w:szCs w:val="8"/>
                <w:color w:val="auto"/>
              </w:rPr>
            </w:pPr>
          </w:p>
        </w:tc>
        <w:tc>
          <w:tcPr>
            <w:tcW w:w="780" w:type="dxa"/>
            <w:vAlign w:val="bottom"/>
            <w:vMerge w:val="restart"/>
          </w:tcPr>
          <w:p>
            <w:pPr>
              <w:jc w:val="right"/>
              <w:spacing w:after="0"/>
              <w:rPr>
                <w:sz w:val="20"/>
                <w:szCs w:val="20"/>
                <w:color w:val="auto"/>
              </w:rPr>
            </w:pPr>
            <w:r>
              <w:rPr>
                <w:rFonts w:ascii="Arial" w:cs="Arial" w:eastAsia="Arial" w:hAnsi="Arial"/>
                <w:sz w:val="11"/>
                <w:szCs w:val="11"/>
                <w:color w:val="auto"/>
              </w:rPr>
              <w:t>Tax Benefit</w:t>
            </w: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jc w:val="right"/>
              <w:ind w:right="84"/>
              <w:spacing w:after="0" w:line="101" w:lineRule="exact"/>
              <w:rPr>
                <w:sz w:val="20"/>
                <w:szCs w:val="20"/>
                <w:color w:val="auto"/>
              </w:rPr>
            </w:pPr>
            <w:r>
              <w:rPr>
                <w:rFonts w:ascii="Arial" w:cs="Arial" w:eastAsia="Arial" w:hAnsi="Arial"/>
                <w:sz w:val="11"/>
                <w:szCs w:val="11"/>
                <w:color w:val="auto"/>
              </w:rPr>
              <w:t>Total Intrinsic</w:t>
            </w: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vMerge w:val="restart"/>
          </w:tcPr>
          <w:p>
            <w:pPr>
              <w:jc w:val="center"/>
              <w:ind w:right="44"/>
              <w:spacing w:after="0"/>
              <w:rPr>
                <w:sz w:val="20"/>
                <w:szCs w:val="20"/>
                <w:color w:val="auto"/>
              </w:rPr>
            </w:pPr>
            <w:r>
              <w:rPr>
                <w:rFonts w:ascii="Arial" w:cs="Arial" w:eastAsia="Arial" w:hAnsi="Arial"/>
                <w:sz w:val="11"/>
                <w:szCs w:val="11"/>
                <w:color w:val="auto"/>
              </w:rPr>
              <w:t>Cash Received</w:t>
            </w:r>
          </w:p>
        </w:tc>
        <w:tc>
          <w:tcPr>
            <w:tcW w:w="80" w:type="dxa"/>
            <w:vAlign w:val="bottom"/>
            <w:vMerge w:val="restart"/>
          </w:tcPr>
          <w:p>
            <w:pPr>
              <w:spacing w:after="0"/>
              <w:rPr>
                <w:sz w:val="8"/>
                <w:szCs w:val="8"/>
                <w:color w:val="auto"/>
              </w:rPr>
            </w:pPr>
          </w:p>
        </w:tc>
        <w:tc>
          <w:tcPr>
            <w:tcW w:w="140" w:type="dxa"/>
            <w:vAlign w:val="bottom"/>
            <w:vMerge w:val="restart"/>
          </w:tcPr>
          <w:p>
            <w:pPr>
              <w:spacing w:after="0"/>
              <w:rPr>
                <w:sz w:val="8"/>
                <w:szCs w:val="8"/>
                <w:color w:val="auto"/>
              </w:rPr>
            </w:pPr>
          </w:p>
        </w:tc>
        <w:tc>
          <w:tcPr>
            <w:tcW w:w="800" w:type="dxa"/>
            <w:vAlign w:val="bottom"/>
            <w:vMerge w:val="restart"/>
          </w:tcPr>
          <w:p>
            <w:pPr>
              <w:jc w:val="right"/>
              <w:ind w:right="144"/>
              <w:spacing w:after="0"/>
              <w:rPr>
                <w:sz w:val="20"/>
                <w:szCs w:val="20"/>
                <w:color w:val="auto"/>
              </w:rPr>
            </w:pPr>
            <w:r>
              <w:rPr>
                <w:rFonts w:ascii="Arial" w:cs="Arial" w:eastAsia="Arial" w:hAnsi="Arial"/>
                <w:sz w:val="11"/>
                <w:szCs w:val="11"/>
                <w:color w:val="auto"/>
              </w:rPr>
              <w:t>Tax Benefit</w:t>
            </w:r>
          </w:p>
        </w:tc>
        <w:tc>
          <w:tcPr>
            <w:tcW w:w="0" w:type="dxa"/>
            <w:vAlign w:val="bottom"/>
          </w:tcPr>
          <w:p>
            <w:pPr>
              <w:spacing w:after="0"/>
              <w:rPr>
                <w:sz w:val="1"/>
                <w:szCs w:val="1"/>
                <w:color w:val="auto"/>
              </w:rPr>
            </w:pPr>
          </w:p>
        </w:tc>
      </w:tr>
      <w:tr>
        <w:trPr>
          <w:trHeight w:val="142"/>
        </w:trPr>
        <w:tc>
          <w:tcPr>
            <w:tcW w:w="1960" w:type="dxa"/>
            <w:vAlign w:val="bottom"/>
            <w:tcBorders>
              <w:bottom w:val="single" w:sz="8" w:color="auto"/>
            </w:tcBorders>
            <w:gridSpan w:val="3"/>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84"/>
              <w:spacing w:after="0"/>
              <w:rPr>
                <w:sz w:val="20"/>
                <w:szCs w:val="20"/>
                <w:color w:val="auto"/>
              </w:rPr>
            </w:pPr>
            <w:r>
              <w:rPr>
                <w:rFonts w:ascii="Arial" w:cs="Arial" w:eastAsia="Arial" w:hAnsi="Arial"/>
                <w:sz w:val="11"/>
                <w:szCs w:val="11"/>
                <w:color w:val="auto"/>
              </w:rPr>
              <w:t>Value</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64"/>
              <w:spacing w:after="0"/>
              <w:rPr>
                <w:sz w:val="20"/>
                <w:szCs w:val="20"/>
                <w:color w:val="auto"/>
              </w:rPr>
            </w:pPr>
            <w:r>
              <w:rPr>
                <w:rFonts w:ascii="Arial" w:cs="Arial" w:eastAsia="Arial" w:hAnsi="Arial"/>
                <w:sz w:val="11"/>
                <w:szCs w:val="11"/>
                <w:color w:val="auto"/>
              </w:rPr>
              <w:t>Value</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100" w:type="dxa"/>
            <w:vAlign w:val="bottom"/>
            <w:tcBorders>
              <w:bottom w:val="single" w:sz="8" w:color="CCEEFF"/>
            </w:tcBorders>
            <w:vMerge w:val="continue"/>
          </w:tcPr>
          <w:p>
            <w:pPr>
              <w:spacing w:after="0"/>
              <w:rPr>
                <w:sz w:val="12"/>
                <w:szCs w:val="12"/>
                <w:color w:val="auto"/>
              </w:rPr>
            </w:pPr>
          </w:p>
        </w:tc>
        <w:tc>
          <w:tcPr>
            <w:tcW w:w="780" w:type="dxa"/>
            <w:vAlign w:val="bottom"/>
            <w:tcBorders>
              <w:bottom w:val="single" w:sz="8" w:color="auto"/>
            </w:tcBorders>
            <w:vMerge w:val="continue"/>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84"/>
              <w:spacing w:after="0"/>
              <w:rPr>
                <w:sz w:val="20"/>
                <w:szCs w:val="20"/>
                <w:color w:val="auto"/>
              </w:rPr>
            </w:pPr>
            <w:r>
              <w:rPr>
                <w:rFonts w:ascii="Arial" w:cs="Arial" w:eastAsia="Arial" w:hAnsi="Arial"/>
                <w:sz w:val="11"/>
                <w:szCs w:val="11"/>
                <w:color w:val="auto"/>
              </w:rPr>
              <w:t>Value</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vMerge w:val="continue"/>
          </w:tcPr>
          <w:p>
            <w:pPr>
              <w:spacing w:after="0"/>
              <w:rPr>
                <w:sz w:val="12"/>
                <w:szCs w:val="12"/>
                <w:color w:val="auto"/>
              </w:rPr>
            </w:pPr>
          </w:p>
        </w:tc>
        <w:tc>
          <w:tcPr>
            <w:tcW w:w="80" w:type="dxa"/>
            <w:vAlign w:val="bottom"/>
            <w:tcBorders>
              <w:bottom w:val="single" w:sz="8" w:color="CCEEFF"/>
            </w:tcBorders>
            <w:vMerge w:val="continue"/>
          </w:tcPr>
          <w:p>
            <w:pPr>
              <w:spacing w:after="0"/>
              <w:rPr>
                <w:sz w:val="12"/>
                <w:szCs w:val="12"/>
                <w:color w:val="auto"/>
              </w:rPr>
            </w:pPr>
          </w:p>
        </w:tc>
        <w:tc>
          <w:tcPr>
            <w:tcW w:w="140" w:type="dxa"/>
            <w:vAlign w:val="bottom"/>
            <w:tcBorders>
              <w:bottom w:val="single" w:sz="8" w:color="auto"/>
            </w:tcBorders>
            <w:vMerge w:val="continue"/>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040" w:type="dxa"/>
            <w:vAlign w:val="bottom"/>
            <w:gridSpan w:val="4"/>
            <w:shd w:val="clear" w:color="auto" w:fill="CCEEFF"/>
          </w:tcPr>
          <w:p>
            <w:pPr>
              <w:ind w:left="20"/>
              <w:spacing w:after="0"/>
              <w:rPr>
                <w:sz w:val="20"/>
                <w:szCs w:val="20"/>
                <w:color w:val="auto"/>
              </w:rPr>
            </w:pPr>
            <w:r>
              <w:rPr>
                <w:rFonts w:ascii="Arial" w:cs="Arial" w:eastAsia="Arial" w:hAnsi="Arial"/>
                <w:sz w:val="11"/>
                <w:szCs w:val="11"/>
                <w:color w:val="auto"/>
              </w:rPr>
              <w:t>Restricted Stock Units / Shares</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80" w:type="dxa"/>
            <w:vAlign w:val="bottom"/>
            <w:gridSpan w:val="3"/>
            <w:shd w:val="clear" w:color="auto" w:fill="CCEEFF"/>
          </w:tcPr>
          <w:p>
            <w:pPr>
              <w:ind w:left="700"/>
              <w:spacing w:after="0"/>
              <w:rPr>
                <w:sz w:val="20"/>
                <w:szCs w:val="20"/>
                <w:color w:val="auto"/>
              </w:rPr>
            </w:pPr>
            <w:r>
              <w:rPr>
                <w:rFonts w:ascii="Arial" w:cs="Arial" w:eastAsia="Arial" w:hAnsi="Arial"/>
                <w:sz w:val="11"/>
                <w:szCs w:val="11"/>
                <w:color w:val="auto"/>
              </w:rPr>
              <w:t>—   $</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960" w:type="dxa"/>
            <w:vAlign w:val="bottom"/>
            <w:gridSpan w:val="2"/>
            <w:shd w:val="clear" w:color="auto" w:fill="CCEEFF"/>
          </w:tcPr>
          <w:p>
            <w:pPr>
              <w:ind w:left="700"/>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ind w:right="667"/>
              <w:spacing w:after="0"/>
              <w:rPr>
                <w:sz w:val="20"/>
                <w:szCs w:val="20"/>
                <w:color w:val="auto"/>
              </w:rPr>
            </w:pPr>
            <w:r>
              <w:rPr>
                <w:rFonts w:ascii="Arial" w:cs="Arial" w:eastAsia="Arial" w:hAnsi="Arial"/>
                <w:sz w:val="10"/>
                <w:szCs w:val="10"/>
                <w:color w:val="auto"/>
                <w:w w:val="71"/>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17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1080" w:type="dxa"/>
            <w:vAlign w:val="bottom"/>
            <w:gridSpan w:val="3"/>
            <w:shd w:val="clear" w:color="auto" w:fill="CCEEFF"/>
          </w:tcPr>
          <w:p>
            <w:pPr>
              <w:ind w:left="680"/>
              <w:spacing w:after="0"/>
              <w:rPr>
                <w:sz w:val="20"/>
                <w:szCs w:val="20"/>
                <w:color w:val="auto"/>
              </w:rPr>
            </w:pPr>
            <w:r>
              <w:rPr>
                <w:rFonts w:ascii="Arial" w:cs="Arial" w:eastAsia="Arial" w:hAnsi="Arial"/>
                <w:sz w:val="11"/>
                <w:szCs w:val="11"/>
                <w:color w:val="auto"/>
              </w:rPr>
              <w:t>—   $</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149"/>
        </w:trPr>
        <w:tc>
          <w:tcPr>
            <w:tcW w:w="2040" w:type="dxa"/>
            <w:vAlign w:val="bottom"/>
            <w:gridSpan w:val="4"/>
          </w:tcPr>
          <w:p>
            <w:pPr>
              <w:ind w:left="20"/>
              <w:spacing w:after="0"/>
              <w:rPr>
                <w:sz w:val="20"/>
                <w:szCs w:val="20"/>
                <w:color w:val="auto"/>
              </w:rPr>
            </w:pPr>
            <w:r>
              <w:rPr>
                <w:rFonts w:ascii="Arial" w:cs="Arial" w:eastAsia="Arial" w:hAnsi="Arial"/>
                <w:sz w:val="11"/>
                <w:szCs w:val="11"/>
                <w:color w:val="auto"/>
              </w:rPr>
              <w:t>Performance Stock Units / Shares</w:t>
            </w:r>
          </w:p>
        </w:tc>
        <w:tc>
          <w:tcPr>
            <w:tcW w:w="120" w:type="dxa"/>
            <w:vAlign w:val="bottom"/>
          </w:tcPr>
          <w:p>
            <w:pPr>
              <w:spacing w:after="0"/>
              <w:rPr>
                <w:sz w:val="12"/>
                <w:szCs w:val="12"/>
                <w:color w:val="auto"/>
              </w:rPr>
            </w:pPr>
          </w:p>
        </w:tc>
        <w:tc>
          <w:tcPr>
            <w:tcW w:w="820" w:type="dxa"/>
            <w:vAlign w:val="bottom"/>
          </w:tcPr>
          <w:p>
            <w:pPr>
              <w:jc w:val="right"/>
              <w:ind w:right="4"/>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ind w:left="700"/>
              <w:spacing w:after="0"/>
              <w:rPr>
                <w:sz w:val="20"/>
                <w:szCs w:val="20"/>
                <w:color w:val="auto"/>
              </w:rPr>
            </w:pPr>
            <w:r>
              <w:rPr>
                <w:rFonts w:ascii="Arial" w:cs="Arial" w:eastAsia="Arial" w:hAnsi="Arial"/>
                <w:sz w:val="11"/>
                <w:szCs w:val="11"/>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ind w:left="700"/>
              <w:spacing w:after="0"/>
              <w:rPr>
                <w:sz w:val="20"/>
                <w:szCs w:val="20"/>
                <w:color w:val="auto"/>
              </w:rPr>
            </w:pPr>
            <w:r>
              <w:rPr>
                <w:rFonts w:ascii="Arial" w:cs="Arial" w:eastAsia="Arial" w:hAnsi="Arial"/>
                <w:sz w:val="11"/>
                <w:szCs w:val="11"/>
                <w:color w:val="auto"/>
              </w:rPr>
              <w:t>—</w:t>
            </w:r>
          </w:p>
        </w:tc>
        <w:tc>
          <w:tcPr>
            <w:tcW w:w="780" w:type="dxa"/>
            <w:vAlign w:val="bottom"/>
          </w:tcPr>
          <w:p>
            <w:pPr>
              <w:spacing w:after="0"/>
              <w:rPr>
                <w:sz w:val="12"/>
                <w:szCs w:val="12"/>
                <w:color w:val="auto"/>
              </w:rPr>
            </w:pPr>
          </w:p>
        </w:tc>
        <w:tc>
          <w:tcPr>
            <w:tcW w:w="14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4"/>
              <w:spacing w:after="0"/>
              <w:rPr>
                <w:sz w:val="20"/>
                <w:szCs w:val="20"/>
                <w:color w:val="auto"/>
              </w:rPr>
            </w:pPr>
            <w:r>
              <w:rPr>
                <w:rFonts w:ascii="Arial" w:cs="Arial" w:eastAsia="Arial" w:hAnsi="Arial"/>
                <w:sz w:val="11"/>
                <w:szCs w:val="11"/>
                <w:color w:val="auto"/>
              </w:rPr>
              <w:t>11</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ind w:left="680"/>
              <w:spacing w:after="0"/>
              <w:rPr>
                <w:sz w:val="20"/>
                <w:szCs w:val="20"/>
                <w:color w:val="auto"/>
              </w:rPr>
            </w:pPr>
            <w:r>
              <w:rPr>
                <w:rFonts w:ascii="Arial" w:cs="Arial" w:eastAsia="Arial" w:hAnsi="Arial"/>
                <w:sz w:val="11"/>
                <w:szCs w:val="11"/>
                <w:color w:val="auto"/>
              </w:rPr>
              <w:t>—</w:t>
            </w:r>
          </w:p>
        </w:tc>
        <w:tc>
          <w:tcPr>
            <w:tcW w:w="800" w:type="dxa"/>
            <w:vAlign w:val="bottom"/>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19 – Other Comprehensive Income (Loss)</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Income (Loss) is comprised of the following:</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48"/>
        </w:trPr>
        <w:tc>
          <w:tcPr>
            <w:tcW w:w="5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2280" w:type="dxa"/>
            <w:vAlign w:val="bottom"/>
            <w:tcBorders>
              <w:bottom w:val="single" w:sz="8" w:color="auto"/>
            </w:tcBorders>
            <w:gridSpan w:val="5"/>
          </w:tcPr>
          <w:p>
            <w:pPr>
              <w:ind w:left="320"/>
              <w:spacing w:after="0"/>
              <w:rPr>
                <w:sz w:val="20"/>
                <w:szCs w:val="20"/>
                <w:color w:val="auto"/>
              </w:rPr>
            </w:pPr>
            <w:r>
              <w:rPr>
                <w:rFonts w:ascii="Arial" w:cs="Arial" w:eastAsia="Arial" w:hAnsi="Arial"/>
                <w:sz w:val="11"/>
                <w:szCs w:val="11"/>
                <w:color w:val="auto"/>
              </w:rPr>
              <w:t>Year Ended December 31,</w:t>
            </w: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r>
      <w:tr>
        <w:trPr>
          <w:trHeight w:val="143"/>
        </w:trPr>
        <w:tc>
          <w:tcPr>
            <w:tcW w:w="56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1"/>
                <w:szCs w:val="11"/>
                <w:color w:val="auto"/>
              </w:rPr>
              <w:t>2023</w:t>
            </w:r>
          </w:p>
        </w:tc>
        <w:tc>
          <w:tcPr>
            <w:tcW w:w="9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1"/>
                <w:szCs w:val="11"/>
                <w:color w:val="auto"/>
              </w:rPr>
              <w:t>2022</w:t>
            </w:r>
          </w:p>
        </w:tc>
        <w:tc>
          <w:tcPr>
            <w:tcW w:w="9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3"/>
          </w:tcPr>
          <w:p>
            <w:pPr>
              <w:jc w:val="right"/>
              <w:ind w:right="84"/>
              <w:spacing w:after="0"/>
              <w:rPr>
                <w:sz w:val="20"/>
                <w:szCs w:val="20"/>
                <w:color w:val="auto"/>
              </w:rPr>
            </w:pPr>
            <w:r>
              <w:rPr>
                <w:rFonts w:ascii="Arial" w:cs="Arial" w:eastAsia="Arial" w:hAnsi="Arial"/>
                <w:sz w:val="11"/>
                <w:szCs w:val="11"/>
                <w:color w:val="auto"/>
              </w:rPr>
              <w:t>2021</w:t>
            </w:r>
          </w:p>
        </w:tc>
        <w:tc>
          <w:tcPr>
            <w:tcW w:w="960" w:type="dxa"/>
            <w:vAlign w:val="bottom"/>
            <w:tcBorders>
              <w:bottom w:val="single" w:sz="8" w:color="auto"/>
            </w:tcBorders>
          </w:tcPr>
          <w:p>
            <w:pPr>
              <w:spacing w:after="0"/>
              <w:rPr>
                <w:sz w:val="12"/>
                <w:szCs w:val="12"/>
                <w:color w:val="auto"/>
              </w:rPr>
            </w:pPr>
          </w:p>
        </w:tc>
      </w:tr>
      <w:tr>
        <w:trPr>
          <w:trHeight w:val="123"/>
        </w:trPr>
        <w:tc>
          <w:tcPr>
            <w:tcW w:w="3780" w:type="dxa"/>
            <w:vAlign w:val="bottom"/>
            <w:gridSpan w:val="2"/>
          </w:tcPr>
          <w:p>
            <w:pPr>
              <w:spacing w:after="0" w:line="123" w:lineRule="exact"/>
              <w:rPr>
                <w:sz w:val="20"/>
                <w:szCs w:val="20"/>
                <w:color w:val="auto"/>
              </w:rPr>
            </w:pPr>
            <w:r>
              <w:rPr>
                <w:rFonts w:ascii="Arial" w:cs="Arial" w:eastAsia="Arial" w:hAnsi="Arial"/>
                <w:sz w:val="11"/>
                <w:szCs w:val="11"/>
                <w:color w:val="auto"/>
              </w:rPr>
              <w:t>(in millions)</w:t>
            </w:r>
          </w:p>
        </w:tc>
        <w:tc>
          <w:tcPr>
            <w:tcW w:w="240" w:type="dxa"/>
            <w:vAlign w:val="bottom"/>
          </w:tcPr>
          <w:p>
            <w:pPr>
              <w:spacing w:after="0"/>
              <w:rPr>
                <w:sz w:val="10"/>
                <w:szCs w:val="10"/>
                <w:color w:val="auto"/>
              </w:rPr>
            </w:pPr>
          </w:p>
        </w:tc>
        <w:tc>
          <w:tcPr>
            <w:tcW w:w="1020" w:type="dxa"/>
            <w:vAlign w:val="bottom"/>
            <w:gridSpan w:val="2"/>
          </w:tcPr>
          <w:p>
            <w:pPr>
              <w:ind w:left="180"/>
              <w:spacing w:after="0" w:line="123" w:lineRule="exact"/>
              <w:rPr>
                <w:sz w:val="20"/>
                <w:szCs w:val="20"/>
                <w:color w:val="auto"/>
              </w:rPr>
            </w:pPr>
            <w:r>
              <w:rPr>
                <w:rFonts w:ascii="Arial" w:cs="Arial" w:eastAsia="Arial" w:hAnsi="Arial"/>
                <w:sz w:val="11"/>
                <w:szCs w:val="11"/>
                <w:color w:val="auto"/>
              </w:rPr>
              <w:t>Pre-tax</w:t>
            </w:r>
          </w:p>
        </w:tc>
        <w:tc>
          <w:tcPr>
            <w:tcW w:w="220" w:type="dxa"/>
            <w:vAlign w:val="bottom"/>
          </w:tcPr>
          <w:p>
            <w:pPr>
              <w:spacing w:after="0"/>
              <w:rPr>
                <w:sz w:val="10"/>
                <w:szCs w:val="10"/>
                <w:color w:val="auto"/>
              </w:rPr>
            </w:pPr>
          </w:p>
        </w:tc>
        <w:tc>
          <w:tcPr>
            <w:tcW w:w="1040" w:type="dxa"/>
            <w:vAlign w:val="bottom"/>
            <w:gridSpan w:val="2"/>
          </w:tcPr>
          <w:p>
            <w:pPr>
              <w:ind w:left="120"/>
              <w:spacing w:after="0" w:line="123" w:lineRule="exact"/>
              <w:rPr>
                <w:sz w:val="20"/>
                <w:szCs w:val="20"/>
                <w:color w:val="auto"/>
              </w:rPr>
            </w:pPr>
            <w:r>
              <w:rPr>
                <w:rFonts w:ascii="Arial" w:cs="Arial" w:eastAsia="Arial" w:hAnsi="Arial"/>
                <w:sz w:val="11"/>
                <w:szCs w:val="11"/>
                <w:color w:val="auto"/>
              </w:rPr>
              <w:t>Net of Tax</w:t>
            </w:r>
          </w:p>
        </w:tc>
        <w:tc>
          <w:tcPr>
            <w:tcW w:w="240" w:type="dxa"/>
            <w:vAlign w:val="bottom"/>
          </w:tcPr>
          <w:p>
            <w:pPr>
              <w:spacing w:after="0"/>
              <w:rPr>
                <w:sz w:val="10"/>
                <w:szCs w:val="10"/>
                <w:color w:val="auto"/>
              </w:rPr>
            </w:pPr>
          </w:p>
        </w:tc>
        <w:tc>
          <w:tcPr>
            <w:tcW w:w="1020" w:type="dxa"/>
            <w:vAlign w:val="bottom"/>
            <w:gridSpan w:val="2"/>
          </w:tcPr>
          <w:p>
            <w:pPr>
              <w:ind w:left="180"/>
              <w:spacing w:after="0" w:line="123" w:lineRule="exact"/>
              <w:rPr>
                <w:sz w:val="20"/>
                <w:szCs w:val="20"/>
                <w:color w:val="auto"/>
              </w:rPr>
            </w:pPr>
            <w:r>
              <w:rPr>
                <w:rFonts w:ascii="Arial" w:cs="Arial" w:eastAsia="Arial" w:hAnsi="Arial"/>
                <w:sz w:val="11"/>
                <w:szCs w:val="11"/>
                <w:color w:val="auto"/>
              </w:rPr>
              <w:t>Pre-tax</w:t>
            </w:r>
          </w:p>
        </w:tc>
        <w:tc>
          <w:tcPr>
            <w:tcW w:w="220" w:type="dxa"/>
            <w:vAlign w:val="bottom"/>
          </w:tcPr>
          <w:p>
            <w:pPr>
              <w:spacing w:after="0"/>
              <w:rPr>
                <w:sz w:val="10"/>
                <w:szCs w:val="10"/>
                <w:color w:val="auto"/>
              </w:rPr>
            </w:pPr>
          </w:p>
        </w:tc>
        <w:tc>
          <w:tcPr>
            <w:tcW w:w="1040" w:type="dxa"/>
            <w:vAlign w:val="bottom"/>
            <w:gridSpan w:val="2"/>
          </w:tcPr>
          <w:p>
            <w:pPr>
              <w:ind w:left="120"/>
              <w:spacing w:after="0" w:line="123" w:lineRule="exact"/>
              <w:rPr>
                <w:sz w:val="20"/>
                <w:szCs w:val="20"/>
                <w:color w:val="auto"/>
              </w:rPr>
            </w:pPr>
            <w:r>
              <w:rPr>
                <w:rFonts w:ascii="Arial" w:cs="Arial" w:eastAsia="Arial" w:hAnsi="Arial"/>
                <w:sz w:val="11"/>
                <w:szCs w:val="11"/>
                <w:color w:val="auto"/>
              </w:rPr>
              <w:t>Net of Tax</w:t>
            </w:r>
          </w:p>
        </w:tc>
        <w:tc>
          <w:tcPr>
            <w:tcW w:w="240" w:type="dxa"/>
            <w:vAlign w:val="bottom"/>
          </w:tcPr>
          <w:p>
            <w:pPr>
              <w:spacing w:after="0"/>
              <w:rPr>
                <w:sz w:val="10"/>
                <w:szCs w:val="10"/>
                <w:color w:val="auto"/>
              </w:rPr>
            </w:pPr>
          </w:p>
        </w:tc>
        <w:tc>
          <w:tcPr>
            <w:tcW w:w="1020" w:type="dxa"/>
            <w:vAlign w:val="bottom"/>
            <w:gridSpan w:val="2"/>
          </w:tcPr>
          <w:p>
            <w:pPr>
              <w:ind w:left="180"/>
              <w:spacing w:after="0" w:line="123" w:lineRule="exact"/>
              <w:rPr>
                <w:sz w:val="20"/>
                <w:szCs w:val="20"/>
                <w:color w:val="auto"/>
              </w:rPr>
            </w:pPr>
            <w:r>
              <w:rPr>
                <w:rFonts w:ascii="Arial" w:cs="Arial" w:eastAsia="Arial" w:hAnsi="Arial"/>
                <w:sz w:val="11"/>
                <w:szCs w:val="11"/>
                <w:color w:val="auto"/>
              </w:rPr>
              <w:t>Pre-tax</w:t>
            </w:r>
          </w:p>
        </w:tc>
        <w:tc>
          <w:tcPr>
            <w:tcW w:w="220" w:type="dxa"/>
            <w:vAlign w:val="bottom"/>
          </w:tcPr>
          <w:p>
            <w:pPr>
              <w:spacing w:after="0"/>
              <w:rPr>
                <w:sz w:val="10"/>
                <w:szCs w:val="10"/>
                <w:color w:val="auto"/>
              </w:rPr>
            </w:pPr>
          </w:p>
        </w:tc>
        <w:tc>
          <w:tcPr>
            <w:tcW w:w="960" w:type="dxa"/>
            <w:vAlign w:val="bottom"/>
          </w:tcPr>
          <w:p>
            <w:pPr>
              <w:jc w:val="right"/>
              <w:ind w:right="284"/>
              <w:spacing w:after="0" w:line="123" w:lineRule="exact"/>
              <w:rPr>
                <w:sz w:val="20"/>
                <w:szCs w:val="20"/>
                <w:color w:val="auto"/>
              </w:rPr>
            </w:pPr>
            <w:r>
              <w:rPr>
                <w:rFonts w:ascii="Arial" w:cs="Arial" w:eastAsia="Arial" w:hAnsi="Arial"/>
                <w:sz w:val="11"/>
                <w:szCs w:val="11"/>
                <w:color w:val="auto"/>
              </w:rPr>
              <w:t>Net of Tax</w:t>
            </w:r>
          </w:p>
        </w:tc>
      </w:tr>
      <w:tr>
        <w:trPr>
          <w:trHeight w:val="20"/>
        </w:trPr>
        <w:tc>
          <w:tcPr>
            <w:tcW w:w="560" w:type="dxa"/>
            <w:vAlign w:val="bottom"/>
            <w:tcBorders>
              <w:top w:val="single" w:sz="8" w:color="auto"/>
              <w:bottom w:val="single" w:sz="8" w:color="CCEEFF"/>
            </w:tcBorders>
          </w:tcPr>
          <w:p>
            <w:pPr>
              <w:spacing w:after="0" w:line="20" w:lineRule="exact"/>
              <w:rPr>
                <w:sz w:val="1"/>
                <w:szCs w:val="1"/>
                <w:color w:val="auto"/>
              </w:rPr>
            </w:pPr>
          </w:p>
        </w:tc>
        <w:tc>
          <w:tcPr>
            <w:tcW w:w="3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28"/>
        </w:trPr>
        <w:tc>
          <w:tcPr>
            <w:tcW w:w="37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Currency Translation</w:t>
            </w: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r>
      <w:tr>
        <w:trPr>
          <w:trHeight w:val="152"/>
        </w:trPr>
        <w:tc>
          <w:tcPr>
            <w:tcW w:w="378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Currency translation adjustments, net</w:t>
            </w: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31</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31</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w:t>
            </w:r>
          </w:p>
        </w:tc>
      </w:tr>
      <w:tr>
        <w:trPr>
          <w:trHeight w:val="151"/>
        </w:trPr>
        <w:tc>
          <w:tcPr>
            <w:tcW w:w="37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Translation adjustments gains (losses)</w:t>
            </w: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31</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31</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w:t>
            </w:r>
          </w:p>
        </w:tc>
      </w:tr>
      <w:tr>
        <w:trPr>
          <w:trHeight w:val="135"/>
        </w:trPr>
        <w:tc>
          <w:tcPr>
            <w:tcW w:w="3780" w:type="dxa"/>
            <w:vAlign w:val="bottom"/>
            <w:gridSpan w:val="2"/>
          </w:tcPr>
          <w:p>
            <w:pPr>
              <w:spacing w:after="0"/>
              <w:rPr>
                <w:sz w:val="20"/>
                <w:szCs w:val="20"/>
                <w:color w:val="auto"/>
              </w:rPr>
            </w:pPr>
            <w:r>
              <w:rPr>
                <w:rFonts w:ascii="Arial" w:cs="Arial" w:eastAsia="Arial" w:hAnsi="Arial"/>
                <w:sz w:val="11"/>
                <w:szCs w:val="11"/>
                <w:b w:val="1"/>
                <w:bCs w:val="1"/>
                <w:color w:val="auto"/>
              </w:rPr>
              <w:t>Unrealized Gains (Losses)</w:t>
            </w: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57"/>
        </w:trPr>
        <w:tc>
          <w:tcPr>
            <w:tcW w:w="37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Changes in fair value of cash flow hedges gains (losses)</w:t>
            </w: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r>
      <w:tr>
        <w:trPr>
          <w:trHeight w:val="146"/>
        </w:trPr>
        <w:tc>
          <w:tcPr>
            <w:tcW w:w="37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b w:val="1"/>
                <w:bCs w:val="1"/>
                <w:color w:val="auto"/>
              </w:rPr>
              <w:t>Net Unrealized Gains (Losses)</w:t>
            </w: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r>
      <w:tr>
        <w:trPr>
          <w:trHeight w:val="148"/>
        </w:trPr>
        <w:tc>
          <w:tcPr>
            <w:tcW w:w="560" w:type="dxa"/>
            <w:vAlign w:val="bottom"/>
            <w:shd w:val="clear" w:color="auto" w:fill="CCEEFF"/>
          </w:tcPr>
          <w:p>
            <w:pPr>
              <w:spacing w:after="0"/>
              <w:rPr>
                <w:sz w:val="12"/>
                <w:szCs w:val="12"/>
                <w:color w:val="auto"/>
              </w:rPr>
            </w:pPr>
          </w:p>
        </w:tc>
        <w:tc>
          <w:tcPr>
            <w:tcW w:w="3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r>
      <w:tr>
        <w:trPr>
          <w:trHeight w:val="155"/>
        </w:trPr>
        <w:tc>
          <w:tcPr>
            <w:tcW w:w="3780" w:type="dxa"/>
            <w:vAlign w:val="bottom"/>
            <w:gridSpan w:val="2"/>
          </w:tcPr>
          <w:p>
            <w:pPr>
              <w:spacing w:after="0"/>
              <w:rPr>
                <w:sz w:val="20"/>
                <w:szCs w:val="20"/>
                <w:color w:val="auto"/>
              </w:rPr>
            </w:pPr>
            <w:r>
              <w:rPr>
                <w:rFonts w:ascii="Arial" w:cs="Arial" w:eastAsia="Arial" w:hAnsi="Arial"/>
                <w:sz w:val="11"/>
                <w:szCs w:val="11"/>
                <w:b w:val="1"/>
                <w:bCs w:val="1"/>
                <w:color w:val="auto"/>
              </w:rPr>
              <w:t>Defined Benefit Plans Gains (Losses)</w:t>
            </w: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7"/>
        </w:trPr>
        <w:tc>
          <w:tcPr>
            <w:tcW w:w="37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Net actuarial/prior service gains (losses)</w:t>
            </w: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w:t>
            </w:r>
          </w:p>
        </w:tc>
        <w:tc>
          <w:tcPr>
            <w:tcW w:w="8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w:t>
            </w:r>
          </w:p>
        </w:tc>
      </w:tr>
      <w:tr>
        <w:trPr>
          <w:trHeight w:val="146"/>
        </w:trPr>
        <w:tc>
          <w:tcPr>
            <w:tcW w:w="37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b w:val="1"/>
                <w:bCs w:val="1"/>
                <w:color w:val="auto"/>
              </w:rPr>
              <w:t>Changes in Defined Benefit Plans Gains (Losses)</w:t>
            </w: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5</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5</w:t>
            </w:r>
          </w:p>
        </w:tc>
        <w:tc>
          <w:tcPr>
            <w:tcW w:w="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1</w:t>
            </w:r>
          </w:p>
        </w:tc>
      </w:tr>
      <w:tr>
        <w:trPr>
          <w:trHeight w:val="137"/>
        </w:trPr>
        <w:tc>
          <w:tcPr>
            <w:tcW w:w="560" w:type="dxa"/>
            <w:vAlign w:val="bottom"/>
            <w:shd w:val="clear" w:color="auto" w:fill="CCEEFF"/>
          </w:tcPr>
          <w:p>
            <w:pPr>
              <w:spacing w:after="0"/>
              <w:rPr>
                <w:sz w:val="11"/>
                <w:szCs w:val="11"/>
                <w:color w:val="auto"/>
              </w:rPr>
            </w:pPr>
          </w:p>
        </w:tc>
        <w:tc>
          <w:tcPr>
            <w:tcW w:w="32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4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spacing w:after="0"/>
              <w:rPr>
                <w:sz w:val="11"/>
                <w:szCs w:val="11"/>
                <w:color w:val="auto"/>
              </w:rPr>
            </w:pPr>
          </w:p>
        </w:tc>
      </w:tr>
      <w:tr>
        <w:trPr>
          <w:trHeight w:val="147"/>
        </w:trPr>
        <w:tc>
          <w:tcPr>
            <w:tcW w:w="3780" w:type="dxa"/>
            <w:vAlign w:val="bottom"/>
            <w:gridSpan w:val="2"/>
          </w:tcPr>
          <w:p>
            <w:pPr>
              <w:spacing w:after="0"/>
              <w:rPr>
                <w:sz w:val="20"/>
                <w:szCs w:val="20"/>
                <w:color w:val="auto"/>
              </w:rPr>
            </w:pPr>
            <w:r>
              <w:rPr>
                <w:rFonts w:ascii="Arial" w:cs="Arial" w:eastAsia="Arial" w:hAnsi="Arial"/>
                <w:sz w:val="11"/>
                <w:szCs w:val="11"/>
                <w:b w:val="1"/>
                <w:bCs w:val="1"/>
                <w:color w:val="auto"/>
              </w:rPr>
              <w:t>Other Comprehensive Income (Loss)</w:t>
            </w: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31</w:t>
            </w:r>
          </w:p>
        </w:tc>
        <w:tc>
          <w:tcPr>
            <w:tcW w:w="80" w:type="dxa"/>
            <w:vAlign w:val="bottom"/>
          </w:tcPr>
          <w:p>
            <w:pPr>
              <w:spacing w:after="0"/>
              <w:rPr>
                <w:sz w:val="12"/>
                <w:szCs w:val="12"/>
                <w:color w:val="auto"/>
              </w:rPr>
            </w:pPr>
          </w:p>
        </w:tc>
        <w:tc>
          <w:tcPr>
            <w:tcW w:w="2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jc w:val="right"/>
              <w:ind w:right="4"/>
              <w:spacing w:after="0"/>
              <w:rPr>
                <w:sz w:val="20"/>
                <w:szCs w:val="20"/>
                <w:color w:val="auto"/>
              </w:rPr>
            </w:pPr>
            <w:r>
              <w:rPr>
                <w:rFonts w:ascii="Arial" w:cs="Arial" w:eastAsia="Arial" w:hAnsi="Arial"/>
                <w:sz w:val="11"/>
                <w:szCs w:val="11"/>
                <w:color w:val="auto"/>
              </w:rPr>
              <w:t>31</w:t>
            </w:r>
          </w:p>
        </w:tc>
        <w:tc>
          <w:tcPr>
            <w:tcW w:w="80" w:type="dxa"/>
            <w:vAlign w:val="bottom"/>
          </w:tcPr>
          <w:p>
            <w:pPr>
              <w:spacing w:after="0"/>
              <w:rPr>
                <w:sz w:val="12"/>
                <w:szCs w:val="12"/>
                <w:color w:val="auto"/>
              </w:rPr>
            </w:pP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w:t>
            </w:r>
          </w:p>
        </w:tc>
        <w:tc>
          <w:tcPr>
            <w:tcW w:w="80" w:type="dxa"/>
            <w:vAlign w:val="bottom"/>
          </w:tcPr>
          <w:p>
            <w:pPr>
              <w:spacing w:after="0"/>
              <w:rPr>
                <w:sz w:val="12"/>
                <w:szCs w:val="12"/>
                <w:color w:val="auto"/>
              </w:rPr>
            </w:pPr>
          </w:p>
        </w:tc>
        <w:tc>
          <w:tcPr>
            <w:tcW w:w="2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(37)</w:t>
            </w:r>
          </w:p>
        </w:tc>
        <w:tc>
          <w:tcPr>
            <w:tcW w:w="80" w:type="dxa"/>
            <w:vAlign w:val="bottom"/>
          </w:tcPr>
          <w:p>
            <w:pPr>
              <w:spacing w:after="0"/>
              <w:rPr>
                <w:sz w:val="12"/>
                <w:szCs w:val="12"/>
                <w:color w:val="auto"/>
              </w:rPr>
            </w:pPr>
          </w:p>
        </w:tc>
        <w:tc>
          <w:tcPr>
            <w:tcW w:w="240" w:type="dxa"/>
            <w:vAlign w:val="bottom"/>
            <w:tcBorders>
              <w:bottom w:val="single" w:sz="8" w:color="auto"/>
            </w:tcBorders>
          </w:tcPr>
          <w:p>
            <w:pPr>
              <w:jc w:val="right"/>
              <w:ind w:right="104"/>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w:t>
            </w:r>
          </w:p>
        </w:tc>
        <w:tc>
          <w:tcPr>
            <w:tcW w:w="80" w:type="dxa"/>
            <w:vAlign w:val="bottom"/>
          </w:tcPr>
          <w:p>
            <w:pPr>
              <w:spacing w:after="0"/>
              <w:rPr>
                <w:sz w:val="12"/>
                <w:szCs w:val="12"/>
                <w:color w:val="auto"/>
              </w:rPr>
            </w:pPr>
          </w:p>
        </w:tc>
        <w:tc>
          <w:tcPr>
            <w:tcW w:w="220" w:type="dxa"/>
            <w:vAlign w:val="bottom"/>
            <w:tcBorders>
              <w:bottom w:val="single" w:sz="8" w:color="auto"/>
            </w:tcBorders>
          </w:tcPr>
          <w:p>
            <w:pPr>
              <w:jc w:val="right"/>
              <w:ind w:right="84"/>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w:t>
            </w:r>
          </w:p>
        </w:tc>
      </w:tr>
      <w:tr>
        <w:trPr>
          <w:trHeight w:val="20"/>
        </w:trPr>
        <w:tc>
          <w:tcPr>
            <w:tcW w:w="56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Accumulated Other Comprehensive Loss ("AOCL")</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Below are the balances and changes in AOCL</w:t>
      </w:r>
      <w:r>
        <w:rPr>
          <w:rFonts w:ascii="Arial" w:cs="Arial" w:eastAsia="Arial" w:hAnsi="Arial"/>
          <w:sz w:val="18"/>
          <w:szCs w:val="18"/>
          <w:color w:val="auto"/>
          <w:vertAlign w:val="superscript"/>
        </w:rPr>
        <w:t>(1)</w:t>
      </w:r>
      <w:r>
        <w:rPr>
          <w:rFonts w:ascii="Arial" w:cs="Arial" w:eastAsia="Arial" w:hAnsi="Arial"/>
          <w:sz w:val="14"/>
          <w:szCs w:val="14"/>
          <w:color w:val="auto"/>
        </w:rPr>
        <w:t>:</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1"/>
                <w:szCs w:val="11"/>
                <w:color w:val="auto"/>
                <w:w w:val="99"/>
              </w:rPr>
              <w:t>Currency Translation</w:t>
            </w:r>
          </w:p>
        </w:tc>
        <w:tc>
          <w:tcPr>
            <w:tcW w:w="1420" w:type="dxa"/>
            <w:vAlign w:val="bottom"/>
            <w:gridSpan w:val="3"/>
          </w:tcPr>
          <w:p>
            <w:pPr>
              <w:jc w:val="center"/>
              <w:ind w:right="100"/>
              <w:spacing w:after="0"/>
              <w:rPr>
                <w:sz w:val="20"/>
                <w:szCs w:val="20"/>
                <w:color w:val="auto"/>
              </w:rPr>
            </w:pPr>
            <w:r>
              <w:rPr>
                <w:rFonts w:ascii="Arial" w:cs="Arial" w:eastAsia="Arial" w:hAnsi="Arial"/>
                <w:sz w:val="11"/>
                <w:szCs w:val="11"/>
                <w:color w:val="auto"/>
              </w:rPr>
              <w:t>Gains (Losses) on Cash</w:t>
            </w:r>
          </w:p>
        </w:tc>
        <w:tc>
          <w:tcPr>
            <w:tcW w:w="1440" w:type="dxa"/>
            <w:vAlign w:val="bottom"/>
            <w:gridSpan w:val="3"/>
          </w:tcPr>
          <w:p>
            <w:pPr>
              <w:jc w:val="center"/>
              <w:ind w:right="100"/>
              <w:spacing w:after="0"/>
              <w:rPr>
                <w:sz w:val="20"/>
                <w:szCs w:val="20"/>
                <w:color w:val="auto"/>
              </w:rPr>
            </w:pPr>
            <w:r>
              <w:rPr>
                <w:rFonts w:ascii="Arial" w:cs="Arial" w:eastAsia="Arial" w:hAnsi="Arial"/>
                <w:sz w:val="11"/>
                <w:szCs w:val="11"/>
                <w:color w:val="auto"/>
                <w:w w:val="99"/>
              </w:rPr>
              <w:t>Defined Benefit Pension</w:t>
            </w:r>
          </w:p>
        </w:tc>
        <w:tc>
          <w:tcPr>
            <w:tcW w:w="300" w:type="dxa"/>
            <w:vAlign w:val="bottom"/>
          </w:tcPr>
          <w:p>
            <w:pPr>
              <w:spacing w:after="0"/>
              <w:rPr>
                <w:sz w:val="10"/>
                <w:szCs w:val="10"/>
                <w:color w:val="auto"/>
              </w:rPr>
            </w:pPr>
          </w:p>
        </w:tc>
        <w:tc>
          <w:tcPr>
            <w:tcW w:w="1020" w:type="dxa"/>
            <w:vAlign w:val="bottom"/>
            <w:vMerge w:val="restart"/>
          </w:tcPr>
          <w:p>
            <w:pPr>
              <w:jc w:val="right"/>
              <w:ind w:right="484"/>
              <w:spacing w:after="0"/>
              <w:rPr>
                <w:sz w:val="20"/>
                <w:szCs w:val="20"/>
                <w:color w:val="auto"/>
              </w:rPr>
            </w:pPr>
            <w:r>
              <w:rPr>
                <w:rFonts w:ascii="Arial" w:cs="Arial" w:eastAsia="Arial" w:hAnsi="Arial"/>
                <w:sz w:val="11"/>
                <w:szCs w:val="11"/>
                <w:color w:val="auto"/>
              </w:rPr>
              <w:t>Total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5660" w:type="dxa"/>
            <w:vAlign w:val="bottom"/>
            <w:gridSpan w:val="2"/>
          </w:tcPr>
          <w:p>
            <w:pPr>
              <w:spacing w:after="0"/>
              <w:rPr>
                <w:sz w:val="20"/>
                <w:szCs w:val="20"/>
                <w:color w:val="auto"/>
              </w:rPr>
            </w:pPr>
            <w:r>
              <w:rPr>
                <w:rFonts w:ascii="Arial" w:cs="Arial" w:eastAsia="Arial" w:hAnsi="Arial"/>
                <w:sz w:val="10"/>
                <w:szCs w:val="10"/>
                <w:color w:val="auto"/>
              </w:rPr>
              <w:t>(in millions)</w:t>
            </w:r>
          </w:p>
        </w:tc>
        <w:tc>
          <w:tcPr>
            <w:tcW w:w="100" w:type="dxa"/>
            <w:vAlign w:val="bottom"/>
          </w:tcPr>
          <w:p>
            <w:pPr>
              <w:spacing w:after="0"/>
              <w:rPr>
                <w:sz w:val="9"/>
                <w:szCs w:val="9"/>
                <w:color w:val="auto"/>
              </w:rPr>
            </w:pPr>
          </w:p>
        </w:tc>
        <w:tc>
          <w:tcPr>
            <w:tcW w:w="1320" w:type="dxa"/>
            <w:vAlign w:val="bottom"/>
            <w:gridSpan w:val="2"/>
          </w:tcPr>
          <w:p>
            <w:pPr>
              <w:jc w:val="center"/>
              <w:ind w:right="200"/>
              <w:spacing w:after="0" w:line="115" w:lineRule="exact"/>
              <w:rPr>
                <w:sz w:val="20"/>
                <w:szCs w:val="20"/>
                <w:color w:val="auto"/>
              </w:rPr>
            </w:pPr>
            <w:r>
              <w:rPr>
                <w:rFonts w:ascii="Arial" w:cs="Arial" w:eastAsia="Arial" w:hAnsi="Arial"/>
                <w:sz w:val="11"/>
                <w:szCs w:val="11"/>
                <w:color w:val="auto"/>
                <w:w w:val="99"/>
              </w:rPr>
              <w:t>Adjustments</w:t>
            </w:r>
          </w:p>
        </w:tc>
        <w:tc>
          <w:tcPr>
            <w:tcW w:w="200" w:type="dxa"/>
            <w:vAlign w:val="bottom"/>
          </w:tcPr>
          <w:p>
            <w:pPr>
              <w:spacing w:after="0"/>
              <w:rPr>
                <w:sz w:val="9"/>
                <w:szCs w:val="9"/>
                <w:color w:val="auto"/>
              </w:rPr>
            </w:pPr>
          </w:p>
        </w:tc>
        <w:tc>
          <w:tcPr>
            <w:tcW w:w="1220" w:type="dxa"/>
            <w:vAlign w:val="bottom"/>
            <w:gridSpan w:val="2"/>
          </w:tcPr>
          <w:p>
            <w:pPr>
              <w:jc w:val="center"/>
              <w:ind w:right="300"/>
              <w:spacing w:after="0" w:line="115" w:lineRule="exact"/>
              <w:rPr>
                <w:sz w:val="20"/>
                <w:szCs w:val="20"/>
                <w:color w:val="auto"/>
              </w:rPr>
            </w:pPr>
            <w:r>
              <w:rPr>
                <w:rFonts w:ascii="Arial" w:cs="Arial" w:eastAsia="Arial" w:hAnsi="Arial"/>
                <w:sz w:val="11"/>
                <w:szCs w:val="11"/>
                <w:color w:val="auto"/>
                <w:w w:val="99"/>
              </w:rPr>
              <w:t>Flow Hedges</w:t>
            </w:r>
          </w:p>
        </w:tc>
        <w:tc>
          <w:tcPr>
            <w:tcW w:w="300" w:type="dxa"/>
            <w:vAlign w:val="bottom"/>
          </w:tcPr>
          <w:p>
            <w:pPr>
              <w:spacing w:after="0"/>
              <w:rPr>
                <w:sz w:val="9"/>
                <w:szCs w:val="9"/>
                <w:color w:val="auto"/>
              </w:rPr>
            </w:pPr>
          </w:p>
        </w:tc>
        <w:tc>
          <w:tcPr>
            <w:tcW w:w="1140" w:type="dxa"/>
            <w:vAlign w:val="bottom"/>
            <w:gridSpan w:val="2"/>
          </w:tcPr>
          <w:p>
            <w:pPr>
              <w:jc w:val="center"/>
              <w:ind w:right="400"/>
              <w:spacing w:after="0" w:line="115" w:lineRule="exact"/>
              <w:rPr>
                <w:sz w:val="20"/>
                <w:szCs w:val="20"/>
                <w:color w:val="auto"/>
              </w:rPr>
            </w:pPr>
            <w:r>
              <w:rPr>
                <w:rFonts w:ascii="Arial" w:cs="Arial" w:eastAsia="Arial" w:hAnsi="Arial"/>
                <w:sz w:val="11"/>
                <w:szCs w:val="11"/>
                <w:color w:val="auto"/>
                <w:w w:val="96"/>
              </w:rPr>
              <w:t>Items</w:t>
            </w:r>
          </w:p>
        </w:tc>
        <w:tc>
          <w:tcPr>
            <w:tcW w:w="30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2020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(400)</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3</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w w:val="97"/>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(398)</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5660" w:type="dxa"/>
            <w:vAlign w:val="bottom"/>
            <w:gridSpan w:val="2"/>
          </w:tcPr>
          <w:p>
            <w:pPr>
              <w:ind w:left="160"/>
              <w:spacing w:after="0"/>
              <w:rPr>
                <w:sz w:val="20"/>
                <w:szCs w:val="20"/>
                <w:color w:val="auto"/>
              </w:rPr>
            </w:pPr>
            <w:r>
              <w:rPr>
                <w:rFonts w:ascii="Arial" w:cs="Arial" w:eastAsia="Arial" w:hAnsi="Arial"/>
                <w:sz w:val="11"/>
                <w:szCs w:val="11"/>
                <w:color w:val="auto"/>
              </w:rPr>
              <w:t>Other comprehensive income (loss) before reclassifications</w:t>
            </w:r>
          </w:p>
        </w:tc>
        <w:tc>
          <w:tcPr>
            <w:tcW w:w="10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40" w:type="dxa"/>
            <w:vAlign w:val="bottom"/>
          </w:tcPr>
          <w:p>
            <w:pPr>
              <w:jc w:val="right"/>
              <w:ind w:right="4"/>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Amounts reclassified from accumulated other comprehensive loss</w:t>
            </w: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660" w:type="dxa"/>
            <w:vAlign w:val="bottom"/>
            <w:gridSpan w:val="2"/>
          </w:tcPr>
          <w:p>
            <w:pPr>
              <w:spacing w:after="0"/>
              <w:rPr>
                <w:sz w:val="20"/>
                <w:szCs w:val="20"/>
                <w:color w:val="auto"/>
              </w:rPr>
            </w:pPr>
            <w:r>
              <w:rPr>
                <w:rFonts w:ascii="Arial" w:cs="Arial" w:eastAsia="Arial" w:hAnsi="Arial"/>
                <w:sz w:val="11"/>
                <w:szCs w:val="11"/>
                <w:color w:val="auto"/>
              </w:rPr>
              <w:t>Net current period other comprehensive income (loss)</w:t>
            </w: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2021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114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w w:val="97"/>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bottom w:val="single" w:sz="8" w:color="CCEEFF"/>
            </w:tcBorders>
            <w:gridSpan w:val="2"/>
            <w:vMerge w:val="restart"/>
          </w:tcPr>
          <w:p>
            <w:pPr>
              <w:ind w:left="160"/>
              <w:spacing w:after="0"/>
              <w:rPr>
                <w:sz w:val="20"/>
                <w:szCs w:val="20"/>
                <w:color w:val="auto"/>
              </w:rPr>
            </w:pPr>
            <w:r>
              <w:rPr>
                <w:rFonts w:ascii="Arial" w:cs="Arial" w:eastAsia="Arial" w:hAnsi="Arial"/>
                <w:sz w:val="11"/>
                <w:szCs w:val="11"/>
                <w:color w:val="auto"/>
              </w:rPr>
              <w:t>Other comprehensive income (loss) before reclassifications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5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jc w:val="right"/>
              <w:spacing w:after="0" w:line="114" w:lineRule="exact"/>
              <w:rPr>
                <w:sz w:val="20"/>
                <w:szCs w:val="20"/>
                <w:color w:val="auto"/>
              </w:rPr>
            </w:pPr>
            <w:r>
              <w:rPr>
                <w:rFonts w:ascii="Arial" w:cs="Arial" w:eastAsia="Arial" w:hAnsi="Arial"/>
                <w:sz w:val="11"/>
                <w:szCs w:val="11"/>
                <w:color w:val="auto"/>
              </w:rPr>
              <w:t>(41)</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jc w:val="right"/>
              <w:spacing w:after="0" w:line="114" w:lineRule="exact"/>
              <w:rPr>
                <w:sz w:val="20"/>
                <w:szCs w:val="20"/>
                <w:color w:val="auto"/>
              </w:rPr>
            </w:pPr>
            <w:r>
              <w:rPr>
                <w:rFonts w:ascii="Arial" w:cs="Arial" w:eastAsia="Arial" w:hAnsi="Arial"/>
                <w:sz w:val="11"/>
                <w:szCs w:val="11"/>
                <w:color w:val="auto"/>
              </w:rPr>
              <w:t>(1)</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jc w:val="right"/>
              <w:ind w:right="4"/>
              <w:spacing w:after="0" w:line="114" w:lineRule="exact"/>
              <w:rPr>
                <w:sz w:val="20"/>
                <w:szCs w:val="20"/>
                <w:color w:val="auto"/>
              </w:rPr>
            </w:pPr>
            <w:r>
              <w:rPr>
                <w:rFonts w:ascii="Arial" w:cs="Arial" w:eastAsia="Arial" w:hAnsi="Arial"/>
                <w:sz w:val="11"/>
                <w:szCs w:val="11"/>
                <w:color w:val="auto"/>
              </w:rPr>
              <w:t>5</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jc w:val="right"/>
              <w:spacing w:after="0" w:line="114" w:lineRule="exact"/>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Amounts reclassified from accumulated other comprehensive loss</w:t>
            </w: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660" w:type="dxa"/>
            <w:vAlign w:val="bottom"/>
            <w:gridSpan w:val="2"/>
          </w:tcPr>
          <w:p>
            <w:pPr>
              <w:spacing w:after="0"/>
              <w:rPr>
                <w:sz w:val="20"/>
                <w:szCs w:val="20"/>
                <w:color w:val="auto"/>
              </w:rPr>
            </w:pPr>
            <w:r>
              <w:rPr>
                <w:rFonts w:ascii="Arial" w:cs="Arial" w:eastAsia="Arial" w:hAnsi="Arial"/>
                <w:sz w:val="11"/>
                <w:szCs w:val="11"/>
                <w:color w:val="auto"/>
              </w:rPr>
              <w:t>Net current period other comprehensive income (loss)</w:t>
            </w: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(41)</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5</w:t>
            </w: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shd w:val="clear" w:color="auto" w:fill="CCEEFF"/>
          </w:tcPr>
          <w:p>
            <w:pPr>
              <w:spacing w:after="0"/>
              <w:rPr>
                <w:sz w:val="15"/>
                <w:szCs w:val="15"/>
                <w:color w:val="auto"/>
              </w:rPr>
            </w:pPr>
          </w:p>
        </w:tc>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2022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(472)</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5</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660" w:type="dxa"/>
            <w:vAlign w:val="bottom"/>
            <w:tcBorders>
              <w:top w:val="single" w:sz="8" w:color="CCEEFF"/>
              <w:bottom w:val="single" w:sz="8" w:color="CCEEFF"/>
            </w:tcBorders>
            <w:gridSpan w:val="2"/>
            <w:vMerge w:val="restart"/>
          </w:tcPr>
          <w:p>
            <w:pPr>
              <w:ind w:left="160"/>
              <w:spacing w:after="0"/>
              <w:rPr>
                <w:sz w:val="20"/>
                <w:szCs w:val="20"/>
                <w:color w:val="auto"/>
              </w:rPr>
            </w:pPr>
            <w:r>
              <w:rPr>
                <w:rFonts w:ascii="Arial" w:cs="Arial" w:eastAsia="Arial" w:hAnsi="Arial"/>
                <w:sz w:val="11"/>
                <w:szCs w:val="11"/>
                <w:color w:val="auto"/>
              </w:rPr>
              <w:t>Other comprehensive income (loss) before reclassifications</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0" w:type="dxa"/>
            <w:vAlign w:val="bottom"/>
          </w:tcPr>
          <w:p>
            <w:pPr>
              <w:spacing w:after="0"/>
              <w:rPr>
                <w:sz w:val="9"/>
                <w:szCs w:val="9"/>
                <w:color w:val="auto"/>
              </w:rPr>
            </w:pPr>
          </w:p>
        </w:tc>
        <w:tc>
          <w:tcPr>
            <w:tcW w:w="56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jc w:val="right"/>
              <w:spacing w:after="0" w:line="114" w:lineRule="exact"/>
              <w:rPr>
                <w:sz w:val="20"/>
                <w:szCs w:val="20"/>
                <w:color w:val="auto"/>
              </w:rPr>
            </w:pPr>
            <w:r>
              <w:rPr>
                <w:rFonts w:ascii="Arial" w:cs="Arial" w:eastAsia="Arial" w:hAnsi="Arial"/>
                <w:sz w:val="11"/>
                <w:szCs w:val="11"/>
                <w:color w:val="auto"/>
              </w:rPr>
              <w:t>31</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tcPr>
          <w:p>
            <w:pPr>
              <w:jc w:val="right"/>
              <w:ind w:right="4"/>
              <w:spacing w:after="0" w:line="114" w:lineRule="exact"/>
              <w:rPr>
                <w:sz w:val="20"/>
                <w:szCs w:val="20"/>
                <w:color w:val="auto"/>
              </w:rPr>
            </w:pPr>
            <w:r>
              <w:rPr>
                <w:rFonts w:ascii="Arial" w:cs="Arial" w:eastAsia="Arial" w:hAnsi="Arial"/>
                <w:sz w:val="11"/>
                <w:szCs w:val="11"/>
                <w:color w:val="auto"/>
              </w:rPr>
              <w:t>1</w:t>
            </w: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40" w:type="dxa"/>
            <w:vAlign w:val="bottom"/>
          </w:tcPr>
          <w:p>
            <w:pPr>
              <w:jc w:val="right"/>
              <w:spacing w:after="0" w:line="114" w:lineRule="exact"/>
              <w:rPr>
                <w:sz w:val="20"/>
                <w:szCs w:val="20"/>
                <w:color w:val="auto"/>
              </w:rPr>
            </w:pPr>
            <w:r>
              <w:rPr>
                <w:rFonts w:ascii="Arial" w:cs="Arial" w:eastAsia="Arial" w:hAnsi="Arial"/>
                <w:sz w:val="11"/>
                <w:szCs w:val="11"/>
                <w:color w:val="auto"/>
              </w:rPr>
              <w:t>(1)</w:t>
            </w: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jc w:val="right"/>
              <w:spacing w:after="0" w:line="114" w:lineRule="exact"/>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Amounts reclassified from accumulated other comprehensive loss</w:t>
            </w:r>
          </w:p>
        </w:tc>
        <w:tc>
          <w:tcPr>
            <w:tcW w:w="100" w:type="dxa"/>
            <w:vAlign w:val="bottom"/>
            <w:shd w:val="clear" w:color="auto" w:fill="CCEEFF"/>
          </w:tcPr>
          <w:p>
            <w:pPr>
              <w:spacing w:after="0"/>
              <w:rPr>
                <w:sz w:val="13"/>
                <w:szCs w:val="13"/>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3"/>
                <w:szCs w:val="13"/>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660" w:type="dxa"/>
            <w:vAlign w:val="bottom"/>
            <w:gridSpan w:val="2"/>
          </w:tcPr>
          <w:p>
            <w:pPr>
              <w:spacing w:after="0"/>
              <w:rPr>
                <w:sz w:val="20"/>
                <w:szCs w:val="20"/>
                <w:color w:val="auto"/>
              </w:rPr>
            </w:pPr>
            <w:r>
              <w:rPr>
                <w:rFonts w:ascii="Arial" w:cs="Arial" w:eastAsia="Arial" w:hAnsi="Arial"/>
                <w:sz w:val="11"/>
                <w:szCs w:val="11"/>
                <w:color w:val="auto"/>
              </w:rPr>
              <w:t>Net current period other comprehensive income (loss)</w:t>
            </w:r>
          </w:p>
        </w:tc>
        <w:tc>
          <w:tcPr>
            <w:tcW w:w="1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ind w:right="4"/>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shd w:val="clear" w:color="auto" w:fill="CCEEFF"/>
          </w:tcPr>
          <w:p>
            <w:pPr>
              <w:spacing w:after="0"/>
              <w:rPr>
                <w:sz w:val="15"/>
                <w:szCs w:val="15"/>
                <w:color w:val="auto"/>
              </w:rPr>
            </w:pPr>
          </w:p>
        </w:tc>
        <w:tc>
          <w:tcPr>
            <w:tcW w:w="5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2023</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(441)</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64"/>
              <w:spacing w:after="0"/>
              <w:rPr>
                <w:sz w:val="20"/>
                <w:szCs w:val="20"/>
                <w:color w:val="auto"/>
              </w:rPr>
            </w:pPr>
            <w:r>
              <w:rPr>
                <w:rFonts w:ascii="Arial" w:cs="Arial" w:eastAsia="Arial" w:hAnsi="Arial"/>
                <w:sz w:val="11"/>
                <w:szCs w:val="11"/>
                <w:color w:val="auto"/>
                <w:w w:val="97"/>
              </w:rPr>
              <w:t>$</w:t>
            </w:r>
          </w:p>
        </w:tc>
        <w:tc>
          <w:tcPr>
            <w:tcW w:w="11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1"/>
                <w:szCs w:val="11"/>
                <w:color w:val="auto"/>
                <w:w w:val="97"/>
              </w:rPr>
              <w:t>$</w:t>
            </w:r>
          </w:p>
        </w:tc>
        <w:tc>
          <w:tcPr>
            <w:tcW w:w="104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1"/>
                <w:szCs w:val="11"/>
                <w:color w:val="auto"/>
              </w:rPr>
              <w:t>4</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(435)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spacing w:after="0"/>
        <w:rPr>
          <w:sz w:val="20"/>
          <w:szCs w:val="20"/>
          <w:color w:val="auto"/>
        </w:rPr>
      </w:pPr>
      <w:r>
        <w:rPr>
          <w:rFonts w:ascii="Arial" w:cs="Arial" w:eastAsia="Arial" w:hAnsi="Arial"/>
          <w:sz w:val="10"/>
          <w:szCs w:val="10"/>
          <w:color w:val="auto"/>
        </w:rPr>
        <w:t>__________</w:t>
      </w:r>
    </w:p>
    <w:p>
      <w:pPr>
        <w:spacing w:after="0" w:line="48" w:lineRule="exact"/>
        <w:rPr>
          <w:sz w:val="20"/>
          <w:szCs w:val="20"/>
          <w:color w:val="auto"/>
        </w:rPr>
      </w:pPr>
    </w:p>
    <w:p>
      <w:pPr>
        <w:spacing w:after="0"/>
        <w:tabs>
          <w:tab w:leader="none" w:pos="220" w:val="left"/>
        </w:tabs>
        <w:rPr>
          <w:sz w:val="20"/>
          <w:szCs w:val="20"/>
          <w:color w:val="auto"/>
        </w:rPr>
      </w:pPr>
      <w:r>
        <w:rPr>
          <w:rFonts w:ascii="Arial" w:cs="Arial" w:eastAsia="Arial" w:hAnsi="Arial"/>
          <w:sz w:val="11"/>
          <w:szCs w:val="11"/>
          <w:i w:val="1"/>
          <w:iCs w:val="1"/>
          <w:color w:val="auto"/>
        </w:rPr>
        <w:t>(1)</w:t>
        <w:tab/>
        <w:t>All amounts are net of tax. Tax effects were immaterial.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92" w:name="page93"/>
    <w:bookmarkEnd w:id="92"/>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20 – Earnings (Loss) per Share</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The Company did not declare any common stock dividends in the periods presented.</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computation of basic and diluted loss per share of common stock:</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color w:val="auto"/>
              </w:rPr>
              <w:t>Year Ended December 31,</w:t>
            </w: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6180" w:type="dxa"/>
            <w:vAlign w:val="bottom"/>
            <w:gridSpan w:val="2"/>
          </w:tcPr>
          <w:p>
            <w:pPr>
              <w:spacing w:after="0"/>
              <w:rPr>
                <w:sz w:val="20"/>
                <w:szCs w:val="20"/>
                <w:color w:val="auto"/>
              </w:rPr>
            </w:pPr>
            <w:r>
              <w:rPr>
                <w:rFonts w:ascii="Arial" w:cs="Arial" w:eastAsia="Arial" w:hAnsi="Arial"/>
                <w:sz w:val="10"/>
                <w:szCs w:val="10"/>
                <w:color w:val="auto"/>
              </w:rPr>
              <w:t>(in millions, except per share data. Shares in thousands)</w:t>
            </w:r>
          </w:p>
        </w:tc>
        <w:tc>
          <w:tcPr>
            <w:tcW w:w="380" w:type="dxa"/>
            <w:vAlign w:val="bottom"/>
          </w:tcPr>
          <w:p>
            <w:pPr>
              <w:spacing w:after="0"/>
              <w:rPr>
                <w:sz w:val="10"/>
                <w:szCs w:val="10"/>
                <w:color w:val="auto"/>
              </w:rPr>
            </w:pPr>
          </w:p>
        </w:tc>
        <w:tc>
          <w:tcPr>
            <w:tcW w:w="1240" w:type="dxa"/>
            <w:vAlign w:val="bottom"/>
          </w:tcPr>
          <w:p>
            <w:pPr>
              <w:jc w:val="right"/>
              <w:ind w:right="624"/>
              <w:spacing w:after="0" w:line="120" w:lineRule="exact"/>
              <w:rPr>
                <w:sz w:val="20"/>
                <w:szCs w:val="20"/>
                <w:color w:val="auto"/>
              </w:rPr>
            </w:pPr>
            <w:r>
              <w:rPr>
                <w:rFonts w:ascii="Arial" w:cs="Arial" w:eastAsia="Arial" w:hAnsi="Arial"/>
                <w:sz w:val="11"/>
                <w:szCs w:val="11"/>
                <w:color w:val="auto"/>
              </w:rPr>
              <w:t>2023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00" w:type="dxa"/>
            <w:vAlign w:val="bottom"/>
          </w:tcPr>
          <w:p>
            <w:pPr>
              <w:jc w:val="right"/>
              <w:ind w:right="624"/>
              <w:spacing w:after="0" w:line="120" w:lineRule="exact"/>
              <w:rPr>
                <w:sz w:val="20"/>
                <w:szCs w:val="20"/>
                <w:color w:val="auto"/>
              </w:rPr>
            </w:pPr>
            <w:r>
              <w:rPr>
                <w:rFonts w:ascii="Arial" w:cs="Arial" w:eastAsia="Arial" w:hAnsi="Arial"/>
                <w:sz w:val="11"/>
                <w:szCs w:val="11"/>
                <w:color w:val="auto"/>
              </w:rPr>
              <w:t>2022</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40" w:type="dxa"/>
            <w:vAlign w:val="bottom"/>
          </w:tcPr>
          <w:p>
            <w:pPr>
              <w:jc w:val="right"/>
              <w:ind w:right="624"/>
              <w:spacing w:after="0" w:line="120" w:lineRule="exact"/>
              <w:rPr>
                <w:sz w:val="20"/>
                <w:szCs w:val="20"/>
                <w:color w:val="auto"/>
              </w:rPr>
            </w:pPr>
            <w:r>
              <w:rPr>
                <w:rFonts w:ascii="Arial" w:cs="Arial" w:eastAsia="Arial" w:hAnsi="Arial"/>
                <w:sz w:val="11"/>
                <w:szCs w:val="1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20" w:type="dxa"/>
            <w:vAlign w:val="bottom"/>
            <w:tcBorders>
              <w:top w:val="single" w:sz="8" w:color="auto"/>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28"/>
        </w:trPr>
        <w:tc>
          <w:tcPr>
            <w:tcW w:w="20" w:type="dxa"/>
            <w:vAlign w:val="bottom"/>
            <w:shd w:val="clear" w:color="auto" w:fill="CCEEFF"/>
          </w:tcPr>
          <w:p>
            <w:pPr>
              <w:spacing w:after="0"/>
              <w:rPr>
                <w:sz w:val="11"/>
                <w:szCs w:val="11"/>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Basic Net Earnings (Loss) per Share:</w:t>
            </w:r>
          </w:p>
        </w:tc>
        <w:tc>
          <w:tcPr>
            <w:tcW w:w="3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52"/>
        </w:trPr>
        <w:tc>
          <w:tcPr>
            <w:tcW w:w="20" w:type="dxa"/>
            <w:vAlign w:val="bottom"/>
          </w:tcPr>
          <w:p>
            <w:pPr>
              <w:spacing w:after="0"/>
              <w:rPr>
                <w:sz w:val="13"/>
                <w:szCs w:val="13"/>
                <w:color w:val="auto"/>
              </w:rPr>
            </w:pPr>
          </w:p>
        </w:tc>
        <w:tc>
          <w:tcPr>
            <w:tcW w:w="6180" w:type="dxa"/>
            <w:vAlign w:val="bottom"/>
            <w:gridSpan w:val="2"/>
          </w:tcPr>
          <w:p>
            <w:pPr>
              <w:ind w:left="160"/>
              <w:spacing w:after="0"/>
              <w:rPr>
                <w:sz w:val="20"/>
                <w:szCs w:val="20"/>
                <w:color w:val="auto"/>
              </w:rPr>
            </w:pPr>
            <w:r>
              <w:rPr>
                <w:rFonts w:ascii="Arial" w:cs="Arial" w:eastAsia="Arial" w:hAnsi="Arial"/>
                <w:sz w:val="11"/>
                <w:szCs w:val="11"/>
                <w:color w:val="auto"/>
              </w:rPr>
              <w:t>Net Income (Loss)</w:t>
            </w:r>
          </w:p>
        </w:tc>
        <w:tc>
          <w:tcPr>
            <w:tcW w:w="380" w:type="dxa"/>
            <w:vAlign w:val="bottom"/>
          </w:tcPr>
          <w:p>
            <w:pPr>
              <w:jc w:val="right"/>
              <w:ind w:right="244"/>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(296)</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500" w:type="dxa"/>
            <w:vAlign w:val="bottom"/>
          </w:tcPr>
          <w:p>
            <w:pPr>
              <w:jc w:val="right"/>
              <w:spacing w:after="0"/>
              <w:rPr>
                <w:sz w:val="20"/>
                <w:szCs w:val="20"/>
                <w:color w:val="auto"/>
              </w:rPr>
            </w:pPr>
            <w:r>
              <w:rPr>
                <w:rFonts w:ascii="Arial" w:cs="Arial" w:eastAsia="Arial" w:hAnsi="Arial"/>
                <w:sz w:val="11"/>
                <w:szCs w:val="11"/>
                <w:color w:val="auto"/>
              </w:rPr>
              <w:t>(182)</w:t>
            </w:r>
          </w:p>
        </w:tc>
        <w:tc>
          <w:tcPr>
            <w:tcW w:w="100" w:type="dxa"/>
            <w:vAlign w:val="bottom"/>
          </w:tcPr>
          <w:p>
            <w:pPr>
              <w:spacing w:after="0"/>
              <w:rPr>
                <w:sz w:val="13"/>
                <w:szCs w:val="13"/>
                <w:color w:val="auto"/>
              </w:rPr>
            </w:pPr>
          </w:p>
        </w:tc>
        <w:tc>
          <w:tcPr>
            <w:tcW w:w="380" w:type="dxa"/>
            <w:vAlign w:val="bottom"/>
          </w:tcPr>
          <w:p>
            <w:pPr>
              <w:jc w:val="right"/>
              <w:ind w:right="244"/>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(28)</w:t>
            </w:r>
          </w:p>
        </w:tc>
      </w:tr>
      <w:tr>
        <w:trPr>
          <w:trHeight w:val="160"/>
        </w:trPr>
        <w:tc>
          <w:tcPr>
            <w:tcW w:w="20" w:type="dxa"/>
            <w:vAlign w:val="bottom"/>
            <w:shd w:val="clear" w:color="auto" w:fill="CCEEFF"/>
          </w:tcPr>
          <w:p>
            <w:pPr>
              <w:spacing w:after="0"/>
              <w:rPr>
                <w:sz w:val="13"/>
                <w:szCs w:val="13"/>
                <w:color w:val="auto"/>
              </w:rPr>
            </w:pPr>
          </w:p>
        </w:tc>
        <w:tc>
          <w:tcPr>
            <w:tcW w:w="61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Dividend - Preferred Stock</w:t>
            </w:r>
          </w:p>
        </w:tc>
        <w:tc>
          <w:tcPr>
            <w:tcW w:w="3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w:t>
            </w:r>
          </w:p>
        </w:tc>
      </w:tr>
      <w:tr>
        <w:trPr>
          <w:trHeight w:val="143"/>
        </w:trPr>
        <w:tc>
          <w:tcPr>
            <w:tcW w:w="20" w:type="dxa"/>
            <w:vAlign w:val="bottom"/>
          </w:tcPr>
          <w:p>
            <w:pPr>
              <w:spacing w:after="0"/>
              <w:rPr>
                <w:sz w:val="12"/>
                <w:szCs w:val="12"/>
                <w:color w:val="auto"/>
              </w:rPr>
            </w:pPr>
          </w:p>
        </w:tc>
        <w:tc>
          <w:tcPr>
            <w:tcW w:w="6180" w:type="dxa"/>
            <w:vAlign w:val="bottom"/>
            <w:gridSpan w:val="2"/>
          </w:tcPr>
          <w:p>
            <w:pPr>
              <w:spacing w:after="0"/>
              <w:rPr>
                <w:sz w:val="20"/>
                <w:szCs w:val="20"/>
                <w:color w:val="auto"/>
              </w:rPr>
            </w:pPr>
            <w:r>
              <w:rPr>
                <w:rFonts w:ascii="Arial" w:cs="Arial" w:eastAsia="Arial" w:hAnsi="Arial"/>
                <w:sz w:val="11"/>
                <w:szCs w:val="11"/>
                <w:b w:val="1"/>
                <w:bCs w:val="1"/>
                <w:color w:val="auto"/>
              </w:rPr>
              <w:t>Adjusted Net Income (Loss) Available to Common Shareholders - Basic</w:t>
            </w:r>
          </w:p>
        </w:tc>
        <w:tc>
          <w:tcPr>
            <w:tcW w:w="38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(306)</w:t>
            </w:r>
          </w:p>
        </w:tc>
        <w:tc>
          <w:tcPr>
            <w:tcW w:w="100" w:type="dxa"/>
            <w:vAlign w:val="bottom"/>
          </w:tcPr>
          <w:p>
            <w:pPr>
              <w:spacing w:after="0"/>
              <w:rPr>
                <w:sz w:val="12"/>
                <w:szCs w:val="1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(192)</w:t>
            </w:r>
          </w:p>
        </w:tc>
        <w:tc>
          <w:tcPr>
            <w:tcW w:w="100" w:type="dxa"/>
            <w:vAlign w:val="bottom"/>
          </w:tcPr>
          <w:p>
            <w:pPr>
              <w:spacing w:after="0"/>
              <w:rPr>
                <w:sz w:val="12"/>
                <w:szCs w:val="12"/>
                <w:color w:val="auto"/>
              </w:rPr>
            </w:pPr>
          </w:p>
        </w:tc>
        <w:tc>
          <w:tcPr>
            <w:tcW w:w="380" w:type="dxa"/>
            <w:vAlign w:val="bottom"/>
            <w:tcBorders>
              <w:bottom w:val="single" w:sz="8" w:color="auto"/>
            </w:tcBorders>
          </w:tcPr>
          <w:p>
            <w:pPr>
              <w:jc w:val="right"/>
              <w:ind w:right="244"/>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31"/>
        </w:trPr>
        <w:tc>
          <w:tcPr>
            <w:tcW w:w="20" w:type="dxa"/>
            <w:vAlign w:val="bottom"/>
            <w:shd w:val="clear" w:color="auto" w:fill="CCEEFF"/>
          </w:tcPr>
          <w:p>
            <w:pPr>
              <w:spacing w:after="0"/>
              <w:rPr>
                <w:sz w:val="11"/>
                <w:szCs w:val="11"/>
                <w:color w:val="auto"/>
              </w:rPr>
            </w:pPr>
          </w:p>
        </w:tc>
        <w:tc>
          <w:tcPr>
            <w:tcW w:w="2420" w:type="dxa"/>
            <w:vAlign w:val="bottom"/>
            <w:shd w:val="clear" w:color="auto" w:fill="CCEEFF"/>
          </w:tcPr>
          <w:p>
            <w:pPr>
              <w:spacing w:after="0"/>
              <w:rPr>
                <w:sz w:val="11"/>
                <w:szCs w:val="11"/>
                <w:color w:val="auto"/>
              </w:rPr>
            </w:pPr>
          </w:p>
        </w:tc>
        <w:tc>
          <w:tcPr>
            <w:tcW w:w="37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r>
      <w:tr>
        <w:trPr>
          <w:trHeight w:val="155"/>
        </w:trPr>
        <w:tc>
          <w:tcPr>
            <w:tcW w:w="20" w:type="dxa"/>
            <w:vAlign w:val="bottom"/>
          </w:tcPr>
          <w:p>
            <w:pPr>
              <w:spacing w:after="0"/>
              <w:rPr>
                <w:sz w:val="13"/>
                <w:szCs w:val="13"/>
                <w:color w:val="auto"/>
              </w:rPr>
            </w:pPr>
          </w:p>
        </w:tc>
        <w:tc>
          <w:tcPr>
            <w:tcW w:w="6180" w:type="dxa"/>
            <w:vAlign w:val="bottom"/>
            <w:gridSpan w:val="2"/>
          </w:tcPr>
          <w:p>
            <w:pPr>
              <w:spacing w:after="0"/>
              <w:rPr>
                <w:sz w:val="20"/>
                <w:szCs w:val="20"/>
                <w:color w:val="auto"/>
              </w:rPr>
            </w:pPr>
            <w:r>
              <w:rPr>
                <w:rFonts w:ascii="Arial" w:cs="Arial" w:eastAsia="Arial" w:hAnsi="Arial"/>
                <w:sz w:val="11"/>
                <w:szCs w:val="11"/>
                <w:b w:val="1"/>
                <w:bCs w:val="1"/>
                <w:color w:val="auto"/>
              </w:rPr>
              <w:t>Diluted Net Earnings (Loss) per Share:</w:t>
            </w: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7"/>
        </w:trPr>
        <w:tc>
          <w:tcPr>
            <w:tcW w:w="20" w:type="dxa"/>
            <w:vAlign w:val="bottom"/>
            <w:shd w:val="clear" w:color="auto" w:fill="CCEEFF"/>
          </w:tcPr>
          <w:p>
            <w:pPr>
              <w:spacing w:after="0"/>
              <w:rPr>
                <w:sz w:val="13"/>
                <w:szCs w:val="13"/>
                <w:color w:val="auto"/>
              </w:rPr>
            </w:pPr>
          </w:p>
        </w:tc>
        <w:tc>
          <w:tcPr>
            <w:tcW w:w="61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Net Income (Loss)</w:t>
            </w: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(182)</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w:t>
            </w:r>
          </w:p>
        </w:tc>
      </w:tr>
      <w:tr>
        <w:trPr>
          <w:trHeight w:val="152"/>
        </w:trPr>
        <w:tc>
          <w:tcPr>
            <w:tcW w:w="20" w:type="dxa"/>
            <w:vAlign w:val="bottom"/>
            <w:tcBorders>
              <w:bottom w:val="single" w:sz="8" w:color="CCEEFF"/>
            </w:tcBorders>
          </w:tcPr>
          <w:p>
            <w:pPr>
              <w:spacing w:after="0"/>
              <w:rPr>
                <w:sz w:val="13"/>
                <w:szCs w:val="13"/>
                <w:color w:val="auto"/>
              </w:rPr>
            </w:pPr>
          </w:p>
        </w:tc>
        <w:tc>
          <w:tcPr>
            <w:tcW w:w="6180" w:type="dxa"/>
            <w:vAlign w:val="bottom"/>
            <w:tcBorders>
              <w:bottom w:val="single" w:sz="8" w:color="CCEEFF"/>
            </w:tcBorders>
            <w:gridSpan w:val="2"/>
          </w:tcPr>
          <w:p>
            <w:pPr>
              <w:ind w:left="160"/>
              <w:spacing w:after="0"/>
              <w:rPr>
                <w:sz w:val="20"/>
                <w:szCs w:val="20"/>
                <w:color w:val="auto"/>
              </w:rPr>
            </w:pPr>
            <w:r>
              <w:rPr>
                <w:rFonts w:ascii="Arial" w:cs="Arial" w:eastAsia="Arial" w:hAnsi="Arial"/>
                <w:sz w:val="11"/>
                <w:szCs w:val="11"/>
                <w:color w:val="auto"/>
              </w:rPr>
              <w:t>Dividend - Preferred Stock</w:t>
            </w: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r>
      <w:tr>
        <w:trPr>
          <w:trHeight w:val="172"/>
        </w:trPr>
        <w:tc>
          <w:tcPr>
            <w:tcW w:w="20" w:type="dxa"/>
            <w:vAlign w:val="bottom"/>
            <w:tcBorders>
              <w:bottom w:val="single" w:sz="8" w:color="CCEEFF"/>
            </w:tcBorders>
            <w:shd w:val="clear" w:color="auto" w:fill="CCEEFF"/>
          </w:tcPr>
          <w:p>
            <w:pPr>
              <w:spacing w:after="0"/>
              <w:rPr>
                <w:sz w:val="14"/>
                <w:szCs w:val="14"/>
                <w:color w:val="auto"/>
              </w:rPr>
            </w:pPr>
          </w:p>
        </w:tc>
        <w:tc>
          <w:tcPr>
            <w:tcW w:w="6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Adjusted Net Income (Loss) Available to Common Shareholders - Diluted</w:t>
            </w:r>
          </w:p>
        </w:tc>
        <w:tc>
          <w:tcPr>
            <w:tcW w:w="38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(306)</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(192)</w:t>
            </w: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w:t>
            </w:r>
          </w:p>
        </w:tc>
      </w:tr>
      <w:tr>
        <w:trPr>
          <w:trHeight w:val="29"/>
        </w:trPr>
        <w:tc>
          <w:tcPr>
            <w:tcW w:w="20" w:type="dxa"/>
            <w:vAlign w:val="bottom"/>
            <w:tcBorders>
              <w:top w:val="single" w:sz="8" w:color="CCEEFF"/>
            </w:tcBorders>
          </w:tcPr>
          <w:p>
            <w:pPr>
              <w:spacing w:after="0"/>
              <w:rPr>
                <w:sz w:val="2"/>
                <w:szCs w:val="2"/>
                <w:color w:val="auto"/>
              </w:rPr>
            </w:pPr>
          </w:p>
        </w:tc>
        <w:tc>
          <w:tcPr>
            <w:tcW w:w="2420" w:type="dxa"/>
            <w:vAlign w:val="bottom"/>
            <w:tcBorders>
              <w:top w:val="single" w:sz="8" w:color="CCEEFF"/>
            </w:tcBorders>
          </w:tcPr>
          <w:p>
            <w:pPr>
              <w:spacing w:after="0"/>
              <w:rPr>
                <w:sz w:val="2"/>
                <w:szCs w:val="2"/>
                <w:color w:val="auto"/>
              </w:rPr>
            </w:pPr>
          </w:p>
        </w:tc>
        <w:tc>
          <w:tcPr>
            <w:tcW w:w="3760" w:type="dxa"/>
            <w:vAlign w:val="bottom"/>
            <w:tcBorders>
              <w:top w:val="single" w:sz="8" w:color="CCEEFF"/>
            </w:tcBorders>
          </w:tcPr>
          <w:p>
            <w:pPr>
              <w:spacing w:after="0"/>
              <w:rPr>
                <w:sz w:val="2"/>
                <w:szCs w:val="2"/>
                <w:color w:val="auto"/>
              </w:rPr>
            </w:pPr>
          </w:p>
        </w:tc>
        <w:tc>
          <w:tcPr>
            <w:tcW w:w="380" w:type="dxa"/>
            <w:vAlign w:val="bottom"/>
            <w:tcBorders>
              <w:top w:val="single" w:sz="8" w:color="CCEEFF"/>
              <w:bottom w:val="single" w:sz="8" w:color="auto"/>
            </w:tcBorders>
          </w:tcPr>
          <w:p>
            <w:pPr>
              <w:spacing w:after="0"/>
              <w:rPr>
                <w:sz w:val="2"/>
                <w:szCs w:val="2"/>
                <w:color w:val="auto"/>
              </w:rPr>
            </w:pPr>
          </w:p>
        </w:tc>
        <w:tc>
          <w:tcPr>
            <w:tcW w:w="124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120" w:type="dxa"/>
            <w:vAlign w:val="bottom"/>
            <w:tcBorders>
              <w:top w:val="single" w:sz="8" w:color="CCEEFF"/>
              <w:bottom w:val="single" w:sz="8" w:color="auto"/>
            </w:tcBorders>
          </w:tcPr>
          <w:p>
            <w:pPr>
              <w:spacing w:after="0"/>
              <w:rPr>
                <w:sz w:val="2"/>
                <w:szCs w:val="2"/>
                <w:color w:val="auto"/>
              </w:rPr>
            </w:pPr>
          </w:p>
        </w:tc>
        <w:tc>
          <w:tcPr>
            <w:tcW w:w="1500" w:type="dxa"/>
            <w:vAlign w:val="bottom"/>
            <w:tcBorders>
              <w:top w:val="single" w:sz="8" w:color="CCEEFF"/>
              <w:bottom w:val="single" w:sz="8" w:color="auto"/>
            </w:tcBorders>
          </w:tcPr>
          <w:p>
            <w:pPr>
              <w:spacing w:after="0"/>
              <w:rPr>
                <w:sz w:val="2"/>
                <w:szCs w:val="2"/>
                <w:color w:val="auto"/>
              </w:rPr>
            </w:pPr>
          </w:p>
        </w:tc>
        <w:tc>
          <w:tcPr>
            <w:tcW w:w="100" w:type="dxa"/>
            <w:vAlign w:val="bottom"/>
            <w:tcBorders>
              <w:top w:val="single" w:sz="8" w:color="CCEEFF"/>
            </w:tcBorders>
          </w:tcPr>
          <w:p>
            <w:pPr>
              <w:spacing w:after="0"/>
              <w:rPr>
                <w:sz w:val="2"/>
                <w:szCs w:val="2"/>
                <w:color w:val="auto"/>
              </w:rPr>
            </w:pPr>
          </w:p>
        </w:tc>
        <w:tc>
          <w:tcPr>
            <w:tcW w:w="380" w:type="dxa"/>
            <w:vAlign w:val="bottom"/>
            <w:tcBorders>
              <w:top w:val="single" w:sz="8" w:color="CCEEFF"/>
              <w:bottom w:val="single" w:sz="8" w:color="auto"/>
            </w:tcBorders>
          </w:tcPr>
          <w:p>
            <w:pPr>
              <w:spacing w:after="0"/>
              <w:rPr>
                <w:sz w:val="2"/>
                <w:szCs w:val="2"/>
                <w:color w:val="auto"/>
              </w:rPr>
            </w:pPr>
          </w:p>
        </w:tc>
        <w:tc>
          <w:tcPr>
            <w:tcW w:w="1240" w:type="dxa"/>
            <w:vAlign w:val="bottom"/>
            <w:tcBorders>
              <w:top w:val="single" w:sz="8" w:color="CCEEFF"/>
              <w:bottom w:val="single" w:sz="8" w:color="auto"/>
            </w:tcBorders>
          </w:tcPr>
          <w:p>
            <w:pPr>
              <w:spacing w:after="0"/>
              <w:rPr>
                <w:sz w:val="2"/>
                <w:szCs w:val="2"/>
                <w:color w:val="auto"/>
              </w:rPr>
            </w:pPr>
          </w:p>
        </w:tc>
      </w:tr>
      <w:tr>
        <w:trPr>
          <w:trHeight w:val="165"/>
        </w:trPr>
        <w:tc>
          <w:tcPr>
            <w:tcW w:w="20" w:type="dxa"/>
            <w:vAlign w:val="bottom"/>
            <w:shd w:val="clear" w:color="auto" w:fill="CCEEFF"/>
          </w:tcPr>
          <w:p>
            <w:pPr>
              <w:spacing w:after="0"/>
              <w:rPr>
                <w:sz w:val="14"/>
                <w:szCs w:val="14"/>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Weighted Average Common Shares Outstanding - Basic</w:t>
            </w: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216,779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215,886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212,719</w:t>
            </w:r>
          </w:p>
        </w:tc>
      </w:tr>
      <w:tr>
        <w:trPr>
          <w:trHeight w:val="152"/>
        </w:trPr>
        <w:tc>
          <w:tcPr>
            <w:tcW w:w="20" w:type="dxa"/>
            <w:vAlign w:val="bottom"/>
          </w:tcPr>
          <w:p>
            <w:pPr>
              <w:spacing w:after="0"/>
              <w:rPr>
                <w:sz w:val="13"/>
                <w:szCs w:val="13"/>
                <w:color w:val="auto"/>
              </w:rPr>
            </w:pPr>
          </w:p>
        </w:tc>
        <w:tc>
          <w:tcPr>
            <w:tcW w:w="6180" w:type="dxa"/>
            <w:vAlign w:val="bottom"/>
            <w:gridSpan w:val="2"/>
          </w:tcPr>
          <w:p>
            <w:pPr>
              <w:spacing w:after="0"/>
              <w:rPr>
                <w:sz w:val="20"/>
                <w:szCs w:val="20"/>
                <w:color w:val="auto"/>
              </w:rPr>
            </w:pPr>
            <w:r>
              <w:rPr>
                <w:rFonts w:ascii="Arial" w:cs="Arial" w:eastAsia="Arial" w:hAnsi="Arial"/>
                <w:sz w:val="11"/>
                <w:szCs w:val="11"/>
                <w:color w:val="auto"/>
              </w:rPr>
              <w:t>Common Shares Issuable with Respect to:</w:t>
            </w: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60"/>
        </w:trPr>
        <w:tc>
          <w:tcPr>
            <w:tcW w:w="20" w:type="dxa"/>
            <w:vAlign w:val="bottom"/>
            <w:shd w:val="clear" w:color="auto" w:fill="CCEEFF"/>
          </w:tcPr>
          <w:p>
            <w:pPr>
              <w:spacing w:after="0"/>
              <w:rPr>
                <w:sz w:val="13"/>
                <w:szCs w:val="13"/>
                <w:color w:val="auto"/>
              </w:rPr>
            </w:pPr>
          </w:p>
        </w:tc>
        <w:tc>
          <w:tcPr>
            <w:tcW w:w="6180" w:type="dxa"/>
            <w:vAlign w:val="bottom"/>
            <w:gridSpan w:val="2"/>
            <w:shd w:val="clear" w:color="auto" w:fill="CCEEFF"/>
          </w:tcPr>
          <w:p>
            <w:pPr>
              <w:ind w:left="120"/>
              <w:spacing w:after="0"/>
              <w:rPr>
                <w:sz w:val="20"/>
                <w:szCs w:val="20"/>
                <w:color w:val="auto"/>
              </w:rPr>
            </w:pPr>
            <w:r>
              <w:rPr>
                <w:rFonts w:ascii="Arial" w:cs="Arial" w:eastAsia="Arial" w:hAnsi="Arial"/>
                <w:sz w:val="11"/>
                <w:szCs w:val="11"/>
                <w:color w:val="auto"/>
              </w:rPr>
              <w:t>Restricted Stock And Performance Units / Shares</w:t>
            </w:r>
          </w:p>
        </w:tc>
        <w:tc>
          <w:tcPr>
            <w:tcW w:w="3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0</w:t>
            </w:r>
          </w:p>
        </w:tc>
      </w:tr>
      <w:tr>
        <w:trPr>
          <w:trHeight w:val="143"/>
        </w:trPr>
        <w:tc>
          <w:tcPr>
            <w:tcW w:w="20" w:type="dxa"/>
            <w:vAlign w:val="bottom"/>
          </w:tcPr>
          <w:p>
            <w:pPr>
              <w:spacing w:after="0"/>
              <w:rPr>
                <w:sz w:val="12"/>
                <w:szCs w:val="12"/>
                <w:color w:val="auto"/>
              </w:rPr>
            </w:pPr>
          </w:p>
        </w:tc>
        <w:tc>
          <w:tcPr>
            <w:tcW w:w="6180" w:type="dxa"/>
            <w:vAlign w:val="bottom"/>
            <w:gridSpan w:val="2"/>
          </w:tcPr>
          <w:p>
            <w:pPr>
              <w:spacing w:after="0"/>
              <w:rPr>
                <w:sz w:val="20"/>
                <w:szCs w:val="20"/>
                <w:color w:val="auto"/>
              </w:rPr>
            </w:pPr>
            <w:r>
              <w:rPr>
                <w:rFonts w:ascii="Arial" w:cs="Arial" w:eastAsia="Arial" w:hAnsi="Arial"/>
                <w:sz w:val="11"/>
                <w:szCs w:val="11"/>
                <w:color w:val="auto"/>
              </w:rPr>
              <w:t>Weighted Average Common Shares Outstanding - Diluted</w:t>
            </w: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216,779</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215,886</w:t>
            </w:r>
          </w:p>
        </w:tc>
        <w:tc>
          <w:tcPr>
            <w:tcW w:w="1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212,719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2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163"/>
        </w:trPr>
        <w:tc>
          <w:tcPr>
            <w:tcW w:w="20" w:type="dxa"/>
            <w:vAlign w:val="bottom"/>
            <w:shd w:val="clear" w:color="auto" w:fill="CCEEFF"/>
          </w:tcPr>
          <w:p>
            <w:pPr>
              <w:spacing w:after="0"/>
              <w:rPr>
                <w:sz w:val="14"/>
                <w:szCs w:val="14"/>
                <w:color w:val="auto"/>
              </w:rPr>
            </w:pPr>
          </w:p>
        </w:tc>
        <w:tc>
          <w:tcPr>
            <w:tcW w:w="2420" w:type="dxa"/>
            <w:vAlign w:val="bottom"/>
            <w:shd w:val="clear" w:color="auto" w:fill="CCEEFF"/>
          </w:tcPr>
          <w:p>
            <w:pPr>
              <w:spacing w:after="0"/>
              <w:rPr>
                <w:sz w:val="14"/>
                <w:szCs w:val="14"/>
                <w:color w:val="auto"/>
              </w:rPr>
            </w:pPr>
          </w:p>
        </w:tc>
        <w:tc>
          <w:tcPr>
            <w:tcW w:w="37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6180" w:type="dxa"/>
            <w:vAlign w:val="bottom"/>
            <w:gridSpan w:val="2"/>
          </w:tcPr>
          <w:p>
            <w:pPr>
              <w:spacing w:after="0"/>
              <w:rPr>
                <w:sz w:val="20"/>
                <w:szCs w:val="20"/>
                <w:color w:val="auto"/>
              </w:rPr>
            </w:pPr>
            <w:r>
              <w:rPr>
                <w:rFonts w:ascii="Arial" w:cs="Arial" w:eastAsia="Arial" w:hAnsi="Arial"/>
                <w:sz w:val="11"/>
                <w:szCs w:val="11"/>
                <w:b w:val="1"/>
                <w:bCs w:val="1"/>
                <w:color w:val="auto"/>
              </w:rPr>
              <w:t>Net Earnings (Loss) per Share:</w:t>
            </w: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40" w:type="dxa"/>
            <w:vAlign w:val="bottom"/>
          </w:tcPr>
          <w:p>
            <w:pPr>
              <w:spacing w:after="0"/>
              <w:rPr>
                <w:sz w:val="13"/>
                <w:szCs w:val="13"/>
                <w:color w:val="auto"/>
              </w:rPr>
            </w:pPr>
          </w:p>
        </w:tc>
      </w:tr>
      <w:tr>
        <w:trPr>
          <w:trHeight w:val="157"/>
        </w:trPr>
        <w:tc>
          <w:tcPr>
            <w:tcW w:w="20" w:type="dxa"/>
            <w:vAlign w:val="bottom"/>
            <w:shd w:val="clear" w:color="auto" w:fill="CCEEFF"/>
          </w:tcPr>
          <w:p>
            <w:pPr>
              <w:spacing w:after="0"/>
              <w:rPr>
                <w:sz w:val="13"/>
                <w:szCs w:val="13"/>
                <w:color w:val="auto"/>
              </w:rPr>
            </w:pPr>
          </w:p>
        </w:tc>
        <w:tc>
          <w:tcPr>
            <w:tcW w:w="61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Basic</w:t>
            </w: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(1.41)</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(0.89)</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(0.18)</w:t>
            </w:r>
          </w:p>
        </w:tc>
      </w:tr>
      <w:tr>
        <w:trPr>
          <w:trHeight w:val="152"/>
        </w:trPr>
        <w:tc>
          <w:tcPr>
            <w:tcW w:w="20" w:type="dxa"/>
            <w:vAlign w:val="bottom"/>
          </w:tcPr>
          <w:p>
            <w:pPr>
              <w:spacing w:after="0"/>
              <w:rPr>
                <w:sz w:val="13"/>
                <w:szCs w:val="13"/>
                <w:color w:val="auto"/>
              </w:rPr>
            </w:pPr>
          </w:p>
        </w:tc>
        <w:tc>
          <w:tcPr>
            <w:tcW w:w="6180" w:type="dxa"/>
            <w:vAlign w:val="bottom"/>
            <w:gridSpan w:val="2"/>
          </w:tcPr>
          <w:p>
            <w:pPr>
              <w:ind w:left="160"/>
              <w:spacing w:after="0"/>
              <w:rPr>
                <w:sz w:val="20"/>
                <w:szCs w:val="20"/>
                <w:color w:val="auto"/>
              </w:rPr>
            </w:pPr>
            <w:r>
              <w:rPr>
                <w:rFonts w:ascii="Arial" w:cs="Arial" w:eastAsia="Arial" w:hAnsi="Arial"/>
                <w:sz w:val="11"/>
                <w:szCs w:val="11"/>
                <w:color w:val="auto"/>
              </w:rPr>
              <w:t>Diluted</w:t>
            </w:r>
          </w:p>
        </w:tc>
        <w:tc>
          <w:tcPr>
            <w:tcW w:w="380" w:type="dxa"/>
            <w:vAlign w:val="bottom"/>
          </w:tcPr>
          <w:p>
            <w:pPr>
              <w:jc w:val="right"/>
              <w:ind w:right="244"/>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(1.41)</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500" w:type="dxa"/>
            <w:vAlign w:val="bottom"/>
          </w:tcPr>
          <w:p>
            <w:pPr>
              <w:jc w:val="right"/>
              <w:spacing w:after="0"/>
              <w:rPr>
                <w:sz w:val="20"/>
                <w:szCs w:val="20"/>
                <w:color w:val="auto"/>
              </w:rPr>
            </w:pPr>
            <w:r>
              <w:rPr>
                <w:rFonts w:ascii="Arial" w:cs="Arial" w:eastAsia="Arial" w:hAnsi="Arial"/>
                <w:sz w:val="11"/>
                <w:szCs w:val="11"/>
                <w:color w:val="auto"/>
              </w:rPr>
              <w:t>(0.89)</w:t>
            </w:r>
          </w:p>
        </w:tc>
        <w:tc>
          <w:tcPr>
            <w:tcW w:w="100" w:type="dxa"/>
            <w:vAlign w:val="bottom"/>
          </w:tcPr>
          <w:p>
            <w:pPr>
              <w:spacing w:after="0"/>
              <w:rPr>
                <w:sz w:val="13"/>
                <w:szCs w:val="13"/>
                <w:color w:val="auto"/>
              </w:rPr>
            </w:pPr>
          </w:p>
        </w:tc>
        <w:tc>
          <w:tcPr>
            <w:tcW w:w="380" w:type="dxa"/>
            <w:vAlign w:val="bottom"/>
          </w:tcPr>
          <w:p>
            <w:pPr>
              <w:jc w:val="right"/>
              <w:ind w:right="244"/>
              <w:spacing w:after="0"/>
              <w:rPr>
                <w:sz w:val="20"/>
                <w:szCs w:val="20"/>
                <w:color w:val="auto"/>
              </w:rPr>
            </w:pPr>
            <w:r>
              <w:rPr>
                <w:rFonts w:ascii="Arial" w:cs="Arial" w:eastAsia="Arial" w:hAnsi="Arial"/>
                <w:sz w:val="11"/>
                <w:szCs w:val="11"/>
                <w:color w:val="auto"/>
                <w:w w:val="97"/>
              </w:rPr>
              <w:t>$</w:t>
            </w:r>
          </w:p>
        </w:tc>
        <w:tc>
          <w:tcPr>
            <w:tcW w:w="1240" w:type="dxa"/>
            <w:vAlign w:val="bottom"/>
          </w:tcPr>
          <w:p>
            <w:pPr>
              <w:jc w:val="right"/>
              <w:spacing w:after="0"/>
              <w:rPr>
                <w:sz w:val="20"/>
                <w:szCs w:val="20"/>
                <w:color w:val="auto"/>
              </w:rPr>
            </w:pPr>
            <w:r>
              <w:rPr>
                <w:rFonts w:ascii="Arial" w:cs="Arial" w:eastAsia="Arial" w:hAnsi="Arial"/>
                <w:sz w:val="11"/>
                <w:szCs w:val="11"/>
                <w:color w:val="auto"/>
              </w:rPr>
              <w:t>(0.18)</w:t>
            </w:r>
          </w:p>
        </w:tc>
      </w:tr>
      <w:tr>
        <w:trPr>
          <w:trHeight w:val="87"/>
        </w:trPr>
        <w:tc>
          <w:tcPr>
            <w:tcW w:w="20" w:type="dxa"/>
            <w:vAlign w:val="bottom"/>
            <w:shd w:val="clear" w:color="auto" w:fill="CCEEFF"/>
          </w:tcPr>
          <w:p>
            <w:pPr>
              <w:spacing w:after="0"/>
              <w:rPr>
                <w:sz w:val="7"/>
                <w:szCs w:val="7"/>
                <w:color w:val="auto"/>
              </w:rPr>
            </w:pPr>
          </w:p>
        </w:tc>
        <w:tc>
          <w:tcPr>
            <w:tcW w:w="2420" w:type="dxa"/>
            <w:vAlign w:val="bottom"/>
            <w:shd w:val="clear" w:color="auto" w:fill="CCEEFF"/>
          </w:tcPr>
          <w:p>
            <w:pPr>
              <w:spacing w:after="0"/>
              <w:rPr>
                <w:sz w:val="7"/>
                <w:szCs w:val="7"/>
                <w:color w:val="auto"/>
              </w:rPr>
            </w:pPr>
          </w:p>
        </w:tc>
        <w:tc>
          <w:tcPr>
            <w:tcW w:w="5380" w:type="dxa"/>
            <w:vAlign w:val="bottom"/>
            <w:gridSpan w:val="3"/>
            <w:shd w:val="clear" w:color="auto" w:fill="CCEEFF"/>
          </w:tcPr>
          <w:p>
            <w:pPr>
              <w:spacing w:after="0"/>
              <w:rPr>
                <w:sz w:val="7"/>
                <w:szCs w:val="7"/>
                <w:color w:val="auto"/>
              </w:rPr>
            </w:pPr>
          </w:p>
        </w:tc>
        <w:tc>
          <w:tcPr>
            <w:tcW w:w="1720" w:type="dxa"/>
            <w:vAlign w:val="bottom"/>
            <w:gridSpan w:val="3"/>
            <w:shd w:val="clear" w:color="auto" w:fill="CCEEFF"/>
          </w:tcPr>
          <w:p>
            <w:pPr>
              <w:spacing w:after="0"/>
              <w:rPr>
                <w:sz w:val="7"/>
                <w:szCs w:val="7"/>
                <w:color w:val="auto"/>
              </w:rPr>
            </w:pPr>
          </w:p>
        </w:tc>
        <w:tc>
          <w:tcPr>
            <w:tcW w:w="1720" w:type="dxa"/>
            <w:vAlign w:val="bottom"/>
            <w:gridSpan w:val="3"/>
            <w:shd w:val="clear" w:color="auto" w:fill="CCEEFF"/>
          </w:tcPr>
          <w:p>
            <w:pPr>
              <w:spacing w:after="0"/>
              <w:rPr>
                <w:sz w:val="7"/>
                <w:szCs w:val="7"/>
                <w:color w:val="auto"/>
              </w:rPr>
            </w:pPr>
          </w:p>
        </w:tc>
      </w:tr>
      <w:tr>
        <w:trPr>
          <w:trHeight w:val="152"/>
        </w:trPr>
        <w:tc>
          <w:tcPr>
            <w:tcW w:w="20" w:type="dxa"/>
            <w:vAlign w:val="bottom"/>
          </w:tcPr>
          <w:p>
            <w:pPr>
              <w:spacing w:after="0"/>
              <w:rPr>
                <w:sz w:val="13"/>
                <w:szCs w:val="13"/>
                <w:color w:val="auto"/>
              </w:rPr>
            </w:pPr>
          </w:p>
        </w:tc>
        <w:tc>
          <w:tcPr>
            <w:tcW w:w="11240" w:type="dxa"/>
            <w:vAlign w:val="bottom"/>
            <w:gridSpan w:val="10"/>
          </w:tcPr>
          <w:p>
            <w:pPr>
              <w:spacing w:after="0"/>
              <w:rPr>
                <w:sz w:val="20"/>
                <w:szCs w:val="20"/>
                <w:color w:val="auto"/>
              </w:rPr>
            </w:pPr>
            <w:r>
              <w:rPr>
                <w:rFonts w:ascii="Arial" w:cs="Arial" w:eastAsia="Arial" w:hAnsi="Arial"/>
                <w:sz w:val="11"/>
                <w:szCs w:val="11"/>
                <w:color w:val="auto"/>
              </w:rPr>
              <w:t>The following securities were not included in the computation of diluted earnings per share as they were either contingently issuable shares or shares that if included would have been anti-dilutive (shares in thousands):</w:t>
            </w:r>
          </w:p>
        </w:tc>
      </w:tr>
      <w:tr>
        <w:trPr>
          <w:trHeight w:val="160"/>
        </w:trPr>
        <w:tc>
          <w:tcPr>
            <w:tcW w:w="20" w:type="dxa"/>
            <w:vAlign w:val="bottom"/>
            <w:shd w:val="clear" w:color="auto" w:fill="CCEEFF"/>
          </w:tcPr>
          <w:p>
            <w:pPr>
              <w:spacing w:after="0"/>
              <w:rPr>
                <w:sz w:val="13"/>
                <w:szCs w:val="13"/>
                <w:color w:val="auto"/>
              </w:rPr>
            </w:pPr>
          </w:p>
        </w:tc>
        <w:tc>
          <w:tcPr>
            <w:tcW w:w="618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Restricted stock and performance shares/units</w:t>
            </w: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8,652</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5,469</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8,210</w:t>
            </w:r>
          </w:p>
        </w:tc>
      </w:tr>
      <w:tr>
        <w:trPr>
          <w:trHeight w:val="152"/>
        </w:trPr>
        <w:tc>
          <w:tcPr>
            <w:tcW w:w="20" w:type="dxa"/>
            <w:vAlign w:val="bottom"/>
            <w:tcBorders>
              <w:bottom w:val="single" w:sz="8" w:color="CCEEFF"/>
            </w:tcBorders>
          </w:tcPr>
          <w:p>
            <w:pPr>
              <w:spacing w:after="0"/>
              <w:rPr>
                <w:sz w:val="13"/>
                <w:szCs w:val="13"/>
                <w:color w:val="auto"/>
              </w:rPr>
            </w:pPr>
          </w:p>
        </w:tc>
        <w:tc>
          <w:tcPr>
            <w:tcW w:w="6180" w:type="dxa"/>
            <w:vAlign w:val="bottom"/>
            <w:tcBorders>
              <w:bottom w:val="single" w:sz="8" w:color="CCEEFF"/>
            </w:tcBorders>
            <w:gridSpan w:val="2"/>
          </w:tcPr>
          <w:p>
            <w:pPr>
              <w:spacing w:after="0"/>
              <w:rPr>
                <w:sz w:val="20"/>
                <w:szCs w:val="20"/>
                <w:color w:val="auto"/>
              </w:rPr>
            </w:pPr>
            <w:r>
              <w:rPr>
                <w:rFonts w:ascii="Arial" w:cs="Arial" w:eastAsia="Arial" w:hAnsi="Arial"/>
                <w:sz w:val="11"/>
                <w:szCs w:val="11"/>
                <w:color w:val="auto"/>
              </w:rPr>
              <w:t>Convertible preferred stock</w:t>
            </w: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5,393</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5,393</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5,393</w:t>
            </w:r>
          </w:p>
        </w:tc>
      </w:tr>
      <w:tr>
        <w:trPr>
          <w:trHeight w:val="176"/>
        </w:trPr>
        <w:tc>
          <w:tcPr>
            <w:tcW w:w="20" w:type="dxa"/>
            <w:vAlign w:val="bottom"/>
            <w:tcBorders>
              <w:bottom w:val="single" w:sz="8" w:color="CCEEFF"/>
            </w:tcBorders>
            <w:shd w:val="clear" w:color="auto" w:fill="CCEEFF"/>
          </w:tcPr>
          <w:p>
            <w:pPr>
              <w:spacing w:after="0"/>
              <w:rPr>
                <w:sz w:val="14"/>
                <w:szCs w:val="14"/>
                <w:color w:val="auto"/>
              </w:rPr>
            </w:pPr>
          </w:p>
        </w:tc>
        <w:tc>
          <w:tcPr>
            <w:tcW w:w="61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1"/>
                <w:szCs w:val="11"/>
                <w:b w:val="1"/>
                <w:bCs w:val="1"/>
                <w:color w:val="auto"/>
              </w:rPr>
              <w:t>Total Anti-Dilutive and Contingently Issuable Securities</w:t>
            </w:r>
          </w:p>
        </w:tc>
        <w:tc>
          <w:tcPr>
            <w:tcW w:w="3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14,045</w:t>
            </w: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10,862</w:t>
            </w:r>
          </w:p>
        </w:tc>
        <w:tc>
          <w:tcPr>
            <w:tcW w:w="10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13,603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37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Note 21 – Related Party Transactions</w:t>
      </w:r>
    </w:p>
    <w:p>
      <w:pPr>
        <w:spacing w:after="0" w:line="123" w:lineRule="exact"/>
        <w:rPr>
          <w:sz w:val="20"/>
          <w:szCs w:val="20"/>
          <w:color w:val="auto"/>
        </w:rPr>
      </w:pPr>
    </w:p>
    <w:p>
      <w:pPr>
        <w:ind w:right="160"/>
        <w:spacing w:after="0" w:line="259" w:lineRule="auto"/>
        <w:rPr>
          <w:sz w:val="20"/>
          <w:szCs w:val="20"/>
          <w:color w:val="auto"/>
        </w:rPr>
      </w:pPr>
      <w:r>
        <w:rPr>
          <w:rFonts w:ascii="Arial" w:cs="Arial" w:eastAsia="Arial" w:hAnsi="Arial"/>
          <w:sz w:val="14"/>
          <w:szCs w:val="14"/>
          <w:color w:val="auto"/>
        </w:rPr>
        <w:t>In the normal course of business, the Company provides services to, and purchases from, certain related parties with the same shareholders. The services provided to these entities included those related to human resources, end-user support and other services and solutions. The purchases from these entities included office equipment and related services and supplies. Revenue and purchases from these entities were included in Revenue and Costs of services or Selling, general and administrative, respectively, on the Company's Consolidated Statements of Income (Loss).</w:t>
      </w:r>
    </w:p>
    <w:p>
      <w:pPr>
        <w:spacing w:after="0" w:line="97" w:lineRule="exact"/>
        <w:rPr>
          <w:sz w:val="20"/>
          <w:szCs w:val="20"/>
          <w:color w:val="auto"/>
        </w:rPr>
      </w:pPr>
    </w:p>
    <w:p>
      <w:pPr>
        <w:ind w:right="420"/>
        <w:spacing w:after="0" w:line="265" w:lineRule="auto"/>
        <w:rPr>
          <w:sz w:val="20"/>
          <w:szCs w:val="20"/>
          <w:color w:val="auto"/>
        </w:rPr>
      </w:pPr>
      <w:r>
        <w:rPr>
          <w:rFonts w:ascii="Arial" w:cs="Arial" w:eastAsia="Arial" w:hAnsi="Arial"/>
          <w:sz w:val="14"/>
          <w:szCs w:val="14"/>
          <w:color w:val="auto"/>
        </w:rPr>
        <w:t>Xerox Corporation ("Xerox") has historically been classified as a related party due to significant shares of both Xerox and the Company being held by entities controlled by one individual. As of September 28, 2023, Xerox is no longer considered a related party due to the disposition of all Xerox stock by these entities and, therefore, the Company will not consider transactions with Xerox after that date to be transactions with related parties.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Transactions with related parties were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color w:val="auto"/>
              </w:rPr>
              <w:t>Year Ended December 31,</w:t>
            </w:r>
          </w:p>
        </w:tc>
        <w:tc>
          <w:tcPr>
            <w:tcW w:w="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r>
      <w:tr>
        <w:trPr>
          <w:trHeight w:val="119"/>
        </w:trPr>
        <w:tc>
          <w:tcPr>
            <w:tcW w:w="20" w:type="dxa"/>
            <w:vAlign w:val="bottom"/>
          </w:tcPr>
          <w:p>
            <w:pPr>
              <w:spacing w:after="0"/>
              <w:rPr>
                <w:sz w:val="10"/>
                <w:szCs w:val="10"/>
                <w:color w:val="auto"/>
              </w:rPr>
            </w:pPr>
          </w:p>
        </w:tc>
        <w:tc>
          <w:tcPr>
            <w:tcW w:w="6320" w:type="dxa"/>
            <w:vAlign w:val="bottom"/>
            <w:gridSpan w:val="2"/>
          </w:tcPr>
          <w:p>
            <w:pPr>
              <w:ind w:left="20"/>
              <w:spacing w:after="0"/>
              <w:rPr>
                <w:sz w:val="20"/>
                <w:szCs w:val="20"/>
                <w:color w:val="auto"/>
              </w:rPr>
            </w:pPr>
            <w:r>
              <w:rPr>
                <w:rFonts w:ascii="Arial" w:cs="Arial" w:eastAsia="Arial" w:hAnsi="Arial"/>
                <w:sz w:val="10"/>
                <w:szCs w:val="10"/>
                <w:color w:val="auto"/>
              </w:rPr>
              <w:t>(in millions)</w:t>
            </w:r>
          </w:p>
        </w:tc>
        <w:tc>
          <w:tcPr>
            <w:tcW w:w="380" w:type="dxa"/>
            <w:vAlign w:val="bottom"/>
          </w:tcPr>
          <w:p>
            <w:pPr>
              <w:spacing w:after="0"/>
              <w:rPr>
                <w:sz w:val="10"/>
                <w:szCs w:val="10"/>
                <w:color w:val="auto"/>
              </w:rPr>
            </w:pPr>
          </w:p>
        </w:tc>
        <w:tc>
          <w:tcPr>
            <w:tcW w:w="1220" w:type="dxa"/>
            <w:vAlign w:val="bottom"/>
          </w:tcPr>
          <w:p>
            <w:pPr>
              <w:jc w:val="right"/>
              <w:ind w:right="624"/>
              <w:spacing w:after="0" w:line="120" w:lineRule="exact"/>
              <w:rPr>
                <w:sz w:val="20"/>
                <w:szCs w:val="20"/>
                <w:color w:val="auto"/>
              </w:rPr>
            </w:pPr>
            <w:r>
              <w:rPr>
                <w:rFonts w:ascii="Arial" w:cs="Arial" w:eastAsia="Arial" w:hAnsi="Arial"/>
                <w:sz w:val="11"/>
                <w:szCs w:val="11"/>
                <w:color w:val="auto"/>
              </w:rPr>
              <w:t>2023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80" w:type="dxa"/>
            <w:vAlign w:val="bottom"/>
          </w:tcPr>
          <w:p>
            <w:pPr>
              <w:jc w:val="right"/>
              <w:ind w:right="604"/>
              <w:spacing w:after="0" w:line="120" w:lineRule="exact"/>
              <w:rPr>
                <w:sz w:val="20"/>
                <w:szCs w:val="20"/>
                <w:color w:val="auto"/>
              </w:rPr>
            </w:pPr>
            <w:r>
              <w:rPr>
                <w:rFonts w:ascii="Arial" w:cs="Arial" w:eastAsia="Arial" w:hAnsi="Arial"/>
                <w:sz w:val="11"/>
                <w:szCs w:val="11"/>
                <w:color w:val="auto"/>
              </w:rPr>
              <w:t>2022</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20" w:type="dxa"/>
            <w:vAlign w:val="bottom"/>
          </w:tcPr>
          <w:p>
            <w:pPr>
              <w:jc w:val="right"/>
              <w:ind w:right="604"/>
              <w:spacing w:after="0" w:line="120" w:lineRule="exact"/>
              <w:rPr>
                <w:sz w:val="20"/>
                <w:szCs w:val="20"/>
                <w:color w:val="auto"/>
              </w:rPr>
            </w:pPr>
            <w:r>
              <w:rPr>
                <w:rFonts w:ascii="Arial" w:cs="Arial" w:eastAsia="Arial" w:hAnsi="Arial"/>
                <w:sz w:val="11"/>
                <w:szCs w:val="11"/>
                <w:color w:val="auto"/>
              </w:rPr>
              <w:t>2021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top w:val="single" w:sz="8" w:color="auto"/>
              <w:bottom w:val="single" w:sz="8" w:color="CCEEFF"/>
            </w:tcBorders>
          </w:tcPr>
          <w:p>
            <w:pPr>
              <w:spacing w:after="0" w:line="20" w:lineRule="exact"/>
              <w:rPr>
                <w:sz w:val="1"/>
                <w:szCs w:val="1"/>
                <w:color w:val="auto"/>
              </w:rPr>
            </w:pPr>
          </w:p>
        </w:tc>
        <w:tc>
          <w:tcPr>
            <w:tcW w:w="58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Revenue from related parties</w:t>
            </w:r>
          </w:p>
        </w:tc>
        <w:tc>
          <w:tcPr>
            <w:tcW w:w="380" w:type="dxa"/>
            <w:vAlign w:val="bottom"/>
            <w:shd w:val="clear" w:color="auto" w:fill="CCEEFF"/>
          </w:tcPr>
          <w:p>
            <w:pPr>
              <w:jc w:val="right"/>
              <w:ind w:right="244"/>
              <w:spacing w:after="0"/>
              <w:rPr>
                <w:sz w:val="20"/>
                <w:szCs w:val="20"/>
                <w:color w:val="auto"/>
              </w:rPr>
            </w:pPr>
            <w:r>
              <w:rPr>
                <w:rFonts w:ascii="Arial" w:cs="Arial" w:eastAsia="Arial" w:hAnsi="Arial"/>
                <w:sz w:val="11"/>
                <w:szCs w:val="11"/>
                <w:color w:val="auto"/>
                <w:w w:val="97"/>
              </w:rPr>
              <w:t>$</w:t>
            </w:r>
          </w:p>
        </w:tc>
        <w:tc>
          <w:tcPr>
            <w:tcW w:w="1220" w:type="dxa"/>
            <w:vAlign w:val="bottom"/>
            <w:shd w:val="clear" w:color="auto" w:fill="CCEEFF"/>
          </w:tcPr>
          <w:p>
            <w:pPr>
              <w:jc w:val="right"/>
              <w:ind w:right="4"/>
              <w:spacing w:after="0"/>
              <w:rPr>
                <w:sz w:val="20"/>
                <w:szCs w:val="20"/>
                <w:color w:val="auto"/>
              </w:rPr>
            </w:pPr>
            <w:r>
              <w:rPr>
                <w:rFonts w:ascii="Arial" w:cs="Arial" w:eastAsia="Arial" w:hAnsi="Arial"/>
                <w:sz w:val="11"/>
                <w:szCs w:val="11"/>
                <w:color w:val="auto"/>
              </w:rPr>
              <w:t>6</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w:t>
            </w: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jc w:val="right"/>
              <w:ind w:right="250"/>
              <w:spacing w:after="0"/>
              <w:rPr>
                <w:sz w:val="20"/>
                <w:szCs w:val="20"/>
                <w:color w:val="auto"/>
              </w:rPr>
            </w:pPr>
            <w:r>
              <w:rPr>
                <w:rFonts w:ascii="Arial" w:cs="Arial" w:eastAsia="Arial" w:hAnsi="Arial"/>
                <w:sz w:val="10"/>
                <w:szCs w:val="10"/>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w:t>
            </w:r>
          </w:p>
        </w:tc>
      </w:tr>
      <w:tr>
        <w:trPr>
          <w:trHeight w:val="149"/>
        </w:trPr>
        <w:tc>
          <w:tcPr>
            <w:tcW w:w="20" w:type="dxa"/>
            <w:vAlign w:val="bottom"/>
          </w:tcPr>
          <w:p>
            <w:pPr>
              <w:spacing w:after="0"/>
              <w:rPr>
                <w:sz w:val="12"/>
                <w:szCs w:val="12"/>
                <w:color w:val="auto"/>
              </w:rPr>
            </w:pPr>
          </w:p>
        </w:tc>
        <w:tc>
          <w:tcPr>
            <w:tcW w:w="6320" w:type="dxa"/>
            <w:vAlign w:val="bottom"/>
            <w:gridSpan w:val="2"/>
          </w:tcPr>
          <w:p>
            <w:pPr>
              <w:spacing w:after="0"/>
              <w:rPr>
                <w:sz w:val="20"/>
                <w:szCs w:val="20"/>
                <w:color w:val="auto"/>
              </w:rPr>
            </w:pPr>
            <w:r>
              <w:rPr>
                <w:rFonts w:ascii="Arial" w:cs="Arial" w:eastAsia="Arial" w:hAnsi="Arial"/>
                <w:sz w:val="11"/>
                <w:szCs w:val="11"/>
                <w:color w:val="auto"/>
              </w:rPr>
              <w:t>Purchases from related parties</w:t>
            </w:r>
          </w:p>
        </w:tc>
        <w:tc>
          <w:tcPr>
            <w:tcW w:w="380" w:type="dxa"/>
            <w:vAlign w:val="bottom"/>
          </w:tcPr>
          <w:p>
            <w:pPr>
              <w:jc w:val="right"/>
              <w:ind w:right="244"/>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4"/>
              <w:spacing w:after="0"/>
              <w:rPr>
                <w:sz w:val="20"/>
                <w:szCs w:val="20"/>
                <w:color w:val="auto"/>
              </w:rPr>
            </w:pPr>
            <w:r>
              <w:rPr>
                <w:rFonts w:ascii="Arial" w:cs="Arial" w:eastAsia="Arial" w:hAnsi="Arial"/>
                <w:sz w:val="11"/>
                <w:szCs w:val="11"/>
                <w:color w:val="auto"/>
              </w:rPr>
              <w:t>18</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80" w:type="dxa"/>
            <w:vAlign w:val="bottom"/>
          </w:tcPr>
          <w:p>
            <w:pPr>
              <w:jc w:val="right"/>
              <w:spacing w:after="0"/>
              <w:rPr>
                <w:sz w:val="20"/>
                <w:szCs w:val="20"/>
                <w:color w:val="auto"/>
              </w:rPr>
            </w:pPr>
            <w:r>
              <w:rPr>
                <w:rFonts w:ascii="Arial" w:cs="Arial" w:eastAsia="Arial" w:hAnsi="Arial"/>
                <w:sz w:val="11"/>
                <w:szCs w:val="11"/>
                <w:color w:val="auto"/>
              </w:rPr>
              <w:t>26</w:t>
            </w:r>
          </w:p>
        </w:tc>
        <w:tc>
          <w:tcPr>
            <w:tcW w:w="100" w:type="dxa"/>
            <w:vAlign w:val="bottom"/>
          </w:tcPr>
          <w:p>
            <w:pPr>
              <w:spacing w:after="0"/>
              <w:rPr>
                <w:sz w:val="12"/>
                <w:szCs w:val="12"/>
                <w:color w:val="auto"/>
              </w:rPr>
            </w:pPr>
          </w:p>
        </w:tc>
        <w:tc>
          <w:tcPr>
            <w:tcW w:w="360" w:type="dxa"/>
            <w:vAlign w:val="bottom"/>
          </w:tcPr>
          <w:p>
            <w:pPr>
              <w:jc w:val="right"/>
              <w:ind w:right="250"/>
              <w:spacing w:after="0"/>
              <w:rPr>
                <w:sz w:val="20"/>
                <w:szCs w:val="20"/>
                <w:color w:val="auto"/>
              </w:rPr>
            </w:pPr>
            <w:r>
              <w:rPr>
                <w:rFonts w:ascii="Arial" w:cs="Arial" w:eastAsia="Arial" w:hAnsi="Arial"/>
                <w:sz w:val="10"/>
                <w:szCs w:val="10"/>
                <w:color w:val="auto"/>
                <w:w w:val="71"/>
              </w:rPr>
              <w:t>$</w:t>
            </w:r>
          </w:p>
        </w:tc>
        <w:tc>
          <w:tcPr>
            <w:tcW w:w="1220" w:type="dxa"/>
            <w:vAlign w:val="bottom"/>
          </w:tcPr>
          <w:p>
            <w:pPr>
              <w:jc w:val="right"/>
              <w:spacing w:after="0"/>
              <w:rPr>
                <w:sz w:val="20"/>
                <w:szCs w:val="20"/>
                <w:color w:val="auto"/>
              </w:rPr>
            </w:pPr>
            <w:r>
              <w:rPr>
                <w:rFonts w:ascii="Arial" w:cs="Arial" w:eastAsia="Arial" w:hAnsi="Arial"/>
                <w:sz w:val="11"/>
                <w:szCs w:val="11"/>
                <w:color w:val="auto"/>
              </w:rPr>
              <w:t>28</w:t>
            </w:r>
          </w:p>
        </w:tc>
      </w:tr>
    </w:tbl>
    <w:p>
      <w:pPr>
        <w:spacing w:after="0" w:line="191" w:lineRule="exact"/>
        <w:rPr>
          <w:sz w:val="20"/>
          <w:szCs w:val="20"/>
          <w:color w:val="auto"/>
        </w:rPr>
      </w:pPr>
    </w:p>
    <w:p>
      <w:pPr>
        <w:spacing w:after="0"/>
        <w:rPr>
          <w:sz w:val="20"/>
          <w:szCs w:val="20"/>
          <w:color w:val="auto"/>
        </w:rPr>
      </w:pPr>
      <w:r>
        <w:rPr>
          <w:rFonts w:ascii="Arial" w:cs="Arial" w:eastAsia="Arial" w:hAnsi="Arial"/>
          <w:sz w:val="14"/>
          <w:szCs w:val="14"/>
          <w:color w:val="auto"/>
        </w:rPr>
        <w:t>The Company's receivable and payable balances with related party entities were not material as of December 31, 2023 and 2022.</w:t>
      </w: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93" w:name="page94"/>
    <w:bookmarkEnd w:id="93"/>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9. CHANGES IN AND DISAGREEMENTS WITH ACCOUNTANTS ON ACCOUNTING AND FINANCIAL DISCLOSURE</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9A. CONTROLS AND PROCEDURES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Management's Responsibility for Financial Statements</w:t>
      </w:r>
    </w:p>
    <w:p>
      <w:pPr>
        <w:spacing w:after="0" w:line="131" w:lineRule="exact"/>
        <w:rPr>
          <w:sz w:val="20"/>
          <w:szCs w:val="20"/>
          <w:color w:val="auto"/>
        </w:rPr>
      </w:pPr>
    </w:p>
    <w:p>
      <w:pPr>
        <w:ind w:right="220"/>
        <w:spacing w:after="0" w:line="259" w:lineRule="auto"/>
        <w:rPr>
          <w:sz w:val="20"/>
          <w:szCs w:val="20"/>
          <w:color w:val="auto"/>
        </w:rPr>
      </w:pPr>
      <w:r>
        <w:rPr>
          <w:rFonts w:ascii="Arial" w:cs="Arial" w:eastAsia="Arial" w:hAnsi="Arial"/>
          <w:sz w:val="14"/>
          <w:szCs w:val="14"/>
          <w:color w:val="auto"/>
        </w:rPr>
        <w:t>Management is responsible for the integrity and objectivity of all information presented in this Annual Report on Form 10-K. The consolidated financial statements were prepared in conformity with accounting principles generally accepted in the United States of America and include amounts based on management's best estimates and judgments. Management believes the consolidated financial statements fairly reflect the form and substance of transactions and that the financial statements fairly represent the Company's financial position and results of operations.</w:t>
      </w:r>
    </w:p>
    <w:p>
      <w:pPr>
        <w:spacing w:after="0" w:line="97" w:lineRule="exact"/>
        <w:rPr>
          <w:sz w:val="20"/>
          <w:szCs w:val="20"/>
          <w:color w:val="auto"/>
        </w:rPr>
      </w:pPr>
    </w:p>
    <w:p>
      <w:pPr>
        <w:ind w:right="400"/>
        <w:spacing w:after="0" w:line="259" w:lineRule="auto"/>
        <w:rPr>
          <w:sz w:val="20"/>
          <w:szCs w:val="20"/>
          <w:color w:val="auto"/>
        </w:rPr>
      </w:pPr>
      <w:r>
        <w:rPr>
          <w:rFonts w:ascii="Arial" w:cs="Arial" w:eastAsia="Arial" w:hAnsi="Arial"/>
          <w:sz w:val="14"/>
          <w:szCs w:val="14"/>
          <w:color w:val="auto"/>
        </w:rPr>
        <w:t>The Audit Committee of the Board of Directors, which is composed solely of independent directors, meets regularly with the independent registered public accountants, PricewaterhouseCoopers LLP, the internal auditors and representatives of management to review accounting, financial reporting, internal control and audit matters, as well as the nature and extent of the audit effort. The Audit Committee is responsible for the engagement of the independent registered public accountants. The independent registered public accountants and internal auditors have access to the Audit Committee.</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Disclosure Controls and Procedures</w:t>
      </w:r>
    </w:p>
    <w:p>
      <w:pPr>
        <w:spacing w:after="0" w:line="131" w:lineRule="exact"/>
        <w:rPr>
          <w:sz w:val="20"/>
          <w:szCs w:val="20"/>
          <w:color w:val="auto"/>
        </w:rPr>
      </w:pPr>
    </w:p>
    <w:p>
      <w:pPr>
        <w:ind w:right="40"/>
        <w:spacing w:after="0" w:line="254" w:lineRule="auto"/>
        <w:rPr>
          <w:sz w:val="20"/>
          <w:szCs w:val="20"/>
          <w:color w:val="auto"/>
        </w:rPr>
      </w:pPr>
      <w:r>
        <w:rPr>
          <w:rFonts w:ascii="Arial" w:cs="Arial" w:eastAsia="Arial" w:hAnsi="Arial"/>
          <w:sz w:val="14"/>
          <w:szCs w:val="14"/>
          <w:color w:val="auto"/>
        </w:rPr>
        <w:t>The Company’s management evaluated, with the participation of our principal executive officer and principal financial officer, the effectiveness of our disclosure controls and procedures, as defined in Rules 13a-15(e) and 15d-15(e) under the Securities Exchange Act of 1934, as amended, as of December 31, 2023, the end of the period covered by this Annual Report on Form 10-K. Based on this evaluation, our principal executive officer and principal financial officer have concluded that, as of the end of the period covered by this Annual Report on Form 10-K, our disclosure controls and procedures were effective to ensure that information we are required to disclose in the reports that we file or submit under the Securities Exchange Act of 1934, as amended, is recorded, processed, summarized and reported within the time periods specified in the Securities and Exchange Commission’s rules and forms relating to Conduent Incorporated, including our consolidated subsidiaries, and was accumulated and communicated to the Company’s management, including the principal executive officer and principal financial officer, or persons performing similar functions, as appropriate to allow timely decisions regarding required disclosure.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Management's Report on Internal Control over Financial Reporting</w:t>
      </w:r>
    </w:p>
    <w:p>
      <w:pPr>
        <w:spacing w:after="0" w:line="131"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Management is responsible for establishing and maintaining adequate internal control over financial reporting, as such term is defined in Rules 13a-15(f) and 15d-15(f) promulgated under the Securities Exchange Act of 1934, as amended. Under the supervision and with the participation of our management, including our principal executive officer, principal financial officer and principal accounting officer, we have conducted an evaluation of the effectiveness of our internal control over financial reporting based on the framework in "Internal Control - Integrated Framework" (2013) issued by the Committee of Sponsoring Organizations of the Treadway Commission.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Based on the above evaluation, management concluded that our internal control over financial reporting was effective as of December 31, 2023.</w:t>
      </w:r>
    </w:p>
    <w:p>
      <w:pPr>
        <w:spacing w:after="0" w:line="131" w:lineRule="exact"/>
        <w:rPr>
          <w:sz w:val="20"/>
          <w:szCs w:val="20"/>
          <w:color w:val="auto"/>
        </w:rPr>
      </w:pPr>
    </w:p>
    <w:p>
      <w:pPr>
        <w:ind w:right="560"/>
        <w:spacing w:after="0" w:line="282" w:lineRule="auto"/>
        <w:rPr>
          <w:sz w:val="20"/>
          <w:szCs w:val="20"/>
          <w:color w:val="auto"/>
        </w:rPr>
      </w:pPr>
      <w:r>
        <w:rPr>
          <w:rFonts w:ascii="Arial" w:cs="Arial" w:eastAsia="Arial" w:hAnsi="Arial"/>
          <w:sz w:val="14"/>
          <w:szCs w:val="14"/>
          <w:color w:val="auto"/>
        </w:rPr>
        <w:t>The effectiveness of our internal control over financial reporting as of December 31, 2023 has been audited by PricewaterhouseCoopers LLP, an independent registered public accounting firm, as stated in their report which appears in Part II, Item 8 of this Form 10-K.</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94" w:name="page95"/>
    <w:bookmarkEnd w:id="94"/>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Changes in Internal Control over Financial Reporting</w:t>
      </w:r>
    </w:p>
    <w:p>
      <w:pPr>
        <w:spacing w:after="0" w:line="131" w:lineRule="exact"/>
        <w:rPr>
          <w:sz w:val="20"/>
          <w:szCs w:val="20"/>
          <w:color w:val="auto"/>
        </w:rPr>
      </w:pPr>
    </w:p>
    <w:p>
      <w:pPr>
        <w:ind w:right="180"/>
        <w:spacing w:after="0" w:line="322" w:lineRule="auto"/>
        <w:rPr>
          <w:sz w:val="20"/>
          <w:szCs w:val="20"/>
          <w:color w:val="auto"/>
        </w:rPr>
      </w:pPr>
      <w:r>
        <w:rPr>
          <w:rFonts w:ascii="Arial" w:cs="Arial" w:eastAsia="Arial" w:hAnsi="Arial"/>
          <w:sz w:val="13"/>
          <w:szCs w:val="13"/>
          <w:color w:val="auto"/>
        </w:rPr>
        <w:t>In connection with the evaluation required by paragraph (d) of Rule 13a-15 under the Exchange Act, there was no change identified in our internal control over financial reporting that occurred during the last fiscal quarter ended December 31, 2023 that has materially affected, or is reasonably likely to materially affect, our internal control over financial reporting.</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9B. OTHER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10b5-1 Plans</w:t>
      </w:r>
    </w:p>
    <w:p>
      <w:pPr>
        <w:spacing w:after="0" w:line="131" w:lineRule="exact"/>
        <w:rPr>
          <w:sz w:val="20"/>
          <w:szCs w:val="20"/>
          <w:color w:val="auto"/>
        </w:rPr>
      </w:pPr>
    </w:p>
    <w:p>
      <w:pPr>
        <w:ind w:right="200"/>
        <w:spacing w:after="0" w:line="265" w:lineRule="auto"/>
        <w:rPr>
          <w:sz w:val="20"/>
          <w:szCs w:val="20"/>
          <w:color w:val="auto"/>
        </w:rPr>
      </w:pPr>
      <w:r>
        <w:rPr>
          <w:rFonts w:ascii="Arial" w:cs="Arial" w:eastAsia="Arial" w:hAnsi="Arial"/>
          <w:sz w:val="14"/>
          <w:szCs w:val="14"/>
          <w:color w:val="auto"/>
        </w:rPr>
        <w:t>During the three months ended December 31, 2023, none of the Company’s directors or officers (as defined in Rule 16a-1(f) of the Securities Exchange Act of 1934) adopted, terminated or modified a Rule 10b5-1 trading arrangement or non-Rule 10b5-1 trading arrangement (as such terms are defined in Item 408 of Regulation S-K of the Securities Act of 1933).</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9C. DISCLOSURE REGARDING FOREIGN JURISDICTIONS THAT PREVENT INSPECTIONS</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PART III</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10. DIRECTORS, EXECUTIVE OFFICERS AND CORPORATE GOVERNANCE</w:t>
      </w:r>
    </w:p>
    <w:p>
      <w:pPr>
        <w:spacing w:after="0" w:line="134"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The information regarding our executive officers required by Item 10 of Part III is set forth in Item 1 of Part I "Business–Information About Our Executive Officers." The information regarding directors is incorporated herein by reference to the section entitled “Proposal 1 - Election of Directors” in our definitive Proxy Statement to be filed pursuant to Regulation 14A of the Securities Exchange Act of 1934, as amended, for our 2024 Annual Meeting of Stockholders (the "2024 Proxy Statement"). The 2024 Proxy Statement is expected to be filed within 120 days after the end of our fiscal year ended December 31, 2023.</w:t>
      </w:r>
    </w:p>
    <w:p>
      <w:pPr>
        <w:spacing w:after="0" w:line="97"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If applicable, the information regarding compliance with Section 16(a) of the Securities and Exchange Act of 1934 is incorporated herein by reference to the section entitled “Delinquent Section 16(a) Reports" of our 2024 Proxy Statement.</w:t>
      </w:r>
    </w:p>
    <w:p>
      <w:pPr>
        <w:spacing w:after="0" w:line="80" w:lineRule="exact"/>
        <w:rPr>
          <w:sz w:val="20"/>
          <w:szCs w:val="20"/>
          <w:color w:val="auto"/>
        </w:rPr>
      </w:pPr>
    </w:p>
    <w:p>
      <w:pPr>
        <w:ind w:right="220"/>
        <w:spacing w:after="0" w:line="282" w:lineRule="auto"/>
        <w:rPr>
          <w:sz w:val="20"/>
          <w:szCs w:val="20"/>
          <w:color w:val="auto"/>
        </w:rPr>
      </w:pPr>
      <w:r>
        <w:rPr>
          <w:rFonts w:ascii="Arial" w:cs="Arial" w:eastAsia="Arial" w:hAnsi="Arial"/>
          <w:sz w:val="14"/>
          <w:szCs w:val="14"/>
          <w:color w:val="auto"/>
        </w:rPr>
        <w:t>The information required by this Item regarding the Audit Committee, its members and the Audit Committee financial experts is incorporated by reference herein from the subsection entitled “Committee Functions, Membership and Meetings” in the section entitled “Board of Directors and Board Committees” in our 2024 Proxy Statement.</w:t>
      </w:r>
    </w:p>
    <w:p>
      <w:pPr>
        <w:spacing w:after="0" w:line="80" w:lineRule="exact"/>
        <w:rPr>
          <w:sz w:val="20"/>
          <w:szCs w:val="20"/>
          <w:color w:val="auto"/>
        </w:rPr>
      </w:pPr>
    </w:p>
    <w:p>
      <w:pPr>
        <w:ind w:right="40"/>
        <w:spacing w:after="0" w:line="259" w:lineRule="auto"/>
        <w:rPr>
          <w:sz w:val="20"/>
          <w:szCs w:val="20"/>
          <w:color w:val="auto"/>
        </w:rPr>
      </w:pPr>
      <w:r>
        <w:rPr>
          <w:rFonts w:ascii="Arial" w:cs="Arial" w:eastAsia="Arial" w:hAnsi="Arial"/>
          <w:sz w:val="14"/>
          <w:szCs w:val="14"/>
          <w:color w:val="auto"/>
        </w:rPr>
        <w:t>We have adopted a code of ethics applicable to our principal executive officer, principal financial officer and principal accounting officer (the "Finance Code of Conduct"). The Finance Code of Conduct can be found on our website at: https://www.conduent.com/corporate-governance/ethics-and-compliance/. Information concerning our Finance Code of Conduct can be found under "Corporate Governance" in our 2024 Proxy Statement and is incorporated here by reference. The reference to our website address does not constitute incorporation by reference of any of the information contained on the website, and such information is not a part of this Annual Report.</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11. EXECUTIVE COMPENSATION</w:t>
      </w:r>
    </w:p>
    <w:p>
      <w:pPr>
        <w:spacing w:after="0" w:line="123" w:lineRule="exact"/>
        <w:rPr>
          <w:sz w:val="20"/>
          <w:szCs w:val="20"/>
          <w:color w:val="auto"/>
        </w:rPr>
      </w:pPr>
    </w:p>
    <w:p>
      <w:pPr>
        <w:ind w:right="120"/>
        <w:spacing w:after="0" w:line="255" w:lineRule="auto"/>
        <w:rPr>
          <w:sz w:val="20"/>
          <w:szCs w:val="20"/>
          <w:color w:val="auto"/>
        </w:rPr>
      </w:pPr>
      <w:r>
        <w:rPr>
          <w:rFonts w:ascii="Arial" w:cs="Arial" w:eastAsia="Arial" w:hAnsi="Arial"/>
          <w:sz w:val="14"/>
          <w:szCs w:val="14"/>
          <w:color w:val="auto"/>
        </w:rPr>
        <w:t>The information required by this Item included under the following captions in our 2024 Proxy Statement is incorporated herein by reference: “Compensation Discussion and Analysis” (including the “Summary Compensation Table”, “Grants of Plan-Based Awards in 2023”, “Outstanding Equity Awards at 2023 Fiscal Year-End”, “Option Exercises and Stock Vested in 2023”, “Potential Payments upon Termination or Change in Control”, and “Compensation Committee Report” subsections), “Annual Director Compensation” and “Compensation Committee Interlocks and Insider Participation”.The information included under the heading “Compensation Committee Report” in our 2024 Proxy Statement is incorporated herein by reference; however, this information shall not be deemed to be “soliciting material” or to be “filed” with the SEC or subject to Regulation 14A or 14C, or to the liabilities of Section 18 of the Exchange Act.</w:t>
      </w:r>
    </w:p>
    <w:p>
      <w:pPr>
        <w:spacing w:after="0" w:line="200" w:lineRule="exact"/>
        <w:rPr>
          <w:sz w:val="20"/>
          <w:szCs w:val="20"/>
          <w:color w:val="auto"/>
        </w:rPr>
      </w:pPr>
    </w:p>
    <w:p>
      <w:pPr>
        <w:spacing w:after="0" w:line="24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95" w:name="page96"/>
    <w:bookmarkEnd w:id="95"/>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12. SECURITY OWNERSHIP OF CERTAIN BENEFICIAL OWNERS AND MANAGEMENT AND RELATED STOCKHOLDER MATTERS</w:t>
      </w:r>
    </w:p>
    <w:p>
      <w:pPr>
        <w:spacing w:after="0" w:line="123" w:lineRule="exact"/>
        <w:rPr>
          <w:sz w:val="20"/>
          <w:szCs w:val="20"/>
          <w:color w:val="auto"/>
        </w:rPr>
      </w:pPr>
    </w:p>
    <w:p>
      <w:pPr>
        <w:ind w:right="80"/>
        <w:spacing w:after="0" w:line="282" w:lineRule="auto"/>
        <w:rPr>
          <w:sz w:val="20"/>
          <w:szCs w:val="20"/>
          <w:color w:val="auto"/>
        </w:rPr>
      </w:pPr>
      <w:r>
        <w:rPr>
          <w:rFonts w:ascii="Arial" w:cs="Arial" w:eastAsia="Arial" w:hAnsi="Arial"/>
          <w:sz w:val="14"/>
          <w:szCs w:val="14"/>
          <w:color w:val="auto"/>
        </w:rPr>
        <w:t>Information required by this Item is incorporated herein by reference to the subsections entitled "Securities Ownership," and “Equity Compensation Plan Information” in our 2024 Proxy Statement.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13. CERTAIN RELATIONSHIPS, RELATED TRANSACTIONS AND DIRECTOR INDEPENDENCE</w:t>
      </w:r>
    </w:p>
    <w:p>
      <w:pPr>
        <w:spacing w:after="0" w:line="123" w:lineRule="exact"/>
        <w:rPr>
          <w:sz w:val="20"/>
          <w:szCs w:val="20"/>
          <w:color w:val="auto"/>
        </w:rPr>
      </w:pPr>
    </w:p>
    <w:p>
      <w:pPr>
        <w:ind w:right="140"/>
        <w:spacing w:after="0" w:line="256" w:lineRule="auto"/>
        <w:rPr>
          <w:sz w:val="20"/>
          <w:szCs w:val="20"/>
          <w:color w:val="auto"/>
        </w:rPr>
      </w:pPr>
      <w:r>
        <w:rPr>
          <w:rFonts w:ascii="Arial" w:cs="Arial" w:eastAsia="Arial" w:hAnsi="Arial"/>
          <w:sz w:val="14"/>
          <w:szCs w:val="14"/>
          <w:color w:val="auto"/>
        </w:rPr>
        <w:t>Information required by this Item is incorporated herein by reference to the subsection entitled “Certain Relationships and Related Person Transactions” in our 2024 Proxy Statement. The information regarding director independence is incorporated herein by reference to the subsections entitled “Corporate Governance” and “Director Independence” in the section entitled “Proposal 1 - Election of Directors” in our 2024 Proxy Statement.</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14. PRINCIPAL ACCOUNTANT FEES AND SERVICES</w:t>
      </w:r>
    </w:p>
    <w:p>
      <w:pPr>
        <w:spacing w:after="0" w:line="121" w:lineRule="exact"/>
        <w:rPr>
          <w:sz w:val="20"/>
          <w:szCs w:val="20"/>
          <w:color w:val="auto"/>
        </w:rPr>
      </w:pPr>
    </w:p>
    <w:p>
      <w:pPr>
        <w:ind w:right="140"/>
        <w:spacing w:after="0" w:line="282" w:lineRule="auto"/>
        <w:rPr>
          <w:sz w:val="20"/>
          <w:szCs w:val="20"/>
          <w:color w:val="auto"/>
        </w:rPr>
      </w:pPr>
      <w:r>
        <w:rPr>
          <w:rFonts w:ascii="Arial" w:cs="Arial" w:eastAsia="Arial" w:hAnsi="Arial"/>
          <w:sz w:val="14"/>
          <w:szCs w:val="14"/>
          <w:color w:val="auto"/>
        </w:rPr>
        <w:t>The information required by this Item is incorporated herein by reference to the section entitled “Proposal 2 - Ratification of Appointment of Independent Registered Public Accounting Firm” in our 2024 Proxy Statement.</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PART IV</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15. EXHIBITS AND FINANCIAL STATEMENT SCHEDULES</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(a)</w:t>
      </w:r>
    </w:p>
    <w:p>
      <w:pPr>
        <w:spacing w:after="0" w:line="20" w:lineRule="exact"/>
        <w:rPr>
          <w:sz w:val="20"/>
          <w:szCs w:val="20"/>
          <w:color w:val="auto"/>
        </w:rPr>
      </w:pPr>
    </w:p>
    <w:p>
      <w:pPr>
        <w:ind w:left="1060" w:hanging="557"/>
        <w:spacing w:after="0"/>
        <w:tabs>
          <w:tab w:leader="none" w:pos="10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Index to Financial Statements filed as part of this report:</w:t>
      </w:r>
    </w:p>
    <w:p>
      <w:pPr>
        <w:spacing w:after="0" w:line="179" w:lineRule="exact"/>
        <w:rPr>
          <w:sz w:val="20"/>
          <w:szCs w:val="20"/>
          <w:color w:val="auto"/>
        </w:rPr>
      </w:pPr>
    </w:p>
    <w:p>
      <w:pPr>
        <w:ind w:left="1380" w:hanging="314"/>
        <w:spacing w:after="0"/>
        <w:tabs>
          <w:tab w:leader="none" w:pos="13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Report of Independent Registered Public Accounting Firm (PCAOB ID: 238);</w:t>
      </w:r>
    </w:p>
    <w:p>
      <w:pPr>
        <w:spacing w:after="0" w:line="20" w:lineRule="exact"/>
        <w:rPr>
          <w:sz w:val="20"/>
          <w:szCs w:val="20"/>
          <w:color w:val="auto"/>
        </w:rPr>
      </w:pPr>
    </w:p>
    <w:p>
      <w:pPr>
        <w:ind w:left="1380" w:hanging="314"/>
        <w:spacing w:after="0"/>
        <w:tabs>
          <w:tab w:leader="none" w:pos="1380" w:val="left"/>
        </w:tabs>
        <w:numPr>
          <w:ilvl w:val="2"/>
          <w:numId w:val="49"/>
        </w:numPr>
        <w:rPr>
          <w:rFonts w:ascii="Arial" w:cs="Arial" w:eastAsia="Arial" w:hAnsi="Arial"/>
          <w:sz w:val="14"/>
          <w:szCs w:val="14"/>
          <w:color w:val="auto"/>
        </w:rPr>
      </w:pPr>
      <w:r>
        <w:rPr>
          <w:rFonts w:ascii="Arial" w:cs="Arial" w:eastAsia="Arial" w:hAnsi="Arial"/>
          <w:sz w:val="14"/>
          <w:szCs w:val="14"/>
          <w:color w:val="auto"/>
        </w:rPr>
        <w:t>Consolidated Statements of Income (Loss) for each of the years in the three-year period ended December 31, 2023;</w:t>
      </w:r>
    </w:p>
    <w:p>
      <w:pPr>
        <w:spacing w:after="0" w:line="5" w:lineRule="exact"/>
        <w:rPr>
          <w:rFonts w:ascii="Arial" w:cs="Arial" w:eastAsia="Arial" w:hAnsi="Arial"/>
          <w:sz w:val="14"/>
          <w:szCs w:val="14"/>
          <w:color w:val="auto"/>
        </w:rPr>
      </w:pPr>
    </w:p>
    <w:p>
      <w:pPr>
        <w:ind w:left="1380" w:hanging="314"/>
        <w:spacing w:after="0"/>
        <w:tabs>
          <w:tab w:leader="none" w:pos="1380" w:val="left"/>
        </w:tabs>
        <w:numPr>
          <w:ilvl w:val="2"/>
          <w:numId w:val="49"/>
        </w:numPr>
        <w:rPr>
          <w:rFonts w:ascii="Arial" w:cs="Arial" w:eastAsia="Arial" w:hAnsi="Arial"/>
          <w:sz w:val="14"/>
          <w:szCs w:val="14"/>
          <w:color w:val="auto"/>
        </w:rPr>
      </w:pPr>
      <w:r>
        <w:rPr>
          <w:rFonts w:ascii="Arial" w:cs="Arial" w:eastAsia="Arial" w:hAnsi="Arial"/>
          <w:sz w:val="14"/>
          <w:szCs w:val="14"/>
          <w:color w:val="auto"/>
        </w:rPr>
        <w:t>Consolidated Statements of Comprehensive Income (Loss) for each of the years in the three-year period ended December 31, 2023;</w:t>
      </w:r>
    </w:p>
    <w:p>
      <w:pPr>
        <w:spacing w:after="0" w:line="5" w:lineRule="exact"/>
        <w:rPr>
          <w:rFonts w:ascii="Arial" w:cs="Arial" w:eastAsia="Arial" w:hAnsi="Arial"/>
          <w:sz w:val="14"/>
          <w:szCs w:val="14"/>
          <w:color w:val="auto"/>
        </w:rPr>
      </w:pPr>
    </w:p>
    <w:p>
      <w:pPr>
        <w:ind w:left="1380" w:hanging="314"/>
        <w:spacing w:after="0"/>
        <w:tabs>
          <w:tab w:leader="none" w:pos="1380" w:val="left"/>
        </w:tabs>
        <w:numPr>
          <w:ilvl w:val="2"/>
          <w:numId w:val="49"/>
        </w:numPr>
        <w:rPr>
          <w:rFonts w:ascii="Arial" w:cs="Arial" w:eastAsia="Arial" w:hAnsi="Arial"/>
          <w:sz w:val="14"/>
          <w:szCs w:val="14"/>
          <w:color w:val="auto"/>
        </w:rPr>
      </w:pPr>
      <w:r>
        <w:rPr>
          <w:rFonts w:ascii="Arial" w:cs="Arial" w:eastAsia="Arial" w:hAnsi="Arial"/>
          <w:sz w:val="14"/>
          <w:szCs w:val="14"/>
          <w:color w:val="auto"/>
        </w:rPr>
        <w:t>Consolidated Balance Sheets as of December 31, 2023 and 2022;</w:t>
      </w:r>
    </w:p>
    <w:p>
      <w:pPr>
        <w:spacing w:after="0" w:line="5" w:lineRule="exact"/>
        <w:rPr>
          <w:rFonts w:ascii="Arial" w:cs="Arial" w:eastAsia="Arial" w:hAnsi="Arial"/>
          <w:sz w:val="14"/>
          <w:szCs w:val="14"/>
          <w:color w:val="auto"/>
        </w:rPr>
      </w:pPr>
    </w:p>
    <w:p>
      <w:pPr>
        <w:ind w:left="1380" w:hanging="314"/>
        <w:spacing w:after="0"/>
        <w:tabs>
          <w:tab w:leader="none" w:pos="1380" w:val="left"/>
        </w:tabs>
        <w:numPr>
          <w:ilvl w:val="2"/>
          <w:numId w:val="49"/>
        </w:numPr>
        <w:rPr>
          <w:rFonts w:ascii="Arial" w:cs="Arial" w:eastAsia="Arial" w:hAnsi="Arial"/>
          <w:sz w:val="14"/>
          <w:szCs w:val="14"/>
          <w:color w:val="auto"/>
        </w:rPr>
      </w:pPr>
      <w:r>
        <w:rPr>
          <w:rFonts w:ascii="Arial" w:cs="Arial" w:eastAsia="Arial" w:hAnsi="Arial"/>
          <w:sz w:val="14"/>
          <w:szCs w:val="14"/>
          <w:color w:val="auto"/>
        </w:rPr>
        <w:t>Consolidated Statements of Cash Flows for each of the years in the three-year period ended December 31, 2023;</w:t>
      </w:r>
    </w:p>
    <w:p>
      <w:pPr>
        <w:spacing w:after="0" w:line="5" w:lineRule="exact"/>
        <w:rPr>
          <w:rFonts w:ascii="Arial" w:cs="Arial" w:eastAsia="Arial" w:hAnsi="Arial"/>
          <w:sz w:val="14"/>
          <w:szCs w:val="14"/>
          <w:color w:val="auto"/>
        </w:rPr>
      </w:pPr>
    </w:p>
    <w:p>
      <w:pPr>
        <w:ind w:left="1380" w:hanging="314"/>
        <w:spacing w:after="0"/>
        <w:tabs>
          <w:tab w:leader="none" w:pos="1380" w:val="left"/>
        </w:tabs>
        <w:numPr>
          <w:ilvl w:val="2"/>
          <w:numId w:val="49"/>
        </w:numPr>
        <w:rPr>
          <w:rFonts w:ascii="Arial" w:cs="Arial" w:eastAsia="Arial" w:hAnsi="Arial"/>
          <w:sz w:val="14"/>
          <w:szCs w:val="14"/>
          <w:color w:val="auto"/>
        </w:rPr>
      </w:pPr>
      <w:r>
        <w:rPr>
          <w:rFonts w:ascii="Arial" w:cs="Arial" w:eastAsia="Arial" w:hAnsi="Arial"/>
          <w:sz w:val="14"/>
          <w:szCs w:val="14"/>
          <w:color w:val="auto"/>
        </w:rPr>
        <w:t>Consolidated Statements of Shareholders' Equity for each of the years in the three-year period ended December 31, 2023;</w:t>
      </w:r>
    </w:p>
    <w:p>
      <w:pPr>
        <w:spacing w:after="0" w:line="5" w:lineRule="exact"/>
        <w:rPr>
          <w:rFonts w:ascii="Arial" w:cs="Arial" w:eastAsia="Arial" w:hAnsi="Arial"/>
          <w:sz w:val="14"/>
          <w:szCs w:val="14"/>
          <w:color w:val="auto"/>
        </w:rPr>
      </w:pPr>
    </w:p>
    <w:p>
      <w:pPr>
        <w:ind w:left="1380" w:hanging="314"/>
        <w:spacing w:after="0"/>
        <w:tabs>
          <w:tab w:leader="none" w:pos="1380" w:val="left"/>
        </w:tabs>
        <w:numPr>
          <w:ilvl w:val="2"/>
          <w:numId w:val="49"/>
        </w:numPr>
        <w:rPr>
          <w:rFonts w:ascii="Arial" w:cs="Arial" w:eastAsia="Arial" w:hAnsi="Arial"/>
          <w:sz w:val="14"/>
          <w:szCs w:val="14"/>
          <w:color w:val="auto"/>
        </w:rPr>
      </w:pPr>
      <w:r>
        <w:rPr>
          <w:rFonts w:ascii="Arial" w:cs="Arial" w:eastAsia="Arial" w:hAnsi="Arial"/>
          <w:sz w:val="14"/>
          <w:szCs w:val="14"/>
          <w:color w:val="auto"/>
        </w:rPr>
        <w:t>Notes to the Consolidated Financial Statements; and</w:t>
      </w:r>
    </w:p>
    <w:p>
      <w:pPr>
        <w:spacing w:after="0" w:line="5" w:lineRule="exact"/>
        <w:rPr>
          <w:rFonts w:ascii="Arial" w:cs="Arial" w:eastAsia="Arial" w:hAnsi="Arial"/>
          <w:sz w:val="14"/>
          <w:szCs w:val="14"/>
          <w:color w:val="auto"/>
        </w:rPr>
      </w:pPr>
    </w:p>
    <w:p>
      <w:pPr>
        <w:ind w:left="1380" w:hanging="314"/>
        <w:spacing w:after="0"/>
        <w:tabs>
          <w:tab w:leader="none" w:pos="1380" w:val="left"/>
        </w:tabs>
        <w:numPr>
          <w:ilvl w:val="2"/>
          <w:numId w:val="49"/>
        </w:numPr>
        <w:rPr>
          <w:rFonts w:ascii="Arial" w:cs="Arial" w:eastAsia="Arial" w:hAnsi="Arial"/>
          <w:sz w:val="14"/>
          <w:szCs w:val="14"/>
          <w:color w:val="auto"/>
        </w:rPr>
      </w:pPr>
      <w:r>
        <w:rPr>
          <w:rFonts w:ascii="Arial" w:cs="Arial" w:eastAsia="Arial" w:hAnsi="Arial"/>
          <w:sz w:val="14"/>
          <w:szCs w:val="14"/>
          <w:color w:val="auto"/>
        </w:rPr>
        <w:t>All other schedules are omitted as they are not applicable, or the information required is included in the financial statements or notes thereto.</w:t>
      </w:r>
    </w:p>
    <w:p>
      <w:pPr>
        <w:spacing w:after="0" w:line="179" w:lineRule="exact"/>
        <w:rPr>
          <w:rFonts w:ascii="Arial" w:cs="Arial" w:eastAsia="Arial" w:hAnsi="Arial"/>
          <w:sz w:val="14"/>
          <w:szCs w:val="14"/>
          <w:color w:val="auto"/>
        </w:rPr>
      </w:pPr>
    </w:p>
    <w:p>
      <w:pPr>
        <w:ind w:left="1060" w:hanging="557"/>
        <w:spacing w:after="0"/>
        <w:tabs>
          <w:tab w:leader="none" w:pos="1060" w:val="left"/>
        </w:tabs>
        <w:numPr>
          <w:ilvl w:val="1"/>
          <w:numId w:val="49"/>
        </w:numPr>
        <w:rPr>
          <w:rFonts w:ascii="Arial" w:cs="Arial" w:eastAsia="Arial" w:hAnsi="Arial"/>
          <w:sz w:val="14"/>
          <w:szCs w:val="14"/>
          <w:color w:val="auto"/>
        </w:rPr>
      </w:pPr>
      <w:r>
        <w:rPr>
          <w:rFonts w:ascii="Arial" w:cs="Arial" w:eastAsia="Arial" w:hAnsi="Arial"/>
          <w:sz w:val="14"/>
          <w:szCs w:val="14"/>
          <w:color w:val="auto"/>
        </w:rPr>
        <w:t>Financial Statement Schedules:</w:t>
      </w:r>
    </w:p>
    <w:p>
      <w:pPr>
        <w:spacing w:after="0" w:line="193" w:lineRule="exact"/>
        <w:rPr>
          <w:rFonts w:ascii="Arial" w:cs="Arial" w:eastAsia="Arial" w:hAnsi="Arial"/>
          <w:sz w:val="14"/>
          <w:szCs w:val="14"/>
          <w:color w:val="auto"/>
        </w:rPr>
      </w:pPr>
    </w:p>
    <w:p>
      <w:pPr>
        <w:ind w:left="1380" w:hanging="314"/>
        <w:spacing w:after="0"/>
        <w:tabs>
          <w:tab w:leader="none" w:pos="1380" w:val="left"/>
        </w:tabs>
        <w:numPr>
          <w:ilvl w:val="2"/>
          <w:numId w:val="49"/>
        </w:numPr>
        <w:rPr>
          <w:rFonts w:ascii="Arial" w:cs="Arial" w:eastAsia="Arial" w:hAnsi="Arial"/>
          <w:sz w:val="14"/>
          <w:szCs w:val="14"/>
          <w:color w:val="auto"/>
        </w:rPr>
      </w:pPr>
      <w:r>
        <w:rPr>
          <w:rFonts w:ascii="Arial" w:cs="Arial" w:eastAsia="Arial" w:hAnsi="Arial"/>
          <w:sz w:val="14"/>
          <w:szCs w:val="14"/>
          <w:color w:val="auto"/>
        </w:rPr>
        <w:t>Schedule II–Valuation and Qualifying Accounts for each of the three years in the period ended December 31, 2023.</w:t>
      </w:r>
    </w:p>
    <w:p>
      <w:pPr>
        <w:spacing w:after="0" w:line="193" w:lineRule="exact"/>
        <w:rPr>
          <w:rFonts w:ascii="Arial" w:cs="Arial" w:eastAsia="Arial" w:hAnsi="Arial"/>
          <w:sz w:val="14"/>
          <w:szCs w:val="14"/>
          <w:color w:val="auto"/>
        </w:rPr>
      </w:pPr>
    </w:p>
    <w:p>
      <w:pPr>
        <w:ind w:left="1060" w:hanging="557"/>
        <w:spacing w:after="0"/>
        <w:tabs>
          <w:tab w:leader="none" w:pos="1060" w:val="left"/>
        </w:tabs>
        <w:numPr>
          <w:ilvl w:val="1"/>
          <w:numId w:val="49"/>
        </w:numPr>
        <w:rPr>
          <w:rFonts w:ascii="Arial" w:cs="Arial" w:eastAsia="Arial" w:hAnsi="Arial"/>
          <w:sz w:val="14"/>
          <w:szCs w:val="14"/>
          <w:color w:val="auto"/>
        </w:rPr>
      </w:pPr>
      <w:r>
        <w:rPr>
          <w:rFonts w:ascii="Arial" w:cs="Arial" w:eastAsia="Arial" w:hAnsi="Arial"/>
          <w:sz w:val="14"/>
          <w:szCs w:val="14"/>
          <w:color w:val="auto"/>
        </w:rPr>
        <w:t>The exhibits filed herewith are set forth in the exhibit Index included herein.</w:t>
      </w:r>
    </w:p>
    <w:p>
      <w:pPr>
        <w:spacing w:after="0" w:line="193" w:lineRule="exact"/>
        <w:rPr>
          <w:rFonts w:ascii="Arial" w:cs="Arial" w:eastAsia="Arial" w:hAnsi="Arial"/>
          <w:sz w:val="14"/>
          <w:szCs w:val="14"/>
          <w:color w:val="auto"/>
        </w:rPr>
      </w:pPr>
    </w:p>
    <w:p>
      <w:pPr>
        <w:ind w:left="500" w:right="160" w:hanging="497"/>
        <w:spacing w:after="0" w:line="282" w:lineRule="auto"/>
        <w:tabs>
          <w:tab w:leader="none" w:pos="324" w:val="left"/>
        </w:tabs>
        <w:numPr>
          <w:ilvl w:val="0"/>
          <w:numId w:val="50"/>
        </w:numPr>
        <w:rPr>
          <w:rFonts w:ascii="Arial" w:cs="Arial" w:eastAsia="Arial" w:hAnsi="Arial"/>
          <w:sz w:val="14"/>
          <w:szCs w:val="14"/>
          <w:color w:val="auto"/>
        </w:rPr>
      </w:pPr>
      <w:r>
        <w:rPr>
          <w:rFonts w:ascii="Arial" w:cs="Arial" w:eastAsia="Arial" w:hAnsi="Arial"/>
          <w:sz w:val="14"/>
          <w:szCs w:val="14"/>
          <w:color w:val="auto"/>
        </w:rPr>
        <w:t>Management contracts or compensatory plans or arrangements listed that are applicable to the executive officers named in the Summary Compensation Table which appears in the Registrant's 2024 Proxy Statement or to our directors are preceded by an asterisk (*).</w:t>
      </w: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96" w:name="page97"/>
    <w:bookmarkEnd w:id="96"/>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SCHEDULE II</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Valuation and Qualifying Accounts</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For the three years ended December 31, 2023</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ind w:left="217"/>
              <w:spacing w:after="0"/>
              <w:rPr>
                <w:sz w:val="20"/>
                <w:szCs w:val="20"/>
                <w:color w:val="auto"/>
              </w:rPr>
            </w:pPr>
            <w:r>
              <w:rPr>
                <w:rFonts w:ascii="Arial" w:cs="Arial" w:eastAsia="Arial" w:hAnsi="Arial"/>
                <w:sz w:val="13"/>
                <w:szCs w:val="13"/>
                <w:color w:val="auto"/>
                <w:w w:val="97"/>
              </w:rPr>
              <w:t>Balance</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gridSpan w:val="3"/>
          </w:tcPr>
          <w:p>
            <w:pPr>
              <w:jc w:val="center"/>
              <w:ind w:right="440"/>
              <w:spacing w:after="0"/>
              <w:rPr>
                <w:sz w:val="20"/>
                <w:szCs w:val="20"/>
                <w:color w:val="auto"/>
              </w:rPr>
            </w:pPr>
            <w:r>
              <w:rPr>
                <w:rFonts w:ascii="Arial" w:cs="Arial" w:eastAsia="Arial" w:hAnsi="Arial"/>
                <w:sz w:val="13"/>
                <w:szCs w:val="13"/>
                <w:color w:val="auto"/>
                <w:w w:val="93"/>
              </w:rPr>
              <w:t>Additions</w:t>
            </w:r>
          </w:p>
        </w:tc>
        <w:tc>
          <w:tcPr>
            <w:tcW w:w="1780" w:type="dxa"/>
            <w:vAlign w:val="bottom"/>
            <w:gridSpan w:val="3"/>
          </w:tcPr>
          <w:p>
            <w:pPr>
              <w:jc w:val="center"/>
              <w:ind w:right="360"/>
              <w:spacing w:after="0"/>
              <w:rPr>
                <w:sz w:val="20"/>
                <w:szCs w:val="20"/>
                <w:color w:val="auto"/>
              </w:rPr>
            </w:pPr>
            <w:r>
              <w:rPr>
                <w:rFonts w:ascii="Arial" w:cs="Arial" w:eastAsia="Arial" w:hAnsi="Arial"/>
                <w:sz w:val="13"/>
                <w:szCs w:val="13"/>
                <w:color w:val="auto"/>
                <w:w w:val="96"/>
              </w:rPr>
              <w:t>Amounts (credited)</w:t>
            </w:r>
          </w:p>
        </w:tc>
        <w:tc>
          <w:tcPr>
            <w:tcW w:w="1540" w:type="dxa"/>
            <w:vAlign w:val="bottom"/>
            <w:gridSpan w:val="3"/>
          </w:tcPr>
          <w:p>
            <w:pPr>
              <w:jc w:val="center"/>
              <w:ind w:right="480"/>
              <w:spacing w:after="0"/>
              <w:rPr>
                <w:sz w:val="20"/>
                <w:szCs w:val="20"/>
                <w:color w:val="auto"/>
              </w:rPr>
            </w:pPr>
            <w:r>
              <w:rPr>
                <w:rFonts w:ascii="Arial" w:cs="Arial" w:eastAsia="Arial" w:hAnsi="Arial"/>
                <w:sz w:val="13"/>
                <w:szCs w:val="13"/>
                <w:color w:val="auto"/>
                <w:w w:val="95"/>
              </w:rPr>
              <w:t>Deductions</w:t>
            </w:r>
          </w:p>
        </w:tc>
        <w:tc>
          <w:tcPr>
            <w:tcW w:w="1140" w:type="dxa"/>
            <w:vAlign w:val="bottom"/>
          </w:tcPr>
          <w:p>
            <w:pPr>
              <w:jc w:val="center"/>
              <w:ind w:right="177"/>
              <w:spacing w:after="0"/>
              <w:rPr>
                <w:sz w:val="20"/>
                <w:szCs w:val="20"/>
                <w:color w:val="auto"/>
              </w:rPr>
            </w:pPr>
            <w:r>
              <w:rPr>
                <w:rFonts w:ascii="Arial" w:cs="Arial" w:eastAsia="Arial" w:hAnsi="Arial"/>
                <w:sz w:val="13"/>
                <w:szCs w:val="13"/>
                <w:color w:val="auto"/>
                <w:w w:val="97"/>
              </w:rPr>
              <w:t>Balance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center"/>
              <w:ind w:left="237"/>
              <w:spacing w:after="0" w:line="125" w:lineRule="exact"/>
              <w:rPr>
                <w:sz w:val="20"/>
                <w:szCs w:val="20"/>
                <w:color w:val="auto"/>
              </w:rPr>
            </w:pPr>
            <w:r>
              <w:rPr>
                <w:rFonts w:ascii="Arial" w:cs="Arial" w:eastAsia="Arial" w:hAnsi="Arial"/>
                <w:sz w:val="13"/>
                <w:szCs w:val="13"/>
                <w:color w:val="auto"/>
                <w:w w:val="95"/>
              </w:rPr>
              <w:t>at beginning</w:t>
            </w: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80" w:type="dxa"/>
            <w:vAlign w:val="bottom"/>
            <w:gridSpan w:val="3"/>
          </w:tcPr>
          <w:p>
            <w:pPr>
              <w:jc w:val="center"/>
              <w:ind w:right="440"/>
              <w:spacing w:after="0" w:line="125" w:lineRule="exact"/>
              <w:rPr>
                <w:sz w:val="20"/>
                <w:szCs w:val="20"/>
                <w:color w:val="auto"/>
              </w:rPr>
            </w:pPr>
            <w:r>
              <w:rPr>
                <w:rFonts w:ascii="Arial" w:cs="Arial" w:eastAsia="Arial" w:hAnsi="Arial"/>
                <w:sz w:val="13"/>
                <w:szCs w:val="13"/>
                <w:color w:val="auto"/>
                <w:w w:val="94"/>
              </w:rPr>
              <w:t>charged to</w:t>
            </w:r>
          </w:p>
        </w:tc>
        <w:tc>
          <w:tcPr>
            <w:tcW w:w="1780" w:type="dxa"/>
            <w:vAlign w:val="bottom"/>
            <w:gridSpan w:val="3"/>
          </w:tcPr>
          <w:p>
            <w:pPr>
              <w:jc w:val="center"/>
              <w:ind w:right="360"/>
              <w:spacing w:after="0" w:line="125" w:lineRule="exact"/>
              <w:rPr>
                <w:sz w:val="20"/>
                <w:szCs w:val="20"/>
                <w:color w:val="auto"/>
              </w:rPr>
            </w:pPr>
            <w:r>
              <w:rPr>
                <w:rFonts w:ascii="Arial" w:cs="Arial" w:eastAsia="Arial" w:hAnsi="Arial"/>
                <w:sz w:val="13"/>
                <w:szCs w:val="13"/>
                <w:color w:val="auto"/>
                <w:w w:val="95"/>
              </w:rPr>
              <w:t>charged to other income</w:t>
            </w:r>
          </w:p>
        </w:tc>
        <w:tc>
          <w:tcPr>
            <w:tcW w:w="1540" w:type="dxa"/>
            <w:vAlign w:val="bottom"/>
            <w:gridSpan w:val="3"/>
          </w:tcPr>
          <w:p>
            <w:pPr>
              <w:jc w:val="center"/>
              <w:ind w:right="480"/>
              <w:spacing w:after="0" w:line="125" w:lineRule="exact"/>
              <w:rPr>
                <w:sz w:val="20"/>
                <w:szCs w:val="20"/>
                <w:color w:val="auto"/>
              </w:rPr>
            </w:pPr>
            <w:r>
              <w:rPr>
                <w:rFonts w:ascii="Arial" w:cs="Arial" w:eastAsia="Arial" w:hAnsi="Arial"/>
                <w:sz w:val="13"/>
                <w:szCs w:val="13"/>
                <w:color w:val="auto"/>
                <w:w w:val="97"/>
              </w:rPr>
              <w:t>and other, net</w:t>
            </w:r>
          </w:p>
        </w:tc>
        <w:tc>
          <w:tcPr>
            <w:tcW w:w="1140" w:type="dxa"/>
            <w:vAlign w:val="bottom"/>
          </w:tcPr>
          <w:p>
            <w:pPr>
              <w:jc w:val="center"/>
              <w:ind w:right="177"/>
              <w:spacing w:after="0" w:line="125" w:lineRule="exact"/>
              <w:rPr>
                <w:sz w:val="20"/>
                <w:szCs w:val="20"/>
                <w:color w:val="auto"/>
              </w:rPr>
            </w:pPr>
            <w:r>
              <w:rPr>
                <w:rFonts w:ascii="Arial" w:cs="Arial" w:eastAsia="Arial" w:hAnsi="Arial"/>
                <w:sz w:val="13"/>
                <w:szCs w:val="13"/>
                <w:color w:val="auto"/>
                <w:w w:val="93"/>
              </w:rPr>
              <w:t>at end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20" w:type="dxa"/>
            <w:vAlign w:val="bottom"/>
            <w:tcBorders>
              <w:bottom w:val="single" w:sz="8" w:color="auto"/>
            </w:tcBorders>
          </w:tcPr>
          <w:p>
            <w:pPr>
              <w:spacing w:after="0"/>
              <w:rPr>
                <w:sz w:val="20"/>
                <w:szCs w:val="20"/>
                <w:color w:val="auto"/>
              </w:rPr>
            </w:pPr>
            <w:r>
              <w:rPr>
                <w:rFonts w:ascii="Arial" w:cs="Arial" w:eastAsia="Arial" w:hAnsi="Arial"/>
                <w:sz w:val="10"/>
                <w:szCs w:val="10"/>
                <w:color w:val="auto"/>
                <w:w w:val="98"/>
              </w:rPr>
              <w:t>(in millions)</w:t>
            </w:r>
          </w:p>
        </w:tc>
        <w:tc>
          <w:tcPr>
            <w:tcW w:w="2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center"/>
              <w:ind w:left="197"/>
              <w:spacing w:after="0" w:line="136" w:lineRule="exact"/>
              <w:rPr>
                <w:sz w:val="20"/>
                <w:szCs w:val="20"/>
                <w:color w:val="auto"/>
              </w:rPr>
            </w:pPr>
            <w:r>
              <w:rPr>
                <w:rFonts w:ascii="Arial" w:cs="Arial" w:eastAsia="Arial" w:hAnsi="Arial"/>
                <w:sz w:val="13"/>
                <w:szCs w:val="13"/>
                <w:color w:val="auto"/>
                <w:w w:val="94"/>
              </w:rPr>
              <w:t>of period</w:t>
            </w: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3"/>
          </w:tcPr>
          <w:p>
            <w:pPr>
              <w:jc w:val="center"/>
              <w:ind w:right="440"/>
              <w:spacing w:after="0" w:line="136" w:lineRule="exact"/>
              <w:rPr>
                <w:sz w:val="20"/>
                <w:szCs w:val="20"/>
                <w:color w:val="auto"/>
              </w:rPr>
            </w:pPr>
            <w:r>
              <w:rPr>
                <w:rFonts w:ascii="Arial" w:cs="Arial" w:eastAsia="Arial" w:hAnsi="Arial"/>
                <w:sz w:val="12"/>
                <w:szCs w:val="12"/>
                <w:color w:val="auto"/>
                <w:w w:val="94"/>
              </w:rPr>
              <w:t>expense</w:t>
            </w:r>
            <w:r>
              <w:rPr>
                <w:rFonts w:ascii="Arial" w:cs="Arial" w:eastAsia="Arial" w:hAnsi="Arial"/>
                <w:sz w:val="15"/>
                <w:szCs w:val="15"/>
                <w:color w:val="auto"/>
                <w:w w:val="94"/>
                <w:vertAlign w:val="superscript"/>
              </w:rPr>
              <w:t>(1)(4)</w:t>
            </w:r>
          </w:p>
        </w:tc>
        <w:tc>
          <w:tcPr>
            <w:tcW w:w="1780" w:type="dxa"/>
            <w:vAlign w:val="bottom"/>
            <w:gridSpan w:val="3"/>
          </w:tcPr>
          <w:p>
            <w:pPr>
              <w:jc w:val="center"/>
              <w:ind w:right="400"/>
              <w:spacing w:after="0" w:line="136" w:lineRule="exact"/>
              <w:rPr>
                <w:sz w:val="20"/>
                <w:szCs w:val="20"/>
                <w:color w:val="auto"/>
              </w:rPr>
            </w:pPr>
            <w:r>
              <w:rPr>
                <w:rFonts w:ascii="Arial" w:cs="Arial" w:eastAsia="Arial" w:hAnsi="Arial"/>
                <w:sz w:val="12"/>
                <w:szCs w:val="12"/>
                <w:color w:val="auto"/>
              </w:rPr>
              <w:t xml:space="preserve">statement accounts </w:t>
            </w:r>
            <w:r>
              <w:rPr>
                <w:rFonts w:ascii="Arial" w:cs="Arial" w:eastAsia="Arial" w:hAnsi="Arial"/>
                <w:sz w:val="15"/>
                <w:szCs w:val="15"/>
                <w:color w:val="auto"/>
                <w:vertAlign w:val="superscript"/>
              </w:rPr>
              <w:t>(2)</w:t>
            </w:r>
          </w:p>
        </w:tc>
        <w:tc>
          <w:tcPr>
            <w:tcW w:w="1540" w:type="dxa"/>
            <w:vAlign w:val="bottom"/>
            <w:gridSpan w:val="3"/>
          </w:tcPr>
          <w:p>
            <w:pPr>
              <w:jc w:val="center"/>
              <w:ind w:right="520"/>
              <w:spacing w:after="0" w:line="136" w:lineRule="exact"/>
              <w:rPr>
                <w:sz w:val="20"/>
                <w:szCs w:val="20"/>
                <w:color w:val="auto"/>
              </w:rPr>
            </w:pPr>
            <w:r>
              <w:rPr>
                <w:rFonts w:ascii="Arial" w:cs="Arial" w:eastAsia="Arial" w:hAnsi="Arial"/>
                <w:sz w:val="12"/>
                <w:szCs w:val="12"/>
                <w:color w:val="auto"/>
                <w:w w:val="97"/>
              </w:rPr>
              <w:t xml:space="preserve">of recoveries </w:t>
            </w:r>
            <w:r>
              <w:rPr>
                <w:rFonts w:ascii="Arial" w:cs="Arial" w:eastAsia="Arial" w:hAnsi="Arial"/>
                <w:sz w:val="15"/>
                <w:szCs w:val="15"/>
                <w:color w:val="auto"/>
                <w:w w:val="97"/>
                <w:vertAlign w:val="superscript"/>
              </w:rPr>
              <w:t>(3)(4)</w:t>
            </w:r>
          </w:p>
        </w:tc>
        <w:tc>
          <w:tcPr>
            <w:tcW w:w="1140" w:type="dxa"/>
            <w:vAlign w:val="bottom"/>
          </w:tcPr>
          <w:p>
            <w:pPr>
              <w:jc w:val="center"/>
              <w:ind w:right="217"/>
              <w:spacing w:after="0" w:line="136" w:lineRule="exact"/>
              <w:rPr>
                <w:sz w:val="20"/>
                <w:szCs w:val="20"/>
                <w:color w:val="auto"/>
              </w:rPr>
            </w:pPr>
            <w:r>
              <w:rPr>
                <w:rFonts w:ascii="Arial" w:cs="Arial" w:eastAsia="Arial" w:hAnsi="Arial"/>
                <w:sz w:val="13"/>
                <w:szCs w:val="13"/>
                <w:color w:val="auto"/>
                <w:w w:val="98"/>
              </w:rPr>
              <w:t>of period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Allowance for Credit Losses:</w:t>
            </w: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Borders>
              <w:bottom w:val="single" w:sz="8" w:color="auto"/>
            </w:tcBorders>
          </w:tcPr>
          <w:p>
            <w:pPr>
              <w:spacing w:after="0"/>
              <w:rPr>
                <w:sz w:val="12"/>
                <w:szCs w:val="12"/>
                <w:color w:val="auto"/>
              </w:rPr>
            </w:pPr>
          </w:p>
        </w:tc>
        <w:tc>
          <w:tcPr>
            <w:tcW w:w="2940" w:type="dxa"/>
            <w:vAlign w:val="bottom"/>
            <w:tcBorders>
              <w:bottom w:val="single" w:sz="8" w:color="auto"/>
            </w:tcBorders>
            <w:gridSpan w:val="2"/>
            <w:vMerge w:val="continue"/>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5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2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Accounts Receivable</w:t>
            </w:r>
          </w:p>
        </w:tc>
        <w:tc>
          <w:tcPr>
            <w:tcW w:w="1100" w:type="dxa"/>
            <w:vAlign w:val="bottom"/>
            <w:gridSpan w:val="2"/>
            <w:shd w:val="clear" w:color="auto" w:fill="CCEEFF"/>
          </w:tcPr>
          <w:p>
            <w:pPr>
              <w:jc w:val="right"/>
              <w:ind w:right="877"/>
              <w:spacing w:after="0"/>
              <w:rPr>
                <w:sz w:val="20"/>
                <w:szCs w:val="20"/>
                <w:color w:val="auto"/>
              </w:rPr>
            </w:pPr>
            <w:r>
              <w:rPr>
                <w:rFonts w:ascii="Arial" w:cs="Arial" w:eastAsia="Arial" w:hAnsi="Arial"/>
                <w:sz w:val="13"/>
                <w:szCs w:val="13"/>
                <w:color w:val="auto"/>
              </w:rPr>
              <w:t>$</w:t>
            </w:r>
          </w:p>
        </w:tc>
        <w:tc>
          <w:tcPr>
            <w:tcW w:w="580" w:type="dxa"/>
            <w:vAlign w:val="bottom"/>
            <w:gridSpan w:val="3"/>
            <w:shd w:val="clear" w:color="auto" w:fill="CCEEFF"/>
          </w:tcPr>
          <w:p>
            <w:pPr>
              <w:ind w:left="100"/>
              <w:spacing w:after="0"/>
              <w:rPr>
                <w:sz w:val="20"/>
                <w:szCs w:val="20"/>
                <w:color w:val="auto"/>
              </w:rPr>
            </w:pPr>
            <w:r>
              <w:rPr>
                <w:rFonts w:ascii="Arial" w:cs="Arial" w:eastAsia="Arial" w:hAnsi="Arial"/>
                <w:sz w:val="13"/>
                <w:szCs w:val="13"/>
                <w:color w:val="auto"/>
              </w:rPr>
              <w:t>—   $</w:t>
            </w:r>
          </w:p>
        </w:tc>
        <w:tc>
          <w:tcPr>
            <w:tcW w:w="1380" w:type="dxa"/>
            <w:vAlign w:val="bottom"/>
            <w:gridSpan w:val="3"/>
            <w:shd w:val="clear" w:color="auto" w:fill="CCEEFF"/>
          </w:tcPr>
          <w:p>
            <w:pPr>
              <w:ind w:left="980"/>
              <w:spacing w:after="0"/>
              <w:rPr>
                <w:sz w:val="20"/>
                <w:szCs w:val="20"/>
                <w:color w:val="auto"/>
              </w:rPr>
            </w:pPr>
            <w:r>
              <w:rPr>
                <w:rFonts w:ascii="Arial" w:cs="Arial" w:eastAsia="Arial" w:hAnsi="Arial"/>
                <w:sz w:val="13"/>
                <w:szCs w:val="13"/>
                <w:color w:val="auto"/>
              </w:rPr>
              <w:t>—   $</w:t>
            </w:r>
          </w:p>
        </w:tc>
        <w:tc>
          <w:tcPr>
            <w:tcW w:w="1780" w:type="dxa"/>
            <w:vAlign w:val="bottom"/>
            <w:gridSpan w:val="3"/>
            <w:shd w:val="clear" w:color="auto" w:fill="CCEEFF"/>
          </w:tcPr>
          <w:p>
            <w:pPr>
              <w:ind w:left="1360"/>
              <w:spacing w:after="0"/>
              <w:rPr>
                <w:sz w:val="20"/>
                <w:szCs w:val="20"/>
                <w:color w:val="auto"/>
              </w:rPr>
            </w:pPr>
            <w:r>
              <w:rPr>
                <w:rFonts w:ascii="Arial" w:cs="Arial" w:eastAsia="Arial" w:hAnsi="Arial"/>
                <w:sz w:val="13"/>
                <w:szCs w:val="13"/>
                <w:color w:val="auto"/>
              </w:rPr>
              <w:t>—   $</w:t>
            </w:r>
          </w:p>
        </w:tc>
        <w:tc>
          <w:tcPr>
            <w:tcW w:w="1540" w:type="dxa"/>
            <w:vAlign w:val="bottom"/>
            <w:gridSpan w:val="3"/>
            <w:shd w:val="clear" w:color="auto" w:fill="CCEEFF"/>
          </w:tcPr>
          <w:p>
            <w:pPr>
              <w:ind w:left="1020"/>
              <w:spacing w:after="0"/>
              <w:rPr>
                <w:sz w:val="20"/>
                <w:szCs w:val="20"/>
                <w:color w:val="auto"/>
              </w:rPr>
            </w:pPr>
            <w:r>
              <w:rPr>
                <w:rFonts w:ascii="Arial" w:cs="Arial" w:eastAsia="Arial" w:hAnsi="Arial"/>
                <w:sz w:val="13"/>
                <w:szCs w:val="13"/>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540" w:type="dxa"/>
            <w:vAlign w:val="bottom"/>
            <w:gridSpan w:val="2"/>
          </w:tcPr>
          <w:p>
            <w:pPr>
              <w:ind w:left="20"/>
              <w:spacing w:after="0"/>
              <w:rPr>
                <w:sz w:val="20"/>
                <w:szCs w:val="20"/>
                <w:color w:val="auto"/>
              </w:rPr>
            </w:pPr>
            <w:r>
              <w:rPr>
                <w:rFonts w:ascii="Arial" w:cs="Arial" w:eastAsia="Arial" w:hAnsi="Arial"/>
                <w:sz w:val="14"/>
                <w:szCs w:val="14"/>
                <w:color w:val="auto"/>
              </w:rPr>
              <w:t>2022</w:t>
            </w:r>
          </w:p>
        </w:tc>
        <w:tc>
          <w:tcPr>
            <w:tcW w:w="2420" w:type="dxa"/>
            <w:vAlign w:val="bottom"/>
          </w:tcPr>
          <w:p>
            <w:pPr>
              <w:ind w:left="160"/>
              <w:spacing w:after="0"/>
              <w:rPr>
                <w:sz w:val="20"/>
                <w:szCs w:val="20"/>
                <w:color w:val="auto"/>
              </w:rPr>
            </w:pPr>
            <w:r>
              <w:rPr>
                <w:rFonts w:ascii="Arial" w:cs="Arial" w:eastAsia="Arial" w:hAnsi="Arial"/>
                <w:sz w:val="14"/>
                <w:szCs w:val="14"/>
                <w:color w:val="auto"/>
              </w:rPr>
              <w:t>Accounts Receivable</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gridSpan w:val="3"/>
          </w:tcPr>
          <w:p>
            <w:pPr>
              <w:jc w:val="right"/>
              <w:ind w:right="360"/>
              <w:spacing w:after="0"/>
              <w:rPr>
                <w:sz w:val="20"/>
                <w:szCs w:val="20"/>
                <w:color w:val="auto"/>
              </w:rPr>
            </w:pPr>
            <w:r>
              <w:rPr>
                <w:rFonts w:ascii="Arial" w:cs="Arial" w:eastAsia="Arial" w:hAnsi="Arial"/>
                <w:sz w:val="13"/>
                <w:szCs w:val="13"/>
                <w:color w:val="auto"/>
              </w:rPr>
              <w:t>—</w:t>
            </w:r>
          </w:p>
        </w:tc>
        <w:tc>
          <w:tcPr>
            <w:tcW w:w="1380" w:type="dxa"/>
            <w:vAlign w:val="bottom"/>
            <w:gridSpan w:val="3"/>
          </w:tcPr>
          <w:p>
            <w:pPr>
              <w:jc w:val="right"/>
              <w:ind w:right="280"/>
              <w:spacing w:after="0"/>
              <w:rPr>
                <w:sz w:val="20"/>
                <w:szCs w:val="20"/>
                <w:color w:val="auto"/>
              </w:rPr>
            </w:pPr>
            <w:r>
              <w:rPr>
                <w:rFonts w:ascii="Arial" w:cs="Arial" w:eastAsia="Arial" w:hAnsi="Arial"/>
                <w:sz w:val="13"/>
                <w:szCs w:val="13"/>
                <w:color w:val="auto"/>
              </w:rPr>
              <w:t>—</w:t>
            </w:r>
          </w:p>
        </w:tc>
        <w:tc>
          <w:tcPr>
            <w:tcW w:w="1780" w:type="dxa"/>
            <w:vAlign w:val="bottom"/>
            <w:gridSpan w:val="3"/>
          </w:tcPr>
          <w:p>
            <w:pPr>
              <w:ind w:left="1360"/>
              <w:spacing w:after="0"/>
              <w:rPr>
                <w:sz w:val="20"/>
                <w:szCs w:val="20"/>
                <w:color w:val="auto"/>
              </w:rPr>
            </w:pPr>
            <w:r>
              <w:rPr>
                <w:rFonts w:ascii="Arial" w:cs="Arial" w:eastAsia="Arial" w:hAnsi="Arial"/>
                <w:sz w:val="13"/>
                <w:szCs w:val="13"/>
                <w:color w:val="auto"/>
              </w:rPr>
              <w:t>—</w:t>
            </w:r>
          </w:p>
        </w:tc>
        <w:tc>
          <w:tcPr>
            <w:tcW w:w="1540" w:type="dxa"/>
            <w:vAlign w:val="bottom"/>
            <w:gridSpan w:val="3"/>
          </w:tcPr>
          <w:p>
            <w:pPr>
              <w:jc w:val="right"/>
              <w:ind w:right="400"/>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7"/>
        </w:trPr>
        <w:tc>
          <w:tcPr>
            <w:tcW w:w="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2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Accounts Receivable</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80" w:type="dxa"/>
            <w:vAlign w:val="bottom"/>
            <w:gridSpan w:val="3"/>
            <w:shd w:val="clear" w:color="auto" w:fill="CCEEFF"/>
          </w:tcPr>
          <w:p>
            <w:pPr>
              <w:ind w:left="136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4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0" w:type="dxa"/>
            <w:vAlign w:val="bottom"/>
            <w:tcBorders>
              <w:bottom w:val="single" w:sz="8" w:color="auto"/>
            </w:tcBorders>
            <w:shd w:val="clear" w:color="auto" w:fill="CCEEFF"/>
          </w:tcPr>
          <w:p>
            <w:pPr>
              <w:spacing w:after="0"/>
              <w:rPr>
                <w:sz w:val="14"/>
                <w:szCs w:val="14"/>
                <w:color w:val="auto"/>
              </w:rPr>
            </w:pPr>
          </w:p>
        </w:tc>
        <w:tc>
          <w:tcPr>
            <w:tcW w:w="29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3"/>
                <w:szCs w:val="13"/>
                <w:b w:val="1"/>
                <w:bCs w:val="1"/>
                <w:color w:val="auto"/>
              </w:rPr>
              <w:t>Tax Valuation Allowance:</w:t>
            </w: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40" w:type="dxa"/>
            <w:vAlign w:val="bottom"/>
            <w:gridSpan w:val="2"/>
          </w:tcPr>
          <w:p>
            <w:pPr>
              <w:ind w:left="20"/>
              <w:spacing w:after="0"/>
              <w:rPr>
                <w:sz w:val="20"/>
                <w:szCs w:val="20"/>
                <w:color w:val="auto"/>
              </w:rPr>
            </w:pPr>
            <w:r>
              <w:rPr>
                <w:rFonts w:ascii="Arial" w:cs="Arial" w:eastAsia="Arial" w:hAnsi="Arial"/>
                <w:sz w:val="14"/>
                <w:szCs w:val="14"/>
                <w:color w:val="auto"/>
              </w:rPr>
              <w:t>2023</w:t>
            </w:r>
          </w:p>
        </w:tc>
        <w:tc>
          <w:tcPr>
            <w:tcW w:w="2420" w:type="dxa"/>
            <w:vAlign w:val="bottom"/>
          </w:tcPr>
          <w:p>
            <w:pPr>
              <w:ind w:left="160"/>
              <w:spacing w:after="0"/>
              <w:rPr>
                <w:sz w:val="20"/>
                <w:szCs w:val="20"/>
                <w:color w:val="auto"/>
              </w:rPr>
            </w:pPr>
            <w:r>
              <w:rPr>
                <w:rFonts w:ascii="Arial" w:cs="Arial" w:eastAsia="Arial" w:hAnsi="Arial"/>
                <w:sz w:val="14"/>
                <w:szCs w:val="14"/>
                <w:color w:val="auto"/>
              </w:rPr>
              <w:t>Tax Valuation</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w w:val="92"/>
              </w:rPr>
              <w:t>102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9</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3"/>
          </w:tcPr>
          <w:p>
            <w:pPr>
              <w:ind w:left="136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177"/>
        </w:trPr>
        <w:tc>
          <w:tcPr>
            <w:tcW w:w="5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24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Tax Valuation</w:t>
            </w: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780" w:type="dxa"/>
            <w:vAlign w:val="bottom"/>
            <w:gridSpan w:val="3"/>
            <w:shd w:val="clear" w:color="auto" w:fill="CCEEFF"/>
          </w:tcPr>
          <w:p>
            <w:pPr>
              <w:ind w:left="1360"/>
              <w:spacing w:after="0"/>
              <w:rPr>
                <w:sz w:val="20"/>
                <w:szCs w:val="20"/>
                <w:color w:val="auto"/>
              </w:rPr>
            </w:pPr>
            <w:r>
              <w:rPr>
                <w:rFonts w:ascii="Arial" w:cs="Arial" w:eastAsia="Arial" w:hAnsi="Arial"/>
                <w:sz w:val="13"/>
                <w:szCs w:val="13"/>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84"/>
        </w:trPr>
        <w:tc>
          <w:tcPr>
            <w:tcW w:w="540" w:type="dxa"/>
            <w:vAlign w:val="bottom"/>
            <w:gridSpan w:val="2"/>
          </w:tcPr>
          <w:p>
            <w:pPr>
              <w:ind w:left="20"/>
              <w:spacing w:after="0"/>
              <w:rPr>
                <w:sz w:val="20"/>
                <w:szCs w:val="20"/>
                <w:color w:val="auto"/>
              </w:rPr>
            </w:pPr>
            <w:r>
              <w:rPr>
                <w:rFonts w:ascii="Arial" w:cs="Arial" w:eastAsia="Arial" w:hAnsi="Arial"/>
                <w:sz w:val="14"/>
                <w:szCs w:val="14"/>
                <w:color w:val="auto"/>
              </w:rPr>
              <w:t>2021</w:t>
            </w:r>
          </w:p>
        </w:tc>
        <w:tc>
          <w:tcPr>
            <w:tcW w:w="2420" w:type="dxa"/>
            <w:vAlign w:val="bottom"/>
          </w:tcPr>
          <w:p>
            <w:pPr>
              <w:ind w:left="160"/>
              <w:spacing w:after="0"/>
              <w:rPr>
                <w:sz w:val="20"/>
                <w:szCs w:val="20"/>
                <w:color w:val="auto"/>
              </w:rPr>
            </w:pPr>
            <w:r>
              <w:rPr>
                <w:rFonts w:ascii="Arial" w:cs="Arial" w:eastAsia="Arial" w:hAnsi="Arial"/>
                <w:sz w:val="14"/>
                <w:szCs w:val="14"/>
                <w:color w:val="auto"/>
              </w:rPr>
              <w:t>Tax Valuation</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3"/>
          </w:tcPr>
          <w:p>
            <w:pPr>
              <w:ind w:left="136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40"/>
        <w:spacing w:after="0"/>
        <w:rPr>
          <w:sz w:val="20"/>
          <w:szCs w:val="20"/>
          <w:color w:val="auto"/>
        </w:rPr>
      </w:pPr>
      <w:r>
        <w:rPr>
          <w:rFonts w:ascii="Arial" w:cs="Arial" w:eastAsia="Arial" w:hAnsi="Arial"/>
          <w:sz w:val="11"/>
          <w:szCs w:val="11"/>
          <w:color w:val="auto"/>
        </w:rPr>
        <w:t>__________</w:t>
      </w:r>
    </w:p>
    <w:p>
      <w:pPr>
        <w:spacing w:after="0" w:line="9" w:lineRule="exact"/>
        <w:rPr>
          <w:sz w:val="20"/>
          <w:szCs w:val="20"/>
          <w:color w:val="auto"/>
        </w:rPr>
      </w:pPr>
    </w:p>
    <w:p>
      <w:pPr>
        <w:ind w:left="240" w:hanging="237"/>
        <w:spacing w:after="0"/>
        <w:tabs>
          <w:tab w:leader="none" w:pos="240" w:val="left"/>
        </w:tabs>
        <w:numPr>
          <w:ilvl w:val="0"/>
          <w:numId w:val="51"/>
        </w:numPr>
        <w:rPr>
          <w:rFonts w:ascii="Arial" w:cs="Arial" w:eastAsia="Arial" w:hAnsi="Arial"/>
          <w:sz w:val="11"/>
          <w:szCs w:val="11"/>
          <w:i w:val="1"/>
          <w:iCs w:val="1"/>
          <w:color w:val="auto"/>
        </w:rPr>
      </w:pPr>
      <w:r>
        <w:rPr>
          <w:rFonts w:ascii="Arial" w:cs="Arial" w:eastAsia="Arial" w:hAnsi="Arial"/>
          <w:sz w:val="11"/>
          <w:szCs w:val="11"/>
          <w:i w:val="1"/>
          <w:iCs w:val="1"/>
          <w:color w:val="auto"/>
        </w:rPr>
        <w:t>Account Receivables/Contract Assets: additions charged to expense represent bad debt provisions relate to estimated losses due to credit and similar collectability issues.</w:t>
      </w:r>
    </w:p>
    <w:p>
      <w:pPr>
        <w:spacing w:after="0" w:line="8" w:lineRule="exact"/>
        <w:rPr>
          <w:rFonts w:ascii="Arial" w:cs="Arial" w:eastAsia="Arial" w:hAnsi="Arial"/>
          <w:sz w:val="11"/>
          <w:szCs w:val="11"/>
          <w:i w:val="1"/>
          <w:iCs w:val="1"/>
          <w:color w:val="auto"/>
        </w:rPr>
      </w:pPr>
    </w:p>
    <w:p>
      <w:pPr>
        <w:ind w:left="240" w:hanging="237"/>
        <w:spacing w:after="0"/>
        <w:tabs>
          <w:tab w:leader="none" w:pos="240" w:val="left"/>
        </w:tabs>
        <w:numPr>
          <w:ilvl w:val="0"/>
          <w:numId w:val="51"/>
        </w:numPr>
        <w:rPr>
          <w:rFonts w:ascii="Arial" w:cs="Arial" w:eastAsia="Arial" w:hAnsi="Arial"/>
          <w:sz w:val="11"/>
          <w:szCs w:val="11"/>
          <w:i w:val="1"/>
          <w:iCs w:val="1"/>
          <w:color w:val="auto"/>
        </w:rPr>
      </w:pPr>
      <w:r>
        <w:rPr>
          <w:rFonts w:ascii="Arial" w:cs="Arial" w:eastAsia="Arial" w:hAnsi="Arial"/>
          <w:sz w:val="11"/>
          <w:szCs w:val="11"/>
          <w:i w:val="1"/>
          <w:iCs w:val="1"/>
          <w:color w:val="auto"/>
        </w:rPr>
        <w:t>Account Receivables: Other charges (credits) relate to adjustments to reserves necessary to reflect events of non-payment such as customer accommodations and contract terminations.</w:t>
      </w:r>
    </w:p>
    <w:p>
      <w:pPr>
        <w:spacing w:after="0" w:line="8" w:lineRule="exact"/>
        <w:rPr>
          <w:rFonts w:ascii="Arial" w:cs="Arial" w:eastAsia="Arial" w:hAnsi="Arial"/>
          <w:sz w:val="11"/>
          <w:szCs w:val="11"/>
          <w:i w:val="1"/>
          <w:iCs w:val="1"/>
          <w:color w:val="auto"/>
        </w:rPr>
      </w:pPr>
    </w:p>
    <w:p>
      <w:pPr>
        <w:ind w:left="260" w:right="360" w:hanging="257"/>
        <w:spacing w:after="0" w:line="256" w:lineRule="auto"/>
        <w:tabs>
          <w:tab w:leader="none" w:pos="250" w:val="left"/>
        </w:tabs>
        <w:numPr>
          <w:ilvl w:val="0"/>
          <w:numId w:val="51"/>
        </w:numPr>
        <w:rPr>
          <w:rFonts w:ascii="Arial" w:cs="Arial" w:eastAsia="Arial" w:hAnsi="Arial"/>
          <w:sz w:val="11"/>
          <w:szCs w:val="11"/>
          <w:i w:val="1"/>
          <w:iCs w:val="1"/>
          <w:color w:val="auto"/>
        </w:rPr>
      </w:pPr>
      <w:r>
        <w:rPr>
          <w:rFonts w:ascii="Arial" w:cs="Arial" w:eastAsia="Arial" w:hAnsi="Arial"/>
          <w:sz w:val="11"/>
          <w:szCs w:val="11"/>
          <w:i w:val="1"/>
          <w:iCs w:val="1"/>
          <w:color w:val="auto"/>
        </w:rPr>
        <w:t>Account Receivables/Contract Assets: Deductions and other, net of recoveries primarily relates to receivable and contract asset write-offs, but also includes reclassification to other balance sheet accounts, the impact of foreign currency translation adjustments and recoveries of previously written off receivables and contract assets.</w:t>
      </w:r>
    </w:p>
    <w:p>
      <w:pPr>
        <w:spacing w:after="0" w:line="1" w:lineRule="exact"/>
        <w:rPr>
          <w:rFonts w:ascii="Arial" w:cs="Arial" w:eastAsia="Arial" w:hAnsi="Arial"/>
          <w:sz w:val="11"/>
          <w:szCs w:val="11"/>
          <w:i w:val="1"/>
          <w:iCs w:val="1"/>
          <w:color w:val="auto"/>
        </w:rPr>
      </w:pPr>
    </w:p>
    <w:p>
      <w:pPr>
        <w:ind w:left="260" w:right="100" w:hanging="257"/>
        <w:spacing w:after="0" w:line="254" w:lineRule="auto"/>
        <w:tabs>
          <w:tab w:leader="none" w:pos="250" w:val="left"/>
        </w:tabs>
        <w:numPr>
          <w:ilvl w:val="0"/>
          <w:numId w:val="51"/>
        </w:numPr>
        <w:rPr>
          <w:rFonts w:ascii="Arial" w:cs="Arial" w:eastAsia="Arial" w:hAnsi="Arial"/>
          <w:sz w:val="11"/>
          <w:szCs w:val="11"/>
          <w:i w:val="1"/>
          <w:iCs w:val="1"/>
          <w:color w:val="auto"/>
        </w:rPr>
      </w:pPr>
      <w:r>
        <w:rPr>
          <w:rFonts w:ascii="Arial" w:cs="Arial" w:eastAsia="Arial" w:hAnsi="Arial"/>
          <w:sz w:val="11"/>
          <w:szCs w:val="11"/>
          <w:i w:val="1"/>
          <w:iCs w:val="1"/>
          <w:color w:val="auto"/>
        </w:rPr>
        <w:t>Tax Valuation: tax valuation allowance are primarily related to certain net operating loss carryforwards, tax credit carryforwards and deductible temporary differences for which we have concluded it is more-likely-than-not that these items will not be realized in the ordinary course of operations.</w:t>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ITEM 16. FORM 10-K SUMMARY</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347"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97" w:name="page98"/>
    <w:bookmarkEnd w:id="97"/>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0066CC"/>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ind w:left="40"/>
              <w:spacing w:after="0"/>
              <w:rPr>
                <w:sz w:val="20"/>
                <w:szCs w:val="20"/>
                <w:color w:val="auto"/>
              </w:rPr>
            </w:pPr>
            <w:r>
              <w:rPr>
                <w:rFonts w:ascii="Arial" w:cs="Arial" w:eastAsia="Arial" w:hAnsi="Arial"/>
                <w:sz w:val="13"/>
                <w:szCs w:val="13"/>
                <w:color w:val="auto"/>
              </w:rPr>
              <w:t>Incorporated by Reference</w:t>
            </w:r>
          </w:p>
        </w:tc>
      </w:tr>
      <w:tr>
        <w:trPr>
          <w:trHeight w:val="158"/>
        </w:trPr>
        <w:tc>
          <w:tcPr>
            <w:tcW w:w="1260" w:type="dxa"/>
            <w:vAlign w:val="bottom"/>
            <w:gridSpan w:val="2"/>
          </w:tcPr>
          <w:p>
            <w:pPr>
              <w:ind w:left="20"/>
              <w:spacing w:after="0"/>
              <w:rPr>
                <w:sz w:val="20"/>
                <w:szCs w:val="20"/>
                <w:color w:val="auto"/>
              </w:rPr>
            </w:pPr>
            <w:r>
              <w:rPr>
                <w:rFonts w:ascii="Arial" w:cs="Arial" w:eastAsia="Arial" w:hAnsi="Arial"/>
                <w:sz w:val="13"/>
                <w:szCs w:val="13"/>
                <w:color w:val="auto"/>
              </w:rPr>
              <w:t>Exhibit No.</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320" w:type="dxa"/>
            <w:vAlign w:val="bottom"/>
            <w:gridSpan w:val="18"/>
          </w:tcPr>
          <w:p>
            <w:pPr>
              <w:ind w:left="280"/>
              <w:spacing w:after="0"/>
              <w:rPr>
                <w:sz w:val="20"/>
                <w:szCs w:val="20"/>
                <w:color w:val="auto"/>
              </w:rPr>
            </w:pPr>
            <w:r>
              <w:rPr>
                <w:rFonts w:ascii="Arial" w:cs="Arial" w:eastAsia="Arial" w:hAnsi="Arial"/>
                <w:sz w:val="13"/>
                <w:szCs w:val="13"/>
                <w:color w:val="auto"/>
              </w:rPr>
              <w:t>Description</w:t>
            </w:r>
          </w:p>
        </w:tc>
        <w:tc>
          <w:tcPr>
            <w:tcW w:w="940" w:type="dxa"/>
            <w:vAlign w:val="bottom"/>
            <w:gridSpan w:val="2"/>
          </w:tcPr>
          <w:p>
            <w:pPr>
              <w:ind w:left="40"/>
              <w:spacing w:after="0"/>
              <w:rPr>
                <w:sz w:val="20"/>
                <w:szCs w:val="20"/>
                <w:color w:val="auto"/>
              </w:rPr>
            </w:pPr>
            <w:r>
              <w:rPr>
                <w:rFonts w:ascii="Arial" w:cs="Arial" w:eastAsia="Arial" w:hAnsi="Arial"/>
                <w:sz w:val="12"/>
                <w:szCs w:val="12"/>
                <w:color w:val="auto"/>
              </w:rPr>
              <w:t>Filed Herewith</w:t>
            </w:r>
          </w:p>
        </w:tc>
        <w:tc>
          <w:tcPr>
            <w:tcW w:w="1080" w:type="dxa"/>
            <w:vAlign w:val="bottom"/>
          </w:tcPr>
          <w:p>
            <w:pPr>
              <w:ind w:left="420"/>
              <w:spacing w:after="0"/>
              <w:rPr>
                <w:sz w:val="20"/>
                <w:szCs w:val="20"/>
                <w:color w:val="auto"/>
              </w:rPr>
            </w:pPr>
            <w:r>
              <w:rPr>
                <w:rFonts w:ascii="Arial" w:cs="Arial" w:eastAsia="Arial" w:hAnsi="Arial"/>
                <w:sz w:val="13"/>
                <w:szCs w:val="13"/>
                <w:color w:val="auto"/>
              </w:rPr>
              <w:t>Form</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gridSpan w:val="2"/>
          </w:tcPr>
          <w:p>
            <w:pPr>
              <w:ind w:left="300"/>
              <w:spacing w:after="0"/>
              <w:rPr>
                <w:sz w:val="20"/>
                <w:szCs w:val="20"/>
                <w:color w:val="auto"/>
              </w:rPr>
            </w:pPr>
            <w:r>
              <w:rPr>
                <w:rFonts w:ascii="Arial" w:cs="Arial" w:eastAsia="Arial" w:hAnsi="Arial"/>
                <w:sz w:val="13"/>
                <w:szCs w:val="13"/>
                <w:color w:val="auto"/>
              </w:rPr>
              <w:t>Exhibit No.</w:t>
            </w:r>
          </w:p>
        </w:tc>
        <w:tc>
          <w:tcPr>
            <w:tcW w:w="1240" w:type="dxa"/>
            <w:vAlign w:val="bottom"/>
          </w:tcPr>
          <w:p>
            <w:pPr>
              <w:ind w:left="320"/>
              <w:spacing w:after="0"/>
              <w:rPr>
                <w:sz w:val="20"/>
                <w:szCs w:val="20"/>
                <w:color w:val="auto"/>
              </w:rPr>
            </w:pPr>
            <w:r>
              <w:rPr>
                <w:rFonts w:ascii="Arial" w:cs="Arial" w:eastAsia="Arial" w:hAnsi="Arial"/>
                <w:sz w:val="13"/>
                <w:szCs w:val="13"/>
                <w:color w:val="auto"/>
              </w:rPr>
              <w:t>Filing Date</w:t>
            </w:r>
          </w:p>
        </w:tc>
      </w:tr>
      <w:tr>
        <w:trPr>
          <w:trHeight w:val="127"/>
        </w:trPr>
        <w:tc>
          <w:tcPr>
            <w:tcW w:w="1160" w:type="dxa"/>
            <w:vAlign w:val="bottom"/>
            <w:tcBorders>
              <w:top w:val="single" w:sz="8" w:color="auto"/>
            </w:tcBorders>
            <w:shd w:val="clear" w:color="auto" w:fill="CCEEFF"/>
          </w:tcPr>
          <w:p>
            <w:pPr>
              <w:ind w:left="20"/>
              <w:spacing w:after="0" w:line="127" w:lineRule="exact"/>
              <w:rPr>
                <w:sz w:val="20"/>
                <w:szCs w:val="20"/>
                <w:color w:val="auto"/>
              </w:rPr>
            </w:pPr>
            <w:r>
              <w:rPr>
                <w:rFonts w:ascii="Arial" w:cs="Arial" w:eastAsia="Arial" w:hAnsi="Arial"/>
                <w:sz w:val="13"/>
                <w:szCs w:val="13"/>
                <w:color w:val="auto"/>
              </w:rPr>
              <w:t>2.1</w:t>
            </w: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5280" w:type="dxa"/>
            <w:vAlign w:val="bottom"/>
            <w:tcBorders>
              <w:top w:val="single" w:sz="8" w:color="auto"/>
            </w:tcBorders>
            <w:gridSpan w:val="24"/>
            <w:shd w:val="clear" w:color="auto" w:fill="CCEEFF"/>
          </w:tcPr>
          <w:p>
            <w:pPr>
              <w:spacing w:after="0" w:line="127" w:lineRule="exact"/>
              <w:rPr>
                <w:rFonts w:ascii="Arial" w:cs="Arial" w:eastAsia="Arial" w:hAnsi="Arial"/>
                <w:sz w:val="13"/>
                <w:szCs w:val="13"/>
                <w:color w:val="0000FF"/>
                <w:w w:val="97"/>
              </w:rPr>
            </w:pPr>
            <w:hyperlink r:id="rId117">
              <w:r>
                <w:rPr>
                  <w:rFonts w:ascii="Arial" w:cs="Arial" w:eastAsia="Arial" w:hAnsi="Arial"/>
                  <w:sz w:val="13"/>
                  <w:szCs w:val="13"/>
                  <w:color w:val="0000FF"/>
                  <w:w w:val="97"/>
                </w:rPr>
                <w:t>Custodial Transfer and Purchase Agreement, between Conduent Business Services, LLC and</w:t>
              </w:r>
            </w:hyperlink>
          </w:p>
        </w:tc>
        <w:tc>
          <w:tcPr>
            <w:tcW w:w="6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spacing w:after="0" w:line="127" w:lineRule="exact"/>
              <w:rPr>
                <w:sz w:val="20"/>
                <w:szCs w:val="20"/>
                <w:color w:val="auto"/>
              </w:rPr>
            </w:pPr>
            <w:r>
              <w:rPr>
                <w:rFonts w:ascii="Arial" w:cs="Arial" w:eastAsia="Arial" w:hAnsi="Arial"/>
                <w:sz w:val="13"/>
                <w:szCs w:val="13"/>
                <w:color w:val="auto"/>
              </w:rPr>
              <w:t>8-K</w:t>
            </w:r>
          </w:p>
        </w:tc>
        <w:tc>
          <w:tcPr>
            <w:tcW w:w="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0" w:type="dxa"/>
            <w:vAlign w:val="bottom"/>
            <w:tcBorders>
              <w:top w:val="single" w:sz="8" w:color="auto"/>
            </w:tcBorders>
            <w:shd w:val="clear" w:color="auto" w:fill="CCEEFF"/>
          </w:tcPr>
          <w:p>
            <w:pPr>
              <w:spacing w:after="0" w:line="127" w:lineRule="exact"/>
              <w:rPr>
                <w:sz w:val="20"/>
                <w:szCs w:val="20"/>
                <w:color w:val="auto"/>
              </w:rPr>
            </w:pPr>
            <w:r>
              <w:rPr>
                <w:rFonts w:ascii="Arial" w:cs="Arial" w:eastAsia="Arial" w:hAnsi="Arial"/>
                <w:sz w:val="13"/>
                <w:szCs w:val="13"/>
                <w:color w:val="auto"/>
              </w:rPr>
              <w:t>2.1</w:t>
            </w:r>
          </w:p>
        </w:tc>
        <w:tc>
          <w:tcPr>
            <w:tcW w:w="8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spacing w:after="0" w:line="127" w:lineRule="exact"/>
              <w:rPr>
                <w:sz w:val="20"/>
                <w:szCs w:val="20"/>
                <w:color w:val="auto"/>
              </w:rPr>
            </w:pPr>
            <w:r>
              <w:rPr>
                <w:rFonts w:ascii="Arial" w:cs="Arial" w:eastAsia="Arial" w:hAnsi="Arial"/>
                <w:sz w:val="13"/>
                <w:szCs w:val="13"/>
                <w:color w:val="auto"/>
              </w:rPr>
              <w:t>9/19/2023</w:t>
            </w:r>
          </w:p>
        </w:tc>
      </w:tr>
      <w:tr>
        <w:trPr>
          <w:trHeight w:val="116"/>
        </w:trPr>
        <w:tc>
          <w:tcPr>
            <w:tcW w:w="11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2860" w:type="dxa"/>
            <w:vAlign w:val="bottom"/>
            <w:tcBorders>
              <w:top w:val="single" w:sz="8" w:color="0000FF"/>
              <w:bottom w:val="single" w:sz="8" w:color="0000FF"/>
            </w:tcBorders>
            <w:gridSpan w:val="8"/>
            <w:shd w:val="clear" w:color="auto" w:fill="CCEEFF"/>
          </w:tcPr>
          <w:p>
            <w:pPr>
              <w:spacing w:after="0" w:line="105" w:lineRule="exact"/>
              <w:rPr>
                <w:rFonts w:ascii="Arial" w:cs="Arial" w:eastAsia="Arial" w:hAnsi="Arial"/>
                <w:sz w:val="11"/>
                <w:szCs w:val="11"/>
                <w:color w:val="0000FF"/>
              </w:rPr>
            </w:pPr>
            <w:hyperlink r:id="rId117">
              <w:r>
                <w:rPr>
                  <w:rFonts w:ascii="Arial" w:cs="Arial" w:eastAsia="Arial" w:hAnsi="Arial"/>
                  <w:sz w:val="11"/>
                  <w:szCs w:val="11"/>
                  <w:color w:val="0000FF"/>
                </w:rPr>
                <w:t>HealthEquity, Inc., dated as of September 18, 2023.</w:t>
              </w:r>
            </w:hyperlink>
          </w:p>
        </w:tc>
        <w:tc>
          <w:tcPr>
            <w:tcW w:w="2340" w:type="dxa"/>
            <w:vAlign w:val="bottom"/>
            <w:tcBorders>
              <w:top w:val="single" w:sz="8" w:color="0000FF"/>
              <w:bottom w:val="single" w:sz="8" w:color="CCEEFF"/>
            </w:tcBorders>
            <w:gridSpan w:val="12"/>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8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08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2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240" w:type="dxa"/>
            <w:vAlign w:val="bottom"/>
            <w:tcBorders>
              <w:top w:val="single" w:sz="8" w:color="CCEEFF"/>
              <w:bottom w:val="single" w:sz="8" w:color="CCEEFF"/>
            </w:tcBorders>
            <w:shd w:val="clear" w:color="auto" w:fill="CCEEFF"/>
          </w:tcPr>
          <w:p>
            <w:pPr>
              <w:spacing w:after="0"/>
              <w:rPr>
                <w:sz w:val="10"/>
                <w:szCs w:val="10"/>
                <w:color w:val="auto"/>
              </w:rPr>
            </w:pPr>
          </w:p>
        </w:tc>
      </w:tr>
      <w:tr>
        <w:trPr>
          <w:trHeight w:val="135"/>
        </w:trPr>
        <w:tc>
          <w:tcPr>
            <w:tcW w:w="1160" w:type="dxa"/>
            <w:vAlign w:val="bottom"/>
          </w:tcPr>
          <w:p>
            <w:pPr>
              <w:ind w:left="20"/>
              <w:spacing w:after="0" w:line="136" w:lineRule="exact"/>
              <w:rPr>
                <w:sz w:val="20"/>
                <w:szCs w:val="20"/>
                <w:color w:val="auto"/>
              </w:rPr>
            </w:pPr>
            <w:r>
              <w:rPr>
                <w:rFonts w:ascii="Arial" w:cs="Arial" w:eastAsia="Arial" w:hAnsi="Arial"/>
                <w:sz w:val="13"/>
                <w:szCs w:val="13"/>
                <w:color w:val="auto"/>
              </w:rPr>
              <w:t>3.1</w:t>
            </w:r>
          </w:p>
        </w:tc>
        <w:tc>
          <w:tcPr>
            <w:tcW w:w="100" w:type="dxa"/>
            <w:vAlign w:val="bottom"/>
          </w:tcPr>
          <w:p>
            <w:pPr>
              <w:spacing w:after="0"/>
              <w:rPr>
                <w:sz w:val="11"/>
                <w:szCs w:val="11"/>
                <w:color w:val="auto"/>
              </w:rPr>
            </w:pPr>
          </w:p>
        </w:tc>
        <w:tc>
          <w:tcPr>
            <w:tcW w:w="5340" w:type="dxa"/>
            <w:vAlign w:val="bottom"/>
            <w:gridSpan w:val="25"/>
          </w:tcPr>
          <w:p>
            <w:pPr>
              <w:spacing w:after="0" w:line="136" w:lineRule="exact"/>
              <w:rPr>
                <w:rFonts w:ascii="Arial" w:cs="Arial" w:eastAsia="Arial" w:hAnsi="Arial"/>
                <w:sz w:val="13"/>
                <w:szCs w:val="13"/>
                <w:color w:val="0000FF"/>
              </w:rPr>
            </w:pPr>
            <w:hyperlink r:id="rId118">
              <w:r>
                <w:rPr>
                  <w:rFonts w:ascii="Arial" w:cs="Arial" w:eastAsia="Arial" w:hAnsi="Arial"/>
                  <w:sz w:val="13"/>
                  <w:szCs w:val="13"/>
                  <w:color w:val="0000FF"/>
                </w:rPr>
                <w:t>Restated Certificate of Incorporation of Registrant filed with the Department of the State of</w:t>
              </w:r>
            </w:hyperlink>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line="136" w:lineRule="exact"/>
              <w:rPr>
                <w:sz w:val="20"/>
                <w:szCs w:val="20"/>
                <w:color w:val="auto"/>
              </w:rPr>
            </w:pPr>
            <w:r>
              <w:rPr>
                <w:rFonts w:ascii="Arial" w:cs="Arial" w:eastAsia="Arial" w:hAnsi="Arial"/>
                <w:sz w:val="13"/>
                <w:szCs w:val="13"/>
                <w:color w:val="auto"/>
              </w:rPr>
              <w:t>8-K</w:t>
            </w:r>
          </w:p>
        </w:tc>
        <w:tc>
          <w:tcPr>
            <w:tcW w:w="1340" w:type="dxa"/>
            <w:vAlign w:val="bottom"/>
            <w:gridSpan w:val="3"/>
          </w:tcPr>
          <w:p>
            <w:pPr>
              <w:ind w:left="140"/>
              <w:spacing w:after="0" w:line="136" w:lineRule="exact"/>
              <w:rPr>
                <w:sz w:val="20"/>
                <w:szCs w:val="20"/>
                <w:color w:val="auto"/>
              </w:rPr>
            </w:pPr>
            <w:r>
              <w:rPr>
                <w:rFonts w:ascii="Arial" w:cs="Arial" w:eastAsia="Arial" w:hAnsi="Arial"/>
                <w:sz w:val="13"/>
                <w:szCs w:val="13"/>
                <w:color w:val="auto"/>
              </w:rPr>
              <w:t>3.1</w:t>
            </w:r>
          </w:p>
        </w:tc>
        <w:tc>
          <w:tcPr>
            <w:tcW w:w="80" w:type="dxa"/>
            <w:vAlign w:val="bottom"/>
          </w:tcPr>
          <w:p>
            <w:pPr>
              <w:spacing w:after="0"/>
              <w:rPr>
                <w:sz w:val="11"/>
                <w:szCs w:val="11"/>
                <w:color w:val="auto"/>
              </w:rPr>
            </w:pPr>
          </w:p>
        </w:tc>
        <w:tc>
          <w:tcPr>
            <w:tcW w:w="1240" w:type="dxa"/>
            <w:vAlign w:val="bottom"/>
          </w:tcPr>
          <w:p>
            <w:pPr>
              <w:spacing w:after="0" w:line="136" w:lineRule="exact"/>
              <w:rPr>
                <w:sz w:val="20"/>
                <w:szCs w:val="20"/>
                <w:color w:val="auto"/>
              </w:rPr>
            </w:pPr>
            <w:r>
              <w:rPr>
                <w:rFonts w:ascii="Arial" w:cs="Arial" w:eastAsia="Arial" w:hAnsi="Arial"/>
                <w:sz w:val="13"/>
                <w:szCs w:val="13"/>
                <w:color w:val="auto"/>
              </w:rPr>
              <w:t>12/23/2016</w:t>
            </w:r>
          </w:p>
        </w:tc>
      </w:tr>
      <w:tr>
        <w:trPr>
          <w:trHeight w:val="105"/>
        </w:trPr>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60" w:type="dxa"/>
            <w:vAlign w:val="bottom"/>
            <w:tcBorders>
              <w:top w:val="single" w:sz="8" w:color="0000FF"/>
            </w:tcBorders>
            <w:gridSpan w:val="16"/>
          </w:tcPr>
          <w:p>
            <w:pPr>
              <w:spacing w:after="0" w:line="105" w:lineRule="exact"/>
              <w:rPr>
                <w:rFonts w:ascii="Arial" w:cs="Arial" w:eastAsia="Arial" w:hAnsi="Arial"/>
                <w:sz w:val="11"/>
                <w:szCs w:val="11"/>
                <w:color w:val="0000FF"/>
              </w:rPr>
            </w:pPr>
            <w:hyperlink r:id="rId118">
              <w:r>
                <w:rPr>
                  <w:rFonts w:ascii="Arial" w:cs="Arial" w:eastAsia="Arial" w:hAnsi="Arial"/>
                  <w:sz w:val="11"/>
                  <w:szCs w:val="11"/>
                  <w:color w:val="0000FF"/>
                </w:rPr>
                <w:t>New York on December 31, 2016.</w:t>
              </w:r>
            </w:hyperlink>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6"/>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41"/>
        </w:trPr>
        <w:tc>
          <w:tcPr>
            <w:tcW w:w="116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3.2</w:t>
            </w:r>
          </w:p>
        </w:tc>
        <w:tc>
          <w:tcPr>
            <w:tcW w:w="100" w:type="dxa"/>
            <w:vAlign w:val="bottom"/>
            <w:tcBorders>
              <w:right w:val="single" w:sz="8" w:color="CCEEFF"/>
            </w:tcBorders>
            <w:shd w:val="clear" w:color="auto" w:fill="CCEEFF"/>
          </w:tcPr>
          <w:p>
            <w:pPr>
              <w:spacing w:after="0"/>
              <w:rPr>
                <w:sz w:val="12"/>
                <w:szCs w:val="12"/>
                <w:color w:val="auto"/>
              </w:rPr>
            </w:pPr>
          </w:p>
        </w:tc>
        <w:tc>
          <w:tcPr>
            <w:tcW w:w="5340" w:type="dxa"/>
            <w:vAlign w:val="bottom"/>
            <w:gridSpan w:val="25"/>
            <w:shd w:val="clear" w:color="auto" w:fill="CCEEFF"/>
          </w:tcPr>
          <w:p>
            <w:pPr>
              <w:spacing w:after="0" w:line="141" w:lineRule="exact"/>
              <w:rPr>
                <w:rFonts w:ascii="Arial" w:cs="Arial" w:eastAsia="Arial" w:hAnsi="Arial"/>
                <w:sz w:val="13"/>
                <w:szCs w:val="13"/>
                <w:color w:val="0000FF"/>
              </w:rPr>
            </w:pPr>
            <w:hyperlink r:id="rId119">
              <w:r>
                <w:rPr>
                  <w:rFonts w:ascii="Arial" w:cs="Arial" w:eastAsia="Arial" w:hAnsi="Arial"/>
                  <w:sz w:val="13"/>
                  <w:szCs w:val="13"/>
                  <w:color w:val="0000FF"/>
                </w:rPr>
                <w:t>Amended and Restated By-Laws of Registrant as amended through October 31, 2023.</w:t>
              </w:r>
            </w:hyperlink>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10-Q</w:t>
            </w:r>
          </w:p>
        </w:tc>
        <w:tc>
          <w:tcPr>
            <w:tcW w:w="1340" w:type="dxa"/>
            <w:vAlign w:val="bottom"/>
            <w:gridSpan w:val="3"/>
            <w:shd w:val="clear" w:color="auto" w:fill="CCEEFF"/>
          </w:tcPr>
          <w:p>
            <w:pPr>
              <w:ind w:left="140"/>
              <w:spacing w:after="0" w:line="141" w:lineRule="exact"/>
              <w:rPr>
                <w:sz w:val="20"/>
                <w:szCs w:val="20"/>
                <w:color w:val="auto"/>
              </w:rPr>
            </w:pPr>
            <w:r>
              <w:rPr>
                <w:rFonts w:ascii="Arial" w:cs="Arial" w:eastAsia="Arial" w:hAnsi="Arial"/>
                <w:sz w:val="13"/>
                <w:szCs w:val="13"/>
                <w:color w:val="auto"/>
              </w:rPr>
              <w:t>3.2</w:t>
            </w: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11/1/2023</w:t>
            </w:r>
          </w:p>
        </w:tc>
      </w:tr>
      <w:tr>
        <w:trPr>
          <w:trHeight w:val="31"/>
        </w:trPr>
        <w:tc>
          <w:tcPr>
            <w:tcW w:w="11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460" w:type="dxa"/>
            <w:vAlign w:val="bottom"/>
            <w:tcBorders>
              <w:right w:val="single" w:sz="8" w:color="CCEEFF"/>
            </w:tcBorders>
            <w:shd w:val="clear" w:color="auto" w:fill="0000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r>
        <w:trPr>
          <w:trHeight w:val="135"/>
        </w:trPr>
        <w:tc>
          <w:tcPr>
            <w:tcW w:w="1160" w:type="dxa"/>
            <w:vAlign w:val="bottom"/>
          </w:tcPr>
          <w:p>
            <w:pPr>
              <w:ind w:left="20"/>
              <w:spacing w:after="0" w:line="136" w:lineRule="exact"/>
              <w:rPr>
                <w:sz w:val="20"/>
                <w:szCs w:val="20"/>
                <w:color w:val="auto"/>
              </w:rPr>
            </w:pPr>
            <w:r>
              <w:rPr>
                <w:rFonts w:ascii="Arial" w:cs="Arial" w:eastAsia="Arial" w:hAnsi="Arial"/>
                <w:sz w:val="13"/>
                <w:szCs w:val="13"/>
                <w:color w:val="auto"/>
              </w:rPr>
              <w:t>4.1</w:t>
            </w:r>
          </w:p>
        </w:tc>
        <w:tc>
          <w:tcPr>
            <w:tcW w:w="100" w:type="dxa"/>
            <w:vAlign w:val="bottom"/>
          </w:tcPr>
          <w:p>
            <w:pPr>
              <w:spacing w:after="0"/>
              <w:rPr>
                <w:sz w:val="11"/>
                <w:szCs w:val="11"/>
                <w:color w:val="auto"/>
              </w:rPr>
            </w:pPr>
          </w:p>
        </w:tc>
        <w:tc>
          <w:tcPr>
            <w:tcW w:w="5340" w:type="dxa"/>
            <w:vAlign w:val="bottom"/>
            <w:gridSpan w:val="25"/>
          </w:tcPr>
          <w:p>
            <w:pPr>
              <w:spacing w:after="0" w:line="136" w:lineRule="exact"/>
              <w:rPr>
                <w:rFonts w:ascii="Arial" w:cs="Arial" w:eastAsia="Arial" w:hAnsi="Arial"/>
                <w:sz w:val="13"/>
                <w:szCs w:val="13"/>
                <w:color w:val="0000FF"/>
                <w:w w:val="99"/>
              </w:rPr>
            </w:pPr>
            <w:hyperlink r:id="rId120">
              <w:r>
                <w:rPr>
                  <w:rFonts w:ascii="Arial" w:cs="Arial" w:eastAsia="Arial" w:hAnsi="Arial"/>
                  <w:sz w:val="13"/>
                  <w:szCs w:val="13"/>
                  <w:color w:val="0000FF"/>
                  <w:w w:val="99"/>
                </w:rPr>
                <w:t>Indenture, dated as of October 15, 2021, among Conduent Incorporated, Conduent Business</w:t>
              </w:r>
            </w:hyperlink>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line="136" w:lineRule="exact"/>
              <w:rPr>
                <w:sz w:val="20"/>
                <w:szCs w:val="20"/>
                <w:color w:val="auto"/>
              </w:rPr>
            </w:pPr>
            <w:r>
              <w:rPr>
                <w:rFonts w:ascii="Arial" w:cs="Arial" w:eastAsia="Arial" w:hAnsi="Arial"/>
                <w:sz w:val="13"/>
                <w:szCs w:val="13"/>
                <w:color w:val="auto"/>
              </w:rPr>
              <w:t>10-Q</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spacing w:after="0" w:line="136" w:lineRule="exact"/>
              <w:rPr>
                <w:sz w:val="20"/>
                <w:szCs w:val="20"/>
                <w:color w:val="auto"/>
              </w:rPr>
            </w:pPr>
            <w:r>
              <w:rPr>
                <w:rFonts w:ascii="Arial" w:cs="Arial" w:eastAsia="Arial" w:hAnsi="Arial"/>
                <w:sz w:val="13"/>
                <w:szCs w:val="13"/>
                <w:color w:val="auto"/>
              </w:rPr>
              <w:t>4.4(g)</w:t>
            </w:r>
          </w:p>
        </w:tc>
        <w:tc>
          <w:tcPr>
            <w:tcW w:w="1240" w:type="dxa"/>
            <w:vAlign w:val="bottom"/>
          </w:tcPr>
          <w:p>
            <w:pPr>
              <w:spacing w:after="0" w:line="136" w:lineRule="exact"/>
              <w:rPr>
                <w:sz w:val="20"/>
                <w:szCs w:val="20"/>
                <w:color w:val="auto"/>
              </w:rPr>
            </w:pPr>
            <w:r>
              <w:rPr>
                <w:rFonts w:ascii="Arial" w:cs="Arial" w:eastAsia="Arial" w:hAnsi="Arial"/>
                <w:sz w:val="13"/>
                <w:szCs w:val="13"/>
                <w:color w:val="auto"/>
              </w:rPr>
              <w:t>11/4/2021</w:t>
            </w:r>
          </w:p>
        </w:tc>
      </w:tr>
      <w:tr>
        <w:trPr>
          <w:trHeight w:val="105"/>
        </w:trPr>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140" w:type="dxa"/>
            <w:vAlign w:val="bottom"/>
            <w:tcBorders>
              <w:top w:val="single" w:sz="8" w:color="0000FF"/>
            </w:tcBorders>
            <w:gridSpan w:val="17"/>
          </w:tcPr>
          <w:p>
            <w:pPr>
              <w:spacing w:after="0" w:line="105" w:lineRule="exact"/>
              <w:rPr>
                <w:rFonts w:ascii="Arial" w:cs="Arial" w:eastAsia="Arial" w:hAnsi="Arial"/>
                <w:sz w:val="11"/>
                <w:szCs w:val="11"/>
                <w:color w:val="0000FF"/>
              </w:rPr>
            </w:pPr>
            <w:hyperlink r:id="rId120">
              <w:r>
                <w:rPr>
                  <w:rFonts w:ascii="Arial" w:cs="Arial" w:eastAsia="Arial" w:hAnsi="Arial"/>
                  <w:sz w:val="11"/>
                  <w:szCs w:val="11"/>
                  <w:color w:val="0000FF"/>
                </w:rPr>
                <w:t>Services, LLC, Conduent State &amp; Local Solutions, Inc., Affiliated Business Services</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105"/>
        </w:trPr>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580" w:type="dxa"/>
            <w:vAlign w:val="bottom"/>
            <w:tcBorders>
              <w:top w:val="single" w:sz="8" w:color="0000FF"/>
            </w:tcBorders>
            <w:gridSpan w:val="14"/>
          </w:tcPr>
          <w:p>
            <w:pPr>
              <w:spacing w:after="0" w:line="105" w:lineRule="exact"/>
              <w:rPr>
                <w:rFonts w:ascii="Arial" w:cs="Arial" w:eastAsia="Arial" w:hAnsi="Arial"/>
                <w:sz w:val="11"/>
                <w:szCs w:val="11"/>
                <w:color w:val="0000FF"/>
              </w:rPr>
            </w:pPr>
            <w:hyperlink r:id="rId120">
              <w:r>
                <w:rPr>
                  <w:rFonts w:ascii="Arial" w:cs="Arial" w:eastAsia="Arial" w:hAnsi="Arial"/>
                  <w:sz w:val="11"/>
                  <w:szCs w:val="11"/>
                  <w:color w:val="0000FF"/>
                </w:rPr>
                <w:t>International, B.V., the Guarantors party thereto from time to time, the Lenders and</w:t>
              </w:r>
            </w:hyperlink>
          </w:p>
        </w:tc>
        <w:tc>
          <w:tcPr>
            <w:tcW w:w="20" w:type="dxa"/>
            <w:vAlign w:val="bottom"/>
          </w:tcPr>
          <w:p>
            <w:pPr>
              <w:spacing w:after="0"/>
              <w:rPr>
                <w:sz w:val="9"/>
                <w:szCs w:val="9"/>
                <w:color w:val="auto"/>
              </w:rPr>
            </w:pPr>
          </w:p>
        </w:tc>
        <w:tc>
          <w:tcPr>
            <w:tcW w:w="740" w:type="dxa"/>
            <w:vAlign w:val="bottom"/>
            <w:gridSpan w:val="10"/>
          </w:tcPr>
          <w:p>
            <w:pPr>
              <w:spacing w:after="0" w:line="105" w:lineRule="exact"/>
              <w:rPr>
                <w:rFonts w:ascii="Arial" w:cs="Arial" w:eastAsia="Arial" w:hAnsi="Arial"/>
                <w:sz w:val="11"/>
                <w:szCs w:val="11"/>
                <w:color w:val="0000FF"/>
              </w:rPr>
            </w:pPr>
            <w:hyperlink r:id="rId120">
              <w:r>
                <w:rPr>
                  <w:rFonts w:ascii="Arial" w:cs="Arial" w:eastAsia="Arial" w:hAnsi="Arial"/>
                  <w:sz w:val="11"/>
                  <w:szCs w:val="11"/>
                  <w:color w:val="0000FF"/>
                </w:rPr>
                <w:t>L/C Issuers</w:t>
              </w:r>
            </w:hyperlink>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111"/>
        </w:trPr>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0" w:type="dxa"/>
            <w:vAlign w:val="bottom"/>
            <w:tcBorders>
              <w:top w:val="single" w:sz="8" w:color="0000FF"/>
              <w:bottom w:val="single" w:sz="8" w:color="0000FF"/>
            </w:tcBorders>
            <w:gridSpan w:val="15"/>
          </w:tcPr>
          <w:p>
            <w:pPr>
              <w:spacing w:after="0" w:line="105" w:lineRule="exact"/>
              <w:rPr>
                <w:rFonts w:ascii="Arial" w:cs="Arial" w:eastAsia="Arial" w:hAnsi="Arial"/>
                <w:sz w:val="11"/>
                <w:szCs w:val="11"/>
                <w:color w:val="0000FF"/>
              </w:rPr>
            </w:pPr>
            <w:hyperlink r:id="rId120">
              <w:r>
                <w:rPr>
                  <w:rFonts w:ascii="Arial" w:cs="Arial" w:eastAsia="Arial" w:hAnsi="Arial"/>
                  <w:sz w:val="11"/>
                  <w:szCs w:val="11"/>
                  <w:color w:val="0000FF"/>
                </w:rPr>
                <w:t>party thereto from time to time and Bank of America, N.A., as Administrative Agent.</w:t>
              </w:r>
            </w:hyperlink>
          </w:p>
        </w:tc>
        <w:tc>
          <w:tcPr>
            <w:tcW w:w="640" w:type="dxa"/>
            <w:vAlign w:val="bottom"/>
            <w:tcBorders>
              <w:top w:val="single" w:sz="8" w:color="0000FF"/>
            </w:tcBorders>
            <w:gridSpan w:val="7"/>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173"/>
        </w:trPr>
        <w:tc>
          <w:tcPr>
            <w:tcW w:w="1160" w:type="dxa"/>
            <w:vAlign w:val="bottom"/>
            <w:tcBorders>
              <w:bottom w:val="single" w:sz="8" w:color="CCEEFF"/>
            </w:tcBorders>
            <w:shd w:val="clear" w:color="auto" w:fill="CCEEFF"/>
          </w:tcPr>
          <w:p>
            <w:pPr>
              <w:ind w:left="20"/>
              <w:spacing w:after="0" w:line="141" w:lineRule="exact"/>
              <w:rPr>
                <w:sz w:val="20"/>
                <w:szCs w:val="20"/>
                <w:color w:val="auto"/>
              </w:rPr>
            </w:pPr>
            <w:r>
              <w:rPr>
                <w:rFonts w:ascii="Arial" w:cs="Arial" w:eastAsia="Arial" w:hAnsi="Arial"/>
                <w:sz w:val="13"/>
                <w:szCs w:val="13"/>
                <w:color w:val="auto"/>
              </w:rPr>
              <w:t>4.2</w:t>
            </w:r>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1380" w:type="dxa"/>
            <w:vAlign w:val="bottom"/>
            <w:tcBorders>
              <w:bottom w:val="single" w:sz="8" w:color="0000FF"/>
            </w:tcBorders>
            <w:gridSpan w:val="5"/>
            <w:shd w:val="clear" w:color="auto" w:fill="CCEEFF"/>
          </w:tcPr>
          <w:p>
            <w:pPr>
              <w:spacing w:after="0" w:line="141" w:lineRule="exact"/>
              <w:rPr>
                <w:rFonts w:ascii="Arial" w:cs="Arial" w:eastAsia="Arial" w:hAnsi="Arial"/>
                <w:sz w:val="13"/>
                <w:szCs w:val="13"/>
                <w:color w:val="0000FF"/>
                <w:w w:val="94"/>
              </w:rPr>
            </w:pPr>
            <w:hyperlink r:id="rId121">
              <w:r>
                <w:rPr>
                  <w:rFonts w:ascii="Arial" w:cs="Arial" w:eastAsia="Arial" w:hAnsi="Arial"/>
                  <w:sz w:val="13"/>
                  <w:szCs w:val="13"/>
                  <w:color w:val="0000FF"/>
                  <w:w w:val="94"/>
                </w:rPr>
                <w:t>Description of Securities.</w:t>
              </w:r>
            </w:hyperlink>
          </w:p>
        </w:tc>
        <w:tc>
          <w:tcPr>
            <w:tcW w:w="3960" w:type="dxa"/>
            <w:vAlign w:val="bottom"/>
            <w:tcBorders>
              <w:bottom w:val="single" w:sz="8" w:color="CCEEFF"/>
            </w:tcBorders>
            <w:gridSpan w:val="20"/>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10-K</w:t>
            </w:r>
          </w:p>
        </w:tc>
        <w:tc>
          <w:tcPr>
            <w:tcW w:w="1340" w:type="dxa"/>
            <w:vAlign w:val="bottom"/>
            <w:tcBorders>
              <w:bottom w:val="single" w:sz="8" w:color="CCEEFF"/>
            </w:tcBorders>
            <w:gridSpan w:val="3"/>
            <w:shd w:val="clear" w:color="auto" w:fill="CCEEFF"/>
          </w:tcPr>
          <w:p>
            <w:pPr>
              <w:ind w:left="140"/>
              <w:spacing w:after="0" w:line="141" w:lineRule="exact"/>
              <w:rPr>
                <w:sz w:val="20"/>
                <w:szCs w:val="20"/>
                <w:color w:val="auto"/>
              </w:rPr>
            </w:pPr>
            <w:r>
              <w:rPr>
                <w:rFonts w:ascii="Arial" w:cs="Arial" w:eastAsia="Arial" w:hAnsi="Arial"/>
                <w:sz w:val="13"/>
                <w:szCs w:val="13"/>
                <w:color w:val="auto"/>
              </w:rPr>
              <w:t>4.2</w:t>
            </w: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2/26/2020</w:t>
            </w:r>
          </w:p>
        </w:tc>
      </w:tr>
      <w:tr>
        <w:trPr>
          <w:trHeight w:val="135"/>
        </w:trPr>
        <w:tc>
          <w:tcPr>
            <w:tcW w:w="1160" w:type="dxa"/>
            <w:vAlign w:val="bottom"/>
          </w:tcPr>
          <w:p>
            <w:pPr>
              <w:ind w:left="20"/>
              <w:spacing w:after="0" w:line="136" w:lineRule="exact"/>
              <w:rPr>
                <w:sz w:val="20"/>
                <w:szCs w:val="20"/>
                <w:color w:val="auto"/>
              </w:rPr>
            </w:pPr>
            <w:r>
              <w:rPr>
                <w:rFonts w:ascii="Arial" w:cs="Arial" w:eastAsia="Arial" w:hAnsi="Arial"/>
                <w:sz w:val="13"/>
                <w:szCs w:val="13"/>
                <w:color w:val="auto"/>
              </w:rPr>
              <w:t>10.1</w:t>
            </w:r>
          </w:p>
        </w:tc>
        <w:tc>
          <w:tcPr>
            <w:tcW w:w="100" w:type="dxa"/>
            <w:vAlign w:val="bottom"/>
          </w:tcPr>
          <w:p>
            <w:pPr>
              <w:spacing w:after="0"/>
              <w:rPr>
                <w:sz w:val="11"/>
                <w:szCs w:val="11"/>
                <w:color w:val="auto"/>
              </w:rPr>
            </w:pPr>
          </w:p>
        </w:tc>
        <w:tc>
          <w:tcPr>
            <w:tcW w:w="5060" w:type="dxa"/>
            <w:vAlign w:val="bottom"/>
            <w:tcBorders>
              <w:bottom w:val="single" w:sz="8" w:color="0000FF"/>
            </w:tcBorders>
            <w:gridSpan w:val="16"/>
          </w:tcPr>
          <w:p>
            <w:pPr>
              <w:spacing w:after="0" w:line="136" w:lineRule="exact"/>
              <w:rPr>
                <w:rFonts w:ascii="Arial" w:cs="Arial" w:eastAsia="Arial" w:hAnsi="Arial"/>
                <w:sz w:val="13"/>
                <w:szCs w:val="13"/>
                <w:color w:val="0000FF"/>
                <w:w w:val="95"/>
              </w:rPr>
            </w:pPr>
            <w:hyperlink r:id="rId122">
              <w:r>
                <w:rPr>
                  <w:rFonts w:ascii="Arial" w:cs="Arial" w:eastAsia="Arial" w:hAnsi="Arial"/>
                  <w:sz w:val="13"/>
                  <w:szCs w:val="13"/>
                  <w:color w:val="0000FF"/>
                  <w:w w:val="95"/>
                </w:rPr>
                <w:t>Credit Agreement, dated as of October 15, 2021, among Conduent Incorporated, Conduent</w:t>
              </w:r>
            </w:hyperlink>
          </w:p>
        </w:tc>
        <w:tc>
          <w:tcPr>
            <w:tcW w:w="280" w:type="dxa"/>
            <w:vAlign w:val="bottom"/>
            <w:gridSpan w:val="9"/>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line="136" w:lineRule="exact"/>
              <w:rPr>
                <w:sz w:val="20"/>
                <w:szCs w:val="20"/>
                <w:color w:val="auto"/>
              </w:rPr>
            </w:pPr>
            <w:r>
              <w:rPr>
                <w:rFonts w:ascii="Arial" w:cs="Arial" w:eastAsia="Arial" w:hAnsi="Arial"/>
                <w:sz w:val="13"/>
                <w:szCs w:val="13"/>
                <w:color w:val="auto"/>
              </w:rPr>
              <w:t>10-Q</w:t>
            </w:r>
          </w:p>
        </w:tc>
        <w:tc>
          <w:tcPr>
            <w:tcW w:w="1340" w:type="dxa"/>
            <w:vAlign w:val="bottom"/>
            <w:gridSpan w:val="3"/>
          </w:tcPr>
          <w:p>
            <w:pPr>
              <w:ind w:left="140"/>
              <w:spacing w:after="0" w:line="136" w:lineRule="exact"/>
              <w:rPr>
                <w:sz w:val="20"/>
                <w:szCs w:val="20"/>
                <w:color w:val="auto"/>
              </w:rPr>
            </w:pPr>
            <w:r>
              <w:rPr>
                <w:rFonts w:ascii="Arial" w:cs="Arial" w:eastAsia="Arial" w:hAnsi="Arial"/>
                <w:sz w:val="13"/>
                <w:szCs w:val="13"/>
                <w:color w:val="auto"/>
              </w:rPr>
              <w:t>10.1</w:t>
            </w:r>
          </w:p>
        </w:tc>
        <w:tc>
          <w:tcPr>
            <w:tcW w:w="80" w:type="dxa"/>
            <w:vAlign w:val="bottom"/>
          </w:tcPr>
          <w:p>
            <w:pPr>
              <w:spacing w:after="0"/>
              <w:rPr>
                <w:sz w:val="11"/>
                <w:szCs w:val="11"/>
                <w:color w:val="auto"/>
              </w:rPr>
            </w:pPr>
          </w:p>
        </w:tc>
        <w:tc>
          <w:tcPr>
            <w:tcW w:w="1240" w:type="dxa"/>
            <w:vAlign w:val="bottom"/>
          </w:tcPr>
          <w:p>
            <w:pPr>
              <w:spacing w:after="0" w:line="136" w:lineRule="exact"/>
              <w:rPr>
                <w:sz w:val="20"/>
                <w:szCs w:val="20"/>
                <w:color w:val="auto"/>
              </w:rPr>
            </w:pPr>
            <w:r>
              <w:rPr>
                <w:rFonts w:ascii="Arial" w:cs="Arial" w:eastAsia="Arial" w:hAnsi="Arial"/>
                <w:sz w:val="13"/>
                <w:szCs w:val="13"/>
                <w:color w:val="auto"/>
              </w:rPr>
              <w:t>11/14/2021</w:t>
            </w:r>
          </w:p>
        </w:tc>
      </w:tr>
      <w:tr>
        <w:trPr>
          <w:trHeight w:val="105"/>
        </w:trPr>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340" w:type="dxa"/>
            <w:vAlign w:val="bottom"/>
            <w:gridSpan w:val="25"/>
          </w:tcPr>
          <w:p>
            <w:pPr>
              <w:spacing w:after="0" w:line="105" w:lineRule="exact"/>
              <w:rPr>
                <w:rFonts w:ascii="Arial" w:cs="Arial" w:eastAsia="Arial" w:hAnsi="Arial"/>
                <w:sz w:val="11"/>
                <w:szCs w:val="11"/>
                <w:color w:val="0000FF"/>
              </w:rPr>
            </w:pPr>
            <w:hyperlink r:id="rId122">
              <w:r>
                <w:rPr>
                  <w:rFonts w:ascii="Arial" w:cs="Arial" w:eastAsia="Arial" w:hAnsi="Arial"/>
                  <w:sz w:val="11"/>
                  <w:szCs w:val="11"/>
                  <w:color w:val="0000FF"/>
                </w:rPr>
                <w:t>Business Services, LLC, Conduent State &amp; Local Solutions, Inc., Affiliated Computer Services</w:t>
              </w:r>
            </w:hyperlink>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105"/>
        </w:trPr>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180" w:type="dxa"/>
            <w:vAlign w:val="bottom"/>
            <w:tcBorders>
              <w:top w:val="single" w:sz="8" w:color="0000FF"/>
              <w:bottom w:val="single" w:sz="8" w:color="0000FF"/>
            </w:tcBorders>
            <w:gridSpan w:val="19"/>
          </w:tcPr>
          <w:p>
            <w:pPr>
              <w:spacing w:after="0" w:line="105" w:lineRule="exact"/>
              <w:rPr>
                <w:rFonts w:ascii="Arial" w:cs="Arial" w:eastAsia="Arial" w:hAnsi="Arial"/>
                <w:sz w:val="11"/>
                <w:szCs w:val="11"/>
                <w:color w:val="0000FF"/>
              </w:rPr>
            </w:pPr>
            <w:hyperlink r:id="rId122">
              <w:r>
                <w:rPr>
                  <w:rFonts w:ascii="Arial" w:cs="Arial" w:eastAsia="Arial" w:hAnsi="Arial"/>
                  <w:sz w:val="11"/>
                  <w:szCs w:val="11"/>
                  <w:color w:val="0000FF"/>
                </w:rPr>
                <w:t>International B.V., the Guarantors party thereto from time to time, the Lenders and L/C Issuers</w:t>
              </w:r>
            </w:hyperlink>
          </w:p>
        </w:tc>
        <w:tc>
          <w:tcPr>
            <w:tcW w:w="40" w:type="dxa"/>
            <w:vAlign w:val="bottom"/>
            <w:tcBorders>
              <w:bottom w:val="single" w:sz="8" w:color="0000FF"/>
            </w:tcBorders>
            <w:gridSpan w:val="2"/>
          </w:tcPr>
          <w:p>
            <w:pPr>
              <w:spacing w:after="0"/>
              <w:rPr>
                <w:sz w:val="9"/>
                <w:szCs w:val="9"/>
                <w:color w:val="auto"/>
              </w:rPr>
            </w:pPr>
          </w:p>
        </w:tc>
        <w:tc>
          <w:tcPr>
            <w:tcW w:w="40" w:type="dxa"/>
            <w:vAlign w:val="bottom"/>
            <w:gridSpan w:val="2"/>
          </w:tcPr>
          <w:p>
            <w:pPr>
              <w:spacing w:after="0"/>
              <w:rPr>
                <w:sz w:val="9"/>
                <w:szCs w:val="9"/>
                <w:color w:val="auto"/>
              </w:rPr>
            </w:pPr>
          </w:p>
        </w:tc>
        <w:tc>
          <w:tcPr>
            <w:tcW w:w="8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111"/>
        </w:trPr>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0" w:type="dxa"/>
            <w:vAlign w:val="bottom"/>
            <w:tcBorders>
              <w:bottom w:val="single" w:sz="8" w:color="0000FF"/>
            </w:tcBorders>
            <w:gridSpan w:val="15"/>
          </w:tcPr>
          <w:p>
            <w:pPr>
              <w:spacing w:after="0" w:line="105" w:lineRule="exact"/>
              <w:rPr>
                <w:rFonts w:ascii="Arial" w:cs="Arial" w:eastAsia="Arial" w:hAnsi="Arial"/>
                <w:sz w:val="11"/>
                <w:szCs w:val="11"/>
                <w:color w:val="0000FF"/>
              </w:rPr>
            </w:pPr>
            <w:hyperlink r:id="rId122">
              <w:r>
                <w:rPr>
                  <w:rFonts w:ascii="Arial" w:cs="Arial" w:eastAsia="Arial" w:hAnsi="Arial"/>
                  <w:sz w:val="11"/>
                  <w:szCs w:val="11"/>
                  <w:color w:val="0000FF"/>
                </w:rPr>
                <w:t>party thereto from time to time and Bank of America, N.A., as Administrative Agent.</w:t>
              </w:r>
            </w:hyperlink>
          </w:p>
        </w:tc>
        <w:tc>
          <w:tcPr>
            <w:tcW w:w="620" w:type="dxa"/>
            <w:vAlign w:val="bottom"/>
            <w:gridSpan w:val="6"/>
          </w:tcPr>
          <w:p>
            <w:pPr>
              <w:spacing w:after="0"/>
              <w:rPr>
                <w:sz w:val="9"/>
                <w:szCs w:val="9"/>
                <w:color w:val="auto"/>
              </w:rPr>
            </w:pPr>
          </w:p>
        </w:tc>
        <w:tc>
          <w:tcPr>
            <w:tcW w:w="40" w:type="dxa"/>
            <w:vAlign w:val="bottom"/>
            <w:gridSpan w:val="2"/>
          </w:tcPr>
          <w:p>
            <w:pPr>
              <w:spacing w:after="0"/>
              <w:rPr>
                <w:sz w:val="9"/>
                <w:szCs w:val="9"/>
                <w:color w:val="auto"/>
              </w:rPr>
            </w:pPr>
          </w:p>
        </w:tc>
        <w:tc>
          <w:tcPr>
            <w:tcW w:w="8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141"/>
        </w:trPr>
        <w:tc>
          <w:tcPr>
            <w:tcW w:w="1260" w:type="dxa"/>
            <w:vAlign w:val="bottom"/>
            <w:tcBorders>
              <w:right w:val="single" w:sz="8" w:color="CCEEFF"/>
            </w:tcBorders>
            <w:gridSpan w:val="2"/>
            <w:shd w:val="clear" w:color="auto" w:fill="CCEEFF"/>
          </w:tcPr>
          <w:p>
            <w:pPr>
              <w:ind w:left="20"/>
              <w:spacing w:after="0" w:line="141" w:lineRule="exact"/>
              <w:rPr>
                <w:sz w:val="20"/>
                <w:szCs w:val="20"/>
                <w:color w:val="auto"/>
              </w:rPr>
            </w:pPr>
            <w:r>
              <w:rPr>
                <w:rFonts w:ascii="Arial" w:cs="Arial" w:eastAsia="Arial" w:hAnsi="Arial"/>
                <w:sz w:val="13"/>
                <w:szCs w:val="13"/>
                <w:color w:val="auto"/>
              </w:rPr>
              <w:t>10.2(a)</w:t>
            </w:r>
          </w:p>
        </w:tc>
        <w:tc>
          <w:tcPr>
            <w:tcW w:w="5340" w:type="dxa"/>
            <w:vAlign w:val="bottom"/>
            <w:gridSpan w:val="25"/>
            <w:shd w:val="clear" w:color="auto" w:fill="CCEEFF"/>
          </w:tcPr>
          <w:p>
            <w:pPr>
              <w:spacing w:after="0" w:line="141" w:lineRule="exact"/>
              <w:rPr>
                <w:rFonts w:ascii="Arial" w:cs="Arial" w:eastAsia="Arial" w:hAnsi="Arial"/>
                <w:sz w:val="13"/>
                <w:szCs w:val="13"/>
                <w:color w:val="0000FF"/>
                <w:w w:val="99"/>
              </w:rPr>
            </w:pPr>
            <w:hyperlink r:id="rId123">
              <w:r>
                <w:rPr>
                  <w:rFonts w:ascii="Arial" w:cs="Arial" w:eastAsia="Arial" w:hAnsi="Arial"/>
                  <w:sz w:val="13"/>
                  <w:szCs w:val="13"/>
                  <w:color w:val="0000FF"/>
                  <w:w w:val="99"/>
                </w:rPr>
                <w:t>Joinder Agreement to Agreement, dated December 31, 2016, among Conduent Incorporated,</w:t>
              </w:r>
            </w:hyperlink>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8-K</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color w:val="auto"/>
              </w:rPr>
              <w:t>10.6(f)</w:t>
            </w:r>
          </w:p>
        </w:tc>
        <w:tc>
          <w:tcPr>
            <w:tcW w:w="12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1/3/2017</w:t>
            </w:r>
          </w:p>
        </w:tc>
      </w:tr>
      <w:tr>
        <w:trPr>
          <w:trHeight w:val="105"/>
        </w:trPr>
        <w:tc>
          <w:tcPr>
            <w:tcW w:w="11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right w:val="single" w:sz="8" w:color="CCEEFF"/>
            </w:tcBorders>
            <w:shd w:val="clear" w:color="auto" w:fill="CCEEFF"/>
          </w:tcPr>
          <w:p>
            <w:pPr>
              <w:spacing w:after="0"/>
              <w:rPr>
                <w:sz w:val="9"/>
                <w:szCs w:val="9"/>
                <w:color w:val="auto"/>
              </w:rPr>
            </w:pPr>
          </w:p>
        </w:tc>
        <w:tc>
          <w:tcPr>
            <w:tcW w:w="5160" w:type="dxa"/>
            <w:vAlign w:val="bottom"/>
            <w:tcBorders>
              <w:top w:val="single" w:sz="8" w:color="0000FF"/>
            </w:tcBorders>
            <w:gridSpan w:val="18"/>
            <w:shd w:val="clear" w:color="auto" w:fill="CCEEFF"/>
          </w:tcPr>
          <w:p>
            <w:pPr>
              <w:spacing w:after="0" w:line="105" w:lineRule="exact"/>
              <w:rPr>
                <w:rFonts w:ascii="Arial" w:cs="Arial" w:eastAsia="Arial" w:hAnsi="Arial"/>
                <w:sz w:val="11"/>
                <w:szCs w:val="11"/>
                <w:color w:val="0000FF"/>
              </w:rPr>
            </w:pPr>
            <w:hyperlink r:id="rId123">
              <w:r>
                <w:rPr>
                  <w:rFonts w:ascii="Arial" w:cs="Arial" w:eastAsia="Arial" w:hAnsi="Arial"/>
                  <w:sz w:val="11"/>
                  <w:szCs w:val="11"/>
                  <w:color w:val="0000FF"/>
                </w:rPr>
                <w:t>Xerox Corporation, Icahn Partners Master Fund LP, Icahn Partners LP, Icahn Onshore LP,</w:t>
              </w:r>
            </w:hyperlink>
          </w:p>
        </w:tc>
        <w:tc>
          <w:tcPr>
            <w:tcW w:w="100" w:type="dxa"/>
            <w:vAlign w:val="bottom"/>
            <w:tcBorders>
              <w:top w:val="single" w:sz="8" w:color="CCEEFF"/>
            </w:tcBorders>
            <w:gridSpan w:val="5"/>
            <w:shd w:val="clear" w:color="auto" w:fill="CCEEFF"/>
          </w:tcPr>
          <w:p>
            <w:pPr>
              <w:spacing w:after="0"/>
              <w:rPr>
                <w:sz w:val="9"/>
                <w:szCs w:val="9"/>
                <w:color w:val="auto"/>
              </w:rPr>
            </w:pPr>
          </w:p>
        </w:tc>
        <w:tc>
          <w:tcPr>
            <w:tcW w:w="80" w:type="dxa"/>
            <w:vAlign w:val="bottom"/>
            <w:tcBorders>
              <w:top w:val="single" w:sz="8" w:color="CCEEFF"/>
            </w:tcBorders>
            <w:gridSpan w:val="2"/>
            <w:shd w:val="clear" w:color="auto" w:fill="CCEEFF"/>
          </w:tcPr>
          <w:p>
            <w:pPr>
              <w:spacing w:after="0"/>
              <w:rPr>
                <w:sz w:val="9"/>
                <w:szCs w:val="9"/>
                <w:color w:val="auto"/>
              </w:rPr>
            </w:pPr>
          </w:p>
        </w:tc>
        <w:tc>
          <w:tcPr>
            <w:tcW w:w="8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40" w:type="dxa"/>
            <w:vAlign w:val="bottom"/>
            <w:tcBorders>
              <w:top w:val="single" w:sz="8" w:color="CCEEFF"/>
            </w:tcBorders>
            <w:shd w:val="clear" w:color="auto" w:fill="CCEEFF"/>
          </w:tcPr>
          <w:p>
            <w:pPr>
              <w:spacing w:after="0"/>
              <w:rPr>
                <w:sz w:val="9"/>
                <w:szCs w:val="9"/>
                <w:color w:val="auto"/>
              </w:rPr>
            </w:pPr>
          </w:p>
        </w:tc>
      </w:tr>
      <w:tr>
        <w:trPr>
          <w:trHeight w:val="105"/>
        </w:trPr>
        <w:tc>
          <w:tcPr>
            <w:tcW w:w="11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right w:val="single" w:sz="8" w:color="CCEEFF"/>
            </w:tcBorders>
            <w:shd w:val="clear" w:color="auto" w:fill="CCEEFF"/>
          </w:tcPr>
          <w:p>
            <w:pPr>
              <w:spacing w:after="0"/>
              <w:rPr>
                <w:sz w:val="9"/>
                <w:szCs w:val="9"/>
                <w:color w:val="auto"/>
              </w:rPr>
            </w:pPr>
          </w:p>
        </w:tc>
        <w:tc>
          <w:tcPr>
            <w:tcW w:w="5060" w:type="dxa"/>
            <w:vAlign w:val="bottom"/>
            <w:tcBorders>
              <w:top w:val="single" w:sz="8" w:color="0000FF"/>
              <w:right w:val="single" w:sz="8" w:color="CCEEFF"/>
            </w:tcBorders>
            <w:gridSpan w:val="16"/>
            <w:shd w:val="clear" w:color="auto" w:fill="CCEEFF"/>
          </w:tcPr>
          <w:p>
            <w:pPr>
              <w:spacing w:after="0" w:line="105" w:lineRule="exact"/>
              <w:rPr>
                <w:rFonts w:ascii="Arial" w:cs="Arial" w:eastAsia="Arial" w:hAnsi="Arial"/>
                <w:sz w:val="11"/>
                <w:szCs w:val="11"/>
                <w:color w:val="0000FF"/>
              </w:rPr>
            </w:pPr>
            <w:hyperlink r:id="rId123">
              <w:r>
                <w:rPr>
                  <w:rFonts w:ascii="Arial" w:cs="Arial" w:eastAsia="Arial" w:hAnsi="Arial"/>
                  <w:sz w:val="11"/>
                  <w:szCs w:val="11"/>
                  <w:color w:val="0000FF"/>
                </w:rPr>
                <w:t>Icahn Offshore LP, Icahn Capital LP, IPH GP LLC, Icahn Enterprises Holdings L.P., Icahn</w:t>
              </w:r>
            </w:hyperlink>
          </w:p>
        </w:tc>
        <w:tc>
          <w:tcPr>
            <w:tcW w:w="200" w:type="dxa"/>
            <w:vAlign w:val="bottom"/>
            <w:tcBorders>
              <w:top w:val="single" w:sz="8" w:color="CCEEFF"/>
              <w:left w:val="single" w:sz="8" w:color="CCEEFF"/>
            </w:tcBorders>
            <w:gridSpan w:val="7"/>
            <w:shd w:val="clear" w:color="auto" w:fill="CCEEFF"/>
          </w:tcPr>
          <w:p>
            <w:pPr>
              <w:spacing w:after="0"/>
              <w:rPr>
                <w:sz w:val="9"/>
                <w:szCs w:val="9"/>
                <w:color w:val="auto"/>
              </w:rPr>
            </w:pPr>
          </w:p>
        </w:tc>
        <w:tc>
          <w:tcPr>
            <w:tcW w:w="80" w:type="dxa"/>
            <w:vAlign w:val="bottom"/>
            <w:tcBorders>
              <w:top w:val="single" w:sz="8" w:color="CCEEFF"/>
            </w:tcBorders>
            <w:gridSpan w:val="2"/>
            <w:shd w:val="clear" w:color="auto" w:fill="CCEEFF"/>
          </w:tcPr>
          <w:p>
            <w:pPr>
              <w:spacing w:after="0"/>
              <w:rPr>
                <w:sz w:val="9"/>
                <w:szCs w:val="9"/>
                <w:color w:val="auto"/>
              </w:rPr>
            </w:pPr>
          </w:p>
        </w:tc>
        <w:tc>
          <w:tcPr>
            <w:tcW w:w="8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40" w:type="dxa"/>
            <w:vAlign w:val="bottom"/>
            <w:tcBorders>
              <w:top w:val="single" w:sz="8" w:color="CCEEFF"/>
            </w:tcBorders>
            <w:shd w:val="clear" w:color="auto" w:fill="CCEEFF"/>
          </w:tcPr>
          <w:p>
            <w:pPr>
              <w:spacing w:after="0"/>
              <w:rPr>
                <w:sz w:val="9"/>
                <w:szCs w:val="9"/>
                <w:color w:val="auto"/>
              </w:rPr>
            </w:pPr>
          </w:p>
        </w:tc>
      </w:tr>
      <w:tr>
        <w:trPr>
          <w:trHeight w:val="105"/>
        </w:trPr>
        <w:tc>
          <w:tcPr>
            <w:tcW w:w="1160" w:type="dxa"/>
            <w:vAlign w:val="bottom"/>
            <w:tcBorders>
              <w:top w:val="single" w:sz="8" w:color="CCEEFF"/>
              <w:bottom w:val="single" w:sz="8" w:color="CCEEFF"/>
            </w:tcBorders>
            <w:shd w:val="clear" w:color="auto" w:fill="CCEEFF"/>
          </w:tcPr>
          <w:p>
            <w:pPr>
              <w:spacing w:after="0"/>
              <w:rPr>
                <w:sz w:val="9"/>
                <w:szCs w:val="9"/>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9"/>
                <w:szCs w:val="9"/>
                <w:color w:val="auto"/>
              </w:rPr>
            </w:pPr>
          </w:p>
        </w:tc>
        <w:tc>
          <w:tcPr>
            <w:tcW w:w="5060" w:type="dxa"/>
            <w:vAlign w:val="bottom"/>
            <w:tcBorders>
              <w:top w:val="single" w:sz="8" w:color="0000FF"/>
              <w:bottom w:val="single" w:sz="8" w:color="0000FF"/>
              <w:right w:val="single" w:sz="8" w:color="CCEEFF"/>
            </w:tcBorders>
            <w:gridSpan w:val="16"/>
            <w:shd w:val="clear" w:color="auto" w:fill="CCEEFF"/>
          </w:tcPr>
          <w:p>
            <w:pPr>
              <w:spacing w:after="0" w:line="105" w:lineRule="exact"/>
              <w:rPr>
                <w:rFonts w:ascii="Arial" w:cs="Arial" w:eastAsia="Arial" w:hAnsi="Arial"/>
                <w:sz w:val="11"/>
                <w:szCs w:val="11"/>
                <w:color w:val="0000FF"/>
              </w:rPr>
            </w:pPr>
            <w:hyperlink r:id="rId123">
              <w:r>
                <w:rPr>
                  <w:rFonts w:ascii="Arial" w:cs="Arial" w:eastAsia="Arial" w:hAnsi="Arial"/>
                  <w:sz w:val="11"/>
                  <w:szCs w:val="11"/>
                  <w:color w:val="0000FF"/>
                </w:rPr>
                <w:t>Enterprises G.P. Inc., Beckton Corp., High River Limited Partnership, Hopper Investments</w:t>
              </w:r>
            </w:hyperlink>
          </w:p>
        </w:tc>
        <w:tc>
          <w:tcPr>
            <w:tcW w:w="200" w:type="dxa"/>
            <w:vAlign w:val="bottom"/>
            <w:tcBorders>
              <w:top w:val="single" w:sz="8" w:color="CCEEFF"/>
              <w:left w:val="single" w:sz="8" w:color="CCEEFF"/>
              <w:bottom w:val="single" w:sz="8" w:color="CCEEFF"/>
            </w:tcBorders>
            <w:gridSpan w:val="7"/>
            <w:shd w:val="clear" w:color="auto" w:fill="CCEEFF"/>
          </w:tcPr>
          <w:p>
            <w:pPr>
              <w:spacing w:after="0"/>
              <w:rPr>
                <w:sz w:val="9"/>
                <w:szCs w:val="9"/>
                <w:color w:val="auto"/>
              </w:rPr>
            </w:pPr>
          </w:p>
        </w:tc>
        <w:tc>
          <w:tcPr>
            <w:tcW w:w="80" w:type="dxa"/>
            <w:vAlign w:val="bottom"/>
            <w:tcBorders>
              <w:top w:val="single" w:sz="8" w:color="CCEEFF"/>
              <w:bottom w:val="single" w:sz="8" w:color="CCEEFF"/>
            </w:tcBorders>
            <w:gridSpan w:val="2"/>
            <w:shd w:val="clear" w:color="auto" w:fill="CCEEFF"/>
          </w:tcPr>
          <w:p>
            <w:pPr>
              <w:spacing w:after="0"/>
              <w:rPr>
                <w:sz w:val="9"/>
                <w:szCs w:val="9"/>
                <w:color w:val="auto"/>
              </w:rPr>
            </w:pPr>
          </w:p>
        </w:tc>
        <w:tc>
          <w:tcPr>
            <w:tcW w:w="86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1080" w:type="dxa"/>
            <w:vAlign w:val="bottom"/>
            <w:tcBorders>
              <w:top w:val="single" w:sz="8" w:color="CCEEFF"/>
              <w:bottom w:val="single" w:sz="8" w:color="CCEEFF"/>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1200" w:type="dxa"/>
            <w:vAlign w:val="bottom"/>
            <w:tcBorders>
              <w:top w:val="single" w:sz="8" w:color="CCEEFF"/>
              <w:bottom w:val="single" w:sz="8" w:color="CCEEFF"/>
            </w:tcBorders>
            <w:shd w:val="clear" w:color="auto" w:fill="CCEEFF"/>
          </w:tcPr>
          <w:p>
            <w:pPr>
              <w:spacing w:after="0"/>
              <w:rPr>
                <w:sz w:val="9"/>
                <w:szCs w:val="9"/>
                <w:color w:val="auto"/>
              </w:rPr>
            </w:pPr>
          </w:p>
        </w:tc>
        <w:tc>
          <w:tcPr>
            <w:tcW w:w="80" w:type="dxa"/>
            <w:vAlign w:val="bottom"/>
            <w:tcBorders>
              <w:top w:val="single" w:sz="8" w:color="CCEEFF"/>
              <w:bottom w:val="single" w:sz="8" w:color="CCEEFF"/>
            </w:tcBorders>
            <w:shd w:val="clear" w:color="auto" w:fill="CCEEFF"/>
          </w:tcPr>
          <w:p>
            <w:pPr>
              <w:spacing w:after="0"/>
              <w:rPr>
                <w:sz w:val="9"/>
                <w:szCs w:val="9"/>
                <w:color w:val="auto"/>
              </w:rPr>
            </w:pPr>
          </w:p>
        </w:tc>
        <w:tc>
          <w:tcPr>
            <w:tcW w:w="1240" w:type="dxa"/>
            <w:vAlign w:val="bottom"/>
            <w:tcBorders>
              <w:top w:val="single" w:sz="8" w:color="CCEEFF"/>
              <w:bottom w:val="single" w:sz="8" w:color="CCEEFF"/>
            </w:tcBorders>
            <w:shd w:val="clear" w:color="auto" w:fill="CCEEFF"/>
          </w:tcPr>
          <w:p>
            <w:pPr>
              <w:spacing w:after="0"/>
              <w:rPr>
                <w:sz w:val="9"/>
                <w:szCs w:val="9"/>
                <w:color w:val="auto"/>
              </w:rPr>
            </w:pPr>
          </w:p>
        </w:tc>
      </w:tr>
      <w:tr>
        <w:trPr>
          <w:trHeight w:val="105"/>
        </w:trPr>
        <w:tc>
          <w:tcPr>
            <w:tcW w:w="1160" w:type="dxa"/>
            <w:vAlign w:val="bottom"/>
            <w:shd w:val="clear" w:color="auto" w:fill="CCEEFF"/>
          </w:tcPr>
          <w:p>
            <w:pPr>
              <w:spacing w:after="0"/>
              <w:rPr>
                <w:sz w:val="9"/>
                <w:szCs w:val="9"/>
                <w:color w:val="auto"/>
              </w:rPr>
            </w:pPr>
          </w:p>
        </w:tc>
        <w:tc>
          <w:tcPr>
            <w:tcW w:w="100" w:type="dxa"/>
            <w:vAlign w:val="bottom"/>
            <w:tcBorders>
              <w:right w:val="single" w:sz="8" w:color="CCEEFF"/>
            </w:tcBorders>
            <w:shd w:val="clear" w:color="auto" w:fill="CCEEFF"/>
          </w:tcPr>
          <w:p>
            <w:pPr>
              <w:spacing w:after="0"/>
              <w:rPr>
                <w:sz w:val="9"/>
                <w:szCs w:val="9"/>
                <w:color w:val="auto"/>
              </w:rPr>
            </w:pPr>
          </w:p>
        </w:tc>
        <w:tc>
          <w:tcPr>
            <w:tcW w:w="5060" w:type="dxa"/>
            <w:vAlign w:val="bottom"/>
            <w:tcBorders>
              <w:right w:val="single" w:sz="8" w:color="CCEEFF"/>
            </w:tcBorders>
            <w:gridSpan w:val="16"/>
            <w:shd w:val="clear" w:color="auto" w:fill="CCEEFF"/>
          </w:tcPr>
          <w:p>
            <w:pPr>
              <w:spacing w:after="0" w:line="105" w:lineRule="exact"/>
              <w:rPr>
                <w:rFonts w:ascii="Arial" w:cs="Arial" w:eastAsia="Arial" w:hAnsi="Arial"/>
                <w:sz w:val="11"/>
                <w:szCs w:val="11"/>
                <w:color w:val="0000FF"/>
              </w:rPr>
            </w:pPr>
            <w:hyperlink r:id="rId123">
              <w:r>
                <w:rPr>
                  <w:rFonts w:ascii="Arial" w:cs="Arial" w:eastAsia="Arial" w:hAnsi="Arial"/>
                  <w:sz w:val="11"/>
                  <w:szCs w:val="11"/>
                  <w:color w:val="0000FF"/>
                </w:rPr>
                <w:t>LLC, Barberry Corp., Jonathan Christodoro and Carl C. Icahn.</w:t>
              </w:r>
            </w:hyperlink>
          </w:p>
        </w:tc>
        <w:tc>
          <w:tcPr>
            <w:tcW w:w="200" w:type="dxa"/>
            <w:vAlign w:val="bottom"/>
            <w:tcBorders>
              <w:left w:val="single" w:sz="8" w:color="CCEEFF"/>
            </w:tcBorders>
            <w:gridSpan w:val="7"/>
            <w:shd w:val="clear" w:color="auto" w:fill="CCEEFF"/>
          </w:tcPr>
          <w:p>
            <w:pPr>
              <w:spacing w:after="0"/>
              <w:rPr>
                <w:sz w:val="9"/>
                <w:szCs w:val="9"/>
                <w:color w:val="auto"/>
              </w:rPr>
            </w:pPr>
          </w:p>
        </w:tc>
        <w:tc>
          <w:tcPr>
            <w:tcW w:w="80" w:type="dxa"/>
            <w:vAlign w:val="bottom"/>
            <w:gridSpan w:val="2"/>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r>
      <w:tr>
        <w:trPr>
          <w:trHeight w:val="31"/>
        </w:trPr>
        <w:tc>
          <w:tcPr>
            <w:tcW w:w="11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60" w:type="dxa"/>
            <w:vAlign w:val="bottom"/>
            <w:tcBorders>
              <w:right w:val="single" w:sz="8" w:color="CCEEFF"/>
            </w:tcBorders>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r>
        <w:trPr>
          <w:trHeight w:val="135"/>
        </w:trPr>
        <w:tc>
          <w:tcPr>
            <w:tcW w:w="126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10.2(b)</w:t>
            </w:r>
          </w:p>
        </w:tc>
        <w:tc>
          <w:tcPr>
            <w:tcW w:w="5340" w:type="dxa"/>
            <w:vAlign w:val="bottom"/>
            <w:gridSpan w:val="25"/>
          </w:tcPr>
          <w:p>
            <w:pPr>
              <w:spacing w:after="0" w:line="136" w:lineRule="exact"/>
              <w:rPr>
                <w:rFonts w:ascii="Arial" w:cs="Arial" w:eastAsia="Arial" w:hAnsi="Arial"/>
                <w:sz w:val="13"/>
                <w:szCs w:val="13"/>
                <w:color w:val="0000FF"/>
              </w:rPr>
            </w:pPr>
            <w:hyperlink r:id="rId124">
              <w:r>
                <w:rPr>
                  <w:rFonts w:ascii="Arial" w:cs="Arial" w:eastAsia="Arial" w:hAnsi="Arial"/>
                  <w:sz w:val="13"/>
                  <w:szCs w:val="13"/>
                  <w:color w:val="0000FF"/>
                </w:rPr>
                <w:t>Agreement, dated January 28, 2016, among Xerox Corporation, Icahn Partners Master Fund</w:t>
              </w:r>
            </w:hyperlink>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line="136" w:lineRule="exact"/>
              <w:rPr>
                <w:sz w:val="20"/>
                <w:szCs w:val="20"/>
                <w:color w:val="auto"/>
              </w:rPr>
            </w:pPr>
            <w:r>
              <w:rPr>
                <w:rFonts w:ascii="Arial" w:cs="Arial" w:eastAsia="Arial" w:hAnsi="Arial"/>
                <w:sz w:val="13"/>
                <w:szCs w:val="13"/>
                <w:color w:val="auto"/>
              </w:rPr>
              <w:t>Amend-</w:t>
            </w:r>
          </w:p>
        </w:tc>
        <w:tc>
          <w:tcPr>
            <w:tcW w:w="1340" w:type="dxa"/>
            <w:vAlign w:val="bottom"/>
            <w:gridSpan w:val="3"/>
          </w:tcPr>
          <w:p>
            <w:pPr>
              <w:ind w:left="140"/>
              <w:spacing w:after="0" w:line="136" w:lineRule="exact"/>
              <w:rPr>
                <w:sz w:val="20"/>
                <w:szCs w:val="20"/>
                <w:color w:val="auto"/>
              </w:rPr>
            </w:pPr>
            <w:r>
              <w:rPr>
                <w:rFonts w:ascii="Arial" w:cs="Arial" w:eastAsia="Arial" w:hAnsi="Arial"/>
                <w:sz w:val="13"/>
                <w:szCs w:val="13"/>
                <w:color w:val="auto"/>
              </w:rPr>
              <w:t>10.6</w:t>
            </w:r>
          </w:p>
        </w:tc>
        <w:tc>
          <w:tcPr>
            <w:tcW w:w="80" w:type="dxa"/>
            <w:vAlign w:val="bottom"/>
          </w:tcPr>
          <w:p>
            <w:pPr>
              <w:spacing w:after="0"/>
              <w:rPr>
                <w:sz w:val="11"/>
                <w:szCs w:val="11"/>
                <w:color w:val="auto"/>
              </w:rPr>
            </w:pPr>
          </w:p>
        </w:tc>
        <w:tc>
          <w:tcPr>
            <w:tcW w:w="1240" w:type="dxa"/>
            <w:vAlign w:val="bottom"/>
          </w:tcPr>
          <w:p>
            <w:pPr>
              <w:spacing w:after="0" w:line="136" w:lineRule="exact"/>
              <w:rPr>
                <w:sz w:val="20"/>
                <w:szCs w:val="20"/>
                <w:color w:val="auto"/>
              </w:rPr>
            </w:pPr>
            <w:r>
              <w:rPr>
                <w:rFonts w:ascii="Arial" w:cs="Arial" w:eastAsia="Arial" w:hAnsi="Arial"/>
                <w:sz w:val="13"/>
                <w:szCs w:val="13"/>
                <w:color w:val="auto"/>
              </w:rPr>
              <w:t>8/15/2016</w:t>
            </w:r>
          </w:p>
        </w:tc>
      </w:tr>
      <w:tr>
        <w:trPr>
          <w:trHeight w:val="105"/>
        </w:trPr>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60" w:type="dxa"/>
            <w:vAlign w:val="bottom"/>
            <w:tcBorders>
              <w:top w:val="single" w:sz="8" w:color="0000FF"/>
            </w:tcBorders>
            <w:gridSpan w:val="16"/>
          </w:tcPr>
          <w:p>
            <w:pPr>
              <w:spacing w:after="0" w:line="105" w:lineRule="exact"/>
              <w:rPr>
                <w:rFonts w:ascii="Arial" w:cs="Arial" w:eastAsia="Arial" w:hAnsi="Arial"/>
                <w:sz w:val="11"/>
                <w:szCs w:val="11"/>
                <w:color w:val="0000FF"/>
              </w:rPr>
            </w:pPr>
            <w:hyperlink r:id="rId124">
              <w:r>
                <w:rPr>
                  <w:rFonts w:ascii="Arial" w:cs="Arial" w:eastAsia="Arial" w:hAnsi="Arial"/>
                  <w:sz w:val="11"/>
                  <w:szCs w:val="11"/>
                  <w:color w:val="0000FF"/>
                </w:rPr>
                <w:t>LP, Icahn Partners LP, Icahn Onshore LP, Icahn Offshore LP, Icahn Capital LP, IPH GP LLC,</w:t>
              </w:r>
            </w:hyperlink>
          </w:p>
        </w:tc>
        <w:tc>
          <w:tcPr>
            <w:tcW w:w="200" w:type="dxa"/>
            <w:vAlign w:val="bottom"/>
            <w:gridSpan w:val="7"/>
          </w:tcPr>
          <w:p>
            <w:pPr>
              <w:spacing w:after="0"/>
              <w:rPr>
                <w:sz w:val="9"/>
                <w:szCs w:val="9"/>
                <w:color w:val="auto"/>
              </w:rPr>
            </w:pPr>
          </w:p>
        </w:tc>
        <w:tc>
          <w:tcPr>
            <w:tcW w:w="8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line="105" w:lineRule="exact"/>
              <w:rPr>
                <w:sz w:val="20"/>
                <w:szCs w:val="20"/>
                <w:color w:val="auto"/>
              </w:rPr>
            </w:pPr>
            <w:r>
              <w:rPr>
                <w:rFonts w:ascii="Arial" w:cs="Arial" w:eastAsia="Arial" w:hAnsi="Arial"/>
                <w:sz w:val="11"/>
                <w:szCs w:val="11"/>
                <w:color w:val="auto"/>
              </w:rPr>
              <w:t>ment 1 to Form 10</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0"/>
        </w:trPr>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05"/>
        </w:trPr>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340" w:type="dxa"/>
            <w:vAlign w:val="bottom"/>
            <w:gridSpan w:val="25"/>
          </w:tcPr>
          <w:p>
            <w:pPr>
              <w:spacing w:after="0" w:line="105" w:lineRule="exact"/>
              <w:rPr>
                <w:rFonts w:ascii="Arial" w:cs="Arial" w:eastAsia="Arial" w:hAnsi="Arial"/>
                <w:sz w:val="11"/>
                <w:szCs w:val="11"/>
                <w:color w:val="0000FF"/>
              </w:rPr>
            </w:pPr>
            <w:hyperlink r:id="rId124">
              <w:r>
                <w:rPr>
                  <w:rFonts w:ascii="Arial" w:cs="Arial" w:eastAsia="Arial" w:hAnsi="Arial"/>
                  <w:sz w:val="11"/>
                  <w:szCs w:val="11"/>
                  <w:color w:val="0000FF"/>
                </w:rPr>
                <w:t>Icahn Enterprises Holdings L.P., Icahn Enterprises G.P. Inc., Beckton Corp., High River Limited</w:t>
              </w:r>
            </w:hyperlink>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105"/>
        </w:trPr>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60" w:type="dxa"/>
            <w:vAlign w:val="bottom"/>
            <w:tcBorders>
              <w:top w:val="single" w:sz="8" w:color="0000FF"/>
            </w:tcBorders>
            <w:gridSpan w:val="23"/>
          </w:tcPr>
          <w:p>
            <w:pPr>
              <w:spacing w:after="0" w:line="105" w:lineRule="exact"/>
              <w:rPr>
                <w:rFonts w:ascii="Arial" w:cs="Arial" w:eastAsia="Arial" w:hAnsi="Arial"/>
                <w:sz w:val="11"/>
                <w:szCs w:val="11"/>
                <w:color w:val="0000FF"/>
              </w:rPr>
            </w:pPr>
            <w:hyperlink r:id="rId124">
              <w:r>
                <w:rPr>
                  <w:rFonts w:ascii="Arial" w:cs="Arial" w:eastAsia="Arial" w:hAnsi="Arial"/>
                  <w:sz w:val="11"/>
                  <w:szCs w:val="11"/>
                  <w:color w:val="0000FF"/>
                </w:rPr>
                <w:t>Partnership, Hopper Investments LLC, Barberry Corp., Jonathan Christodoro and Carl C.</w:t>
              </w:r>
            </w:hyperlink>
          </w:p>
        </w:tc>
        <w:tc>
          <w:tcPr>
            <w:tcW w:w="80" w:type="dxa"/>
            <w:vAlign w:val="bottom"/>
            <w:gridSpan w:val="2"/>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111"/>
        </w:trPr>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Borders>
              <w:top w:val="single" w:sz="8" w:color="0000FF"/>
              <w:bottom w:val="single" w:sz="8" w:color="0000FF"/>
            </w:tcBorders>
            <w:gridSpan w:val="2"/>
          </w:tcPr>
          <w:p>
            <w:pPr>
              <w:spacing w:after="0" w:line="105" w:lineRule="exact"/>
              <w:rPr>
                <w:rFonts w:ascii="Arial" w:cs="Arial" w:eastAsia="Arial" w:hAnsi="Arial"/>
                <w:sz w:val="11"/>
                <w:szCs w:val="11"/>
                <w:color w:val="0000FF"/>
              </w:rPr>
            </w:pPr>
            <w:hyperlink r:id="rId124">
              <w:r>
                <w:rPr>
                  <w:rFonts w:ascii="Arial" w:cs="Arial" w:eastAsia="Arial" w:hAnsi="Arial"/>
                  <w:sz w:val="11"/>
                  <w:szCs w:val="11"/>
                  <w:color w:val="0000FF"/>
                </w:rPr>
                <w:t>Icahn.</w:t>
              </w:r>
            </w:hyperlink>
          </w:p>
        </w:tc>
        <w:tc>
          <w:tcPr>
            <w:tcW w:w="4720" w:type="dxa"/>
            <w:vAlign w:val="bottom"/>
            <w:tcBorders>
              <w:top w:val="single" w:sz="8" w:color="0000FF"/>
            </w:tcBorders>
            <w:gridSpan w:val="14"/>
          </w:tcPr>
          <w:p>
            <w:pPr>
              <w:spacing w:after="0"/>
              <w:rPr>
                <w:sz w:val="9"/>
                <w:szCs w:val="9"/>
                <w:color w:val="auto"/>
              </w:rPr>
            </w:pPr>
          </w:p>
        </w:tc>
        <w:tc>
          <w:tcPr>
            <w:tcW w:w="280" w:type="dxa"/>
            <w:vAlign w:val="bottom"/>
            <w:gridSpan w:val="9"/>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141"/>
        </w:trPr>
        <w:tc>
          <w:tcPr>
            <w:tcW w:w="1260" w:type="dxa"/>
            <w:vAlign w:val="bottom"/>
            <w:tcBorders>
              <w:right w:val="single" w:sz="8" w:color="CCEEFF"/>
            </w:tcBorders>
            <w:gridSpan w:val="2"/>
            <w:shd w:val="clear" w:color="auto" w:fill="CCEEFF"/>
          </w:tcPr>
          <w:p>
            <w:pPr>
              <w:ind w:left="20"/>
              <w:spacing w:after="0" w:line="141" w:lineRule="exact"/>
              <w:rPr>
                <w:sz w:val="20"/>
                <w:szCs w:val="20"/>
                <w:color w:val="auto"/>
              </w:rPr>
            </w:pPr>
            <w:r>
              <w:rPr>
                <w:rFonts w:ascii="Arial" w:cs="Arial" w:eastAsia="Arial" w:hAnsi="Arial"/>
                <w:sz w:val="13"/>
                <w:szCs w:val="13"/>
                <w:color w:val="auto"/>
              </w:rPr>
              <w:t>10.3(a)</w:t>
            </w:r>
          </w:p>
        </w:tc>
        <w:tc>
          <w:tcPr>
            <w:tcW w:w="5340" w:type="dxa"/>
            <w:vAlign w:val="bottom"/>
            <w:gridSpan w:val="25"/>
            <w:shd w:val="clear" w:color="auto" w:fill="CCEEFF"/>
          </w:tcPr>
          <w:p>
            <w:pPr>
              <w:spacing w:after="0" w:line="141" w:lineRule="exact"/>
              <w:rPr>
                <w:rFonts w:ascii="Arial" w:cs="Arial" w:eastAsia="Arial" w:hAnsi="Arial"/>
                <w:sz w:val="13"/>
                <w:szCs w:val="13"/>
                <w:color w:val="0000FF"/>
              </w:rPr>
            </w:pPr>
            <w:hyperlink r:id="rId125">
              <w:r>
                <w:rPr>
                  <w:rFonts w:ascii="Arial" w:cs="Arial" w:eastAsia="Arial" w:hAnsi="Arial"/>
                  <w:sz w:val="13"/>
                  <w:szCs w:val="13"/>
                  <w:color w:val="0000FF"/>
                </w:rPr>
                <w:t>Exchange Agreement dated October 27, 2016 by and among Darwin A. Deason, Conduent</w:t>
              </w:r>
            </w:hyperlink>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Amend-</w:t>
            </w:r>
          </w:p>
        </w:tc>
        <w:tc>
          <w:tcPr>
            <w:tcW w:w="1340" w:type="dxa"/>
            <w:vAlign w:val="bottom"/>
            <w:gridSpan w:val="3"/>
            <w:shd w:val="clear" w:color="auto" w:fill="CCEEFF"/>
          </w:tcPr>
          <w:p>
            <w:pPr>
              <w:ind w:left="140"/>
              <w:spacing w:after="0" w:line="141" w:lineRule="exact"/>
              <w:rPr>
                <w:sz w:val="20"/>
                <w:szCs w:val="20"/>
                <w:color w:val="auto"/>
              </w:rPr>
            </w:pPr>
            <w:r>
              <w:rPr>
                <w:rFonts w:ascii="Arial" w:cs="Arial" w:eastAsia="Arial" w:hAnsi="Arial"/>
                <w:sz w:val="13"/>
                <w:szCs w:val="13"/>
                <w:color w:val="auto"/>
              </w:rPr>
              <w:t>10.14</w:t>
            </w:r>
          </w:p>
        </w:tc>
        <w:tc>
          <w:tcPr>
            <w:tcW w:w="8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10/28/2016</w:t>
            </w:r>
          </w:p>
        </w:tc>
      </w:tr>
      <w:tr>
        <w:trPr>
          <w:trHeight w:val="105"/>
        </w:trPr>
        <w:tc>
          <w:tcPr>
            <w:tcW w:w="11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right w:val="single" w:sz="8" w:color="CCEEFF"/>
            </w:tcBorders>
            <w:shd w:val="clear" w:color="auto" w:fill="CCEEFF"/>
          </w:tcPr>
          <w:p>
            <w:pPr>
              <w:spacing w:after="0"/>
              <w:rPr>
                <w:sz w:val="9"/>
                <w:szCs w:val="9"/>
                <w:color w:val="auto"/>
              </w:rPr>
            </w:pPr>
          </w:p>
        </w:tc>
        <w:tc>
          <w:tcPr>
            <w:tcW w:w="5060" w:type="dxa"/>
            <w:vAlign w:val="bottom"/>
            <w:tcBorders>
              <w:top w:val="single" w:sz="8" w:color="0000FF"/>
              <w:right w:val="single" w:sz="8" w:color="CCEEFF"/>
            </w:tcBorders>
            <w:gridSpan w:val="16"/>
            <w:shd w:val="clear" w:color="auto" w:fill="CCEEFF"/>
          </w:tcPr>
          <w:p>
            <w:pPr>
              <w:spacing w:after="0" w:line="105" w:lineRule="exact"/>
              <w:rPr>
                <w:rFonts w:ascii="Arial" w:cs="Arial" w:eastAsia="Arial" w:hAnsi="Arial"/>
                <w:sz w:val="11"/>
                <w:szCs w:val="11"/>
                <w:color w:val="0000FF"/>
              </w:rPr>
            </w:pPr>
            <w:hyperlink r:id="rId125">
              <w:r>
                <w:rPr>
                  <w:rFonts w:ascii="Arial" w:cs="Arial" w:eastAsia="Arial" w:hAnsi="Arial"/>
                  <w:sz w:val="11"/>
                  <w:szCs w:val="11"/>
                  <w:color w:val="0000FF"/>
                </w:rPr>
                <w:t>Incorporated and Xerox Corporation.</w:t>
              </w:r>
            </w:hyperlink>
          </w:p>
        </w:tc>
        <w:tc>
          <w:tcPr>
            <w:tcW w:w="280" w:type="dxa"/>
            <w:vAlign w:val="bottom"/>
            <w:tcBorders>
              <w:top w:val="single" w:sz="8" w:color="CCEEFF"/>
              <w:left w:val="single" w:sz="8" w:color="CCEEFF"/>
            </w:tcBorders>
            <w:gridSpan w:val="9"/>
            <w:shd w:val="clear" w:color="auto" w:fill="CCEEFF"/>
          </w:tcPr>
          <w:p>
            <w:pPr>
              <w:spacing w:after="0"/>
              <w:rPr>
                <w:sz w:val="9"/>
                <w:szCs w:val="9"/>
                <w:color w:val="auto"/>
              </w:rPr>
            </w:pPr>
          </w:p>
        </w:tc>
        <w:tc>
          <w:tcPr>
            <w:tcW w:w="8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80" w:type="dxa"/>
            <w:vAlign w:val="bottom"/>
            <w:tcBorders>
              <w:top w:val="single" w:sz="8" w:color="CCEEFF"/>
            </w:tcBorders>
            <w:shd w:val="clear" w:color="auto" w:fill="CCEEFF"/>
          </w:tcPr>
          <w:p>
            <w:pPr>
              <w:spacing w:after="0" w:line="105" w:lineRule="exact"/>
              <w:rPr>
                <w:sz w:val="20"/>
                <w:szCs w:val="20"/>
                <w:color w:val="auto"/>
              </w:rPr>
            </w:pPr>
            <w:r>
              <w:rPr>
                <w:rFonts w:ascii="Arial" w:cs="Arial" w:eastAsia="Arial" w:hAnsi="Arial"/>
                <w:sz w:val="11"/>
                <w:szCs w:val="11"/>
                <w:color w:val="auto"/>
              </w:rPr>
              <w:t>ment 5 to Form 10</w:t>
            </w: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240" w:type="dxa"/>
            <w:vAlign w:val="bottom"/>
            <w:tcBorders>
              <w:top w:val="single" w:sz="8" w:color="CCEEFF"/>
            </w:tcBorders>
            <w:shd w:val="clear" w:color="auto" w:fill="CCEEFF"/>
          </w:tcPr>
          <w:p>
            <w:pPr>
              <w:spacing w:after="0"/>
              <w:rPr>
                <w:sz w:val="9"/>
                <w:szCs w:val="9"/>
                <w:color w:val="auto"/>
              </w:rPr>
            </w:pPr>
          </w:p>
        </w:tc>
      </w:tr>
      <w:tr>
        <w:trPr>
          <w:trHeight w:val="31"/>
        </w:trPr>
        <w:tc>
          <w:tcPr>
            <w:tcW w:w="11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60" w:type="dxa"/>
            <w:vAlign w:val="bottom"/>
            <w:tcBorders>
              <w:right w:val="single" w:sz="8" w:color="CCEEFF"/>
            </w:tcBorders>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r>
        <w:trPr>
          <w:trHeight w:val="135"/>
        </w:trPr>
        <w:tc>
          <w:tcPr>
            <w:tcW w:w="126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10.3(b)</w:t>
            </w:r>
          </w:p>
        </w:tc>
        <w:tc>
          <w:tcPr>
            <w:tcW w:w="5340" w:type="dxa"/>
            <w:vAlign w:val="bottom"/>
            <w:gridSpan w:val="25"/>
          </w:tcPr>
          <w:p>
            <w:pPr>
              <w:spacing w:after="0" w:line="136" w:lineRule="exact"/>
              <w:rPr>
                <w:rFonts w:ascii="Arial" w:cs="Arial" w:eastAsia="Arial" w:hAnsi="Arial"/>
                <w:sz w:val="13"/>
                <w:szCs w:val="13"/>
                <w:color w:val="0000FF"/>
              </w:rPr>
            </w:pPr>
            <w:hyperlink r:id="rId126">
              <w:r>
                <w:rPr>
                  <w:rFonts w:ascii="Arial" w:cs="Arial" w:eastAsia="Arial" w:hAnsi="Arial"/>
                  <w:sz w:val="13"/>
                  <w:szCs w:val="13"/>
                  <w:color w:val="0000FF"/>
                </w:rPr>
                <w:t>Shareholders Agreement dated December 18, 2018 by and between Darwin Deason and</w:t>
              </w:r>
            </w:hyperlink>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line="136" w:lineRule="exact"/>
              <w:rPr>
                <w:sz w:val="20"/>
                <w:szCs w:val="20"/>
                <w:color w:val="auto"/>
              </w:rPr>
            </w:pPr>
            <w:r>
              <w:rPr>
                <w:rFonts w:ascii="Arial" w:cs="Arial" w:eastAsia="Arial" w:hAnsi="Arial"/>
                <w:sz w:val="13"/>
                <w:szCs w:val="13"/>
                <w:color w:val="auto"/>
              </w:rPr>
              <w:t>8-K</w:t>
            </w:r>
          </w:p>
        </w:tc>
        <w:tc>
          <w:tcPr>
            <w:tcW w:w="1340" w:type="dxa"/>
            <w:vAlign w:val="bottom"/>
            <w:gridSpan w:val="3"/>
          </w:tcPr>
          <w:p>
            <w:pPr>
              <w:ind w:left="140"/>
              <w:spacing w:after="0" w:line="136" w:lineRule="exact"/>
              <w:rPr>
                <w:sz w:val="20"/>
                <w:szCs w:val="20"/>
                <w:color w:val="auto"/>
              </w:rPr>
            </w:pPr>
            <w:r>
              <w:rPr>
                <w:rFonts w:ascii="Arial" w:cs="Arial" w:eastAsia="Arial" w:hAnsi="Arial"/>
                <w:sz w:val="13"/>
                <w:szCs w:val="13"/>
                <w:color w:val="auto"/>
              </w:rPr>
              <w:t>10.1</w:t>
            </w:r>
          </w:p>
        </w:tc>
        <w:tc>
          <w:tcPr>
            <w:tcW w:w="80" w:type="dxa"/>
            <w:vAlign w:val="bottom"/>
          </w:tcPr>
          <w:p>
            <w:pPr>
              <w:spacing w:after="0"/>
              <w:rPr>
                <w:sz w:val="11"/>
                <w:szCs w:val="11"/>
                <w:color w:val="auto"/>
              </w:rPr>
            </w:pPr>
          </w:p>
        </w:tc>
        <w:tc>
          <w:tcPr>
            <w:tcW w:w="1240" w:type="dxa"/>
            <w:vAlign w:val="bottom"/>
          </w:tcPr>
          <w:p>
            <w:pPr>
              <w:spacing w:after="0" w:line="136" w:lineRule="exact"/>
              <w:rPr>
                <w:sz w:val="20"/>
                <w:szCs w:val="20"/>
                <w:color w:val="auto"/>
              </w:rPr>
            </w:pPr>
            <w:r>
              <w:rPr>
                <w:rFonts w:ascii="Arial" w:cs="Arial" w:eastAsia="Arial" w:hAnsi="Arial"/>
                <w:sz w:val="13"/>
                <w:szCs w:val="13"/>
                <w:color w:val="auto"/>
              </w:rPr>
              <w:t>12/18/2018</w:t>
            </w:r>
          </w:p>
        </w:tc>
      </w:tr>
      <w:tr>
        <w:trPr>
          <w:trHeight w:val="111"/>
        </w:trPr>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20" w:type="dxa"/>
            <w:vAlign w:val="bottom"/>
            <w:tcBorders>
              <w:top w:val="single" w:sz="8" w:color="0000FF"/>
              <w:bottom w:val="single" w:sz="8" w:color="0000FF"/>
            </w:tcBorders>
            <w:gridSpan w:val="4"/>
          </w:tcPr>
          <w:p>
            <w:pPr>
              <w:spacing w:after="0" w:line="105" w:lineRule="exact"/>
              <w:rPr>
                <w:rFonts w:ascii="Arial" w:cs="Arial" w:eastAsia="Arial" w:hAnsi="Arial"/>
                <w:sz w:val="11"/>
                <w:szCs w:val="11"/>
                <w:color w:val="0000FF"/>
              </w:rPr>
            </w:pPr>
            <w:hyperlink r:id="rId126">
              <w:r>
                <w:rPr>
                  <w:rFonts w:ascii="Arial" w:cs="Arial" w:eastAsia="Arial" w:hAnsi="Arial"/>
                  <w:sz w:val="11"/>
                  <w:szCs w:val="11"/>
                  <w:color w:val="0000FF"/>
                </w:rPr>
                <w:t>Conduent Incorporated.</w:t>
              </w:r>
            </w:hyperlink>
          </w:p>
        </w:tc>
        <w:tc>
          <w:tcPr>
            <w:tcW w:w="3740" w:type="dxa"/>
            <w:vAlign w:val="bottom"/>
            <w:tcBorders>
              <w:top w:val="single" w:sz="8" w:color="0000FF"/>
            </w:tcBorders>
            <w:gridSpan w:val="12"/>
          </w:tcPr>
          <w:p>
            <w:pPr>
              <w:spacing w:after="0"/>
              <w:rPr>
                <w:sz w:val="9"/>
                <w:szCs w:val="9"/>
                <w:color w:val="auto"/>
              </w:rPr>
            </w:pPr>
          </w:p>
        </w:tc>
        <w:tc>
          <w:tcPr>
            <w:tcW w:w="280" w:type="dxa"/>
            <w:vAlign w:val="bottom"/>
            <w:gridSpan w:val="9"/>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152"/>
        </w:trPr>
        <w:tc>
          <w:tcPr>
            <w:tcW w:w="1260" w:type="dxa"/>
            <w:vAlign w:val="bottom"/>
            <w:tcBorders>
              <w:bottom w:val="single" w:sz="8" w:color="CCEEFF"/>
              <w:right w:val="single" w:sz="8" w:color="CCEEFF"/>
            </w:tcBorders>
            <w:gridSpan w:val="2"/>
            <w:shd w:val="clear" w:color="auto" w:fill="CCEEFF"/>
          </w:tcPr>
          <w:p>
            <w:pPr>
              <w:ind w:left="20"/>
              <w:spacing w:after="0" w:line="141" w:lineRule="exact"/>
              <w:rPr>
                <w:sz w:val="20"/>
                <w:szCs w:val="20"/>
                <w:color w:val="auto"/>
              </w:rPr>
            </w:pPr>
            <w:r>
              <w:rPr>
                <w:rFonts w:ascii="Arial" w:cs="Arial" w:eastAsia="Arial" w:hAnsi="Arial"/>
                <w:sz w:val="13"/>
                <w:szCs w:val="13"/>
                <w:color w:val="auto"/>
              </w:rPr>
              <w:t>*10.4(a)(i)</w:t>
            </w:r>
          </w:p>
        </w:tc>
        <w:tc>
          <w:tcPr>
            <w:tcW w:w="3800" w:type="dxa"/>
            <w:vAlign w:val="bottom"/>
            <w:tcBorders>
              <w:bottom w:val="single" w:sz="8" w:color="0000FF"/>
            </w:tcBorders>
            <w:gridSpan w:val="11"/>
            <w:shd w:val="clear" w:color="auto" w:fill="CCEEFF"/>
          </w:tcPr>
          <w:p>
            <w:pPr>
              <w:spacing w:after="0" w:line="141" w:lineRule="exact"/>
              <w:rPr>
                <w:rFonts w:ascii="Arial" w:cs="Arial" w:eastAsia="Arial" w:hAnsi="Arial"/>
                <w:sz w:val="13"/>
                <w:szCs w:val="13"/>
                <w:color w:val="0000FF"/>
                <w:w w:val="95"/>
              </w:rPr>
            </w:pPr>
            <w:hyperlink r:id="rId127">
              <w:r>
                <w:rPr>
                  <w:rFonts w:ascii="Arial" w:cs="Arial" w:eastAsia="Arial" w:hAnsi="Arial"/>
                  <w:sz w:val="13"/>
                  <w:szCs w:val="13"/>
                  <w:color w:val="0000FF"/>
                  <w:w w:val="95"/>
                </w:rPr>
                <w:t>Form of Restricted Stock Unit Award Agreement 2020 under the PIP.</w:t>
              </w:r>
            </w:hyperlink>
          </w:p>
        </w:tc>
        <w:tc>
          <w:tcPr>
            <w:tcW w:w="1540" w:type="dxa"/>
            <w:vAlign w:val="bottom"/>
            <w:tcBorders>
              <w:bottom w:val="single" w:sz="8" w:color="CCEEFF"/>
            </w:tcBorders>
            <w:gridSpan w:val="14"/>
            <w:shd w:val="clear" w:color="auto" w:fill="CCEEFF"/>
          </w:tcPr>
          <w:p>
            <w:pPr>
              <w:spacing w:after="0"/>
              <w:rPr>
                <w:sz w:val="13"/>
                <w:szCs w:val="13"/>
                <w:color w:val="auto"/>
              </w:rPr>
            </w:pPr>
          </w:p>
        </w:tc>
        <w:tc>
          <w:tcPr>
            <w:tcW w:w="8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10-Q</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gridSpan w:val="2"/>
            <w:shd w:val="clear" w:color="auto" w:fill="CCEEFF"/>
          </w:tcPr>
          <w:p>
            <w:pPr>
              <w:spacing w:after="0" w:line="141" w:lineRule="exact"/>
              <w:rPr>
                <w:sz w:val="20"/>
                <w:szCs w:val="20"/>
                <w:color w:val="auto"/>
              </w:rPr>
            </w:pPr>
            <w:r>
              <w:rPr>
                <w:rFonts w:ascii="Arial" w:cs="Arial" w:eastAsia="Arial" w:hAnsi="Arial"/>
                <w:sz w:val="13"/>
                <w:szCs w:val="13"/>
                <w:color w:val="auto"/>
              </w:rPr>
              <w:t>10.6(a)(vi)</w:t>
            </w:r>
          </w:p>
        </w:tc>
        <w:tc>
          <w:tcPr>
            <w:tcW w:w="1240" w:type="dxa"/>
            <w:vAlign w:val="bottom"/>
            <w:tcBorders>
              <w:bottom w:val="single" w:sz="8" w:color="CCEEFF"/>
            </w:tcBorders>
            <w:shd w:val="clear" w:color="auto" w:fill="CCEEFF"/>
          </w:tcPr>
          <w:p>
            <w:pPr>
              <w:spacing w:after="0" w:line="141" w:lineRule="exact"/>
              <w:rPr>
                <w:sz w:val="20"/>
                <w:szCs w:val="20"/>
                <w:color w:val="auto"/>
              </w:rPr>
            </w:pPr>
            <w:r>
              <w:rPr>
                <w:rFonts w:ascii="Arial" w:cs="Arial" w:eastAsia="Arial" w:hAnsi="Arial"/>
                <w:sz w:val="13"/>
                <w:szCs w:val="13"/>
                <w:color w:val="auto"/>
              </w:rPr>
              <w:t>5/8/2020</w:t>
            </w:r>
          </w:p>
        </w:tc>
      </w:tr>
      <w:tr>
        <w:trPr>
          <w:trHeight w:val="141"/>
        </w:trPr>
        <w:tc>
          <w:tcPr>
            <w:tcW w:w="126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*10.4(a)(ii)</w:t>
            </w:r>
          </w:p>
        </w:tc>
        <w:tc>
          <w:tcPr>
            <w:tcW w:w="5340" w:type="dxa"/>
            <w:vAlign w:val="bottom"/>
            <w:gridSpan w:val="25"/>
          </w:tcPr>
          <w:p>
            <w:pPr>
              <w:spacing w:after="0" w:line="136" w:lineRule="exact"/>
              <w:rPr>
                <w:rFonts w:ascii="Arial" w:cs="Arial" w:eastAsia="Arial" w:hAnsi="Arial"/>
                <w:sz w:val="13"/>
                <w:szCs w:val="13"/>
                <w:color w:val="0000FF"/>
              </w:rPr>
            </w:pPr>
            <w:hyperlink r:id="rId128">
              <w:r>
                <w:rPr>
                  <w:rFonts w:ascii="Arial" w:cs="Arial" w:eastAsia="Arial" w:hAnsi="Arial"/>
                  <w:sz w:val="13"/>
                  <w:szCs w:val="13"/>
                  <w:color w:val="0000FF"/>
                </w:rPr>
                <w:t>Form of Performance Restricted Stock Unit Award Agreement 2020 under the PIP.</w:t>
              </w:r>
            </w:hyperlink>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line="136" w:lineRule="exact"/>
              <w:rPr>
                <w:sz w:val="20"/>
                <w:szCs w:val="20"/>
                <w:color w:val="auto"/>
              </w:rPr>
            </w:pPr>
            <w:r>
              <w:rPr>
                <w:rFonts w:ascii="Arial" w:cs="Arial" w:eastAsia="Arial" w:hAnsi="Arial"/>
                <w:sz w:val="13"/>
                <w:szCs w:val="13"/>
                <w:color w:val="auto"/>
              </w:rPr>
              <w:t>10-Q</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gridSpan w:val="2"/>
          </w:tcPr>
          <w:p>
            <w:pPr>
              <w:spacing w:after="0" w:line="136" w:lineRule="exact"/>
              <w:rPr>
                <w:sz w:val="20"/>
                <w:szCs w:val="20"/>
                <w:color w:val="auto"/>
              </w:rPr>
            </w:pPr>
            <w:r>
              <w:rPr>
                <w:rFonts w:ascii="Arial" w:cs="Arial" w:eastAsia="Arial" w:hAnsi="Arial"/>
                <w:sz w:val="13"/>
                <w:szCs w:val="13"/>
                <w:color w:val="auto"/>
              </w:rPr>
              <w:t>10.6(a)(vii)</w:t>
            </w:r>
          </w:p>
        </w:tc>
        <w:tc>
          <w:tcPr>
            <w:tcW w:w="1240" w:type="dxa"/>
            <w:vAlign w:val="bottom"/>
          </w:tcPr>
          <w:p>
            <w:pPr>
              <w:spacing w:after="0" w:line="136" w:lineRule="exact"/>
              <w:rPr>
                <w:sz w:val="20"/>
                <w:szCs w:val="20"/>
                <w:color w:val="auto"/>
              </w:rPr>
            </w:pPr>
            <w:r>
              <w:rPr>
                <w:rFonts w:ascii="Arial" w:cs="Arial" w:eastAsia="Arial" w:hAnsi="Arial"/>
                <w:sz w:val="13"/>
                <w:szCs w:val="13"/>
                <w:color w:val="auto"/>
              </w:rPr>
              <w:t>5/8/2020</w:t>
            </w:r>
          </w:p>
        </w:tc>
      </w:tr>
      <w:tr>
        <w:trPr>
          <w:trHeight w:val="141"/>
        </w:trPr>
        <w:tc>
          <w:tcPr>
            <w:tcW w:w="1260" w:type="dxa"/>
            <w:vAlign w:val="bottom"/>
            <w:tcBorders>
              <w:right w:val="single" w:sz="8" w:color="CCEEFF"/>
            </w:tcBorders>
            <w:gridSpan w:val="2"/>
            <w:shd w:val="clear" w:color="auto" w:fill="CCEEFF"/>
          </w:tcPr>
          <w:p>
            <w:pPr>
              <w:ind w:left="20"/>
              <w:spacing w:after="0" w:line="141" w:lineRule="exact"/>
              <w:rPr>
                <w:sz w:val="20"/>
                <w:szCs w:val="20"/>
                <w:color w:val="auto"/>
              </w:rPr>
            </w:pPr>
            <w:r>
              <w:rPr>
                <w:rFonts w:ascii="Arial" w:cs="Arial" w:eastAsia="Arial" w:hAnsi="Arial"/>
                <w:sz w:val="13"/>
                <w:szCs w:val="13"/>
                <w:color w:val="auto"/>
              </w:rPr>
              <w:t>*10.4(a)(iii)</w:t>
            </w:r>
          </w:p>
        </w:tc>
        <w:tc>
          <w:tcPr>
            <w:tcW w:w="4540" w:type="dxa"/>
            <w:vAlign w:val="bottom"/>
            <w:tcBorders>
              <w:top w:val="single" w:sz="8" w:color="0000FF"/>
            </w:tcBorders>
            <w:gridSpan w:val="13"/>
            <w:shd w:val="clear" w:color="auto" w:fill="CCEEFF"/>
          </w:tcPr>
          <w:p>
            <w:pPr>
              <w:spacing w:after="0" w:line="141" w:lineRule="exact"/>
              <w:rPr>
                <w:rFonts w:ascii="Arial" w:cs="Arial" w:eastAsia="Arial" w:hAnsi="Arial"/>
                <w:sz w:val="13"/>
                <w:szCs w:val="13"/>
                <w:color w:val="0000FF"/>
              </w:rPr>
            </w:pPr>
            <w:hyperlink r:id="rId129">
              <w:r>
                <w:rPr>
                  <w:rFonts w:ascii="Arial" w:cs="Arial" w:eastAsia="Arial" w:hAnsi="Arial"/>
                  <w:sz w:val="13"/>
                  <w:szCs w:val="13"/>
                  <w:color w:val="0000FF"/>
                </w:rPr>
                <w:t>Registrant’s 2021 Performance Incentive Plan (“2021 PIP”).</w:t>
              </w:r>
            </w:hyperlink>
          </w:p>
        </w:tc>
        <w:tc>
          <w:tcPr>
            <w:tcW w:w="800" w:type="dxa"/>
            <w:vAlign w:val="bottom"/>
            <w:gridSpan w:val="12"/>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DEF 14A</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color w:val="auto"/>
              </w:rPr>
              <w:t>Annex A</w:t>
            </w:r>
          </w:p>
        </w:tc>
        <w:tc>
          <w:tcPr>
            <w:tcW w:w="12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4/9/2021</w:t>
            </w:r>
          </w:p>
        </w:tc>
      </w:tr>
      <w:tr>
        <w:trPr>
          <w:trHeight w:val="31"/>
        </w:trPr>
        <w:tc>
          <w:tcPr>
            <w:tcW w:w="11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60" w:type="dxa"/>
            <w:vAlign w:val="bottom"/>
            <w:tcBorders>
              <w:right w:val="single" w:sz="8" w:color="CCEEFF"/>
            </w:tcBorders>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r>
        <w:trPr>
          <w:trHeight w:val="135"/>
        </w:trPr>
        <w:tc>
          <w:tcPr>
            <w:tcW w:w="126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*10.4(a)(iv)</w:t>
            </w:r>
          </w:p>
        </w:tc>
        <w:tc>
          <w:tcPr>
            <w:tcW w:w="5340" w:type="dxa"/>
            <w:vAlign w:val="bottom"/>
            <w:gridSpan w:val="25"/>
          </w:tcPr>
          <w:p>
            <w:pPr>
              <w:spacing w:after="0" w:line="136" w:lineRule="exact"/>
              <w:rPr>
                <w:rFonts w:ascii="Arial" w:cs="Arial" w:eastAsia="Arial" w:hAnsi="Arial"/>
                <w:sz w:val="13"/>
                <w:szCs w:val="13"/>
                <w:color w:val="0000FF"/>
              </w:rPr>
            </w:pPr>
            <w:hyperlink r:id="rId130">
              <w:r>
                <w:rPr>
                  <w:rFonts w:ascii="Arial" w:cs="Arial" w:eastAsia="Arial" w:hAnsi="Arial"/>
                  <w:sz w:val="13"/>
                  <w:szCs w:val="13"/>
                  <w:color w:val="0000FF"/>
                </w:rPr>
                <w:t>Form of Restricted Stock Unit Award Agreement 2021 under the 2021 PIP.</w:t>
              </w:r>
            </w:hyperlink>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line="136" w:lineRule="exact"/>
              <w:rPr>
                <w:sz w:val="20"/>
                <w:szCs w:val="20"/>
                <w:color w:val="auto"/>
              </w:rPr>
            </w:pPr>
            <w:r>
              <w:rPr>
                <w:rFonts w:ascii="Arial" w:cs="Arial" w:eastAsia="Arial" w:hAnsi="Arial"/>
                <w:sz w:val="13"/>
                <w:szCs w:val="13"/>
                <w:color w:val="auto"/>
              </w:rPr>
              <w:t>10-Q</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spacing w:after="0" w:line="136" w:lineRule="exact"/>
              <w:rPr>
                <w:sz w:val="20"/>
                <w:szCs w:val="20"/>
                <w:color w:val="auto"/>
              </w:rPr>
            </w:pPr>
            <w:r>
              <w:rPr>
                <w:rFonts w:ascii="Arial" w:cs="Arial" w:eastAsia="Arial" w:hAnsi="Arial"/>
                <w:sz w:val="13"/>
                <w:szCs w:val="13"/>
                <w:color w:val="auto"/>
              </w:rPr>
              <w:t>10.6(a)(x)</w:t>
            </w:r>
          </w:p>
        </w:tc>
        <w:tc>
          <w:tcPr>
            <w:tcW w:w="1240" w:type="dxa"/>
            <w:vAlign w:val="bottom"/>
          </w:tcPr>
          <w:p>
            <w:pPr>
              <w:spacing w:after="0" w:line="136" w:lineRule="exact"/>
              <w:rPr>
                <w:sz w:val="20"/>
                <w:szCs w:val="20"/>
                <w:color w:val="auto"/>
              </w:rPr>
            </w:pPr>
            <w:r>
              <w:rPr>
                <w:rFonts w:ascii="Arial" w:cs="Arial" w:eastAsia="Arial" w:hAnsi="Arial"/>
                <w:sz w:val="13"/>
                <w:szCs w:val="13"/>
                <w:color w:val="auto"/>
              </w:rPr>
              <w:t>8/5/2021</w:t>
            </w:r>
          </w:p>
        </w:tc>
      </w:tr>
      <w:tr>
        <w:trPr>
          <w:trHeight w:val="26"/>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00" w:type="dxa"/>
            <w:vAlign w:val="bottom"/>
            <w:tcBorders>
              <w:right w:val="single" w:sz="8" w:color="0000FF"/>
            </w:tcBorders>
            <w:shd w:val="clear" w:color="auto" w:fill="0000FF"/>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41"/>
        </w:trPr>
        <w:tc>
          <w:tcPr>
            <w:tcW w:w="1260" w:type="dxa"/>
            <w:vAlign w:val="bottom"/>
            <w:tcBorders>
              <w:right w:val="single" w:sz="8" w:color="CCEEFF"/>
            </w:tcBorders>
            <w:gridSpan w:val="2"/>
            <w:shd w:val="clear" w:color="auto" w:fill="CCEEFF"/>
          </w:tcPr>
          <w:p>
            <w:pPr>
              <w:ind w:left="20"/>
              <w:spacing w:after="0" w:line="141" w:lineRule="exact"/>
              <w:rPr>
                <w:sz w:val="20"/>
                <w:szCs w:val="20"/>
                <w:color w:val="auto"/>
              </w:rPr>
            </w:pPr>
            <w:r>
              <w:rPr>
                <w:rFonts w:ascii="Arial" w:cs="Arial" w:eastAsia="Arial" w:hAnsi="Arial"/>
                <w:sz w:val="13"/>
                <w:szCs w:val="13"/>
                <w:color w:val="auto"/>
              </w:rPr>
              <w:t>*10.4(a)(v)</w:t>
            </w:r>
          </w:p>
        </w:tc>
        <w:tc>
          <w:tcPr>
            <w:tcW w:w="5340" w:type="dxa"/>
            <w:vAlign w:val="bottom"/>
            <w:gridSpan w:val="25"/>
            <w:shd w:val="clear" w:color="auto" w:fill="CCEEFF"/>
          </w:tcPr>
          <w:p>
            <w:pPr>
              <w:spacing w:after="0" w:line="141" w:lineRule="exact"/>
              <w:rPr>
                <w:rFonts w:ascii="Arial" w:cs="Arial" w:eastAsia="Arial" w:hAnsi="Arial"/>
                <w:sz w:val="13"/>
                <w:szCs w:val="13"/>
                <w:color w:val="0000FF"/>
              </w:rPr>
            </w:pPr>
            <w:hyperlink r:id="rId131">
              <w:r>
                <w:rPr>
                  <w:rFonts w:ascii="Arial" w:cs="Arial" w:eastAsia="Arial" w:hAnsi="Arial"/>
                  <w:sz w:val="13"/>
                  <w:szCs w:val="13"/>
                  <w:color w:val="0000FF"/>
                </w:rPr>
                <w:t>Form of Performance Stock Unit Award Agreement 2021 ("Revenue Metric") under the 2021</w:t>
              </w:r>
            </w:hyperlink>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10-Q</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color w:val="auto"/>
              </w:rPr>
              <w:t>10.6(a)(xi)</w:t>
            </w:r>
          </w:p>
        </w:tc>
        <w:tc>
          <w:tcPr>
            <w:tcW w:w="12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8/5/2021</w:t>
            </w:r>
          </w:p>
        </w:tc>
      </w:tr>
      <w:tr>
        <w:trPr>
          <w:trHeight w:val="116"/>
        </w:trPr>
        <w:tc>
          <w:tcPr>
            <w:tcW w:w="116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220" w:type="dxa"/>
            <w:vAlign w:val="bottom"/>
            <w:tcBorders>
              <w:top w:val="single" w:sz="8" w:color="0000FF"/>
              <w:bottom w:val="single" w:sz="8" w:color="0000FF"/>
            </w:tcBorders>
            <w:shd w:val="clear" w:color="auto" w:fill="CCEEFF"/>
          </w:tcPr>
          <w:p>
            <w:pPr>
              <w:spacing w:after="0" w:line="105" w:lineRule="exact"/>
              <w:rPr>
                <w:rFonts w:ascii="Arial" w:cs="Arial" w:eastAsia="Arial" w:hAnsi="Arial"/>
                <w:sz w:val="11"/>
                <w:szCs w:val="11"/>
                <w:color w:val="0000FF"/>
                <w:w w:val="95"/>
              </w:rPr>
            </w:pPr>
            <w:hyperlink r:id="rId131">
              <w:r>
                <w:rPr>
                  <w:rFonts w:ascii="Arial" w:cs="Arial" w:eastAsia="Arial" w:hAnsi="Arial"/>
                  <w:sz w:val="11"/>
                  <w:szCs w:val="11"/>
                  <w:color w:val="0000FF"/>
                  <w:w w:val="95"/>
                </w:rPr>
                <w:t>PIP.</w:t>
              </w:r>
            </w:hyperlink>
          </w:p>
        </w:tc>
        <w:tc>
          <w:tcPr>
            <w:tcW w:w="4840" w:type="dxa"/>
            <w:vAlign w:val="bottom"/>
            <w:tcBorders>
              <w:top w:val="single" w:sz="8" w:color="0000FF"/>
              <w:bottom w:val="single" w:sz="8" w:color="CCEEFF"/>
              <w:right w:val="single" w:sz="8" w:color="CCEEFF"/>
            </w:tcBorders>
            <w:gridSpan w:val="15"/>
            <w:shd w:val="clear" w:color="auto" w:fill="CCEEFF"/>
          </w:tcPr>
          <w:p>
            <w:pPr>
              <w:spacing w:after="0"/>
              <w:rPr>
                <w:sz w:val="10"/>
                <w:szCs w:val="10"/>
                <w:color w:val="auto"/>
              </w:rPr>
            </w:pPr>
          </w:p>
        </w:tc>
        <w:tc>
          <w:tcPr>
            <w:tcW w:w="280" w:type="dxa"/>
            <w:vAlign w:val="bottom"/>
            <w:tcBorders>
              <w:top w:val="single" w:sz="8" w:color="CCEEFF"/>
              <w:left w:val="single" w:sz="8" w:color="CCEEFF"/>
              <w:bottom w:val="single" w:sz="8" w:color="CCEEFF"/>
            </w:tcBorders>
            <w:gridSpan w:val="9"/>
            <w:shd w:val="clear" w:color="auto" w:fill="CCEEFF"/>
          </w:tcPr>
          <w:p>
            <w:pPr>
              <w:spacing w:after="0"/>
              <w:rPr>
                <w:sz w:val="10"/>
                <w:szCs w:val="10"/>
                <w:color w:val="auto"/>
              </w:rPr>
            </w:pPr>
          </w:p>
        </w:tc>
        <w:tc>
          <w:tcPr>
            <w:tcW w:w="8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08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200" w:type="dxa"/>
            <w:vAlign w:val="bottom"/>
            <w:tcBorders>
              <w:top w:val="single" w:sz="8" w:color="CCEEFF"/>
              <w:bottom w:val="single" w:sz="8" w:color="CCEEFF"/>
            </w:tcBorders>
            <w:shd w:val="clear" w:color="auto" w:fill="CCEEFF"/>
          </w:tcPr>
          <w:p>
            <w:pPr>
              <w:spacing w:after="0"/>
              <w:rPr>
                <w:sz w:val="10"/>
                <w:szCs w:val="10"/>
                <w:color w:val="auto"/>
              </w:rPr>
            </w:pP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c>
          <w:tcPr>
            <w:tcW w:w="1240" w:type="dxa"/>
            <w:vAlign w:val="bottom"/>
            <w:tcBorders>
              <w:top w:val="single" w:sz="8" w:color="CCEEFF"/>
              <w:bottom w:val="single" w:sz="8" w:color="CCEEFF"/>
            </w:tcBorders>
            <w:shd w:val="clear" w:color="auto" w:fill="CCEEFF"/>
          </w:tcPr>
          <w:p>
            <w:pPr>
              <w:spacing w:after="0"/>
              <w:rPr>
                <w:sz w:val="10"/>
                <w:szCs w:val="10"/>
                <w:color w:val="auto"/>
              </w:rPr>
            </w:pPr>
          </w:p>
        </w:tc>
      </w:tr>
      <w:tr>
        <w:trPr>
          <w:trHeight w:val="135"/>
        </w:trPr>
        <w:tc>
          <w:tcPr>
            <w:tcW w:w="126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*10.4(a)(vi)</w:t>
            </w:r>
          </w:p>
        </w:tc>
        <w:tc>
          <w:tcPr>
            <w:tcW w:w="5340" w:type="dxa"/>
            <w:vAlign w:val="bottom"/>
            <w:gridSpan w:val="25"/>
          </w:tcPr>
          <w:p>
            <w:pPr>
              <w:spacing w:after="0" w:line="136" w:lineRule="exact"/>
              <w:rPr>
                <w:rFonts w:ascii="Arial" w:cs="Arial" w:eastAsia="Arial" w:hAnsi="Arial"/>
                <w:sz w:val="13"/>
                <w:szCs w:val="13"/>
                <w:color w:val="0000FF"/>
              </w:rPr>
            </w:pPr>
            <w:hyperlink r:id="rId132">
              <w:r>
                <w:rPr>
                  <w:rFonts w:ascii="Arial" w:cs="Arial" w:eastAsia="Arial" w:hAnsi="Arial"/>
                  <w:sz w:val="13"/>
                  <w:szCs w:val="13"/>
                  <w:color w:val="0000FF"/>
                </w:rPr>
                <w:t>Form of Performance Stock Unit Award Agreement 2021 ("Share Hurdle Metric") under the</w:t>
              </w:r>
            </w:hyperlink>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line="136" w:lineRule="exact"/>
              <w:rPr>
                <w:sz w:val="20"/>
                <w:szCs w:val="20"/>
                <w:color w:val="auto"/>
              </w:rPr>
            </w:pPr>
            <w:r>
              <w:rPr>
                <w:rFonts w:ascii="Arial" w:cs="Arial" w:eastAsia="Arial" w:hAnsi="Arial"/>
                <w:sz w:val="13"/>
                <w:szCs w:val="13"/>
                <w:color w:val="auto"/>
              </w:rPr>
              <w:t>10-Q</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spacing w:after="0" w:line="136" w:lineRule="exact"/>
              <w:rPr>
                <w:sz w:val="20"/>
                <w:szCs w:val="20"/>
                <w:color w:val="auto"/>
              </w:rPr>
            </w:pPr>
            <w:r>
              <w:rPr>
                <w:rFonts w:ascii="Arial" w:cs="Arial" w:eastAsia="Arial" w:hAnsi="Arial"/>
                <w:sz w:val="13"/>
                <w:szCs w:val="13"/>
                <w:color w:val="auto"/>
              </w:rPr>
              <w:t>10.6(a)(xii)</w:t>
            </w:r>
          </w:p>
        </w:tc>
        <w:tc>
          <w:tcPr>
            <w:tcW w:w="1240" w:type="dxa"/>
            <w:vAlign w:val="bottom"/>
          </w:tcPr>
          <w:p>
            <w:pPr>
              <w:spacing w:after="0" w:line="136" w:lineRule="exact"/>
              <w:rPr>
                <w:sz w:val="20"/>
                <w:szCs w:val="20"/>
                <w:color w:val="auto"/>
              </w:rPr>
            </w:pPr>
            <w:r>
              <w:rPr>
                <w:rFonts w:ascii="Arial" w:cs="Arial" w:eastAsia="Arial" w:hAnsi="Arial"/>
                <w:sz w:val="13"/>
                <w:szCs w:val="13"/>
                <w:color w:val="auto"/>
              </w:rPr>
              <w:t>8/5/2021</w:t>
            </w:r>
          </w:p>
        </w:tc>
      </w:tr>
      <w:tr>
        <w:trPr>
          <w:trHeight w:val="105"/>
        </w:trPr>
        <w:tc>
          <w:tcPr>
            <w:tcW w:w="1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60" w:type="dxa"/>
            <w:vAlign w:val="bottom"/>
            <w:tcBorders>
              <w:top w:val="single" w:sz="8" w:color="0000FF"/>
            </w:tcBorders>
            <w:gridSpan w:val="16"/>
          </w:tcPr>
          <w:p>
            <w:pPr>
              <w:spacing w:after="0" w:line="105" w:lineRule="exact"/>
              <w:rPr>
                <w:rFonts w:ascii="Arial" w:cs="Arial" w:eastAsia="Arial" w:hAnsi="Arial"/>
                <w:sz w:val="11"/>
                <w:szCs w:val="11"/>
                <w:color w:val="0000FF"/>
              </w:rPr>
            </w:pPr>
            <w:hyperlink r:id="rId132">
              <w:r>
                <w:rPr>
                  <w:rFonts w:ascii="Arial" w:cs="Arial" w:eastAsia="Arial" w:hAnsi="Arial"/>
                  <w:sz w:val="11"/>
                  <w:szCs w:val="11"/>
                  <w:color w:val="0000FF"/>
                </w:rPr>
                <w:t>2021 PIP.</w:t>
              </w:r>
            </w:hyperlink>
          </w:p>
        </w:tc>
        <w:tc>
          <w:tcPr>
            <w:tcW w:w="280" w:type="dxa"/>
            <w:vAlign w:val="bottom"/>
            <w:gridSpan w:val="9"/>
          </w:tcPr>
          <w:p>
            <w:pPr>
              <w:spacing w:after="0"/>
              <w:rPr>
                <w:sz w:val="9"/>
                <w:szCs w:val="9"/>
                <w:color w:val="auto"/>
              </w:rPr>
            </w:pPr>
          </w:p>
        </w:tc>
        <w:tc>
          <w:tcPr>
            <w:tcW w:w="8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r>
      <w:tr>
        <w:trPr>
          <w:trHeight w:val="26"/>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41"/>
        </w:trPr>
        <w:tc>
          <w:tcPr>
            <w:tcW w:w="1260" w:type="dxa"/>
            <w:vAlign w:val="bottom"/>
            <w:tcBorders>
              <w:right w:val="single" w:sz="8" w:color="CCEEFF"/>
            </w:tcBorders>
            <w:gridSpan w:val="2"/>
            <w:shd w:val="clear" w:color="auto" w:fill="CCEEFF"/>
          </w:tcPr>
          <w:p>
            <w:pPr>
              <w:ind w:left="20"/>
              <w:spacing w:after="0" w:line="141" w:lineRule="exact"/>
              <w:rPr>
                <w:sz w:val="20"/>
                <w:szCs w:val="20"/>
                <w:color w:val="auto"/>
              </w:rPr>
            </w:pPr>
            <w:r>
              <w:rPr>
                <w:rFonts w:ascii="Arial" w:cs="Arial" w:eastAsia="Arial" w:hAnsi="Arial"/>
                <w:sz w:val="13"/>
                <w:szCs w:val="13"/>
                <w:color w:val="auto"/>
              </w:rPr>
              <w:t>*10.4(a)(vii)</w:t>
            </w:r>
          </w:p>
        </w:tc>
        <w:tc>
          <w:tcPr>
            <w:tcW w:w="5340" w:type="dxa"/>
            <w:vAlign w:val="bottom"/>
            <w:gridSpan w:val="25"/>
            <w:shd w:val="clear" w:color="auto" w:fill="CCEEFF"/>
          </w:tcPr>
          <w:p>
            <w:pPr>
              <w:spacing w:after="0" w:line="141" w:lineRule="exact"/>
              <w:rPr>
                <w:rFonts w:ascii="Arial" w:cs="Arial" w:eastAsia="Arial" w:hAnsi="Arial"/>
                <w:sz w:val="13"/>
                <w:szCs w:val="13"/>
                <w:color w:val="0000FF"/>
              </w:rPr>
            </w:pPr>
            <w:hyperlink r:id="rId133">
              <w:r>
                <w:rPr>
                  <w:rFonts w:ascii="Arial" w:cs="Arial" w:eastAsia="Arial" w:hAnsi="Arial"/>
                  <w:sz w:val="13"/>
                  <w:szCs w:val="13"/>
                  <w:color w:val="0000FF"/>
                </w:rPr>
                <w:t>Form of Restricted Stock Unit Award Agreement 2022 under the 2021 PIP</w:t>
              </w:r>
            </w:hyperlink>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10-Q</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spacing w:after="0" w:line="141" w:lineRule="exact"/>
              <w:rPr>
                <w:sz w:val="20"/>
                <w:szCs w:val="20"/>
                <w:color w:val="auto"/>
              </w:rPr>
            </w:pPr>
            <w:r>
              <w:rPr>
                <w:rFonts w:ascii="Arial" w:cs="Arial" w:eastAsia="Arial" w:hAnsi="Arial"/>
                <w:sz w:val="13"/>
                <w:szCs w:val="13"/>
                <w:color w:val="auto"/>
              </w:rPr>
              <w:t>10.6(a)(ix)</w:t>
            </w:r>
          </w:p>
        </w:tc>
        <w:tc>
          <w:tcPr>
            <w:tcW w:w="124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5/3/2022</w:t>
            </w:r>
          </w:p>
        </w:tc>
      </w:tr>
      <w:tr>
        <w:trPr>
          <w:trHeight w:val="31"/>
        </w:trPr>
        <w:tc>
          <w:tcPr>
            <w:tcW w:w="11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8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300" w:type="dxa"/>
            <w:vAlign w:val="bottom"/>
            <w:tcBorders>
              <w:right w:val="single" w:sz="8" w:color="CCEEFF"/>
            </w:tcBorders>
            <w:shd w:val="clear" w:color="auto" w:fill="0000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60" w:type="dxa"/>
            <w:vAlign w:val="bottom"/>
            <w:tcBorders>
              <w:right w:val="single" w:sz="8" w:color="CCEEFF"/>
            </w:tcBorders>
            <w:shd w:val="clear" w:color="auto" w:fill="CCEEFF"/>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r>
        <w:trPr>
          <w:trHeight w:val="135"/>
        </w:trPr>
        <w:tc>
          <w:tcPr>
            <w:tcW w:w="1260" w:type="dxa"/>
            <w:vAlign w:val="bottom"/>
            <w:gridSpan w:val="2"/>
          </w:tcPr>
          <w:p>
            <w:pPr>
              <w:ind w:left="20"/>
              <w:spacing w:after="0" w:line="136" w:lineRule="exact"/>
              <w:rPr>
                <w:sz w:val="20"/>
                <w:szCs w:val="20"/>
                <w:color w:val="auto"/>
              </w:rPr>
            </w:pPr>
            <w:r>
              <w:rPr>
                <w:rFonts w:ascii="Arial" w:cs="Arial" w:eastAsia="Arial" w:hAnsi="Arial"/>
                <w:sz w:val="13"/>
                <w:szCs w:val="13"/>
                <w:color w:val="auto"/>
              </w:rPr>
              <w:t>*10.4(a)(viii)</w:t>
            </w:r>
          </w:p>
        </w:tc>
        <w:tc>
          <w:tcPr>
            <w:tcW w:w="5060" w:type="dxa"/>
            <w:vAlign w:val="bottom"/>
            <w:tcBorders>
              <w:bottom w:val="single" w:sz="8" w:color="0000FF"/>
            </w:tcBorders>
            <w:gridSpan w:val="16"/>
          </w:tcPr>
          <w:p>
            <w:pPr>
              <w:spacing w:after="0" w:line="136" w:lineRule="exact"/>
              <w:rPr>
                <w:rFonts w:ascii="Arial" w:cs="Arial" w:eastAsia="Arial" w:hAnsi="Arial"/>
                <w:sz w:val="13"/>
                <w:szCs w:val="13"/>
                <w:color w:val="0000FF"/>
                <w:w w:val="99"/>
              </w:rPr>
            </w:pPr>
            <w:hyperlink r:id="rId134">
              <w:r>
                <w:rPr>
                  <w:rFonts w:ascii="Arial" w:cs="Arial" w:eastAsia="Arial" w:hAnsi="Arial"/>
                  <w:sz w:val="13"/>
                  <w:szCs w:val="13"/>
                  <w:color w:val="0000FF"/>
                  <w:w w:val="99"/>
                </w:rPr>
                <w:t>Form of Performance Restricted Stock Unit Award Agreement 2022 under the 2021 PIP</w:t>
              </w:r>
            </w:hyperlink>
          </w:p>
        </w:tc>
        <w:tc>
          <w:tcPr>
            <w:tcW w:w="280" w:type="dxa"/>
            <w:vAlign w:val="bottom"/>
            <w:gridSpan w:val="9"/>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line="136" w:lineRule="exact"/>
              <w:rPr>
                <w:sz w:val="20"/>
                <w:szCs w:val="20"/>
                <w:color w:val="auto"/>
              </w:rPr>
            </w:pPr>
            <w:r>
              <w:rPr>
                <w:rFonts w:ascii="Arial" w:cs="Arial" w:eastAsia="Arial" w:hAnsi="Arial"/>
                <w:sz w:val="13"/>
                <w:szCs w:val="13"/>
                <w:color w:val="auto"/>
              </w:rPr>
              <w:t>10-Q</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tcPr>
          <w:p>
            <w:pPr>
              <w:spacing w:after="0" w:line="136" w:lineRule="exact"/>
              <w:rPr>
                <w:sz w:val="20"/>
                <w:szCs w:val="20"/>
                <w:color w:val="auto"/>
              </w:rPr>
            </w:pPr>
            <w:r>
              <w:rPr>
                <w:rFonts w:ascii="Arial" w:cs="Arial" w:eastAsia="Arial" w:hAnsi="Arial"/>
                <w:sz w:val="13"/>
                <w:szCs w:val="13"/>
                <w:color w:val="auto"/>
              </w:rPr>
              <w:t>10.6(a)(x)</w:t>
            </w:r>
          </w:p>
        </w:tc>
        <w:tc>
          <w:tcPr>
            <w:tcW w:w="1240" w:type="dxa"/>
            <w:vAlign w:val="bottom"/>
          </w:tcPr>
          <w:p>
            <w:pPr>
              <w:spacing w:after="0" w:line="136" w:lineRule="exact"/>
              <w:rPr>
                <w:sz w:val="20"/>
                <w:szCs w:val="20"/>
                <w:color w:val="auto"/>
              </w:rPr>
            </w:pPr>
            <w:r>
              <w:rPr>
                <w:rFonts w:ascii="Arial" w:cs="Arial" w:eastAsia="Arial" w:hAnsi="Arial"/>
                <w:sz w:val="13"/>
                <w:szCs w:val="13"/>
                <w:color w:val="auto"/>
              </w:rPr>
              <w:t>5/3/2022</w:t>
            </w:r>
          </w:p>
        </w:tc>
      </w:tr>
    </w:tbl>
    <w:p>
      <w:pPr>
        <w:spacing w:after="0" w:line="200" w:lineRule="exact"/>
        <w:rPr>
          <w:sz w:val="20"/>
          <w:szCs w:val="20"/>
          <w:color w:val="auto"/>
        </w:rPr>
      </w:pPr>
    </w:p>
    <w:p>
      <w:pPr>
        <w:spacing w:after="0" w:line="223"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5">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98" w:name="page99"/>
    <w:bookmarkEnd w:id="98"/>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*10.4(a)(ix)</w:t>
            </w:r>
          </w:p>
        </w:tc>
        <w:tc>
          <w:tcPr>
            <w:tcW w:w="5220" w:type="dxa"/>
            <w:vAlign w:val="bottom"/>
            <w:gridSpan w:val="18"/>
            <w:shd w:val="clear" w:color="auto" w:fill="CCEEFF"/>
          </w:tcPr>
          <w:p>
            <w:pPr>
              <w:spacing w:after="0"/>
              <w:rPr>
                <w:rFonts w:ascii="Arial" w:cs="Arial" w:eastAsia="Arial" w:hAnsi="Arial"/>
                <w:sz w:val="13"/>
                <w:szCs w:val="13"/>
                <w:color w:val="0000FF"/>
              </w:rPr>
            </w:pPr>
            <w:hyperlink r:id="rId136">
              <w:r>
                <w:rPr>
                  <w:rFonts w:ascii="Arial" w:cs="Arial" w:eastAsia="Arial" w:hAnsi="Arial"/>
                  <w:sz w:val="13"/>
                  <w:szCs w:val="13"/>
                  <w:color w:val="0000FF"/>
                </w:rPr>
                <w:t>Form of Agreement for Non-Employee Directors under 2021 PIP.</w:t>
              </w:r>
            </w:hyperlink>
          </w:p>
        </w:tc>
        <w:tc>
          <w:tcPr>
            <w:tcW w:w="2240" w:type="dxa"/>
            <w:vAlign w:val="bottom"/>
            <w:shd w:val="clear" w:color="auto" w:fill="CCEEFF"/>
          </w:tcPr>
          <w:p>
            <w:pPr>
              <w:ind w:left="1080"/>
              <w:spacing w:after="0"/>
              <w:rPr>
                <w:sz w:val="20"/>
                <w:szCs w:val="20"/>
                <w:color w:val="auto"/>
              </w:rPr>
            </w:pPr>
            <w:r>
              <w:rPr>
                <w:rFonts w:ascii="Arial" w:cs="Arial" w:eastAsia="Arial" w:hAnsi="Arial"/>
                <w:sz w:val="13"/>
                <w:szCs w:val="13"/>
                <w:color w:val="auto"/>
              </w:rPr>
              <w:t>10-Q</w:t>
            </w:r>
          </w:p>
        </w:tc>
        <w:tc>
          <w:tcPr>
            <w:tcW w:w="1020" w:type="dxa"/>
            <w:vAlign w:val="bottom"/>
            <w:shd w:val="clear" w:color="auto" w:fill="CCEEFF"/>
          </w:tcPr>
          <w:p>
            <w:pPr>
              <w:ind w:left="60"/>
              <w:spacing w:after="0"/>
              <w:rPr>
                <w:sz w:val="20"/>
                <w:szCs w:val="20"/>
                <w:color w:val="auto"/>
              </w:rPr>
            </w:pPr>
            <w:r>
              <w:rPr>
                <w:rFonts w:ascii="Arial" w:cs="Arial" w:eastAsia="Arial" w:hAnsi="Arial"/>
                <w:sz w:val="13"/>
                <w:szCs w:val="13"/>
                <w:color w:val="auto"/>
              </w:rPr>
              <w:t>10.6(a)(xiii)</w:t>
            </w:r>
          </w:p>
        </w:tc>
        <w:tc>
          <w:tcPr>
            <w:tcW w:w="1560" w:type="dxa"/>
            <w:vAlign w:val="bottom"/>
            <w:shd w:val="clear" w:color="auto" w:fill="CCEEFF"/>
          </w:tcPr>
          <w:p>
            <w:pPr>
              <w:ind w:left="320"/>
              <w:spacing w:after="0"/>
              <w:rPr>
                <w:sz w:val="20"/>
                <w:szCs w:val="20"/>
                <w:color w:val="auto"/>
              </w:rPr>
            </w:pPr>
            <w:r>
              <w:rPr>
                <w:rFonts w:ascii="Arial" w:cs="Arial" w:eastAsia="Arial" w:hAnsi="Arial"/>
                <w:sz w:val="13"/>
                <w:szCs w:val="13"/>
                <w:color w:val="auto"/>
              </w:rPr>
              <w:t>8/5/2021</w:t>
            </w:r>
          </w:p>
        </w:tc>
      </w:tr>
      <w:tr>
        <w:trPr>
          <w:trHeight w:val="31"/>
        </w:trPr>
        <w:tc>
          <w:tcPr>
            <w:tcW w:w="1240" w:type="dxa"/>
            <w:vAlign w:val="bottom"/>
            <w:shd w:val="clear" w:color="auto" w:fill="CCEE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r>
        <w:trPr>
          <w:trHeight w:val="126"/>
        </w:trPr>
        <w:tc>
          <w:tcPr>
            <w:tcW w:w="1240" w:type="dxa"/>
            <w:vAlign w:val="bottom"/>
          </w:tcPr>
          <w:p>
            <w:pPr>
              <w:ind w:left="20"/>
              <w:spacing w:after="0" w:line="125" w:lineRule="exact"/>
              <w:rPr>
                <w:sz w:val="20"/>
                <w:szCs w:val="20"/>
                <w:color w:val="auto"/>
              </w:rPr>
            </w:pPr>
            <w:r>
              <w:rPr>
                <w:rFonts w:ascii="Arial" w:cs="Arial" w:eastAsia="Arial" w:hAnsi="Arial"/>
                <w:sz w:val="13"/>
                <w:szCs w:val="13"/>
                <w:color w:val="auto"/>
              </w:rPr>
              <w:t>*10.4(a)(x)</w:t>
            </w:r>
          </w:p>
        </w:tc>
        <w:tc>
          <w:tcPr>
            <w:tcW w:w="5220" w:type="dxa"/>
            <w:vAlign w:val="bottom"/>
            <w:tcBorders>
              <w:bottom w:val="single" w:sz="8" w:color="0000FF"/>
            </w:tcBorders>
            <w:gridSpan w:val="18"/>
          </w:tcPr>
          <w:p>
            <w:pPr>
              <w:spacing w:after="0" w:line="125" w:lineRule="exact"/>
              <w:rPr>
                <w:rFonts w:ascii="Arial" w:cs="Arial" w:eastAsia="Arial" w:hAnsi="Arial"/>
                <w:sz w:val="13"/>
                <w:szCs w:val="13"/>
                <w:color w:val="0000FF"/>
                <w:w w:val="95"/>
              </w:rPr>
            </w:pPr>
            <w:hyperlink r:id="rId137">
              <w:r>
                <w:rPr>
                  <w:rFonts w:ascii="Arial" w:cs="Arial" w:eastAsia="Arial" w:hAnsi="Arial"/>
                  <w:sz w:val="13"/>
                  <w:szCs w:val="13"/>
                  <w:color w:val="0000FF"/>
                  <w:w w:val="95"/>
                </w:rPr>
                <w:t>Registrant’s Equity Compensation Plan for Non-Employee Directors dated as of December 15,</w:t>
              </w:r>
            </w:hyperlink>
          </w:p>
        </w:tc>
        <w:tc>
          <w:tcPr>
            <w:tcW w:w="2240" w:type="dxa"/>
            <w:vAlign w:val="bottom"/>
          </w:tcPr>
          <w:p>
            <w:pPr>
              <w:ind w:left="1080"/>
              <w:spacing w:after="0" w:line="125" w:lineRule="exact"/>
              <w:rPr>
                <w:sz w:val="20"/>
                <w:szCs w:val="20"/>
                <w:color w:val="auto"/>
              </w:rPr>
            </w:pPr>
            <w:r>
              <w:rPr>
                <w:rFonts w:ascii="Arial" w:cs="Arial" w:eastAsia="Arial" w:hAnsi="Arial"/>
                <w:sz w:val="11"/>
                <w:szCs w:val="11"/>
                <w:color w:val="auto"/>
              </w:rPr>
              <w:t>Registration</w:t>
            </w:r>
          </w:p>
        </w:tc>
        <w:tc>
          <w:tcPr>
            <w:tcW w:w="1020" w:type="dxa"/>
            <w:vAlign w:val="bottom"/>
          </w:tcPr>
          <w:p>
            <w:pPr>
              <w:ind w:left="60"/>
              <w:spacing w:after="0" w:line="125" w:lineRule="exact"/>
              <w:rPr>
                <w:sz w:val="20"/>
                <w:szCs w:val="20"/>
                <w:color w:val="auto"/>
              </w:rPr>
            </w:pPr>
            <w:r>
              <w:rPr>
                <w:rFonts w:ascii="Arial" w:cs="Arial" w:eastAsia="Arial" w:hAnsi="Arial"/>
                <w:sz w:val="13"/>
                <w:szCs w:val="13"/>
                <w:color w:val="auto"/>
              </w:rPr>
              <w:t>4.4</w:t>
            </w:r>
          </w:p>
        </w:tc>
        <w:tc>
          <w:tcPr>
            <w:tcW w:w="1560" w:type="dxa"/>
            <w:vAlign w:val="bottom"/>
          </w:tcPr>
          <w:p>
            <w:pPr>
              <w:ind w:left="320"/>
              <w:spacing w:after="0" w:line="125" w:lineRule="exact"/>
              <w:rPr>
                <w:sz w:val="20"/>
                <w:szCs w:val="20"/>
                <w:color w:val="auto"/>
              </w:rPr>
            </w:pPr>
            <w:r>
              <w:rPr>
                <w:rFonts w:ascii="Arial" w:cs="Arial" w:eastAsia="Arial" w:hAnsi="Arial"/>
                <w:sz w:val="13"/>
                <w:szCs w:val="13"/>
                <w:color w:val="auto"/>
              </w:rPr>
              <w:t>12/29/2016</w:t>
            </w:r>
          </w:p>
        </w:tc>
      </w:tr>
      <w:tr>
        <w:trPr>
          <w:trHeight w:val="105"/>
        </w:trPr>
        <w:tc>
          <w:tcPr>
            <w:tcW w:w="1240" w:type="dxa"/>
            <w:vAlign w:val="bottom"/>
          </w:tcPr>
          <w:p>
            <w:pPr>
              <w:spacing w:after="0"/>
              <w:rPr>
                <w:sz w:val="9"/>
                <w:szCs w:val="9"/>
                <w:color w:val="auto"/>
              </w:rPr>
            </w:pPr>
          </w:p>
        </w:tc>
        <w:tc>
          <w:tcPr>
            <w:tcW w:w="5220" w:type="dxa"/>
            <w:vAlign w:val="bottom"/>
            <w:gridSpan w:val="18"/>
          </w:tcPr>
          <w:p>
            <w:pPr>
              <w:spacing w:after="0" w:line="104" w:lineRule="exact"/>
              <w:rPr>
                <w:rFonts w:ascii="Arial" w:cs="Arial" w:eastAsia="Arial" w:hAnsi="Arial"/>
                <w:sz w:val="11"/>
                <w:szCs w:val="11"/>
                <w:color w:val="0000FF"/>
              </w:rPr>
            </w:pPr>
            <w:hyperlink r:id="rId137">
              <w:r>
                <w:rPr>
                  <w:rFonts w:ascii="Arial" w:cs="Arial" w:eastAsia="Arial" w:hAnsi="Arial"/>
                  <w:sz w:val="11"/>
                  <w:szCs w:val="11"/>
                  <w:color w:val="0000FF"/>
                </w:rPr>
                <w:t>2016 (“ECPNED”).</w:t>
              </w:r>
            </w:hyperlink>
          </w:p>
        </w:tc>
        <w:tc>
          <w:tcPr>
            <w:tcW w:w="2240" w:type="dxa"/>
            <w:vAlign w:val="bottom"/>
          </w:tcPr>
          <w:p>
            <w:pPr>
              <w:ind w:left="1080"/>
              <w:spacing w:after="0" w:line="104" w:lineRule="exact"/>
              <w:rPr>
                <w:sz w:val="20"/>
                <w:szCs w:val="20"/>
                <w:color w:val="auto"/>
              </w:rPr>
            </w:pPr>
            <w:r>
              <w:rPr>
                <w:rFonts w:ascii="Arial" w:cs="Arial" w:eastAsia="Arial" w:hAnsi="Arial"/>
                <w:sz w:val="11"/>
                <w:szCs w:val="11"/>
                <w:color w:val="auto"/>
              </w:rPr>
              <w:t>Statement on Form S-</w:t>
            </w:r>
          </w:p>
        </w:tc>
        <w:tc>
          <w:tcPr>
            <w:tcW w:w="1020" w:type="dxa"/>
            <w:vAlign w:val="bottom"/>
          </w:tcPr>
          <w:p>
            <w:pPr>
              <w:spacing w:after="0"/>
              <w:rPr>
                <w:sz w:val="9"/>
                <w:szCs w:val="9"/>
                <w:color w:val="auto"/>
              </w:rPr>
            </w:pPr>
          </w:p>
        </w:tc>
        <w:tc>
          <w:tcPr>
            <w:tcW w:w="1560" w:type="dxa"/>
            <w:vAlign w:val="bottom"/>
          </w:tcPr>
          <w:p>
            <w:pPr>
              <w:spacing w:after="0"/>
              <w:rPr>
                <w:sz w:val="9"/>
                <w:szCs w:val="9"/>
                <w:color w:val="auto"/>
              </w:rPr>
            </w:pPr>
          </w:p>
        </w:tc>
      </w:tr>
      <w:tr>
        <w:trPr>
          <w:trHeight w:val="104"/>
        </w:trPr>
        <w:tc>
          <w:tcPr>
            <w:tcW w:w="1240" w:type="dxa"/>
            <w:vAlign w:val="bottom"/>
          </w:tcPr>
          <w:p>
            <w:pPr>
              <w:spacing w:after="0"/>
              <w:rPr>
                <w:sz w:val="9"/>
                <w:szCs w:val="9"/>
                <w:color w:val="auto"/>
              </w:rPr>
            </w:pPr>
          </w:p>
        </w:tc>
        <w:tc>
          <w:tcPr>
            <w:tcW w:w="220" w:type="dxa"/>
            <w:vAlign w:val="bottom"/>
            <w:tcBorders>
              <w:top w:val="single" w:sz="8" w:color="0000FF"/>
            </w:tcBorders>
          </w:tcPr>
          <w:p>
            <w:pPr>
              <w:spacing w:after="0"/>
              <w:rPr>
                <w:sz w:val="9"/>
                <w:szCs w:val="9"/>
                <w:color w:val="auto"/>
              </w:rPr>
            </w:pPr>
          </w:p>
        </w:tc>
        <w:tc>
          <w:tcPr>
            <w:tcW w:w="200" w:type="dxa"/>
            <w:vAlign w:val="bottom"/>
            <w:tcBorders>
              <w:top w:val="single" w:sz="8" w:color="0000FF"/>
            </w:tcBorders>
          </w:tcPr>
          <w:p>
            <w:pPr>
              <w:spacing w:after="0"/>
              <w:rPr>
                <w:sz w:val="9"/>
                <w:szCs w:val="9"/>
                <w:color w:val="auto"/>
              </w:rPr>
            </w:pPr>
          </w:p>
        </w:tc>
        <w:tc>
          <w:tcPr>
            <w:tcW w:w="620" w:type="dxa"/>
            <w:vAlign w:val="bottom"/>
            <w:tcBorders>
              <w:top w:val="single" w:sz="8" w:color="0000FF"/>
            </w:tcBorders>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tcPr>
          <w:p>
            <w:pPr>
              <w:ind w:left="1080"/>
              <w:spacing w:after="0" w:line="104" w:lineRule="exact"/>
              <w:rPr>
                <w:sz w:val="20"/>
                <w:szCs w:val="20"/>
                <w:color w:val="auto"/>
              </w:rPr>
            </w:pPr>
            <w:r>
              <w:rPr>
                <w:rFonts w:ascii="Arial" w:cs="Arial" w:eastAsia="Arial" w:hAnsi="Arial"/>
                <w:sz w:val="11"/>
                <w:szCs w:val="11"/>
                <w:color w:val="auto"/>
              </w:rPr>
              <w:t>8 (No. 333-215361)</w:t>
            </w:r>
          </w:p>
        </w:tc>
        <w:tc>
          <w:tcPr>
            <w:tcW w:w="1020" w:type="dxa"/>
            <w:vAlign w:val="bottom"/>
          </w:tcPr>
          <w:p>
            <w:pPr>
              <w:spacing w:after="0"/>
              <w:rPr>
                <w:sz w:val="9"/>
                <w:szCs w:val="9"/>
                <w:color w:val="auto"/>
              </w:rPr>
            </w:pPr>
          </w:p>
        </w:tc>
        <w:tc>
          <w:tcPr>
            <w:tcW w:w="1560" w:type="dxa"/>
            <w:vAlign w:val="bottom"/>
          </w:tcPr>
          <w:p>
            <w:pPr>
              <w:spacing w:after="0"/>
              <w:rPr>
                <w:sz w:val="9"/>
                <w:szCs w:val="9"/>
                <w:color w:val="auto"/>
              </w:rPr>
            </w:pPr>
          </w:p>
        </w:tc>
      </w:tr>
      <w:tr>
        <w:trPr>
          <w:trHeight w:val="157"/>
        </w:trPr>
        <w:tc>
          <w:tcPr>
            <w:tcW w:w="1240" w:type="dxa"/>
            <w:vAlign w:val="bottom"/>
            <w:tcBorders>
              <w:bottom w:val="single" w:sz="8" w:color="CCEEFF"/>
            </w:tcBorders>
            <w:shd w:val="clear" w:color="auto" w:fill="CCEEFF"/>
          </w:tcPr>
          <w:p>
            <w:pPr>
              <w:ind w:left="20"/>
              <w:spacing w:after="0" w:line="116" w:lineRule="exact"/>
              <w:rPr>
                <w:sz w:val="20"/>
                <w:szCs w:val="20"/>
                <w:color w:val="auto"/>
              </w:rPr>
            </w:pPr>
            <w:r>
              <w:rPr>
                <w:rFonts w:ascii="Arial" w:cs="Arial" w:eastAsia="Arial" w:hAnsi="Arial"/>
                <w:sz w:val="13"/>
                <w:szCs w:val="13"/>
                <w:color w:val="auto"/>
              </w:rPr>
              <w:t>*10.4(a)(xi)</w:t>
            </w:r>
          </w:p>
        </w:tc>
        <w:tc>
          <w:tcPr>
            <w:tcW w:w="4120" w:type="dxa"/>
            <w:vAlign w:val="bottom"/>
            <w:tcBorders>
              <w:bottom w:val="single" w:sz="8" w:color="0000FF"/>
            </w:tcBorders>
            <w:gridSpan w:val="9"/>
            <w:shd w:val="clear" w:color="auto" w:fill="CCEEFF"/>
          </w:tcPr>
          <w:p>
            <w:pPr>
              <w:spacing w:after="0" w:line="116" w:lineRule="exact"/>
              <w:rPr>
                <w:rFonts w:ascii="Arial" w:cs="Arial" w:eastAsia="Arial" w:hAnsi="Arial"/>
                <w:sz w:val="13"/>
                <w:szCs w:val="13"/>
                <w:color w:val="0000FF"/>
                <w:w w:val="95"/>
              </w:rPr>
            </w:pPr>
            <w:hyperlink r:id="rId138">
              <w:r>
                <w:rPr>
                  <w:rFonts w:ascii="Arial" w:cs="Arial" w:eastAsia="Arial" w:hAnsi="Arial"/>
                  <w:sz w:val="13"/>
                  <w:szCs w:val="13"/>
                  <w:color w:val="0000FF"/>
                  <w:w w:val="95"/>
                </w:rPr>
                <w:t>Form of Restricted Stock Unit Award Agreement 2023 under the 2021 PIP.</w:t>
              </w:r>
            </w:hyperlink>
          </w:p>
        </w:tc>
        <w:tc>
          <w:tcPr>
            <w:tcW w:w="1100" w:type="dxa"/>
            <w:vAlign w:val="bottom"/>
            <w:tcBorders>
              <w:bottom w:val="single" w:sz="8" w:color="CCEEFF"/>
            </w:tcBorders>
            <w:gridSpan w:val="9"/>
            <w:shd w:val="clear" w:color="auto" w:fill="CCEEFF"/>
          </w:tcPr>
          <w:p>
            <w:pPr>
              <w:spacing w:after="0"/>
              <w:rPr>
                <w:sz w:val="13"/>
                <w:szCs w:val="13"/>
                <w:color w:val="auto"/>
              </w:rPr>
            </w:pPr>
          </w:p>
        </w:tc>
        <w:tc>
          <w:tcPr>
            <w:tcW w:w="2240" w:type="dxa"/>
            <w:vAlign w:val="bottom"/>
            <w:tcBorders>
              <w:bottom w:val="single" w:sz="8" w:color="CCEEFF"/>
            </w:tcBorders>
            <w:shd w:val="clear" w:color="auto" w:fill="CCEEFF"/>
          </w:tcPr>
          <w:p>
            <w:pPr>
              <w:ind w:left="1080"/>
              <w:spacing w:after="0" w:line="116" w:lineRule="exact"/>
              <w:rPr>
                <w:sz w:val="20"/>
                <w:szCs w:val="20"/>
                <w:color w:val="auto"/>
              </w:rPr>
            </w:pPr>
            <w:r>
              <w:rPr>
                <w:rFonts w:ascii="Arial" w:cs="Arial" w:eastAsia="Arial" w:hAnsi="Arial"/>
                <w:sz w:val="13"/>
                <w:szCs w:val="13"/>
                <w:color w:val="auto"/>
              </w:rPr>
              <w:t>10-Q</w:t>
            </w:r>
          </w:p>
        </w:tc>
        <w:tc>
          <w:tcPr>
            <w:tcW w:w="1020" w:type="dxa"/>
            <w:vAlign w:val="bottom"/>
            <w:tcBorders>
              <w:bottom w:val="single" w:sz="8" w:color="CCEEFF"/>
            </w:tcBorders>
            <w:shd w:val="clear" w:color="auto" w:fill="CCEEFF"/>
          </w:tcPr>
          <w:p>
            <w:pPr>
              <w:ind w:left="60"/>
              <w:spacing w:after="0" w:line="116" w:lineRule="exact"/>
              <w:rPr>
                <w:sz w:val="20"/>
                <w:szCs w:val="20"/>
                <w:color w:val="auto"/>
              </w:rPr>
            </w:pPr>
            <w:r>
              <w:rPr>
                <w:rFonts w:ascii="Arial" w:cs="Arial" w:eastAsia="Arial" w:hAnsi="Arial"/>
                <w:sz w:val="13"/>
                <w:szCs w:val="13"/>
                <w:color w:val="auto"/>
              </w:rPr>
              <w:t>10.6(a)(i)</w:t>
            </w:r>
          </w:p>
        </w:tc>
        <w:tc>
          <w:tcPr>
            <w:tcW w:w="1560" w:type="dxa"/>
            <w:vAlign w:val="bottom"/>
            <w:tcBorders>
              <w:bottom w:val="single" w:sz="8" w:color="CCEEFF"/>
            </w:tcBorders>
            <w:shd w:val="clear" w:color="auto" w:fill="CCEEFF"/>
          </w:tcPr>
          <w:p>
            <w:pPr>
              <w:ind w:left="320"/>
              <w:spacing w:after="0" w:line="116" w:lineRule="exact"/>
              <w:rPr>
                <w:sz w:val="20"/>
                <w:szCs w:val="20"/>
                <w:color w:val="auto"/>
              </w:rPr>
            </w:pPr>
            <w:r>
              <w:rPr>
                <w:rFonts w:ascii="Arial" w:cs="Arial" w:eastAsia="Arial" w:hAnsi="Arial"/>
                <w:sz w:val="13"/>
                <w:szCs w:val="13"/>
                <w:color w:val="auto"/>
              </w:rPr>
              <w:t>5/3/2023</w:t>
            </w:r>
          </w:p>
        </w:tc>
      </w:tr>
      <w:tr>
        <w:trPr>
          <w:trHeight w:val="135"/>
        </w:trPr>
        <w:tc>
          <w:tcPr>
            <w:tcW w:w="1240" w:type="dxa"/>
            <w:vAlign w:val="bottom"/>
          </w:tcPr>
          <w:p>
            <w:pPr>
              <w:ind w:left="20"/>
              <w:spacing w:after="0" w:line="136" w:lineRule="exact"/>
              <w:rPr>
                <w:sz w:val="20"/>
                <w:szCs w:val="20"/>
                <w:color w:val="auto"/>
              </w:rPr>
            </w:pPr>
            <w:r>
              <w:rPr>
                <w:rFonts w:ascii="Arial" w:cs="Arial" w:eastAsia="Arial" w:hAnsi="Arial"/>
                <w:sz w:val="13"/>
                <w:szCs w:val="13"/>
                <w:color w:val="auto"/>
              </w:rPr>
              <w:t>*10.4(a)(xii)</w:t>
            </w:r>
          </w:p>
        </w:tc>
        <w:tc>
          <w:tcPr>
            <w:tcW w:w="5220" w:type="dxa"/>
            <w:vAlign w:val="bottom"/>
            <w:gridSpan w:val="18"/>
          </w:tcPr>
          <w:p>
            <w:pPr>
              <w:spacing w:after="0" w:line="136" w:lineRule="exact"/>
              <w:rPr>
                <w:rFonts w:ascii="Arial" w:cs="Arial" w:eastAsia="Arial" w:hAnsi="Arial"/>
                <w:sz w:val="13"/>
                <w:szCs w:val="13"/>
                <w:color w:val="0000FF"/>
                <w:w w:val="98"/>
              </w:rPr>
            </w:pPr>
            <w:hyperlink r:id="rId139">
              <w:r>
                <w:rPr>
                  <w:rFonts w:ascii="Arial" w:cs="Arial" w:eastAsia="Arial" w:hAnsi="Arial"/>
                  <w:sz w:val="13"/>
                  <w:szCs w:val="13"/>
                  <w:color w:val="0000FF"/>
                  <w:w w:val="98"/>
                </w:rPr>
                <w:t>Form of Performance Stock Unit Award Agreement 2023 (Revenue Growth) under the 2021</w:t>
              </w:r>
            </w:hyperlink>
          </w:p>
        </w:tc>
        <w:tc>
          <w:tcPr>
            <w:tcW w:w="2240" w:type="dxa"/>
            <w:vAlign w:val="bottom"/>
          </w:tcPr>
          <w:p>
            <w:pPr>
              <w:ind w:left="1080"/>
              <w:spacing w:after="0" w:line="136" w:lineRule="exact"/>
              <w:rPr>
                <w:sz w:val="20"/>
                <w:szCs w:val="20"/>
                <w:color w:val="auto"/>
              </w:rPr>
            </w:pPr>
            <w:r>
              <w:rPr>
                <w:rFonts w:ascii="Arial" w:cs="Arial" w:eastAsia="Arial" w:hAnsi="Arial"/>
                <w:sz w:val="13"/>
                <w:szCs w:val="13"/>
                <w:color w:val="auto"/>
              </w:rPr>
              <w:t>10-Q</w:t>
            </w:r>
          </w:p>
        </w:tc>
        <w:tc>
          <w:tcPr>
            <w:tcW w:w="1020" w:type="dxa"/>
            <w:vAlign w:val="bottom"/>
          </w:tcPr>
          <w:p>
            <w:pPr>
              <w:ind w:left="60"/>
              <w:spacing w:after="0" w:line="135" w:lineRule="exact"/>
              <w:rPr>
                <w:sz w:val="20"/>
                <w:szCs w:val="20"/>
                <w:color w:val="auto"/>
              </w:rPr>
            </w:pPr>
            <w:r>
              <w:rPr>
                <w:rFonts w:ascii="Arial" w:cs="Arial" w:eastAsia="Arial" w:hAnsi="Arial"/>
                <w:sz w:val="14"/>
                <w:szCs w:val="14"/>
                <w:color w:val="auto"/>
              </w:rPr>
              <w:t>10.6(a)(ii)</w:t>
            </w:r>
          </w:p>
        </w:tc>
        <w:tc>
          <w:tcPr>
            <w:tcW w:w="1560" w:type="dxa"/>
            <w:vAlign w:val="bottom"/>
          </w:tcPr>
          <w:p>
            <w:pPr>
              <w:ind w:left="320"/>
              <w:spacing w:after="0" w:line="136" w:lineRule="exact"/>
              <w:rPr>
                <w:sz w:val="20"/>
                <w:szCs w:val="20"/>
                <w:color w:val="auto"/>
              </w:rPr>
            </w:pPr>
            <w:r>
              <w:rPr>
                <w:rFonts w:ascii="Arial" w:cs="Arial" w:eastAsia="Arial" w:hAnsi="Arial"/>
                <w:sz w:val="13"/>
                <w:szCs w:val="13"/>
                <w:color w:val="auto"/>
              </w:rPr>
              <w:t>5/3/2023</w:t>
            </w:r>
          </w:p>
        </w:tc>
      </w:tr>
      <w:tr>
        <w:trPr>
          <w:trHeight w:val="105"/>
        </w:trPr>
        <w:tc>
          <w:tcPr>
            <w:tcW w:w="1240" w:type="dxa"/>
            <w:vAlign w:val="bottom"/>
          </w:tcPr>
          <w:p>
            <w:pPr>
              <w:spacing w:after="0"/>
              <w:rPr>
                <w:sz w:val="9"/>
                <w:szCs w:val="9"/>
                <w:color w:val="auto"/>
              </w:rPr>
            </w:pPr>
          </w:p>
        </w:tc>
        <w:tc>
          <w:tcPr>
            <w:tcW w:w="5080" w:type="dxa"/>
            <w:vAlign w:val="bottom"/>
            <w:tcBorders>
              <w:top w:val="single" w:sz="8" w:color="0000FF"/>
            </w:tcBorders>
            <w:gridSpan w:val="16"/>
          </w:tcPr>
          <w:p>
            <w:pPr>
              <w:spacing w:after="0" w:line="105" w:lineRule="exact"/>
              <w:rPr>
                <w:rFonts w:ascii="Arial" w:cs="Arial" w:eastAsia="Arial" w:hAnsi="Arial"/>
                <w:sz w:val="11"/>
                <w:szCs w:val="11"/>
                <w:color w:val="0000FF"/>
              </w:rPr>
            </w:pPr>
            <w:hyperlink r:id="rId139">
              <w:r>
                <w:rPr>
                  <w:rFonts w:ascii="Arial" w:cs="Arial" w:eastAsia="Arial" w:hAnsi="Arial"/>
                  <w:sz w:val="11"/>
                  <w:szCs w:val="11"/>
                  <w:color w:val="0000FF"/>
                </w:rPr>
                <w:t>PIP.</w:t>
              </w:r>
            </w:hyperlink>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560" w:type="dxa"/>
            <w:vAlign w:val="bottom"/>
          </w:tcPr>
          <w:p>
            <w:pPr>
              <w:spacing w:after="0"/>
              <w:rPr>
                <w:sz w:val="9"/>
                <w:szCs w:val="9"/>
                <w:color w:val="auto"/>
              </w:rPr>
            </w:pPr>
          </w:p>
        </w:tc>
      </w:tr>
      <w:tr>
        <w:trPr>
          <w:trHeight w:val="26"/>
        </w:trPr>
        <w:tc>
          <w:tcPr>
            <w:tcW w:w="1240" w:type="dxa"/>
            <w:vAlign w:val="bottom"/>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63"/>
        </w:trPr>
        <w:tc>
          <w:tcPr>
            <w:tcW w:w="1240" w:type="dxa"/>
            <w:vAlign w:val="bottom"/>
            <w:tcBorders>
              <w:bottom w:val="single" w:sz="8" w:color="CCEEFF"/>
            </w:tcBorders>
            <w:shd w:val="clear" w:color="auto" w:fill="CCEEFF"/>
          </w:tcPr>
          <w:p>
            <w:pPr>
              <w:ind w:left="20"/>
              <w:spacing w:after="0" w:line="121" w:lineRule="exact"/>
              <w:rPr>
                <w:sz w:val="20"/>
                <w:szCs w:val="20"/>
                <w:color w:val="auto"/>
              </w:rPr>
            </w:pPr>
            <w:r>
              <w:rPr>
                <w:rFonts w:ascii="Arial" w:cs="Arial" w:eastAsia="Arial" w:hAnsi="Arial"/>
                <w:sz w:val="13"/>
                <w:szCs w:val="13"/>
                <w:color w:val="auto"/>
              </w:rPr>
              <w:t>*10.4(a)(xiii)</w:t>
            </w:r>
          </w:p>
        </w:tc>
        <w:tc>
          <w:tcPr>
            <w:tcW w:w="4680" w:type="dxa"/>
            <w:vAlign w:val="bottom"/>
            <w:tcBorders>
              <w:bottom w:val="single" w:sz="8" w:color="0000FF"/>
            </w:tcBorders>
            <w:gridSpan w:val="10"/>
            <w:shd w:val="clear" w:color="auto" w:fill="CCEEFF"/>
          </w:tcPr>
          <w:p>
            <w:pPr>
              <w:spacing w:after="0" w:line="121" w:lineRule="exact"/>
              <w:rPr>
                <w:rFonts w:ascii="Arial" w:cs="Arial" w:eastAsia="Arial" w:hAnsi="Arial"/>
                <w:sz w:val="13"/>
                <w:szCs w:val="13"/>
                <w:color w:val="0000FF"/>
                <w:w w:val="95"/>
              </w:rPr>
            </w:pPr>
            <w:hyperlink r:id="rId140">
              <w:r>
                <w:rPr>
                  <w:rFonts w:ascii="Arial" w:cs="Arial" w:eastAsia="Arial" w:hAnsi="Arial"/>
                  <w:sz w:val="13"/>
                  <w:szCs w:val="13"/>
                  <w:color w:val="0000FF"/>
                  <w:w w:val="95"/>
                </w:rPr>
                <w:t>Form of Performance Stock Unit Award Agreement 2023 (rTSR) under the 2021 PIP.</w:t>
              </w:r>
            </w:hyperlink>
          </w:p>
        </w:tc>
        <w:tc>
          <w:tcPr>
            <w:tcW w:w="540" w:type="dxa"/>
            <w:vAlign w:val="bottom"/>
            <w:tcBorders>
              <w:bottom w:val="single" w:sz="8" w:color="CCEEFF"/>
            </w:tcBorders>
            <w:gridSpan w:val="8"/>
            <w:shd w:val="clear" w:color="auto" w:fill="CCEEFF"/>
          </w:tcPr>
          <w:p>
            <w:pPr>
              <w:spacing w:after="0"/>
              <w:rPr>
                <w:sz w:val="14"/>
                <w:szCs w:val="14"/>
                <w:color w:val="auto"/>
              </w:rPr>
            </w:pPr>
          </w:p>
        </w:tc>
        <w:tc>
          <w:tcPr>
            <w:tcW w:w="2240" w:type="dxa"/>
            <w:vAlign w:val="bottom"/>
            <w:tcBorders>
              <w:bottom w:val="single" w:sz="8" w:color="CCEEFF"/>
            </w:tcBorders>
            <w:shd w:val="clear" w:color="auto" w:fill="CCEEFF"/>
          </w:tcPr>
          <w:p>
            <w:pPr>
              <w:ind w:left="1080"/>
              <w:spacing w:after="0" w:line="121" w:lineRule="exact"/>
              <w:rPr>
                <w:sz w:val="20"/>
                <w:szCs w:val="20"/>
                <w:color w:val="auto"/>
              </w:rPr>
            </w:pPr>
            <w:r>
              <w:rPr>
                <w:rFonts w:ascii="Arial" w:cs="Arial" w:eastAsia="Arial" w:hAnsi="Arial"/>
                <w:sz w:val="13"/>
                <w:szCs w:val="13"/>
                <w:color w:val="auto"/>
              </w:rPr>
              <w:t>10-Q</w:t>
            </w:r>
          </w:p>
        </w:tc>
        <w:tc>
          <w:tcPr>
            <w:tcW w:w="1020" w:type="dxa"/>
            <w:vAlign w:val="bottom"/>
            <w:tcBorders>
              <w:bottom w:val="single" w:sz="8" w:color="CCEEFF"/>
            </w:tcBorders>
            <w:shd w:val="clear" w:color="auto" w:fill="CCEEFF"/>
          </w:tcPr>
          <w:p>
            <w:pPr>
              <w:ind w:left="60"/>
              <w:spacing w:after="0" w:line="121" w:lineRule="exact"/>
              <w:rPr>
                <w:sz w:val="20"/>
                <w:szCs w:val="20"/>
                <w:color w:val="auto"/>
              </w:rPr>
            </w:pPr>
            <w:r>
              <w:rPr>
                <w:rFonts w:ascii="Arial" w:cs="Arial" w:eastAsia="Arial" w:hAnsi="Arial"/>
                <w:sz w:val="14"/>
                <w:szCs w:val="14"/>
                <w:color w:val="auto"/>
              </w:rPr>
              <w:t>10.6(a)(iii)</w:t>
            </w:r>
          </w:p>
        </w:tc>
        <w:tc>
          <w:tcPr>
            <w:tcW w:w="1560" w:type="dxa"/>
            <w:vAlign w:val="bottom"/>
            <w:tcBorders>
              <w:bottom w:val="single" w:sz="8" w:color="CCEEFF"/>
            </w:tcBorders>
            <w:shd w:val="clear" w:color="auto" w:fill="CCEEFF"/>
          </w:tcPr>
          <w:p>
            <w:pPr>
              <w:ind w:left="320"/>
              <w:spacing w:after="0" w:line="121" w:lineRule="exact"/>
              <w:rPr>
                <w:sz w:val="20"/>
                <w:szCs w:val="20"/>
                <w:color w:val="auto"/>
              </w:rPr>
            </w:pPr>
            <w:r>
              <w:rPr>
                <w:rFonts w:ascii="Arial" w:cs="Arial" w:eastAsia="Arial" w:hAnsi="Arial"/>
                <w:sz w:val="13"/>
                <w:szCs w:val="13"/>
                <w:color w:val="auto"/>
              </w:rPr>
              <w:t>5/3/2023</w:t>
            </w:r>
          </w:p>
        </w:tc>
      </w:tr>
      <w:tr>
        <w:trPr>
          <w:trHeight w:val="141"/>
        </w:trPr>
        <w:tc>
          <w:tcPr>
            <w:tcW w:w="1240" w:type="dxa"/>
            <w:vAlign w:val="bottom"/>
          </w:tcPr>
          <w:p>
            <w:pPr>
              <w:ind w:left="20"/>
              <w:spacing w:after="0" w:line="136" w:lineRule="exact"/>
              <w:rPr>
                <w:sz w:val="20"/>
                <w:szCs w:val="20"/>
                <w:color w:val="auto"/>
              </w:rPr>
            </w:pPr>
            <w:r>
              <w:rPr>
                <w:rFonts w:ascii="Arial" w:cs="Arial" w:eastAsia="Arial" w:hAnsi="Arial"/>
                <w:sz w:val="13"/>
                <w:szCs w:val="13"/>
                <w:color w:val="auto"/>
              </w:rPr>
              <w:t>*10.4(b)</w:t>
            </w:r>
          </w:p>
        </w:tc>
        <w:tc>
          <w:tcPr>
            <w:tcW w:w="4700" w:type="dxa"/>
            <w:vAlign w:val="bottom"/>
            <w:tcBorders>
              <w:bottom w:val="single" w:sz="8" w:color="0000FF"/>
            </w:tcBorders>
            <w:gridSpan w:val="11"/>
          </w:tcPr>
          <w:p>
            <w:pPr>
              <w:spacing w:after="0" w:line="136" w:lineRule="exact"/>
              <w:rPr>
                <w:rFonts w:ascii="Arial" w:cs="Arial" w:eastAsia="Arial" w:hAnsi="Arial"/>
                <w:sz w:val="13"/>
                <w:szCs w:val="13"/>
                <w:color w:val="0000FF"/>
                <w:w w:val="96"/>
              </w:rPr>
            </w:pPr>
            <w:hyperlink r:id="rId141">
              <w:r>
                <w:rPr>
                  <w:rFonts w:ascii="Arial" w:cs="Arial" w:eastAsia="Arial" w:hAnsi="Arial"/>
                  <w:sz w:val="13"/>
                  <w:szCs w:val="13"/>
                  <w:color w:val="0000FF"/>
                  <w:w w:val="96"/>
                </w:rPr>
                <w:t>Registrant's Executive Change in Control Severance Plan dated as of April 25, 2017.</w:t>
              </w:r>
            </w:hyperlink>
          </w:p>
        </w:tc>
        <w:tc>
          <w:tcPr>
            <w:tcW w:w="520" w:type="dxa"/>
            <w:vAlign w:val="bottom"/>
            <w:gridSpan w:val="7"/>
          </w:tcPr>
          <w:p>
            <w:pPr>
              <w:spacing w:after="0"/>
              <w:rPr>
                <w:sz w:val="12"/>
                <w:szCs w:val="12"/>
                <w:color w:val="auto"/>
              </w:rPr>
            </w:pPr>
          </w:p>
        </w:tc>
        <w:tc>
          <w:tcPr>
            <w:tcW w:w="2240" w:type="dxa"/>
            <w:vAlign w:val="bottom"/>
          </w:tcPr>
          <w:p>
            <w:pPr>
              <w:ind w:left="1080"/>
              <w:spacing w:after="0" w:line="136" w:lineRule="exact"/>
              <w:rPr>
                <w:sz w:val="20"/>
                <w:szCs w:val="20"/>
                <w:color w:val="auto"/>
              </w:rPr>
            </w:pPr>
            <w:r>
              <w:rPr>
                <w:rFonts w:ascii="Arial" w:cs="Arial" w:eastAsia="Arial" w:hAnsi="Arial"/>
                <w:sz w:val="13"/>
                <w:szCs w:val="13"/>
                <w:color w:val="auto"/>
              </w:rPr>
              <w:t>8-K</w:t>
            </w:r>
          </w:p>
        </w:tc>
        <w:tc>
          <w:tcPr>
            <w:tcW w:w="1020" w:type="dxa"/>
            <w:vAlign w:val="bottom"/>
          </w:tcPr>
          <w:p>
            <w:pPr>
              <w:ind w:left="60"/>
              <w:spacing w:after="0" w:line="136" w:lineRule="exact"/>
              <w:rPr>
                <w:sz w:val="20"/>
                <w:szCs w:val="20"/>
                <w:color w:val="auto"/>
              </w:rPr>
            </w:pPr>
            <w:r>
              <w:rPr>
                <w:rFonts w:ascii="Arial" w:cs="Arial" w:eastAsia="Arial" w:hAnsi="Arial"/>
                <w:sz w:val="13"/>
                <w:szCs w:val="13"/>
                <w:color w:val="auto"/>
              </w:rPr>
              <w:t>10.1</w:t>
            </w:r>
          </w:p>
        </w:tc>
        <w:tc>
          <w:tcPr>
            <w:tcW w:w="1560" w:type="dxa"/>
            <w:vAlign w:val="bottom"/>
          </w:tcPr>
          <w:p>
            <w:pPr>
              <w:ind w:left="320"/>
              <w:spacing w:after="0" w:line="136" w:lineRule="exact"/>
              <w:rPr>
                <w:sz w:val="20"/>
                <w:szCs w:val="20"/>
                <w:color w:val="auto"/>
              </w:rPr>
            </w:pPr>
            <w:r>
              <w:rPr>
                <w:rFonts w:ascii="Arial" w:cs="Arial" w:eastAsia="Arial" w:hAnsi="Arial"/>
                <w:sz w:val="13"/>
                <w:szCs w:val="13"/>
                <w:color w:val="auto"/>
              </w:rPr>
              <w:t>8/28/2017</w:t>
            </w:r>
          </w:p>
        </w:tc>
      </w:tr>
      <w:tr>
        <w:trPr>
          <w:trHeight w:val="141"/>
        </w:trPr>
        <w:tc>
          <w:tcPr>
            <w:tcW w:w="124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*10.4(c)(i)</w:t>
            </w:r>
          </w:p>
        </w:tc>
        <w:tc>
          <w:tcPr>
            <w:tcW w:w="5220" w:type="dxa"/>
            <w:vAlign w:val="bottom"/>
            <w:gridSpan w:val="18"/>
            <w:shd w:val="clear" w:color="auto" w:fill="CCEEFF"/>
          </w:tcPr>
          <w:p>
            <w:pPr>
              <w:spacing w:after="0" w:line="141" w:lineRule="exact"/>
              <w:rPr>
                <w:rFonts w:ascii="Arial" w:cs="Arial" w:eastAsia="Arial" w:hAnsi="Arial"/>
                <w:sz w:val="13"/>
                <w:szCs w:val="13"/>
                <w:color w:val="0000FF"/>
                <w:w w:val="98"/>
              </w:rPr>
            </w:pPr>
            <w:hyperlink r:id="rId142">
              <w:r>
                <w:rPr>
                  <w:rFonts w:ascii="Arial" w:cs="Arial" w:eastAsia="Arial" w:hAnsi="Arial"/>
                  <w:sz w:val="13"/>
                  <w:szCs w:val="13"/>
                  <w:color w:val="0000FF"/>
                  <w:w w:val="98"/>
                </w:rPr>
                <w:t>Letter Agreement dated May 21, 2019 between Conduent Incorporated and Clifford Skelton</w:t>
              </w:r>
            </w:hyperlink>
          </w:p>
        </w:tc>
        <w:tc>
          <w:tcPr>
            <w:tcW w:w="2240" w:type="dxa"/>
            <w:vAlign w:val="bottom"/>
            <w:shd w:val="clear" w:color="auto" w:fill="CCEEFF"/>
          </w:tcPr>
          <w:p>
            <w:pPr>
              <w:ind w:left="1080"/>
              <w:spacing w:after="0" w:line="141" w:lineRule="exact"/>
              <w:rPr>
                <w:sz w:val="20"/>
                <w:szCs w:val="20"/>
                <w:color w:val="auto"/>
              </w:rPr>
            </w:pPr>
            <w:r>
              <w:rPr>
                <w:rFonts w:ascii="Arial" w:cs="Arial" w:eastAsia="Arial" w:hAnsi="Arial"/>
                <w:sz w:val="13"/>
                <w:szCs w:val="13"/>
                <w:color w:val="auto"/>
              </w:rPr>
              <w:t>8-K</w:t>
            </w:r>
          </w:p>
        </w:tc>
        <w:tc>
          <w:tcPr>
            <w:tcW w:w="1020" w:type="dxa"/>
            <w:vAlign w:val="bottom"/>
            <w:shd w:val="clear" w:color="auto" w:fill="CCEEFF"/>
          </w:tcPr>
          <w:p>
            <w:pPr>
              <w:ind w:left="60"/>
              <w:spacing w:after="0" w:line="141" w:lineRule="exact"/>
              <w:rPr>
                <w:sz w:val="20"/>
                <w:szCs w:val="20"/>
                <w:color w:val="auto"/>
              </w:rPr>
            </w:pPr>
            <w:r>
              <w:rPr>
                <w:rFonts w:ascii="Arial" w:cs="Arial" w:eastAsia="Arial" w:hAnsi="Arial"/>
                <w:sz w:val="13"/>
                <w:szCs w:val="13"/>
                <w:color w:val="auto"/>
              </w:rPr>
              <w:t>10.6(h)</w:t>
            </w:r>
          </w:p>
        </w:tc>
        <w:tc>
          <w:tcPr>
            <w:tcW w:w="1560" w:type="dxa"/>
            <w:vAlign w:val="bottom"/>
            <w:shd w:val="clear" w:color="auto" w:fill="CCEEFF"/>
          </w:tcPr>
          <w:p>
            <w:pPr>
              <w:ind w:left="320"/>
              <w:spacing w:after="0" w:line="141" w:lineRule="exact"/>
              <w:rPr>
                <w:sz w:val="20"/>
                <w:szCs w:val="20"/>
                <w:color w:val="auto"/>
              </w:rPr>
            </w:pPr>
            <w:r>
              <w:rPr>
                <w:rFonts w:ascii="Arial" w:cs="Arial" w:eastAsia="Arial" w:hAnsi="Arial"/>
                <w:sz w:val="13"/>
                <w:szCs w:val="13"/>
                <w:color w:val="auto"/>
              </w:rPr>
              <w:t>5/28/2019</w:t>
            </w:r>
          </w:p>
        </w:tc>
      </w:tr>
      <w:tr>
        <w:trPr>
          <w:trHeight w:val="105"/>
        </w:trPr>
        <w:tc>
          <w:tcPr>
            <w:tcW w:w="1240" w:type="dxa"/>
            <w:vAlign w:val="bottom"/>
            <w:tcBorders>
              <w:top w:val="single" w:sz="8" w:color="CCEEFF"/>
            </w:tcBorders>
            <w:shd w:val="clear" w:color="auto" w:fill="CCEEFF"/>
          </w:tcPr>
          <w:p>
            <w:pPr>
              <w:spacing w:after="0"/>
              <w:rPr>
                <w:sz w:val="9"/>
                <w:szCs w:val="9"/>
                <w:color w:val="auto"/>
              </w:rPr>
            </w:pPr>
          </w:p>
        </w:tc>
        <w:tc>
          <w:tcPr>
            <w:tcW w:w="5060" w:type="dxa"/>
            <w:vAlign w:val="bottom"/>
            <w:tcBorders>
              <w:top w:val="single" w:sz="8" w:color="0000FF"/>
            </w:tcBorders>
            <w:gridSpan w:val="15"/>
            <w:shd w:val="clear" w:color="auto" w:fill="CCEEFF"/>
          </w:tcPr>
          <w:p>
            <w:pPr>
              <w:spacing w:after="0" w:line="105" w:lineRule="exact"/>
              <w:rPr>
                <w:rFonts w:ascii="Arial" w:cs="Arial" w:eastAsia="Arial" w:hAnsi="Arial"/>
                <w:sz w:val="11"/>
                <w:szCs w:val="11"/>
                <w:color w:val="0000FF"/>
              </w:rPr>
            </w:pPr>
            <w:hyperlink r:id="rId142">
              <w:r>
                <w:rPr>
                  <w:rFonts w:ascii="Arial" w:cs="Arial" w:eastAsia="Arial" w:hAnsi="Arial"/>
                  <w:sz w:val="11"/>
                  <w:szCs w:val="11"/>
                  <w:color w:val="0000FF"/>
                </w:rPr>
                <w:t>regarding compensation arrangements.</w:t>
              </w:r>
            </w:hyperlink>
          </w:p>
        </w:tc>
        <w:tc>
          <w:tcPr>
            <w:tcW w:w="80" w:type="dxa"/>
            <w:vAlign w:val="bottom"/>
            <w:tcBorders>
              <w:top w:val="single" w:sz="8" w:color="CCEEFF"/>
            </w:tcBorders>
            <w:gridSpan w:val="2"/>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240" w:type="dxa"/>
            <w:vAlign w:val="bottom"/>
            <w:tcBorders>
              <w:top w:val="single" w:sz="8" w:color="CCEEFF"/>
            </w:tcBorders>
            <w:shd w:val="clear" w:color="auto" w:fill="CCEEFF"/>
          </w:tcPr>
          <w:p>
            <w:pPr>
              <w:spacing w:after="0"/>
              <w:rPr>
                <w:sz w:val="9"/>
                <w:szCs w:val="9"/>
                <w:color w:val="auto"/>
              </w:rPr>
            </w:pPr>
          </w:p>
        </w:tc>
        <w:tc>
          <w:tcPr>
            <w:tcW w:w="1020" w:type="dxa"/>
            <w:vAlign w:val="bottom"/>
            <w:tcBorders>
              <w:top w:val="single" w:sz="8" w:color="CCEEFF"/>
            </w:tcBorders>
            <w:shd w:val="clear" w:color="auto" w:fill="CCEEFF"/>
          </w:tcPr>
          <w:p>
            <w:pPr>
              <w:spacing w:after="0"/>
              <w:rPr>
                <w:sz w:val="9"/>
                <w:szCs w:val="9"/>
                <w:color w:val="auto"/>
              </w:rPr>
            </w:pPr>
          </w:p>
        </w:tc>
        <w:tc>
          <w:tcPr>
            <w:tcW w:w="1560" w:type="dxa"/>
            <w:vAlign w:val="bottom"/>
            <w:tcBorders>
              <w:top w:val="single" w:sz="8" w:color="CCEEFF"/>
            </w:tcBorders>
            <w:shd w:val="clear" w:color="auto" w:fill="CCEEFF"/>
          </w:tcPr>
          <w:p>
            <w:pPr>
              <w:spacing w:after="0"/>
              <w:rPr>
                <w:sz w:val="9"/>
                <w:szCs w:val="9"/>
                <w:color w:val="auto"/>
              </w:rPr>
            </w:pPr>
          </w:p>
        </w:tc>
      </w:tr>
      <w:tr>
        <w:trPr>
          <w:trHeight w:val="31"/>
        </w:trPr>
        <w:tc>
          <w:tcPr>
            <w:tcW w:w="1240" w:type="dxa"/>
            <w:vAlign w:val="bottom"/>
            <w:shd w:val="clear" w:color="auto" w:fill="CCEE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1140" w:type="dxa"/>
            <w:vAlign w:val="bottom"/>
            <w:shd w:val="clear" w:color="auto" w:fill="0000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r>
      <w:tr>
        <w:trPr>
          <w:trHeight w:val="135"/>
        </w:trPr>
        <w:tc>
          <w:tcPr>
            <w:tcW w:w="1240" w:type="dxa"/>
            <w:vAlign w:val="bottom"/>
          </w:tcPr>
          <w:p>
            <w:pPr>
              <w:ind w:left="20"/>
              <w:spacing w:after="0" w:line="136" w:lineRule="exact"/>
              <w:rPr>
                <w:sz w:val="20"/>
                <w:szCs w:val="20"/>
                <w:color w:val="auto"/>
              </w:rPr>
            </w:pPr>
            <w:r>
              <w:rPr>
                <w:rFonts w:ascii="Arial" w:cs="Arial" w:eastAsia="Arial" w:hAnsi="Arial"/>
                <w:sz w:val="13"/>
                <w:szCs w:val="13"/>
                <w:color w:val="auto"/>
              </w:rPr>
              <w:t>10.4(c)(ii)</w:t>
            </w:r>
          </w:p>
        </w:tc>
        <w:tc>
          <w:tcPr>
            <w:tcW w:w="5220" w:type="dxa"/>
            <w:vAlign w:val="bottom"/>
            <w:gridSpan w:val="18"/>
          </w:tcPr>
          <w:p>
            <w:pPr>
              <w:spacing w:after="0" w:line="136" w:lineRule="exact"/>
              <w:rPr>
                <w:rFonts w:ascii="Arial" w:cs="Arial" w:eastAsia="Arial" w:hAnsi="Arial"/>
                <w:sz w:val="13"/>
                <w:szCs w:val="13"/>
                <w:color w:val="0000FF"/>
                <w:w w:val="97"/>
              </w:rPr>
            </w:pPr>
            <w:hyperlink r:id="rId143">
              <w:r>
                <w:rPr>
                  <w:rFonts w:ascii="Arial" w:cs="Arial" w:eastAsia="Arial" w:hAnsi="Arial"/>
                  <w:sz w:val="13"/>
                  <w:szCs w:val="13"/>
                  <w:color w:val="0000FF"/>
                  <w:w w:val="97"/>
                </w:rPr>
                <w:t>Letter Agreement dated August 6, 2019 between Conduent Incorporated and Clifford Skelton</w:t>
              </w:r>
            </w:hyperlink>
          </w:p>
        </w:tc>
        <w:tc>
          <w:tcPr>
            <w:tcW w:w="2240" w:type="dxa"/>
            <w:vAlign w:val="bottom"/>
          </w:tcPr>
          <w:p>
            <w:pPr>
              <w:ind w:left="1080"/>
              <w:spacing w:after="0" w:line="136" w:lineRule="exact"/>
              <w:rPr>
                <w:sz w:val="20"/>
                <w:szCs w:val="20"/>
                <w:color w:val="auto"/>
              </w:rPr>
            </w:pPr>
            <w:r>
              <w:rPr>
                <w:rFonts w:ascii="Arial" w:cs="Arial" w:eastAsia="Arial" w:hAnsi="Arial"/>
                <w:sz w:val="13"/>
                <w:szCs w:val="13"/>
                <w:color w:val="auto"/>
              </w:rPr>
              <w:t>8-K</w:t>
            </w:r>
          </w:p>
        </w:tc>
        <w:tc>
          <w:tcPr>
            <w:tcW w:w="1020" w:type="dxa"/>
            <w:vAlign w:val="bottom"/>
          </w:tcPr>
          <w:p>
            <w:pPr>
              <w:ind w:left="60"/>
              <w:spacing w:after="0" w:line="136" w:lineRule="exact"/>
              <w:rPr>
                <w:sz w:val="20"/>
                <w:szCs w:val="20"/>
                <w:color w:val="auto"/>
              </w:rPr>
            </w:pPr>
            <w:r>
              <w:rPr>
                <w:rFonts w:ascii="Arial" w:cs="Arial" w:eastAsia="Arial" w:hAnsi="Arial"/>
                <w:sz w:val="13"/>
                <w:szCs w:val="13"/>
                <w:color w:val="auto"/>
              </w:rPr>
              <w:t>10.6(j)</w:t>
            </w:r>
          </w:p>
        </w:tc>
        <w:tc>
          <w:tcPr>
            <w:tcW w:w="1560" w:type="dxa"/>
            <w:vAlign w:val="bottom"/>
          </w:tcPr>
          <w:p>
            <w:pPr>
              <w:ind w:left="320"/>
              <w:spacing w:after="0" w:line="136" w:lineRule="exact"/>
              <w:rPr>
                <w:sz w:val="20"/>
                <w:szCs w:val="20"/>
                <w:color w:val="auto"/>
              </w:rPr>
            </w:pPr>
            <w:r>
              <w:rPr>
                <w:rFonts w:ascii="Arial" w:cs="Arial" w:eastAsia="Arial" w:hAnsi="Arial"/>
                <w:sz w:val="13"/>
                <w:szCs w:val="13"/>
                <w:color w:val="auto"/>
              </w:rPr>
              <w:t>8/7/2019</w:t>
            </w:r>
          </w:p>
        </w:tc>
      </w:tr>
      <w:tr>
        <w:trPr>
          <w:trHeight w:val="126"/>
        </w:trPr>
        <w:tc>
          <w:tcPr>
            <w:tcW w:w="1240" w:type="dxa"/>
            <w:vAlign w:val="bottom"/>
          </w:tcPr>
          <w:p>
            <w:pPr>
              <w:spacing w:after="0"/>
              <w:rPr>
                <w:sz w:val="10"/>
                <w:szCs w:val="10"/>
                <w:color w:val="auto"/>
              </w:rPr>
            </w:pPr>
          </w:p>
        </w:tc>
        <w:tc>
          <w:tcPr>
            <w:tcW w:w="5140" w:type="dxa"/>
            <w:vAlign w:val="bottom"/>
            <w:tcBorders>
              <w:top w:val="single" w:sz="8" w:color="0000FF"/>
            </w:tcBorders>
            <w:gridSpan w:val="17"/>
          </w:tcPr>
          <w:p>
            <w:pPr>
              <w:spacing w:after="0" w:line="126" w:lineRule="exact"/>
              <w:rPr>
                <w:rFonts w:ascii="Arial" w:cs="Arial" w:eastAsia="Arial" w:hAnsi="Arial"/>
                <w:sz w:val="13"/>
                <w:szCs w:val="13"/>
                <w:color w:val="0000FF"/>
              </w:rPr>
            </w:pPr>
            <w:hyperlink r:id="rId143">
              <w:r>
                <w:rPr>
                  <w:rFonts w:ascii="Arial" w:cs="Arial" w:eastAsia="Arial" w:hAnsi="Arial"/>
                  <w:sz w:val="13"/>
                  <w:szCs w:val="13"/>
                  <w:color w:val="0000FF"/>
                </w:rPr>
                <w:t>regarding compensation arrangements.</w:t>
              </w:r>
            </w:hyperlink>
          </w:p>
        </w:tc>
        <w:tc>
          <w:tcPr>
            <w:tcW w:w="8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560" w:type="dxa"/>
            <w:vAlign w:val="bottom"/>
          </w:tcPr>
          <w:p>
            <w:pPr>
              <w:spacing w:after="0"/>
              <w:rPr>
                <w:sz w:val="10"/>
                <w:szCs w:val="10"/>
                <w:color w:val="auto"/>
              </w:rPr>
            </w:pPr>
          </w:p>
        </w:tc>
      </w:tr>
      <w:tr>
        <w:trPr>
          <w:trHeight w:val="32"/>
        </w:trPr>
        <w:tc>
          <w:tcPr>
            <w:tcW w:w="124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1140" w:type="dxa"/>
            <w:vAlign w:val="bottom"/>
            <w:tcBorders>
              <w:top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35"/>
        </w:trPr>
        <w:tc>
          <w:tcPr>
            <w:tcW w:w="1240" w:type="dxa"/>
            <w:vAlign w:val="bottom"/>
            <w:shd w:val="clear" w:color="auto" w:fill="CCEEFF"/>
          </w:tcPr>
          <w:p>
            <w:pPr>
              <w:ind w:left="20"/>
              <w:spacing w:after="0" w:line="136" w:lineRule="exact"/>
              <w:rPr>
                <w:sz w:val="20"/>
                <w:szCs w:val="20"/>
                <w:color w:val="auto"/>
              </w:rPr>
            </w:pPr>
            <w:r>
              <w:rPr>
                <w:rFonts w:ascii="Arial" w:cs="Arial" w:eastAsia="Arial" w:hAnsi="Arial"/>
                <w:sz w:val="13"/>
                <w:szCs w:val="13"/>
                <w:color w:val="auto"/>
              </w:rPr>
              <w:t>*10.4(c)(iii)</w:t>
            </w:r>
          </w:p>
        </w:tc>
        <w:tc>
          <w:tcPr>
            <w:tcW w:w="5220" w:type="dxa"/>
            <w:vAlign w:val="bottom"/>
            <w:gridSpan w:val="18"/>
            <w:shd w:val="clear" w:color="auto" w:fill="CCEEFF"/>
          </w:tcPr>
          <w:p>
            <w:pPr>
              <w:spacing w:after="0" w:line="136" w:lineRule="exact"/>
              <w:rPr>
                <w:rFonts w:ascii="Arial" w:cs="Arial" w:eastAsia="Arial" w:hAnsi="Arial"/>
                <w:sz w:val="13"/>
                <w:szCs w:val="13"/>
                <w:color w:val="0000FF"/>
              </w:rPr>
            </w:pPr>
            <w:hyperlink r:id="rId144">
              <w:r>
                <w:rPr>
                  <w:rFonts w:ascii="Arial" w:cs="Arial" w:eastAsia="Arial" w:hAnsi="Arial"/>
                  <w:sz w:val="13"/>
                  <w:szCs w:val="13"/>
                  <w:color w:val="0000FF"/>
                </w:rPr>
                <w:t>Letter Agreement dated February 25, 2020 between Conduent Incorporated and Clifford</w:t>
              </w:r>
            </w:hyperlink>
          </w:p>
        </w:tc>
        <w:tc>
          <w:tcPr>
            <w:tcW w:w="2240" w:type="dxa"/>
            <w:vAlign w:val="bottom"/>
            <w:shd w:val="clear" w:color="auto" w:fill="CCEEFF"/>
          </w:tcPr>
          <w:p>
            <w:pPr>
              <w:ind w:left="1080"/>
              <w:spacing w:after="0" w:line="136" w:lineRule="exact"/>
              <w:rPr>
                <w:sz w:val="20"/>
                <w:szCs w:val="20"/>
                <w:color w:val="auto"/>
              </w:rPr>
            </w:pPr>
            <w:r>
              <w:rPr>
                <w:rFonts w:ascii="Arial" w:cs="Arial" w:eastAsia="Arial" w:hAnsi="Arial"/>
                <w:sz w:val="13"/>
                <w:szCs w:val="13"/>
                <w:color w:val="auto"/>
              </w:rPr>
              <w:t>10-K</w:t>
            </w:r>
          </w:p>
        </w:tc>
        <w:tc>
          <w:tcPr>
            <w:tcW w:w="1020" w:type="dxa"/>
            <w:vAlign w:val="bottom"/>
            <w:shd w:val="clear" w:color="auto" w:fill="CCEEFF"/>
          </w:tcPr>
          <w:p>
            <w:pPr>
              <w:ind w:left="60"/>
              <w:spacing w:after="0" w:line="136" w:lineRule="exact"/>
              <w:rPr>
                <w:sz w:val="20"/>
                <w:szCs w:val="20"/>
                <w:color w:val="auto"/>
              </w:rPr>
            </w:pPr>
            <w:r>
              <w:rPr>
                <w:rFonts w:ascii="Arial" w:cs="Arial" w:eastAsia="Arial" w:hAnsi="Arial"/>
                <w:sz w:val="13"/>
                <w:szCs w:val="13"/>
                <w:color w:val="auto"/>
              </w:rPr>
              <w:t>10.6(e)(ii)</w:t>
            </w:r>
          </w:p>
        </w:tc>
        <w:tc>
          <w:tcPr>
            <w:tcW w:w="1560" w:type="dxa"/>
            <w:vAlign w:val="bottom"/>
            <w:shd w:val="clear" w:color="auto" w:fill="CCEEFF"/>
          </w:tcPr>
          <w:p>
            <w:pPr>
              <w:ind w:left="320"/>
              <w:spacing w:after="0" w:line="136" w:lineRule="exact"/>
              <w:rPr>
                <w:sz w:val="20"/>
                <w:szCs w:val="20"/>
                <w:color w:val="auto"/>
              </w:rPr>
            </w:pPr>
            <w:r>
              <w:rPr>
                <w:rFonts w:ascii="Arial" w:cs="Arial" w:eastAsia="Arial" w:hAnsi="Arial"/>
                <w:sz w:val="13"/>
                <w:szCs w:val="13"/>
                <w:color w:val="auto"/>
              </w:rPr>
              <w:t>2/26/2020</w:t>
            </w:r>
          </w:p>
        </w:tc>
      </w:tr>
      <w:tr>
        <w:trPr>
          <w:trHeight w:val="116"/>
        </w:trPr>
        <w:tc>
          <w:tcPr>
            <w:tcW w:w="1240" w:type="dxa"/>
            <w:vAlign w:val="bottom"/>
            <w:tcBorders>
              <w:top w:val="single" w:sz="8" w:color="CCEEFF"/>
              <w:bottom w:val="single" w:sz="8" w:color="CCEEFF"/>
            </w:tcBorders>
            <w:shd w:val="clear" w:color="auto" w:fill="CCEEFF"/>
          </w:tcPr>
          <w:p>
            <w:pPr>
              <w:spacing w:after="0"/>
              <w:rPr>
                <w:sz w:val="10"/>
                <w:szCs w:val="10"/>
                <w:color w:val="auto"/>
              </w:rPr>
            </w:pPr>
          </w:p>
        </w:tc>
        <w:tc>
          <w:tcPr>
            <w:tcW w:w="2640" w:type="dxa"/>
            <w:vAlign w:val="bottom"/>
            <w:tcBorders>
              <w:top w:val="single" w:sz="8" w:color="0000FF"/>
              <w:bottom w:val="single" w:sz="8" w:color="0000FF"/>
            </w:tcBorders>
            <w:gridSpan w:val="6"/>
            <w:shd w:val="clear" w:color="auto" w:fill="CCEEFF"/>
          </w:tcPr>
          <w:p>
            <w:pPr>
              <w:spacing w:after="0" w:line="105" w:lineRule="exact"/>
              <w:rPr>
                <w:rFonts w:ascii="Arial" w:cs="Arial" w:eastAsia="Arial" w:hAnsi="Arial"/>
                <w:sz w:val="11"/>
                <w:szCs w:val="11"/>
                <w:color w:val="0000FF"/>
              </w:rPr>
            </w:pPr>
            <w:hyperlink r:id="rId144">
              <w:r>
                <w:rPr>
                  <w:rFonts w:ascii="Arial" w:cs="Arial" w:eastAsia="Arial" w:hAnsi="Arial"/>
                  <w:sz w:val="11"/>
                  <w:szCs w:val="11"/>
                  <w:color w:val="0000FF"/>
                </w:rPr>
                <w:t>Skelton regarding compensation arrangements.</w:t>
              </w:r>
            </w:hyperlink>
          </w:p>
        </w:tc>
        <w:tc>
          <w:tcPr>
            <w:tcW w:w="2220" w:type="dxa"/>
            <w:vAlign w:val="bottom"/>
            <w:tcBorders>
              <w:top w:val="single" w:sz="8" w:color="0000FF"/>
              <w:bottom w:val="single" w:sz="8" w:color="CCEEFF"/>
            </w:tcBorders>
            <w:gridSpan w:val="6"/>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260" w:type="dxa"/>
            <w:vAlign w:val="bottom"/>
            <w:tcBorders>
              <w:top w:val="single" w:sz="8" w:color="CCEEFF"/>
              <w:bottom w:val="single" w:sz="8" w:color="CCEEFF"/>
            </w:tcBorders>
            <w:gridSpan w:val="4"/>
            <w:shd w:val="clear" w:color="auto" w:fill="CCEEFF"/>
          </w:tcPr>
          <w:p>
            <w:pPr>
              <w:spacing w:after="0"/>
              <w:rPr>
                <w:sz w:val="10"/>
                <w:szCs w:val="10"/>
                <w:color w:val="auto"/>
              </w:rPr>
            </w:pPr>
          </w:p>
        </w:tc>
        <w:tc>
          <w:tcPr>
            <w:tcW w:w="2240" w:type="dxa"/>
            <w:vAlign w:val="bottom"/>
            <w:tcBorders>
              <w:top w:val="single" w:sz="8" w:color="CCEEFF"/>
              <w:bottom w:val="single" w:sz="8" w:color="CCEEFF"/>
            </w:tcBorders>
            <w:shd w:val="clear" w:color="auto" w:fill="CCEEFF"/>
          </w:tcPr>
          <w:p>
            <w:pPr>
              <w:spacing w:after="0"/>
              <w:rPr>
                <w:sz w:val="10"/>
                <w:szCs w:val="10"/>
                <w:color w:val="auto"/>
              </w:rPr>
            </w:pPr>
          </w:p>
        </w:tc>
        <w:tc>
          <w:tcPr>
            <w:tcW w:w="1020" w:type="dxa"/>
            <w:vAlign w:val="bottom"/>
            <w:tcBorders>
              <w:top w:val="single" w:sz="8" w:color="CCEEFF"/>
              <w:bottom w:val="single" w:sz="8" w:color="CCEEFF"/>
            </w:tcBorders>
            <w:shd w:val="clear" w:color="auto" w:fill="CCEEFF"/>
          </w:tcPr>
          <w:p>
            <w:pPr>
              <w:spacing w:after="0"/>
              <w:rPr>
                <w:sz w:val="10"/>
                <w:szCs w:val="10"/>
                <w:color w:val="auto"/>
              </w:rPr>
            </w:pPr>
          </w:p>
        </w:tc>
        <w:tc>
          <w:tcPr>
            <w:tcW w:w="1560" w:type="dxa"/>
            <w:vAlign w:val="bottom"/>
            <w:tcBorders>
              <w:top w:val="single" w:sz="8" w:color="CCEEFF"/>
              <w:bottom w:val="single" w:sz="8" w:color="CCEEFF"/>
            </w:tcBorders>
            <w:shd w:val="clear" w:color="auto" w:fill="CCEEFF"/>
          </w:tcPr>
          <w:p>
            <w:pPr>
              <w:spacing w:after="0"/>
              <w:rPr>
                <w:sz w:val="10"/>
                <w:szCs w:val="10"/>
                <w:color w:val="auto"/>
              </w:rPr>
            </w:pPr>
          </w:p>
        </w:tc>
      </w:tr>
      <w:tr>
        <w:trPr>
          <w:trHeight w:val="135"/>
        </w:trPr>
        <w:tc>
          <w:tcPr>
            <w:tcW w:w="1240" w:type="dxa"/>
            <w:vAlign w:val="bottom"/>
          </w:tcPr>
          <w:p>
            <w:pPr>
              <w:ind w:left="20"/>
              <w:spacing w:after="0" w:line="136" w:lineRule="exact"/>
              <w:rPr>
                <w:sz w:val="20"/>
                <w:szCs w:val="20"/>
                <w:color w:val="auto"/>
              </w:rPr>
            </w:pPr>
            <w:r>
              <w:rPr>
                <w:rFonts w:ascii="Arial" w:cs="Arial" w:eastAsia="Arial" w:hAnsi="Arial"/>
                <w:sz w:val="13"/>
                <w:szCs w:val="13"/>
                <w:color w:val="auto"/>
              </w:rPr>
              <w:t>*10.4(c)(iv)</w:t>
            </w:r>
          </w:p>
        </w:tc>
        <w:tc>
          <w:tcPr>
            <w:tcW w:w="5220" w:type="dxa"/>
            <w:vAlign w:val="bottom"/>
            <w:gridSpan w:val="18"/>
          </w:tcPr>
          <w:p>
            <w:pPr>
              <w:spacing w:after="0" w:line="136" w:lineRule="exact"/>
              <w:rPr>
                <w:rFonts w:ascii="Arial" w:cs="Arial" w:eastAsia="Arial" w:hAnsi="Arial"/>
                <w:sz w:val="13"/>
                <w:szCs w:val="13"/>
                <w:color w:val="0000FF"/>
              </w:rPr>
            </w:pPr>
            <w:hyperlink r:id="rId145">
              <w:r>
                <w:rPr>
                  <w:rFonts w:ascii="Arial" w:cs="Arial" w:eastAsia="Arial" w:hAnsi="Arial"/>
                  <w:sz w:val="13"/>
                  <w:szCs w:val="13"/>
                  <w:color w:val="0000FF"/>
                </w:rPr>
                <w:t>Letter Agreement dated February 23, 2021 between Conduent Incorporated and Clifford</w:t>
              </w:r>
            </w:hyperlink>
          </w:p>
        </w:tc>
        <w:tc>
          <w:tcPr>
            <w:tcW w:w="2240" w:type="dxa"/>
            <w:vAlign w:val="bottom"/>
          </w:tcPr>
          <w:p>
            <w:pPr>
              <w:ind w:left="1080"/>
              <w:spacing w:after="0" w:line="136" w:lineRule="exact"/>
              <w:rPr>
                <w:sz w:val="20"/>
                <w:szCs w:val="20"/>
                <w:color w:val="auto"/>
              </w:rPr>
            </w:pPr>
            <w:r>
              <w:rPr>
                <w:rFonts w:ascii="Arial" w:cs="Arial" w:eastAsia="Arial" w:hAnsi="Arial"/>
                <w:sz w:val="13"/>
                <w:szCs w:val="13"/>
                <w:color w:val="auto"/>
              </w:rPr>
              <w:t>10-K</w:t>
            </w:r>
          </w:p>
        </w:tc>
        <w:tc>
          <w:tcPr>
            <w:tcW w:w="1020" w:type="dxa"/>
            <w:vAlign w:val="bottom"/>
          </w:tcPr>
          <w:p>
            <w:pPr>
              <w:ind w:left="60"/>
              <w:spacing w:after="0" w:line="136" w:lineRule="exact"/>
              <w:rPr>
                <w:sz w:val="20"/>
                <w:szCs w:val="20"/>
                <w:color w:val="auto"/>
              </w:rPr>
            </w:pPr>
            <w:r>
              <w:rPr>
                <w:rFonts w:ascii="Arial" w:cs="Arial" w:eastAsia="Arial" w:hAnsi="Arial"/>
                <w:sz w:val="13"/>
                <w:szCs w:val="13"/>
                <w:color w:val="auto"/>
              </w:rPr>
              <w:t>10.6(d)(iii)</w:t>
            </w:r>
          </w:p>
        </w:tc>
        <w:tc>
          <w:tcPr>
            <w:tcW w:w="1560" w:type="dxa"/>
            <w:vAlign w:val="bottom"/>
          </w:tcPr>
          <w:p>
            <w:pPr>
              <w:ind w:left="320"/>
              <w:spacing w:after="0" w:line="136" w:lineRule="exact"/>
              <w:rPr>
                <w:sz w:val="20"/>
                <w:szCs w:val="20"/>
                <w:color w:val="auto"/>
              </w:rPr>
            </w:pPr>
            <w:r>
              <w:rPr>
                <w:rFonts w:ascii="Arial" w:cs="Arial" w:eastAsia="Arial" w:hAnsi="Arial"/>
                <w:sz w:val="13"/>
                <w:szCs w:val="13"/>
                <w:color w:val="auto"/>
              </w:rPr>
              <w:t>2/24/2021</w:t>
            </w:r>
          </w:p>
        </w:tc>
      </w:tr>
      <w:tr>
        <w:trPr>
          <w:trHeight w:val="111"/>
        </w:trPr>
        <w:tc>
          <w:tcPr>
            <w:tcW w:w="1240" w:type="dxa"/>
            <w:vAlign w:val="bottom"/>
          </w:tcPr>
          <w:p>
            <w:pPr>
              <w:spacing w:after="0"/>
              <w:rPr>
                <w:sz w:val="9"/>
                <w:szCs w:val="9"/>
                <w:color w:val="auto"/>
              </w:rPr>
            </w:pPr>
          </w:p>
        </w:tc>
        <w:tc>
          <w:tcPr>
            <w:tcW w:w="2640" w:type="dxa"/>
            <w:vAlign w:val="bottom"/>
            <w:tcBorders>
              <w:top w:val="single" w:sz="8" w:color="0000FF"/>
              <w:bottom w:val="single" w:sz="8" w:color="0000FF"/>
            </w:tcBorders>
            <w:gridSpan w:val="6"/>
          </w:tcPr>
          <w:p>
            <w:pPr>
              <w:spacing w:after="0" w:line="105" w:lineRule="exact"/>
              <w:rPr>
                <w:rFonts w:ascii="Arial" w:cs="Arial" w:eastAsia="Arial" w:hAnsi="Arial"/>
                <w:sz w:val="11"/>
                <w:szCs w:val="11"/>
                <w:color w:val="0000FF"/>
              </w:rPr>
            </w:pPr>
            <w:hyperlink r:id="rId145">
              <w:r>
                <w:rPr>
                  <w:rFonts w:ascii="Arial" w:cs="Arial" w:eastAsia="Arial" w:hAnsi="Arial"/>
                  <w:sz w:val="11"/>
                  <w:szCs w:val="11"/>
                  <w:color w:val="0000FF"/>
                </w:rPr>
                <w:t>Skelton regarding compensation arrangements.</w:t>
              </w:r>
            </w:hyperlink>
          </w:p>
        </w:tc>
        <w:tc>
          <w:tcPr>
            <w:tcW w:w="2220" w:type="dxa"/>
            <w:vAlign w:val="bottom"/>
            <w:tcBorders>
              <w:top w:val="single" w:sz="8" w:color="0000FF"/>
            </w:tcBorders>
            <w:gridSpan w:val="6"/>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gridSpan w:val="4"/>
          </w:tcPr>
          <w:p>
            <w:pPr>
              <w:spacing w:after="0"/>
              <w:rPr>
                <w:sz w:val="9"/>
                <w:szCs w:val="9"/>
                <w:color w:val="auto"/>
              </w:rPr>
            </w:pPr>
          </w:p>
        </w:tc>
        <w:tc>
          <w:tcPr>
            <w:tcW w:w="22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560" w:type="dxa"/>
            <w:vAlign w:val="bottom"/>
          </w:tcPr>
          <w:p>
            <w:pPr>
              <w:spacing w:after="0"/>
              <w:rPr>
                <w:sz w:val="9"/>
                <w:szCs w:val="9"/>
                <w:color w:val="auto"/>
              </w:rPr>
            </w:pPr>
          </w:p>
        </w:tc>
      </w:tr>
      <w:tr>
        <w:trPr>
          <w:trHeight w:val="141"/>
        </w:trPr>
        <w:tc>
          <w:tcPr>
            <w:tcW w:w="124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*10.4(d)</w:t>
            </w:r>
          </w:p>
        </w:tc>
        <w:tc>
          <w:tcPr>
            <w:tcW w:w="5220" w:type="dxa"/>
            <w:vAlign w:val="bottom"/>
            <w:gridSpan w:val="18"/>
            <w:shd w:val="clear" w:color="auto" w:fill="CCEEFF"/>
          </w:tcPr>
          <w:p>
            <w:pPr>
              <w:spacing w:after="0" w:line="141" w:lineRule="exact"/>
              <w:rPr>
                <w:rFonts w:ascii="Arial" w:cs="Arial" w:eastAsia="Arial" w:hAnsi="Arial"/>
                <w:sz w:val="13"/>
                <w:szCs w:val="13"/>
                <w:color w:val="0000FF"/>
              </w:rPr>
            </w:pPr>
            <w:hyperlink r:id="rId146">
              <w:r>
                <w:rPr>
                  <w:rFonts w:ascii="Arial" w:cs="Arial" w:eastAsia="Arial" w:hAnsi="Arial"/>
                  <w:sz w:val="13"/>
                  <w:szCs w:val="13"/>
                  <w:color w:val="0000FF"/>
                </w:rPr>
                <w:t>Letter Agreement dated May 5, 2021 between Conduent Incorporated and Stephen Wood</w:t>
              </w:r>
            </w:hyperlink>
          </w:p>
        </w:tc>
        <w:tc>
          <w:tcPr>
            <w:tcW w:w="2240" w:type="dxa"/>
            <w:vAlign w:val="bottom"/>
            <w:shd w:val="clear" w:color="auto" w:fill="CCEEFF"/>
          </w:tcPr>
          <w:p>
            <w:pPr>
              <w:ind w:left="1080"/>
              <w:spacing w:after="0" w:line="141" w:lineRule="exact"/>
              <w:rPr>
                <w:sz w:val="20"/>
                <w:szCs w:val="20"/>
                <w:color w:val="auto"/>
              </w:rPr>
            </w:pPr>
            <w:r>
              <w:rPr>
                <w:rFonts w:ascii="Arial" w:cs="Arial" w:eastAsia="Arial" w:hAnsi="Arial"/>
                <w:sz w:val="13"/>
                <w:szCs w:val="13"/>
                <w:color w:val="auto"/>
              </w:rPr>
              <w:t>8-K</w:t>
            </w:r>
          </w:p>
        </w:tc>
        <w:tc>
          <w:tcPr>
            <w:tcW w:w="1020" w:type="dxa"/>
            <w:vAlign w:val="bottom"/>
            <w:shd w:val="clear" w:color="auto" w:fill="CCEEFF"/>
          </w:tcPr>
          <w:p>
            <w:pPr>
              <w:ind w:left="60"/>
              <w:spacing w:after="0" w:line="141" w:lineRule="exact"/>
              <w:rPr>
                <w:sz w:val="20"/>
                <w:szCs w:val="20"/>
                <w:color w:val="auto"/>
              </w:rPr>
            </w:pPr>
            <w:r>
              <w:rPr>
                <w:rFonts w:ascii="Arial" w:cs="Arial" w:eastAsia="Arial" w:hAnsi="Arial"/>
                <w:sz w:val="13"/>
                <w:szCs w:val="13"/>
                <w:color w:val="auto"/>
              </w:rPr>
              <w:t>10.1</w:t>
            </w:r>
          </w:p>
        </w:tc>
        <w:tc>
          <w:tcPr>
            <w:tcW w:w="1560" w:type="dxa"/>
            <w:vAlign w:val="bottom"/>
            <w:shd w:val="clear" w:color="auto" w:fill="CCEEFF"/>
          </w:tcPr>
          <w:p>
            <w:pPr>
              <w:ind w:left="320"/>
              <w:spacing w:after="0" w:line="141" w:lineRule="exact"/>
              <w:rPr>
                <w:sz w:val="20"/>
                <w:szCs w:val="20"/>
                <w:color w:val="auto"/>
              </w:rPr>
            </w:pPr>
            <w:r>
              <w:rPr>
                <w:rFonts w:ascii="Arial" w:cs="Arial" w:eastAsia="Arial" w:hAnsi="Arial"/>
                <w:sz w:val="13"/>
                <w:szCs w:val="13"/>
                <w:color w:val="auto"/>
              </w:rPr>
              <w:t>5/5/2021</w:t>
            </w:r>
          </w:p>
        </w:tc>
      </w:tr>
      <w:tr>
        <w:trPr>
          <w:trHeight w:val="115"/>
        </w:trPr>
        <w:tc>
          <w:tcPr>
            <w:tcW w:w="1240" w:type="dxa"/>
            <w:vAlign w:val="bottom"/>
            <w:tcBorders>
              <w:top w:val="single" w:sz="8" w:color="CCEEFF"/>
            </w:tcBorders>
            <w:shd w:val="clear" w:color="auto" w:fill="CCEEFF"/>
          </w:tcPr>
          <w:p>
            <w:pPr>
              <w:spacing w:after="0"/>
              <w:rPr>
                <w:sz w:val="10"/>
                <w:szCs w:val="10"/>
                <w:color w:val="auto"/>
              </w:rPr>
            </w:pPr>
          </w:p>
        </w:tc>
        <w:tc>
          <w:tcPr>
            <w:tcW w:w="4960" w:type="dxa"/>
            <w:vAlign w:val="bottom"/>
            <w:tcBorders>
              <w:top w:val="single" w:sz="8" w:color="0000FF"/>
            </w:tcBorders>
            <w:gridSpan w:val="14"/>
            <w:shd w:val="clear" w:color="auto" w:fill="CCEEFF"/>
          </w:tcPr>
          <w:p>
            <w:pPr>
              <w:spacing w:after="0" w:line="116" w:lineRule="exact"/>
              <w:rPr>
                <w:rFonts w:ascii="Arial" w:cs="Arial" w:eastAsia="Arial" w:hAnsi="Arial"/>
                <w:sz w:val="13"/>
                <w:szCs w:val="13"/>
                <w:color w:val="0000FF"/>
              </w:rPr>
            </w:pPr>
            <w:hyperlink r:id="rId146">
              <w:r>
                <w:rPr>
                  <w:rFonts w:ascii="Arial" w:cs="Arial" w:eastAsia="Arial" w:hAnsi="Arial"/>
                  <w:sz w:val="13"/>
                  <w:szCs w:val="13"/>
                  <w:color w:val="0000FF"/>
                </w:rPr>
                <w:t>regarding compensation arrangements.</w:t>
              </w:r>
            </w:hyperlink>
          </w:p>
        </w:tc>
        <w:tc>
          <w:tcPr>
            <w:tcW w:w="260" w:type="dxa"/>
            <w:vAlign w:val="bottom"/>
            <w:tcBorders>
              <w:top w:val="single" w:sz="8" w:color="CCEEFF"/>
            </w:tcBorders>
            <w:gridSpan w:val="4"/>
            <w:shd w:val="clear" w:color="auto" w:fill="CCEEFF"/>
          </w:tcPr>
          <w:p>
            <w:pPr>
              <w:spacing w:after="0"/>
              <w:rPr>
                <w:sz w:val="10"/>
                <w:szCs w:val="10"/>
                <w:color w:val="auto"/>
              </w:rPr>
            </w:pPr>
          </w:p>
        </w:tc>
        <w:tc>
          <w:tcPr>
            <w:tcW w:w="224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CCEEFF"/>
            </w:tcBorders>
            <w:shd w:val="clear" w:color="auto" w:fill="CCEEFF"/>
          </w:tcPr>
          <w:p>
            <w:pPr>
              <w:spacing w:after="0"/>
              <w:rPr>
                <w:sz w:val="10"/>
                <w:szCs w:val="10"/>
                <w:color w:val="auto"/>
              </w:rPr>
            </w:pPr>
          </w:p>
        </w:tc>
        <w:tc>
          <w:tcPr>
            <w:tcW w:w="1560" w:type="dxa"/>
            <w:vAlign w:val="bottom"/>
            <w:tcBorders>
              <w:top w:val="single" w:sz="8" w:color="CCEEFF"/>
            </w:tcBorders>
            <w:shd w:val="clear" w:color="auto" w:fill="CCEEFF"/>
          </w:tcPr>
          <w:p>
            <w:pPr>
              <w:spacing w:after="0"/>
              <w:rPr>
                <w:sz w:val="10"/>
                <w:szCs w:val="10"/>
                <w:color w:val="auto"/>
              </w:rPr>
            </w:pPr>
          </w:p>
        </w:tc>
      </w:tr>
      <w:tr>
        <w:trPr>
          <w:trHeight w:val="32"/>
        </w:trPr>
        <w:tc>
          <w:tcPr>
            <w:tcW w:w="124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114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5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4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r>
      <w:tr>
        <w:trPr>
          <w:trHeight w:val="135"/>
        </w:trPr>
        <w:tc>
          <w:tcPr>
            <w:tcW w:w="1240" w:type="dxa"/>
            <w:vAlign w:val="bottom"/>
          </w:tcPr>
          <w:p>
            <w:pPr>
              <w:ind w:left="20"/>
              <w:spacing w:after="0" w:line="136" w:lineRule="exact"/>
              <w:rPr>
                <w:sz w:val="20"/>
                <w:szCs w:val="20"/>
                <w:color w:val="auto"/>
              </w:rPr>
            </w:pPr>
            <w:r>
              <w:rPr>
                <w:rFonts w:ascii="Arial" w:cs="Arial" w:eastAsia="Arial" w:hAnsi="Arial"/>
                <w:sz w:val="13"/>
                <w:szCs w:val="13"/>
                <w:color w:val="auto"/>
              </w:rPr>
              <w:t>*10.4(e)</w:t>
            </w:r>
          </w:p>
        </w:tc>
        <w:tc>
          <w:tcPr>
            <w:tcW w:w="5220" w:type="dxa"/>
            <w:vAlign w:val="bottom"/>
            <w:gridSpan w:val="18"/>
          </w:tcPr>
          <w:p>
            <w:pPr>
              <w:spacing w:after="0" w:line="136" w:lineRule="exact"/>
              <w:rPr>
                <w:rFonts w:ascii="Arial" w:cs="Arial" w:eastAsia="Arial" w:hAnsi="Arial"/>
                <w:sz w:val="13"/>
                <w:szCs w:val="13"/>
                <w:color w:val="0000FF"/>
              </w:rPr>
            </w:pPr>
            <w:hyperlink r:id="rId147">
              <w:r>
                <w:rPr>
                  <w:rFonts w:ascii="Arial" w:cs="Arial" w:eastAsia="Arial" w:hAnsi="Arial"/>
                  <w:sz w:val="13"/>
                  <w:szCs w:val="13"/>
                  <w:color w:val="0000FF"/>
                </w:rPr>
                <w:t>Letter Agreement dated November 5, 2019 between Conduent Incorporated and Michael</w:t>
              </w:r>
            </w:hyperlink>
          </w:p>
        </w:tc>
        <w:tc>
          <w:tcPr>
            <w:tcW w:w="2240" w:type="dxa"/>
            <w:vAlign w:val="bottom"/>
          </w:tcPr>
          <w:p>
            <w:pPr>
              <w:ind w:left="1080"/>
              <w:spacing w:after="0" w:line="136" w:lineRule="exact"/>
              <w:rPr>
                <w:sz w:val="20"/>
                <w:szCs w:val="20"/>
                <w:color w:val="auto"/>
              </w:rPr>
            </w:pPr>
            <w:r>
              <w:rPr>
                <w:rFonts w:ascii="Arial" w:cs="Arial" w:eastAsia="Arial" w:hAnsi="Arial"/>
                <w:sz w:val="13"/>
                <w:szCs w:val="13"/>
                <w:color w:val="auto"/>
              </w:rPr>
              <w:t>10-K</w:t>
            </w:r>
          </w:p>
        </w:tc>
        <w:tc>
          <w:tcPr>
            <w:tcW w:w="1020" w:type="dxa"/>
            <w:vAlign w:val="bottom"/>
          </w:tcPr>
          <w:p>
            <w:pPr>
              <w:ind w:left="60"/>
              <w:spacing w:after="0" w:line="136" w:lineRule="exact"/>
              <w:rPr>
                <w:sz w:val="20"/>
                <w:szCs w:val="20"/>
                <w:color w:val="auto"/>
              </w:rPr>
            </w:pPr>
            <w:r>
              <w:rPr>
                <w:rFonts w:ascii="Arial" w:cs="Arial" w:eastAsia="Arial" w:hAnsi="Arial"/>
                <w:sz w:val="13"/>
                <w:szCs w:val="13"/>
                <w:color w:val="auto"/>
              </w:rPr>
              <w:t>10.6(i)</w:t>
            </w:r>
          </w:p>
        </w:tc>
        <w:tc>
          <w:tcPr>
            <w:tcW w:w="1560" w:type="dxa"/>
            <w:vAlign w:val="bottom"/>
          </w:tcPr>
          <w:p>
            <w:pPr>
              <w:ind w:left="320"/>
              <w:spacing w:after="0" w:line="136" w:lineRule="exact"/>
              <w:rPr>
                <w:sz w:val="20"/>
                <w:szCs w:val="20"/>
                <w:color w:val="auto"/>
              </w:rPr>
            </w:pPr>
            <w:r>
              <w:rPr>
                <w:rFonts w:ascii="Arial" w:cs="Arial" w:eastAsia="Arial" w:hAnsi="Arial"/>
                <w:sz w:val="13"/>
                <w:szCs w:val="13"/>
                <w:color w:val="auto"/>
              </w:rPr>
              <w:t>2/26/2020</w:t>
            </w:r>
          </w:p>
        </w:tc>
      </w:tr>
      <w:tr>
        <w:trPr>
          <w:trHeight w:val="126"/>
        </w:trPr>
        <w:tc>
          <w:tcPr>
            <w:tcW w:w="1240" w:type="dxa"/>
            <w:vAlign w:val="bottom"/>
          </w:tcPr>
          <w:p>
            <w:pPr>
              <w:spacing w:after="0"/>
              <w:rPr>
                <w:sz w:val="10"/>
                <w:szCs w:val="10"/>
                <w:color w:val="auto"/>
              </w:rPr>
            </w:pPr>
          </w:p>
        </w:tc>
        <w:tc>
          <w:tcPr>
            <w:tcW w:w="4920" w:type="dxa"/>
            <w:vAlign w:val="bottom"/>
            <w:tcBorders>
              <w:top w:val="single" w:sz="8" w:color="0000FF"/>
            </w:tcBorders>
            <w:gridSpan w:val="13"/>
          </w:tcPr>
          <w:p>
            <w:pPr>
              <w:spacing w:after="0" w:line="126" w:lineRule="exact"/>
              <w:rPr>
                <w:rFonts w:ascii="Arial" w:cs="Arial" w:eastAsia="Arial" w:hAnsi="Arial"/>
                <w:sz w:val="13"/>
                <w:szCs w:val="13"/>
                <w:color w:val="0000FF"/>
              </w:rPr>
            </w:pPr>
            <w:hyperlink r:id="rId147">
              <w:r>
                <w:rPr>
                  <w:rFonts w:ascii="Arial" w:cs="Arial" w:eastAsia="Arial" w:hAnsi="Arial"/>
                  <w:sz w:val="13"/>
                  <w:szCs w:val="13"/>
                  <w:color w:val="0000FF"/>
                </w:rPr>
                <w:t>Krawitz</w:t>
              </w:r>
              <w:r>
                <w:rPr>
                  <w:rFonts w:ascii="Arial" w:cs="Arial" w:eastAsia="Arial" w:hAnsi="Arial"/>
                  <w:sz w:val="13"/>
                  <w:szCs w:val="13"/>
                  <w:color w:val="000000"/>
                </w:rPr>
                <w:t>.</w:t>
              </w:r>
            </w:hyperlink>
          </w:p>
        </w:tc>
        <w:tc>
          <w:tcPr>
            <w:tcW w:w="300" w:type="dxa"/>
            <w:vAlign w:val="bottom"/>
            <w:gridSpan w:val="5"/>
          </w:tcPr>
          <w:p>
            <w:pPr>
              <w:spacing w:after="0"/>
              <w:rPr>
                <w:sz w:val="10"/>
                <w:szCs w:val="10"/>
                <w:color w:val="auto"/>
              </w:rPr>
            </w:pPr>
          </w:p>
        </w:tc>
        <w:tc>
          <w:tcPr>
            <w:tcW w:w="2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560" w:type="dxa"/>
            <w:vAlign w:val="bottom"/>
          </w:tcPr>
          <w:p>
            <w:pPr>
              <w:spacing w:after="0"/>
              <w:rPr>
                <w:sz w:val="10"/>
                <w:szCs w:val="10"/>
                <w:color w:val="auto"/>
              </w:rPr>
            </w:pPr>
          </w:p>
        </w:tc>
      </w:tr>
      <w:tr>
        <w:trPr>
          <w:trHeight w:val="32"/>
        </w:trPr>
        <w:tc>
          <w:tcPr>
            <w:tcW w:w="124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47"/>
        </w:trPr>
        <w:tc>
          <w:tcPr>
            <w:tcW w:w="1240" w:type="dxa"/>
            <w:vAlign w:val="bottom"/>
            <w:tcBorders>
              <w:bottom w:val="single" w:sz="8" w:color="CCEEFF"/>
            </w:tcBorders>
            <w:shd w:val="clear" w:color="auto" w:fill="CCEEFF"/>
          </w:tcPr>
          <w:p>
            <w:pPr>
              <w:ind w:left="20"/>
              <w:spacing w:after="0" w:line="136" w:lineRule="exact"/>
              <w:rPr>
                <w:sz w:val="20"/>
                <w:szCs w:val="20"/>
                <w:color w:val="auto"/>
              </w:rPr>
            </w:pPr>
            <w:r>
              <w:rPr>
                <w:rFonts w:ascii="Arial" w:cs="Arial" w:eastAsia="Arial" w:hAnsi="Arial"/>
                <w:sz w:val="13"/>
                <w:szCs w:val="13"/>
                <w:color w:val="auto"/>
              </w:rPr>
              <w:t>*10.4(f)</w:t>
            </w:r>
          </w:p>
        </w:tc>
        <w:tc>
          <w:tcPr>
            <w:tcW w:w="2580" w:type="dxa"/>
            <w:vAlign w:val="bottom"/>
            <w:tcBorders>
              <w:bottom w:val="single" w:sz="8" w:color="0000FF"/>
            </w:tcBorders>
            <w:gridSpan w:val="5"/>
            <w:shd w:val="clear" w:color="auto" w:fill="CCEEFF"/>
          </w:tcPr>
          <w:p>
            <w:pPr>
              <w:spacing w:after="0" w:line="136" w:lineRule="exact"/>
              <w:rPr>
                <w:rFonts w:ascii="Arial" w:cs="Arial" w:eastAsia="Arial" w:hAnsi="Arial"/>
                <w:sz w:val="13"/>
                <w:szCs w:val="13"/>
                <w:color w:val="0000FF"/>
                <w:w w:val="95"/>
              </w:rPr>
            </w:pPr>
            <w:hyperlink r:id="rId148">
              <w:r>
                <w:rPr>
                  <w:rFonts w:ascii="Arial" w:cs="Arial" w:eastAsia="Arial" w:hAnsi="Arial"/>
                  <w:sz w:val="13"/>
                  <w:szCs w:val="13"/>
                  <w:color w:val="0000FF"/>
                  <w:w w:val="95"/>
                </w:rPr>
                <w:t>U.S. Executive Severance Policy, as amended</w:t>
              </w:r>
            </w:hyperlink>
          </w:p>
        </w:tc>
        <w:tc>
          <w:tcPr>
            <w:tcW w:w="2640" w:type="dxa"/>
            <w:vAlign w:val="bottom"/>
            <w:tcBorders>
              <w:bottom w:val="single" w:sz="8" w:color="CCEEFF"/>
            </w:tcBorders>
            <w:gridSpan w:val="13"/>
            <w:shd w:val="clear" w:color="auto" w:fill="CCEEFF"/>
          </w:tcPr>
          <w:p>
            <w:pPr>
              <w:spacing w:after="0"/>
              <w:rPr>
                <w:sz w:val="12"/>
                <w:szCs w:val="12"/>
                <w:color w:val="auto"/>
              </w:rPr>
            </w:pPr>
          </w:p>
        </w:tc>
        <w:tc>
          <w:tcPr>
            <w:tcW w:w="2240" w:type="dxa"/>
            <w:vAlign w:val="bottom"/>
            <w:tcBorders>
              <w:bottom w:val="single" w:sz="8" w:color="CCEEFF"/>
            </w:tcBorders>
            <w:shd w:val="clear" w:color="auto" w:fill="CCEEFF"/>
          </w:tcPr>
          <w:p>
            <w:pPr>
              <w:ind w:left="1080"/>
              <w:spacing w:after="0" w:line="136" w:lineRule="exact"/>
              <w:rPr>
                <w:sz w:val="20"/>
                <w:szCs w:val="20"/>
                <w:color w:val="auto"/>
              </w:rPr>
            </w:pPr>
            <w:r>
              <w:rPr>
                <w:rFonts w:ascii="Arial" w:cs="Arial" w:eastAsia="Arial" w:hAnsi="Arial"/>
                <w:sz w:val="13"/>
                <w:szCs w:val="13"/>
                <w:color w:val="auto"/>
              </w:rPr>
              <w:t>10-Q</w:t>
            </w:r>
          </w:p>
        </w:tc>
        <w:tc>
          <w:tcPr>
            <w:tcW w:w="1020" w:type="dxa"/>
            <w:vAlign w:val="bottom"/>
            <w:tcBorders>
              <w:bottom w:val="single" w:sz="8" w:color="CCEEFF"/>
            </w:tcBorders>
            <w:shd w:val="clear" w:color="auto" w:fill="CCEEFF"/>
          </w:tcPr>
          <w:p>
            <w:pPr>
              <w:ind w:left="60"/>
              <w:spacing w:after="0" w:line="136" w:lineRule="exact"/>
              <w:rPr>
                <w:sz w:val="20"/>
                <w:szCs w:val="20"/>
                <w:color w:val="auto"/>
              </w:rPr>
            </w:pPr>
            <w:r>
              <w:rPr>
                <w:rFonts w:ascii="Arial" w:cs="Arial" w:eastAsia="Arial" w:hAnsi="Arial"/>
                <w:sz w:val="13"/>
                <w:szCs w:val="13"/>
                <w:color w:val="auto"/>
              </w:rPr>
              <w:t>10.1</w:t>
            </w:r>
          </w:p>
        </w:tc>
        <w:tc>
          <w:tcPr>
            <w:tcW w:w="1560" w:type="dxa"/>
            <w:vAlign w:val="bottom"/>
            <w:tcBorders>
              <w:bottom w:val="single" w:sz="8" w:color="CCEEFF"/>
            </w:tcBorders>
            <w:shd w:val="clear" w:color="auto" w:fill="CCEEFF"/>
          </w:tcPr>
          <w:p>
            <w:pPr>
              <w:ind w:left="320"/>
              <w:spacing w:after="0" w:line="136" w:lineRule="exact"/>
              <w:rPr>
                <w:sz w:val="20"/>
                <w:szCs w:val="20"/>
                <w:color w:val="auto"/>
              </w:rPr>
            </w:pPr>
            <w:r>
              <w:rPr>
                <w:rFonts w:ascii="Arial" w:cs="Arial" w:eastAsia="Arial" w:hAnsi="Arial"/>
                <w:sz w:val="13"/>
                <w:szCs w:val="13"/>
                <w:color w:val="auto"/>
              </w:rPr>
              <w:t>8/2/2022</w:t>
            </w:r>
          </w:p>
        </w:tc>
      </w:tr>
      <w:tr>
        <w:trPr>
          <w:trHeight w:val="135"/>
        </w:trPr>
        <w:tc>
          <w:tcPr>
            <w:tcW w:w="1240" w:type="dxa"/>
            <w:vAlign w:val="bottom"/>
          </w:tcPr>
          <w:p>
            <w:pPr>
              <w:ind w:left="20"/>
              <w:spacing w:after="0" w:line="136" w:lineRule="exact"/>
              <w:rPr>
                <w:sz w:val="20"/>
                <w:szCs w:val="20"/>
                <w:color w:val="auto"/>
              </w:rPr>
            </w:pPr>
            <w:r>
              <w:rPr>
                <w:rFonts w:ascii="Arial" w:cs="Arial" w:eastAsia="Arial" w:hAnsi="Arial"/>
                <w:sz w:val="13"/>
                <w:szCs w:val="13"/>
                <w:color w:val="auto"/>
              </w:rPr>
              <w:t>*10.4(g)</w:t>
            </w:r>
          </w:p>
        </w:tc>
        <w:tc>
          <w:tcPr>
            <w:tcW w:w="3080" w:type="dxa"/>
            <w:vAlign w:val="bottom"/>
            <w:tcBorders>
              <w:bottom w:val="single" w:sz="8" w:color="0000FF"/>
            </w:tcBorders>
            <w:gridSpan w:val="7"/>
          </w:tcPr>
          <w:p>
            <w:pPr>
              <w:spacing w:after="0" w:line="136" w:lineRule="exact"/>
              <w:rPr>
                <w:rFonts w:ascii="Arial" w:cs="Arial" w:eastAsia="Arial" w:hAnsi="Arial"/>
                <w:sz w:val="13"/>
                <w:szCs w:val="13"/>
                <w:color w:val="0000FF"/>
                <w:w w:val="95"/>
              </w:rPr>
            </w:pPr>
            <w:hyperlink r:id="rId149">
              <w:r>
                <w:rPr>
                  <w:rFonts w:ascii="Arial" w:cs="Arial" w:eastAsia="Arial" w:hAnsi="Arial"/>
                  <w:sz w:val="13"/>
                  <w:szCs w:val="13"/>
                  <w:color w:val="0000FF"/>
                  <w:w w:val="95"/>
                </w:rPr>
                <w:t>Form of Director and Officer Indemnification Agreement</w:t>
              </w:r>
            </w:hyperlink>
          </w:p>
        </w:tc>
        <w:tc>
          <w:tcPr>
            <w:tcW w:w="2140" w:type="dxa"/>
            <w:vAlign w:val="bottom"/>
            <w:gridSpan w:val="11"/>
          </w:tcPr>
          <w:p>
            <w:pPr>
              <w:spacing w:after="0"/>
              <w:rPr>
                <w:sz w:val="11"/>
                <w:szCs w:val="11"/>
                <w:color w:val="auto"/>
              </w:rPr>
            </w:pPr>
          </w:p>
        </w:tc>
        <w:tc>
          <w:tcPr>
            <w:tcW w:w="2240" w:type="dxa"/>
            <w:vAlign w:val="bottom"/>
          </w:tcPr>
          <w:p>
            <w:pPr>
              <w:ind w:left="1080"/>
              <w:spacing w:after="0" w:line="136" w:lineRule="exact"/>
              <w:rPr>
                <w:sz w:val="20"/>
                <w:szCs w:val="20"/>
                <w:color w:val="auto"/>
              </w:rPr>
            </w:pPr>
            <w:r>
              <w:rPr>
                <w:rFonts w:ascii="Arial" w:cs="Arial" w:eastAsia="Arial" w:hAnsi="Arial"/>
                <w:sz w:val="13"/>
                <w:szCs w:val="13"/>
                <w:color w:val="auto"/>
              </w:rPr>
              <w:t>10-Q</w:t>
            </w:r>
          </w:p>
        </w:tc>
        <w:tc>
          <w:tcPr>
            <w:tcW w:w="1020" w:type="dxa"/>
            <w:vAlign w:val="bottom"/>
          </w:tcPr>
          <w:p>
            <w:pPr>
              <w:ind w:left="60"/>
              <w:spacing w:after="0" w:line="136" w:lineRule="exact"/>
              <w:rPr>
                <w:sz w:val="20"/>
                <w:szCs w:val="20"/>
                <w:color w:val="auto"/>
              </w:rPr>
            </w:pPr>
            <w:r>
              <w:rPr>
                <w:rFonts w:ascii="Arial" w:cs="Arial" w:eastAsia="Arial" w:hAnsi="Arial"/>
                <w:sz w:val="13"/>
                <w:szCs w:val="13"/>
                <w:color w:val="auto"/>
              </w:rPr>
              <w:t>10.1</w:t>
            </w:r>
          </w:p>
        </w:tc>
        <w:tc>
          <w:tcPr>
            <w:tcW w:w="1560" w:type="dxa"/>
            <w:vAlign w:val="bottom"/>
          </w:tcPr>
          <w:p>
            <w:pPr>
              <w:ind w:left="320"/>
              <w:spacing w:after="0" w:line="136" w:lineRule="exact"/>
              <w:rPr>
                <w:sz w:val="20"/>
                <w:szCs w:val="20"/>
                <w:color w:val="auto"/>
              </w:rPr>
            </w:pPr>
            <w:r>
              <w:rPr>
                <w:rFonts w:ascii="Arial" w:cs="Arial" w:eastAsia="Arial" w:hAnsi="Arial"/>
                <w:sz w:val="13"/>
                <w:szCs w:val="13"/>
                <w:color w:val="auto"/>
              </w:rPr>
              <w:t>11/1/2023</w:t>
            </w:r>
          </w:p>
        </w:tc>
      </w:tr>
    </w:tbl>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19</w:t>
            </w:r>
          </w:p>
        </w:tc>
        <w:tc>
          <w:tcPr>
            <w:tcW w:w="5240" w:type="dxa"/>
            <w:vAlign w:val="bottom"/>
            <w:gridSpan w:val="7"/>
            <w:shd w:val="clear" w:color="auto" w:fill="CCEEFF"/>
          </w:tcPr>
          <w:p>
            <w:pPr>
              <w:spacing w:after="0"/>
              <w:rPr>
                <w:sz w:val="20"/>
                <w:szCs w:val="20"/>
                <w:color w:val="auto"/>
              </w:rPr>
            </w:pPr>
            <w:r>
              <w:rPr>
                <w:rFonts w:ascii="Arial" w:cs="Arial" w:eastAsia="Arial" w:hAnsi="Arial"/>
                <w:sz w:val="13"/>
                <w:szCs w:val="13"/>
                <w:color w:val="0000FF"/>
              </w:rPr>
              <w:t>Insider Trading Policy</w:t>
            </w:r>
          </w:p>
        </w:tc>
        <w:tc>
          <w:tcPr>
            <w:tcW w:w="4800" w:type="dxa"/>
            <w:vAlign w:val="bottom"/>
            <w:shd w:val="clear" w:color="auto" w:fill="CCEEFF"/>
          </w:tcPr>
          <w:p>
            <w:pPr>
              <w:ind w:left="500"/>
              <w:spacing w:after="0"/>
              <w:rPr>
                <w:sz w:val="20"/>
                <w:szCs w:val="20"/>
                <w:color w:val="auto"/>
              </w:rPr>
            </w:pPr>
            <w:r>
              <w:rPr>
                <w:rFonts w:ascii="Arial" w:cs="Arial" w:eastAsia="Arial" w:hAnsi="Arial"/>
                <w:sz w:val="13"/>
                <w:szCs w:val="13"/>
                <w:color w:val="auto"/>
              </w:rPr>
              <w:t>X</w:t>
            </w:r>
          </w:p>
        </w:tc>
      </w:tr>
      <w:tr>
        <w:trPr>
          <w:trHeight w:val="31"/>
        </w:trPr>
        <w:tc>
          <w:tcPr>
            <w:tcW w:w="1240" w:type="dxa"/>
            <w:vAlign w:val="bottom"/>
            <w:shd w:val="clear" w:color="auto" w:fill="CCEE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800" w:type="dxa"/>
            <w:vAlign w:val="bottom"/>
            <w:shd w:val="clear" w:color="auto" w:fill="CCEEFF"/>
          </w:tcPr>
          <w:p>
            <w:pPr>
              <w:spacing w:after="0"/>
              <w:rPr>
                <w:sz w:val="2"/>
                <w:szCs w:val="2"/>
                <w:color w:val="auto"/>
              </w:rPr>
            </w:pPr>
          </w:p>
        </w:tc>
      </w:tr>
      <w:tr>
        <w:trPr>
          <w:trHeight w:val="141"/>
        </w:trPr>
        <w:tc>
          <w:tcPr>
            <w:tcW w:w="1240" w:type="dxa"/>
            <w:vAlign w:val="bottom"/>
          </w:tcPr>
          <w:p>
            <w:pPr>
              <w:ind w:left="20"/>
              <w:spacing w:after="0" w:line="136" w:lineRule="exact"/>
              <w:rPr>
                <w:sz w:val="20"/>
                <w:szCs w:val="20"/>
                <w:color w:val="auto"/>
              </w:rPr>
            </w:pPr>
            <w:r>
              <w:rPr>
                <w:rFonts w:ascii="Arial" w:cs="Arial" w:eastAsia="Arial" w:hAnsi="Arial"/>
                <w:sz w:val="13"/>
                <w:szCs w:val="13"/>
                <w:color w:val="auto"/>
              </w:rPr>
              <w:t>21</w:t>
            </w:r>
          </w:p>
        </w:tc>
        <w:tc>
          <w:tcPr>
            <w:tcW w:w="1820" w:type="dxa"/>
            <w:vAlign w:val="bottom"/>
            <w:tcBorders>
              <w:bottom w:val="single" w:sz="8" w:color="0000FF"/>
            </w:tcBorders>
            <w:gridSpan w:val="3"/>
          </w:tcPr>
          <w:p>
            <w:pPr>
              <w:spacing w:after="0" w:line="136" w:lineRule="exact"/>
              <w:rPr>
                <w:sz w:val="20"/>
                <w:szCs w:val="20"/>
                <w:color w:val="auto"/>
              </w:rPr>
            </w:pPr>
            <w:r>
              <w:rPr>
                <w:rFonts w:ascii="Arial" w:cs="Arial" w:eastAsia="Arial" w:hAnsi="Arial"/>
                <w:sz w:val="13"/>
                <w:szCs w:val="13"/>
                <w:color w:val="0000FF"/>
                <w:w w:val="95"/>
              </w:rPr>
              <w:t>List of subsidiaries of Registrant.</w:t>
            </w:r>
          </w:p>
        </w:tc>
        <w:tc>
          <w:tcPr>
            <w:tcW w:w="3420" w:type="dxa"/>
            <w:vAlign w:val="bottom"/>
            <w:gridSpan w:val="4"/>
          </w:tcPr>
          <w:p>
            <w:pPr>
              <w:spacing w:after="0"/>
              <w:rPr>
                <w:sz w:val="12"/>
                <w:szCs w:val="12"/>
                <w:color w:val="auto"/>
              </w:rPr>
            </w:pPr>
          </w:p>
        </w:tc>
        <w:tc>
          <w:tcPr>
            <w:tcW w:w="4800" w:type="dxa"/>
            <w:vAlign w:val="bottom"/>
          </w:tcPr>
          <w:p>
            <w:pPr>
              <w:ind w:left="500"/>
              <w:spacing w:after="0" w:line="136" w:lineRule="exact"/>
              <w:rPr>
                <w:sz w:val="20"/>
                <w:szCs w:val="20"/>
                <w:color w:val="auto"/>
              </w:rPr>
            </w:pPr>
            <w:r>
              <w:rPr>
                <w:rFonts w:ascii="Arial" w:cs="Arial" w:eastAsia="Arial" w:hAnsi="Arial"/>
                <w:sz w:val="13"/>
                <w:szCs w:val="13"/>
                <w:color w:val="auto"/>
              </w:rPr>
              <w:t>X</w:t>
            </w:r>
          </w:p>
        </w:tc>
      </w:tr>
      <w:tr>
        <w:trPr>
          <w:trHeight w:val="141"/>
        </w:trPr>
        <w:tc>
          <w:tcPr>
            <w:tcW w:w="124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23</w:t>
            </w:r>
          </w:p>
        </w:tc>
        <w:tc>
          <w:tcPr>
            <w:tcW w:w="5240" w:type="dxa"/>
            <w:vAlign w:val="bottom"/>
            <w:gridSpan w:val="7"/>
            <w:shd w:val="clear" w:color="auto" w:fill="CCEEFF"/>
          </w:tcPr>
          <w:p>
            <w:pPr>
              <w:spacing w:after="0" w:line="141" w:lineRule="exact"/>
              <w:rPr>
                <w:sz w:val="20"/>
                <w:szCs w:val="20"/>
                <w:color w:val="auto"/>
              </w:rPr>
            </w:pPr>
            <w:r>
              <w:rPr>
                <w:rFonts w:ascii="Arial" w:cs="Arial" w:eastAsia="Arial" w:hAnsi="Arial"/>
                <w:sz w:val="13"/>
                <w:szCs w:val="13"/>
                <w:color w:val="0000FF"/>
              </w:rPr>
              <w:t>Consent of PricewaterhouseCoopers LLP.</w:t>
            </w:r>
          </w:p>
        </w:tc>
        <w:tc>
          <w:tcPr>
            <w:tcW w:w="4800" w:type="dxa"/>
            <w:vAlign w:val="bottom"/>
            <w:shd w:val="clear" w:color="auto" w:fill="CCEEFF"/>
          </w:tcPr>
          <w:p>
            <w:pPr>
              <w:ind w:left="500"/>
              <w:spacing w:after="0" w:line="141" w:lineRule="exact"/>
              <w:rPr>
                <w:sz w:val="20"/>
                <w:szCs w:val="20"/>
                <w:color w:val="auto"/>
              </w:rPr>
            </w:pPr>
            <w:r>
              <w:rPr>
                <w:rFonts w:ascii="Arial" w:cs="Arial" w:eastAsia="Arial" w:hAnsi="Arial"/>
                <w:sz w:val="13"/>
                <w:szCs w:val="13"/>
                <w:color w:val="auto"/>
              </w:rPr>
              <w:t>X</w:t>
            </w:r>
          </w:p>
        </w:tc>
      </w:tr>
      <w:tr>
        <w:trPr>
          <w:trHeight w:val="31"/>
        </w:trPr>
        <w:tc>
          <w:tcPr>
            <w:tcW w:w="1240" w:type="dxa"/>
            <w:vAlign w:val="bottom"/>
            <w:shd w:val="clear" w:color="auto" w:fill="CCEE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800" w:type="dxa"/>
            <w:vAlign w:val="bottom"/>
            <w:shd w:val="clear" w:color="auto" w:fill="CCEEFF"/>
          </w:tcPr>
          <w:p>
            <w:pPr>
              <w:spacing w:after="0"/>
              <w:rPr>
                <w:sz w:val="2"/>
                <w:szCs w:val="2"/>
                <w:color w:val="auto"/>
              </w:rPr>
            </w:pPr>
          </w:p>
        </w:tc>
      </w:tr>
      <w:tr>
        <w:trPr>
          <w:trHeight w:val="135"/>
        </w:trPr>
        <w:tc>
          <w:tcPr>
            <w:tcW w:w="1240" w:type="dxa"/>
            <w:vAlign w:val="bottom"/>
          </w:tcPr>
          <w:p>
            <w:pPr>
              <w:ind w:left="20"/>
              <w:spacing w:after="0" w:line="136" w:lineRule="exact"/>
              <w:rPr>
                <w:sz w:val="20"/>
                <w:szCs w:val="20"/>
                <w:color w:val="auto"/>
              </w:rPr>
            </w:pPr>
            <w:r>
              <w:rPr>
                <w:rFonts w:ascii="Arial" w:cs="Arial" w:eastAsia="Arial" w:hAnsi="Arial"/>
                <w:sz w:val="13"/>
                <w:szCs w:val="13"/>
                <w:color w:val="auto"/>
              </w:rPr>
              <w:t>31(a)</w:t>
            </w:r>
          </w:p>
        </w:tc>
        <w:tc>
          <w:tcPr>
            <w:tcW w:w="5240" w:type="dxa"/>
            <w:vAlign w:val="bottom"/>
            <w:gridSpan w:val="7"/>
          </w:tcPr>
          <w:p>
            <w:pPr>
              <w:spacing w:after="0" w:line="136" w:lineRule="exact"/>
              <w:rPr>
                <w:sz w:val="20"/>
                <w:szCs w:val="20"/>
                <w:color w:val="auto"/>
              </w:rPr>
            </w:pPr>
            <w:r>
              <w:rPr>
                <w:rFonts w:ascii="Arial" w:cs="Arial" w:eastAsia="Arial" w:hAnsi="Arial"/>
                <w:sz w:val="13"/>
                <w:szCs w:val="13"/>
                <w:color w:val="0000FF"/>
              </w:rPr>
              <w:t>Certification of CEO pursuant to Rule 13a-14(a) or Rule 15d-14(a).</w:t>
            </w:r>
          </w:p>
        </w:tc>
        <w:tc>
          <w:tcPr>
            <w:tcW w:w="4800" w:type="dxa"/>
            <w:vAlign w:val="bottom"/>
          </w:tcPr>
          <w:p>
            <w:pPr>
              <w:ind w:left="500"/>
              <w:spacing w:after="0" w:line="136" w:lineRule="exact"/>
              <w:rPr>
                <w:sz w:val="20"/>
                <w:szCs w:val="20"/>
                <w:color w:val="auto"/>
              </w:rPr>
            </w:pPr>
            <w:r>
              <w:rPr>
                <w:rFonts w:ascii="Arial" w:cs="Arial" w:eastAsia="Arial" w:hAnsi="Arial"/>
                <w:sz w:val="13"/>
                <w:szCs w:val="13"/>
                <w:color w:val="auto"/>
              </w:rPr>
              <w:t>X</w:t>
            </w:r>
          </w:p>
        </w:tc>
      </w:tr>
      <w:tr>
        <w:trPr>
          <w:trHeight w:val="26"/>
        </w:trPr>
        <w:tc>
          <w:tcPr>
            <w:tcW w:w="1240" w:type="dxa"/>
            <w:vAlign w:val="bottom"/>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360" w:type="dxa"/>
            <w:vAlign w:val="bottom"/>
            <w:shd w:val="clear" w:color="auto" w:fill="0000FF"/>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141"/>
        </w:trPr>
        <w:tc>
          <w:tcPr>
            <w:tcW w:w="124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31(b)</w:t>
            </w:r>
          </w:p>
        </w:tc>
        <w:tc>
          <w:tcPr>
            <w:tcW w:w="5240" w:type="dxa"/>
            <w:vAlign w:val="bottom"/>
            <w:gridSpan w:val="7"/>
            <w:shd w:val="clear" w:color="auto" w:fill="CCEEFF"/>
          </w:tcPr>
          <w:p>
            <w:pPr>
              <w:spacing w:after="0" w:line="141" w:lineRule="exact"/>
              <w:rPr>
                <w:sz w:val="20"/>
                <w:szCs w:val="20"/>
                <w:color w:val="auto"/>
              </w:rPr>
            </w:pPr>
            <w:r>
              <w:rPr>
                <w:rFonts w:ascii="Arial" w:cs="Arial" w:eastAsia="Arial" w:hAnsi="Arial"/>
                <w:sz w:val="13"/>
                <w:szCs w:val="13"/>
                <w:color w:val="0000FF"/>
              </w:rPr>
              <w:t>Certification of CFO pursuant to Rule 13a-14(a) or Rule 15d-14(a).</w:t>
            </w:r>
          </w:p>
        </w:tc>
        <w:tc>
          <w:tcPr>
            <w:tcW w:w="4800" w:type="dxa"/>
            <w:vAlign w:val="bottom"/>
            <w:shd w:val="clear" w:color="auto" w:fill="CCEEFF"/>
          </w:tcPr>
          <w:p>
            <w:pPr>
              <w:ind w:left="500"/>
              <w:spacing w:after="0" w:line="141" w:lineRule="exact"/>
              <w:rPr>
                <w:sz w:val="20"/>
                <w:szCs w:val="20"/>
                <w:color w:val="auto"/>
              </w:rPr>
            </w:pPr>
            <w:r>
              <w:rPr>
                <w:rFonts w:ascii="Arial" w:cs="Arial" w:eastAsia="Arial" w:hAnsi="Arial"/>
                <w:sz w:val="13"/>
                <w:szCs w:val="13"/>
                <w:color w:val="auto"/>
              </w:rPr>
              <w:t>X</w:t>
            </w:r>
          </w:p>
        </w:tc>
      </w:tr>
      <w:tr>
        <w:trPr>
          <w:trHeight w:val="31"/>
        </w:trPr>
        <w:tc>
          <w:tcPr>
            <w:tcW w:w="1240" w:type="dxa"/>
            <w:vAlign w:val="bottom"/>
            <w:shd w:val="clear" w:color="auto" w:fill="CCEE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360" w:type="dxa"/>
            <w:vAlign w:val="bottom"/>
            <w:shd w:val="clear" w:color="auto" w:fill="0000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800" w:type="dxa"/>
            <w:vAlign w:val="bottom"/>
            <w:shd w:val="clear" w:color="auto" w:fill="CCEEFF"/>
          </w:tcPr>
          <w:p>
            <w:pPr>
              <w:spacing w:after="0"/>
              <w:rPr>
                <w:sz w:val="2"/>
                <w:szCs w:val="2"/>
                <w:color w:val="auto"/>
              </w:rPr>
            </w:pPr>
          </w:p>
        </w:tc>
      </w:tr>
      <w:tr>
        <w:trPr>
          <w:trHeight w:val="135"/>
        </w:trPr>
        <w:tc>
          <w:tcPr>
            <w:tcW w:w="1240" w:type="dxa"/>
            <w:vAlign w:val="bottom"/>
          </w:tcPr>
          <w:p>
            <w:pPr>
              <w:ind w:left="20"/>
              <w:spacing w:after="0" w:line="136" w:lineRule="exact"/>
              <w:rPr>
                <w:sz w:val="20"/>
                <w:szCs w:val="20"/>
                <w:color w:val="auto"/>
              </w:rPr>
            </w:pPr>
            <w:r>
              <w:rPr>
                <w:rFonts w:ascii="Arial" w:cs="Arial" w:eastAsia="Arial" w:hAnsi="Arial"/>
                <w:sz w:val="13"/>
                <w:szCs w:val="13"/>
                <w:color w:val="auto"/>
              </w:rPr>
              <w:t>32**</w:t>
            </w:r>
          </w:p>
        </w:tc>
        <w:tc>
          <w:tcPr>
            <w:tcW w:w="5240" w:type="dxa"/>
            <w:vAlign w:val="bottom"/>
            <w:tcBorders>
              <w:bottom w:val="single" w:sz="8" w:color="0000FF"/>
            </w:tcBorders>
            <w:gridSpan w:val="7"/>
          </w:tcPr>
          <w:p>
            <w:pPr>
              <w:spacing w:after="0" w:line="136" w:lineRule="exact"/>
              <w:rPr>
                <w:sz w:val="20"/>
                <w:szCs w:val="20"/>
                <w:color w:val="auto"/>
              </w:rPr>
            </w:pPr>
            <w:r>
              <w:rPr>
                <w:rFonts w:ascii="Arial" w:cs="Arial" w:eastAsia="Arial" w:hAnsi="Arial"/>
                <w:sz w:val="13"/>
                <w:szCs w:val="13"/>
                <w:color w:val="0000FF"/>
                <w:w w:val="95"/>
              </w:rPr>
              <w:t>Certification of CEO and CFO pursuant to 18 U.S.C. §1350 as adopted pursuant to §906 of the</w:t>
            </w:r>
          </w:p>
        </w:tc>
        <w:tc>
          <w:tcPr>
            <w:tcW w:w="4800" w:type="dxa"/>
            <w:vAlign w:val="bottom"/>
          </w:tcPr>
          <w:p>
            <w:pPr>
              <w:ind w:left="500"/>
              <w:spacing w:after="0" w:line="136" w:lineRule="exact"/>
              <w:rPr>
                <w:sz w:val="20"/>
                <w:szCs w:val="20"/>
                <w:color w:val="auto"/>
              </w:rPr>
            </w:pPr>
            <w:r>
              <w:rPr>
                <w:rFonts w:ascii="Arial" w:cs="Arial" w:eastAsia="Arial" w:hAnsi="Arial"/>
                <w:sz w:val="13"/>
                <w:szCs w:val="13"/>
                <w:color w:val="auto"/>
              </w:rPr>
              <w:t>X</w:t>
            </w:r>
          </w:p>
        </w:tc>
      </w:tr>
      <w:tr>
        <w:trPr>
          <w:trHeight w:val="105"/>
        </w:trPr>
        <w:tc>
          <w:tcPr>
            <w:tcW w:w="1240" w:type="dxa"/>
            <w:vAlign w:val="bottom"/>
          </w:tcPr>
          <w:p>
            <w:pPr>
              <w:spacing w:after="0"/>
              <w:rPr>
                <w:sz w:val="9"/>
                <w:szCs w:val="9"/>
                <w:color w:val="auto"/>
              </w:rPr>
            </w:pPr>
          </w:p>
        </w:tc>
        <w:tc>
          <w:tcPr>
            <w:tcW w:w="5240" w:type="dxa"/>
            <w:vAlign w:val="bottom"/>
            <w:gridSpan w:val="7"/>
          </w:tcPr>
          <w:p>
            <w:pPr>
              <w:spacing w:after="0" w:line="105" w:lineRule="exact"/>
              <w:rPr>
                <w:sz w:val="20"/>
                <w:szCs w:val="20"/>
                <w:color w:val="auto"/>
              </w:rPr>
            </w:pPr>
            <w:r>
              <w:rPr>
                <w:rFonts w:ascii="Arial" w:cs="Arial" w:eastAsia="Arial" w:hAnsi="Arial"/>
                <w:sz w:val="11"/>
                <w:szCs w:val="11"/>
                <w:color w:val="0000FF"/>
              </w:rPr>
              <w:t>Sarbanes-Oxley Act of 2002.</w:t>
            </w:r>
          </w:p>
        </w:tc>
        <w:tc>
          <w:tcPr>
            <w:tcW w:w="4800" w:type="dxa"/>
            <w:vAlign w:val="bottom"/>
          </w:tcPr>
          <w:p>
            <w:pPr>
              <w:spacing w:after="0"/>
              <w:rPr>
                <w:sz w:val="9"/>
                <w:szCs w:val="9"/>
                <w:color w:val="auto"/>
              </w:rPr>
            </w:pPr>
          </w:p>
        </w:tc>
      </w:tr>
      <w:tr>
        <w:trPr>
          <w:trHeight w:val="26"/>
        </w:trPr>
        <w:tc>
          <w:tcPr>
            <w:tcW w:w="1240" w:type="dxa"/>
            <w:vAlign w:val="bottom"/>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0" w:type="dxa"/>
            <w:vAlign w:val="bottom"/>
          </w:tcPr>
          <w:p>
            <w:pPr>
              <w:spacing w:after="0"/>
              <w:rPr>
                <w:sz w:val="2"/>
                <w:szCs w:val="2"/>
                <w:color w:val="auto"/>
              </w:rPr>
            </w:pPr>
          </w:p>
        </w:tc>
      </w:tr>
      <w:tr>
        <w:trPr>
          <w:trHeight w:val="141"/>
        </w:trPr>
        <w:tc>
          <w:tcPr>
            <w:tcW w:w="1240" w:type="dxa"/>
            <w:vAlign w:val="bottom"/>
            <w:shd w:val="clear" w:color="auto" w:fill="CCEEFF"/>
          </w:tcPr>
          <w:p>
            <w:pPr>
              <w:ind w:left="20"/>
              <w:spacing w:after="0" w:line="141" w:lineRule="exact"/>
              <w:rPr>
                <w:sz w:val="20"/>
                <w:szCs w:val="20"/>
                <w:color w:val="auto"/>
              </w:rPr>
            </w:pPr>
            <w:r>
              <w:rPr>
                <w:rFonts w:ascii="Arial" w:cs="Arial" w:eastAsia="Arial" w:hAnsi="Arial"/>
                <w:sz w:val="13"/>
                <w:szCs w:val="13"/>
                <w:color w:val="auto"/>
              </w:rPr>
              <w:t>97</w:t>
            </w:r>
          </w:p>
        </w:tc>
        <w:tc>
          <w:tcPr>
            <w:tcW w:w="5240" w:type="dxa"/>
            <w:vAlign w:val="bottom"/>
            <w:gridSpan w:val="7"/>
            <w:shd w:val="clear" w:color="auto" w:fill="CCEEFF"/>
          </w:tcPr>
          <w:p>
            <w:pPr>
              <w:spacing w:after="0" w:line="141" w:lineRule="exact"/>
              <w:rPr>
                <w:sz w:val="20"/>
                <w:szCs w:val="20"/>
                <w:color w:val="auto"/>
              </w:rPr>
            </w:pPr>
            <w:r>
              <w:rPr>
                <w:rFonts w:ascii="Arial" w:cs="Arial" w:eastAsia="Arial" w:hAnsi="Arial"/>
                <w:sz w:val="13"/>
                <w:szCs w:val="13"/>
                <w:color w:val="0000FF"/>
                <w:w w:val="98"/>
              </w:rPr>
              <w:t>Conduent Incorporated Compensation Recoupment Policy, effective as of October 31, 2023</w:t>
            </w:r>
          </w:p>
        </w:tc>
        <w:tc>
          <w:tcPr>
            <w:tcW w:w="4800" w:type="dxa"/>
            <w:vAlign w:val="bottom"/>
            <w:shd w:val="clear" w:color="auto" w:fill="CCEEFF"/>
          </w:tcPr>
          <w:p>
            <w:pPr>
              <w:ind w:left="500"/>
              <w:spacing w:after="0" w:line="141" w:lineRule="exact"/>
              <w:rPr>
                <w:sz w:val="20"/>
                <w:szCs w:val="20"/>
                <w:color w:val="auto"/>
              </w:rPr>
            </w:pPr>
            <w:r>
              <w:rPr>
                <w:rFonts w:ascii="Arial" w:cs="Arial" w:eastAsia="Arial" w:hAnsi="Arial"/>
                <w:sz w:val="13"/>
                <w:szCs w:val="13"/>
                <w:color w:val="auto"/>
              </w:rPr>
              <w:t>X</w:t>
            </w:r>
          </w:p>
        </w:tc>
      </w:tr>
      <w:tr>
        <w:trPr>
          <w:trHeight w:val="31"/>
        </w:trPr>
        <w:tc>
          <w:tcPr>
            <w:tcW w:w="1240" w:type="dxa"/>
            <w:vAlign w:val="bottom"/>
            <w:shd w:val="clear" w:color="auto" w:fill="CCEEFF"/>
          </w:tcPr>
          <w:p>
            <w:pPr>
              <w:spacing w:after="0"/>
              <w:rPr>
                <w:sz w:val="2"/>
                <w:szCs w:val="2"/>
                <w:color w:val="auto"/>
              </w:rPr>
            </w:pPr>
          </w:p>
        </w:tc>
        <w:tc>
          <w:tcPr>
            <w:tcW w:w="120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500" w:type="dxa"/>
            <w:vAlign w:val="bottom"/>
            <w:shd w:val="clear" w:color="auto" w:fill="0000FF"/>
          </w:tcPr>
          <w:p>
            <w:pPr>
              <w:spacing w:after="0"/>
              <w:rPr>
                <w:sz w:val="2"/>
                <w:szCs w:val="2"/>
                <w:color w:val="auto"/>
              </w:rPr>
            </w:pPr>
          </w:p>
        </w:tc>
        <w:tc>
          <w:tcPr>
            <w:tcW w:w="1360" w:type="dxa"/>
            <w:vAlign w:val="bottom"/>
            <w:shd w:val="clear" w:color="auto" w:fill="0000FF"/>
          </w:tcPr>
          <w:p>
            <w:pPr>
              <w:spacing w:after="0"/>
              <w:rPr>
                <w:sz w:val="2"/>
                <w:szCs w:val="2"/>
                <w:color w:val="auto"/>
              </w:rPr>
            </w:pPr>
          </w:p>
        </w:tc>
        <w:tc>
          <w:tcPr>
            <w:tcW w:w="1380" w:type="dxa"/>
            <w:vAlign w:val="bottom"/>
            <w:shd w:val="clear" w:color="auto" w:fill="0000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4800" w:type="dxa"/>
            <w:vAlign w:val="bottom"/>
            <w:shd w:val="clear" w:color="auto" w:fill="CCEEFF"/>
          </w:tcPr>
          <w:p>
            <w:pPr>
              <w:spacing w:after="0"/>
              <w:rPr>
                <w:sz w:val="2"/>
                <w:szCs w:val="2"/>
                <w:color w:val="auto"/>
              </w:rPr>
            </w:pPr>
          </w:p>
        </w:tc>
      </w:tr>
    </w:tbl>
    <w:p>
      <w:pPr>
        <w:ind w:left="1240" w:right="4840" w:hanging="1223"/>
        <w:spacing w:after="0" w:line="213" w:lineRule="auto"/>
        <w:tabs>
          <w:tab w:leader="none" w:pos="12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following materials from the Registrant's Annual Report on Form 10-K for the year ended December 31, 2023 formatted in Inline XBRL: (i) Consolidated Statements of Income, (ii) Consolidated Statements of Comprehensive Income, (iii) Consolidated Balance Sheets, (iv) Consolidated Statements of Cash Flows, (v) Consolidated Statements of Shareholders' Equity and (vi) Notes to Consolidated Financial Statements.</w:t>
      </w:r>
    </w:p>
    <w:p>
      <w:pPr>
        <w:spacing w:after="0" w:line="3" w:lineRule="exact"/>
        <w:rPr>
          <w:sz w:val="20"/>
          <w:szCs w:val="20"/>
          <w:color w:val="auto"/>
        </w:rPr>
      </w:pPr>
    </w:p>
    <w:p>
      <w:pPr>
        <w:ind w:left="20"/>
        <w:spacing w:after="0"/>
        <w:tabs>
          <w:tab w:leader="none" w:pos="122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3"/>
          <w:szCs w:val="13"/>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-93980</wp:posOffset>
            </wp:positionV>
            <wp:extent cx="7163435" cy="1060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0">
                      <a:extLst>
                        <a:ext uri="{28A0092B-C50C-407E-A947-70E740481C1C}"/>
                      </a:extLst>
                    </a:blip>
                    <a:srcRect/>
                    <a:stretch>
                      <a:fillRect/>
                    </a:stretch>
                  </pic:blipFill>
                  <pic:spPr bwMode="auto">
                    <a:xfrm>
                      <a:off x="0" y="0"/>
                      <a:ext cx="7163435" cy="106045"/>
                    </a:xfrm>
                    <a:prstGeom prst="rect">
                      <a:avLst/>
                    </a:prstGeom>
                    <a:noFill/>
                  </pic:spPr>
                </pic:pic>
              </a:graphicData>
            </a:graphic>
          </wp:anchor>
        </w:drawing>
      </w:r>
    </w:p>
    <w:p>
      <w:pPr>
        <w:spacing w:after="0" w:line="399" w:lineRule="exact"/>
        <w:rPr>
          <w:sz w:val="20"/>
          <w:szCs w:val="20"/>
          <w:color w:val="auto"/>
        </w:rPr>
      </w:pPr>
    </w:p>
    <w:p>
      <w:pPr>
        <w:ind w:left="9620"/>
        <w:spacing w:after="0"/>
        <w:rPr>
          <w:sz w:val="20"/>
          <w:szCs w:val="20"/>
          <w:color w:val="auto"/>
        </w:rPr>
      </w:pPr>
      <w:r>
        <w:rPr>
          <w:rFonts w:ascii="Arial" w:cs="Arial" w:eastAsia="Arial" w:hAnsi="Arial"/>
          <w:sz w:val="13"/>
          <w:szCs w:val="13"/>
          <w:color w:val="3051F2"/>
        </w:rPr>
        <w:t>CNDT 2023 Annual Report</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53340</wp:posOffset>
            </wp:positionV>
            <wp:extent cx="718883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1">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80"/>
          </w:cols>
          <w:pgMar w:left="300" w:top="156" w:right="319" w:bottom="1440" w:gutter="0" w:footer="0" w:header="0"/>
        </w:sectPr>
      </w:pPr>
    </w:p>
    <w:bookmarkStart w:id="99" w:name="page100"/>
    <w:bookmarkEnd w:id="99"/>
    <w:p>
      <w:pPr>
        <w:ind w:left="3"/>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429895</wp:posOffset>
            </wp:positionV>
            <wp:extent cx="7163435" cy="63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2">
                      <a:extLst>
                        <a:ext uri="{28A0092B-C50C-407E-A947-70E740481C1C}"/>
                      </a:extLst>
                    </a:blip>
                    <a:srcRect/>
                    <a:stretch>
                      <a:fillRect/>
                    </a:stretch>
                  </pic:blipFill>
                  <pic:spPr bwMode="auto">
                    <a:xfrm>
                      <a:off x="0" y="0"/>
                      <a:ext cx="716343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
        <w:spacing w:after="0"/>
        <w:rPr>
          <w:sz w:val="20"/>
          <w:szCs w:val="20"/>
          <w:color w:val="auto"/>
        </w:rPr>
      </w:pPr>
      <w:r>
        <w:rPr>
          <w:rFonts w:ascii="Arial" w:cs="Arial" w:eastAsia="Arial" w:hAnsi="Arial"/>
          <w:sz w:val="13"/>
          <w:szCs w:val="13"/>
          <w:color w:val="auto"/>
        </w:rPr>
        <w:t>* Indicates management contract or compensatory plan or arrangement.</w:t>
      </w:r>
    </w:p>
    <w:p>
      <w:pPr>
        <w:spacing w:after="0" w:line="17" w:lineRule="exact"/>
        <w:rPr>
          <w:sz w:val="20"/>
          <w:szCs w:val="20"/>
          <w:color w:val="auto"/>
        </w:rPr>
      </w:pPr>
    </w:p>
    <w:p>
      <w:pPr>
        <w:ind w:left="243" w:right="200" w:hanging="243"/>
        <w:spacing w:after="0" w:line="232" w:lineRule="auto"/>
        <w:tabs>
          <w:tab w:leader="none" w:pos="125" w:val="left"/>
        </w:tabs>
        <w:numPr>
          <w:ilvl w:val="0"/>
          <w:numId w:val="53"/>
        </w:numPr>
        <w:rPr>
          <w:rFonts w:ascii="Arial" w:cs="Arial" w:eastAsia="Arial" w:hAnsi="Arial"/>
          <w:sz w:val="13"/>
          <w:szCs w:val="13"/>
          <w:color w:val="auto"/>
        </w:rPr>
      </w:pPr>
      <w:r>
        <w:rPr>
          <w:rFonts w:ascii="Arial" w:cs="Arial" w:eastAsia="Arial" w:hAnsi="Arial"/>
          <w:sz w:val="13"/>
          <w:szCs w:val="13"/>
          <w:color w:val="auto"/>
        </w:rPr>
        <w:t>Document has been furnished, is deemed not filed and is not to be incorporated by reference into any of Registrant’s filings under the Securities Act of 1933, as amended, or the Securities Exchange Act of 1934, as amended, irrespective of any general incorporation language contained in any such filing.</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79" w:lineRule="exact"/>
        <w:rPr>
          <w:sz w:val="20"/>
          <w:szCs w:val="20"/>
          <w:color w:val="auto"/>
        </w:rPr>
      </w:pPr>
    </w:p>
    <w:p>
      <w:pPr>
        <w:jc w:val="center"/>
        <w:ind w:right="-2"/>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53340</wp:posOffset>
            </wp:positionV>
            <wp:extent cx="718883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3">
                      <a:extLst>
                        <a:ext uri="{28A0092B-C50C-407E-A947-70E740481C1C}"/>
                      </a:extLst>
                    </a:blip>
                    <a:srcRect/>
                    <a:stretch>
                      <a:fillRect/>
                    </a:stretch>
                  </pic:blipFill>
                  <pic:spPr bwMode="auto">
                    <a:xfrm>
                      <a:off x="0" y="0"/>
                      <a:ext cx="7188835" cy="38735"/>
                    </a:xfrm>
                    <a:prstGeom prst="rect">
                      <a:avLst/>
                    </a:prstGeom>
                    <a:noFill/>
                  </pic:spPr>
                </pic:pic>
              </a:graphicData>
            </a:graphic>
          </wp:anchor>
        </w:drawing>
      </w:r>
    </w:p>
    <w:p>
      <w:pPr>
        <w:sectPr>
          <w:pgSz w:w="11900" w:h="16838" w:orient="portrait"/>
          <w:cols w:equalWidth="0" w:num="1">
            <w:col w:w="11263"/>
          </w:cols>
          <w:pgMar w:left="317" w:top="156" w:right="319" w:bottom="1440" w:gutter="0" w:footer="0" w:header="0"/>
        </w:sectPr>
      </w:pPr>
    </w:p>
    <w:bookmarkStart w:id="100" w:name="page101"/>
    <w:bookmarkEnd w:id="100"/>
    <w:p>
      <w:pPr>
        <w:ind w:left="20"/>
        <w:spacing w:after="0"/>
        <w:rPr>
          <w:sz w:val="20"/>
          <w:szCs w:val="20"/>
          <w:color w:val="auto"/>
        </w:rPr>
      </w:pPr>
      <w:r>
        <w:rPr>
          <w:rFonts w:ascii="Arial" w:cs="Arial" w:eastAsia="Arial" w:hAnsi="Arial"/>
          <w:sz w:val="14"/>
          <w:szCs w:val="14"/>
          <w:b w:val="1"/>
          <w:bCs w:val="1"/>
          <w:u w:val="single" w:color="auto"/>
          <w:color w:val="0000FF"/>
        </w:rPr>
        <w:t>Table of Contents</w:t>
      </w:r>
    </w:p>
    <w:p>
      <w:pPr>
        <w:spacing w:after="0" w:line="200" w:lineRule="exact"/>
        <w:rPr>
          <w:sz w:val="20"/>
          <w:szCs w:val="20"/>
          <w:color w:val="auto"/>
        </w:rPr>
      </w:pPr>
    </w:p>
    <w:p>
      <w:pPr>
        <w:spacing w:after="0" w:line="233" w:lineRule="exact"/>
        <w:rPr>
          <w:sz w:val="20"/>
          <w:szCs w:val="20"/>
          <w:color w:val="auto"/>
        </w:rPr>
      </w:pPr>
    </w:p>
    <w:p>
      <w:pPr>
        <w:ind w:right="260"/>
        <w:spacing w:after="0" w:line="282"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CONDUENT INCORPORATED</w:t>
      </w:r>
    </w:p>
    <w:p>
      <w:pPr>
        <w:spacing w:after="0" w:line="141" w:lineRule="exact"/>
        <w:rPr>
          <w:sz w:val="20"/>
          <w:szCs w:val="20"/>
          <w:color w:val="auto"/>
        </w:rPr>
      </w:pPr>
    </w:p>
    <w:p>
      <w:pPr>
        <w:ind w:left="20"/>
        <w:spacing w:after="0"/>
        <w:rPr>
          <w:sz w:val="20"/>
          <w:szCs w:val="20"/>
          <w:color w:val="auto"/>
        </w:rPr>
      </w:pPr>
      <w:r>
        <w:rPr>
          <w:rFonts w:ascii="Arial" w:cs="Arial" w:eastAsia="Arial" w:hAnsi="Arial"/>
          <w:sz w:val="11"/>
          <w:szCs w:val="11"/>
          <w:color w:val="auto"/>
        </w:rPr>
        <w:t xml:space="preserve">/s/ </w:t>
      </w:r>
      <w:r>
        <w:rPr>
          <w:rFonts w:ascii="Arial" w:cs="Arial" w:eastAsia="Arial" w:hAnsi="Arial"/>
          <w:sz w:val="13"/>
          <w:szCs w:val="13"/>
          <w:color w:val="auto"/>
        </w:rPr>
        <w:t>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2897505" cy="63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4">
                      <a:extLst>
                        <a:ext uri="{28A0092B-C50C-407E-A947-70E740481C1C}"/>
                      </a:extLst>
                    </a:blip>
                    <a:srcRect/>
                    <a:stretch>
                      <a:fillRect/>
                    </a:stretch>
                  </pic:blipFill>
                  <pic:spPr bwMode="auto">
                    <a:xfrm>
                      <a:off x="0" y="0"/>
                      <a:ext cx="2897505" cy="63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Clifford Skelton</w:t>
      </w:r>
    </w:p>
    <w:p>
      <w:pPr>
        <w:ind w:left="20"/>
        <w:spacing w:after="0"/>
        <w:rPr>
          <w:sz w:val="20"/>
          <w:szCs w:val="20"/>
          <w:color w:val="auto"/>
        </w:rPr>
      </w:pPr>
      <w:r>
        <w:rPr>
          <w:rFonts w:ascii="Arial" w:cs="Arial" w:eastAsia="Arial" w:hAnsi="Arial"/>
          <w:sz w:val="10"/>
          <w:szCs w:val="10"/>
          <w:b w:val="1"/>
          <w:bCs w:val="1"/>
          <w:color w:val="auto"/>
        </w:rPr>
        <w:t>Chief Executive Officer</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0"/>
          <w:szCs w:val="10"/>
          <w:b w:val="1"/>
          <w:bCs w:val="1"/>
          <w:color w:val="auto"/>
        </w:rPr>
        <w:t>February 21, 2024</w:t>
      </w:r>
    </w:p>
    <w:p>
      <w:pPr>
        <w:spacing w:after="0" w:line="260" w:lineRule="exact"/>
        <w:rPr>
          <w:sz w:val="20"/>
          <w:szCs w:val="20"/>
          <w:color w:val="auto"/>
        </w:rPr>
      </w:pPr>
    </w:p>
    <w:p>
      <w:pPr>
        <w:ind w:right="180"/>
        <w:spacing w:after="0" w:line="282"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 indicated.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80" w:type="dxa"/>
            <w:vAlign w:val="bottom"/>
            <w:gridSpan w:val="2"/>
          </w:tcPr>
          <w:p>
            <w:pPr>
              <w:spacing w:after="0"/>
              <w:rPr>
                <w:sz w:val="20"/>
                <w:szCs w:val="20"/>
                <w:color w:val="auto"/>
              </w:rPr>
            </w:pPr>
            <w:r>
              <w:rPr>
                <w:rFonts w:ascii="Arial" w:cs="Arial" w:eastAsia="Arial" w:hAnsi="Arial"/>
                <w:sz w:val="14"/>
                <w:szCs w:val="14"/>
                <w:color w:val="auto"/>
              </w:rPr>
              <w:t>February 21, 2024</w:t>
            </w:r>
          </w:p>
        </w:tc>
        <w:tc>
          <w:tcPr>
            <w:tcW w:w="5100" w:type="dxa"/>
            <w:vAlign w:val="bottom"/>
          </w:tcPr>
          <w:p>
            <w:pPr>
              <w:spacing w:after="0"/>
              <w:rPr>
                <w:sz w:val="15"/>
                <w:szCs w:val="15"/>
                <w:color w:val="auto"/>
              </w:rPr>
            </w:pPr>
          </w:p>
        </w:tc>
      </w:tr>
      <w:tr>
        <w:trPr>
          <w:trHeight w:val="310"/>
        </w:trPr>
        <w:tc>
          <w:tcPr>
            <w:tcW w:w="4280" w:type="dxa"/>
            <w:vAlign w:val="bottom"/>
            <w:gridSpan w:val="2"/>
          </w:tcPr>
          <w:p>
            <w:pPr>
              <w:ind w:left="20"/>
              <w:spacing w:after="0"/>
              <w:rPr>
                <w:sz w:val="20"/>
                <w:szCs w:val="20"/>
                <w:color w:val="auto"/>
              </w:rPr>
            </w:pPr>
            <w:r>
              <w:rPr>
                <w:rFonts w:ascii="Arial" w:cs="Arial" w:eastAsia="Arial" w:hAnsi="Arial"/>
                <w:sz w:val="14"/>
                <w:szCs w:val="14"/>
                <w:b w:val="1"/>
                <w:bCs w:val="1"/>
                <w:color w:val="auto"/>
              </w:rPr>
              <w:t>Signature</w:t>
            </w:r>
          </w:p>
        </w:tc>
        <w:tc>
          <w:tcPr>
            <w:tcW w:w="5100" w:type="dxa"/>
            <w:vAlign w:val="bottom"/>
          </w:tcPr>
          <w:p>
            <w:pPr>
              <w:ind w:left="120"/>
              <w:spacing w:after="0"/>
              <w:rPr>
                <w:sz w:val="20"/>
                <w:szCs w:val="20"/>
                <w:color w:val="auto"/>
              </w:rPr>
            </w:pPr>
            <w:r>
              <w:rPr>
                <w:rFonts w:ascii="Arial" w:cs="Arial" w:eastAsia="Arial" w:hAnsi="Arial"/>
                <w:sz w:val="14"/>
                <w:szCs w:val="14"/>
                <w:b w:val="1"/>
                <w:bCs w:val="1"/>
                <w:color w:val="auto"/>
              </w:rPr>
              <w:t>Title</w:t>
            </w:r>
          </w:p>
        </w:tc>
      </w:tr>
      <w:tr>
        <w:trPr>
          <w:trHeight w:val="308"/>
        </w:trPr>
        <w:tc>
          <w:tcPr>
            <w:tcW w:w="42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Principal Executive Officer:</w:t>
            </w:r>
          </w:p>
        </w:tc>
        <w:tc>
          <w:tcPr>
            <w:tcW w:w="5100" w:type="dxa"/>
            <w:vAlign w:val="bottom"/>
          </w:tcPr>
          <w:p>
            <w:pPr>
              <w:spacing w:after="0"/>
              <w:rPr>
                <w:sz w:val="24"/>
                <w:szCs w:val="24"/>
                <w:color w:val="auto"/>
              </w:rPr>
            </w:pPr>
          </w:p>
        </w:tc>
      </w:tr>
      <w:tr>
        <w:trPr>
          <w:trHeight w:val="181"/>
        </w:trPr>
        <w:tc>
          <w:tcPr>
            <w:tcW w:w="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/s/</w:t>
            </w:r>
          </w:p>
        </w:tc>
        <w:tc>
          <w:tcPr>
            <w:tcW w:w="41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CLIFFORD SKELTON</w:t>
            </w:r>
          </w:p>
        </w:tc>
        <w:tc>
          <w:tcPr>
            <w:tcW w:w="5100" w:type="dxa"/>
            <w:vAlign w:val="bottom"/>
          </w:tcPr>
          <w:p>
            <w:pPr>
              <w:ind w:left="120"/>
              <w:spacing w:after="0"/>
              <w:rPr>
                <w:sz w:val="20"/>
                <w:szCs w:val="20"/>
                <w:color w:val="auto"/>
              </w:rPr>
            </w:pPr>
            <w:r>
              <w:rPr>
                <w:rFonts w:ascii="Arial" w:cs="Arial" w:eastAsia="Arial" w:hAnsi="Arial"/>
                <w:sz w:val="14"/>
                <w:szCs w:val="14"/>
                <w:color w:val="auto"/>
              </w:rPr>
              <w:t>Chief Executive Officer and Director</w:t>
            </w:r>
          </w:p>
        </w:tc>
      </w:tr>
      <w:tr>
        <w:trPr>
          <w:trHeight w:val="144"/>
        </w:trPr>
        <w:tc>
          <w:tcPr>
            <w:tcW w:w="4280" w:type="dxa"/>
            <w:vAlign w:val="bottom"/>
            <w:gridSpan w:val="2"/>
          </w:tcPr>
          <w:p>
            <w:pPr>
              <w:ind w:left="20"/>
              <w:spacing w:after="0"/>
              <w:rPr>
                <w:sz w:val="20"/>
                <w:szCs w:val="20"/>
                <w:color w:val="auto"/>
              </w:rPr>
            </w:pPr>
            <w:r>
              <w:rPr>
                <w:rFonts w:ascii="Arial" w:cs="Arial" w:eastAsia="Arial" w:hAnsi="Arial"/>
                <w:sz w:val="11"/>
                <w:szCs w:val="11"/>
                <w:b w:val="1"/>
                <w:bCs w:val="1"/>
                <w:color w:val="auto"/>
              </w:rPr>
              <w:t>Clifford Skelton</w:t>
            </w:r>
          </w:p>
        </w:tc>
        <w:tc>
          <w:tcPr>
            <w:tcW w:w="5100" w:type="dxa"/>
            <w:vAlign w:val="bottom"/>
          </w:tcPr>
          <w:p>
            <w:pPr>
              <w:spacing w:after="0"/>
              <w:rPr>
                <w:sz w:val="12"/>
                <w:szCs w:val="12"/>
                <w:color w:val="auto"/>
              </w:rPr>
            </w:pPr>
          </w:p>
        </w:tc>
      </w:tr>
      <w:tr>
        <w:trPr>
          <w:trHeight w:val="175"/>
        </w:trPr>
        <w:tc>
          <w:tcPr>
            <w:tcW w:w="4280" w:type="dxa"/>
            <w:vAlign w:val="bottom"/>
            <w:gridSpan w:val="2"/>
          </w:tcPr>
          <w:p>
            <w:pPr>
              <w:ind w:left="20"/>
              <w:spacing w:after="0"/>
              <w:rPr>
                <w:sz w:val="20"/>
                <w:szCs w:val="20"/>
                <w:color w:val="auto"/>
              </w:rPr>
            </w:pPr>
            <w:r>
              <w:rPr>
                <w:rFonts w:ascii="Arial" w:cs="Arial" w:eastAsia="Arial" w:hAnsi="Arial"/>
                <w:sz w:val="14"/>
                <w:szCs w:val="14"/>
                <w:b w:val="1"/>
                <w:bCs w:val="1"/>
                <w:i w:val="1"/>
                <w:iCs w:val="1"/>
                <w:color w:val="auto"/>
              </w:rPr>
              <w:t>Principal Financial and Accounting Officer:</w:t>
            </w:r>
          </w:p>
        </w:tc>
        <w:tc>
          <w:tcPr>
            <w:tcW w:w="5100" w:type="dxa"/>
            <w:vAlign w:val="bottom"/>
          </w:tcPr>
          <w:p>
            <w:pPr>
              <w:spacing w:after="0"/>
              <w:rPr>
                <w:sz w:val="15"/>
                <w:szCs w:val="15"/>
                <w:color w:val="auto"/>
              </w:rPr>
            </w:pPr>
          </w:p>
        </w:tc>
      </w:tr>
      <w:tr>
        <w:trPr>
          <w:trHeight w:val="181"/>
        </w:trPr>
        <w:tc>
          <w:tcPr>
            <w:tcW w:w="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/s/</w:t>
            </w:r>
          </w:p>
        </w:tc>
        <w:tc>
          <w:tcPr>
            <w:tcW w:w="41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STEPHEN WOOD</w:t>
            </w:r>
          </w:p>
        </w:tc>
        <w:tc>
          <w:tcPr>
            <w:tcW w:w="5100" w:type="dxa"/>
            <w:vAlign w:val="bottom"/>
          </w:tcPr>
          <w:p>
            <w:pPr>
              <w:ind w:left="120"/>
              <w:spacing w:after="0"/>
              <w:rPr>
                <w:sz w:val="20"/>
                <w:szCs w:val="20"/>
                <w:color w:val="auto"/>
              </w:rPr>
            </w:pPr>
            <w:r>
              <w:rPr>
                <w:rFonts w:ascii="Arial" w:cs="Arial" w:eastAsia="Arial" w:hAnsi="Arial"/>
                <w:sz w:val="14"/>
                <w:szCs w:val="14"/>
                <w:color w:val="auto"/>
                <w:w w:val="98"/>
              </w:rPr>
              <w:t>Executive Vice President, Chief Financial Officer and Principal Accounting Officer</w:t>
            </w:r>
          </w:p>
        </w:tc>
      </w:tr>
      <w:tr>
        <w:trPr>
          <w:trHeight w:val="145"/>
        </w:trPr>
        <w:tc>
          <w:tcPr>
            <w:tcW w:w="4280" w:type="dxa"/>
            <w:vAlign w:val="bottom"/>
            <w:gridSpan w:val="2"/>
          </w:tcPr>
          <w:p>
            <w:pPr>
              <w:ind w:left="20"/>
              <w:spacing w:after="0"/>
              <w:rPr>
                <w:sz w:val="20"/>
                <w:szCs w:val="20"/>
                <w:color w:val="auto"/>
              </w:rPr>
            </w:pPr>
            <w:r>
              <w:rPr>
                <w:rFonts w:ascii="Arial" w:cs="Arial" w:eastAsia="Arial" w:hAnsi="Arial"/>
                <w:sz w:val="11"/>
                <w:szCs w:val="11"/>
                <w:b w:val="1"/>
                <w:bCs w:val="1"/>
                <w:color w:val="auto"/>
              </w:rPr>
              <w:t>Stephen Wood</w:t>
            </w:r>
          </w:p>
        </w:tc>
        <w:tc>
          <w:tcPr>
            <w:tcW w:w="5100" w:type="dxa"/>
            <w:vAlign w:val="bottom"/>
          </w:tcPr>
          <w:p>
            <w:pPr>
              <w:spacing w:after="0"/>
              <w:rPr>
                <w:sz w:val="12"/>
                <w:szCs w:val="12"/>
                <w:color w:val="auto"/>
              </w:rPr>
            </w:pPr>
          </w:p>
        </w:tc>
      </w:tr>
      <w:tr>
        <w:trPr>
          <w:trHeight w:val="418"/>
        </w:trPr>
        <w:tc>
          <w:tcPr>
            <w:tcW w:w="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/s/</w:t>
            </w:r>
          </w:p>
        </w:tc>
        <w:tc>
          <w:tcPr>
            <w:tcW w:w="41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HUNTER GARY</w:t>
            </w:r>
          </w:p>
        </w:tc>
        <w:tc>
          <w:tcPr>
            <w:tcW w:w="5100" w:type="dxa"/>
            <w:vAlign w:val="bottom"/>
          </w:tcPr>
          <w:p>
            <w:pPr>
              <w:ind w:left="120"/>
              <w:spacing w:after="0"/>
              <w:rPr>
                <w:sz w:val="20"/>
                <w:szCs w:val="20"/>
                <w:color w:val="auto"/>
              </w:rPr>
            </w:pPr>
            <w:r>
              <w:rPr>
                <w:rFonts w:ascii="Arial" w:cs="Arial" w:eastAsia="Arial" w:hAnsi="Arial"/>
                <w:sz w:val="14"/>
                <w:szCs w:val="14"/>
                <w:color w:val="auto"/>
              </w:rPr>
              <w:t>Director</w:t>
            </w:r>
          </w:p>
        </w:tc>
      </w:tr>
      <w:tr>
        <w:trPr>
          <w:trHeight w:val="142"/>
        </w:trPr>
        <w:tc>
          <w:tcPr>
            <w:tcW w:w="4280" w:type="dxa"/>
            <w:vAlign w:val="bottom"/>
            <w:gridSpan w:val="2"/>
          </w:tcPr>
          <w:p>
            <w:pPr>
              <w:ind w:left="20"/>
              <w:spacing w:after="0"/>
              <w:rPr>
                <w:sz w:val="20"/>
                <w:szCs w:val="20"/>
                <w:color w:val="auto"/>
              </w:rPr>
            </w:pPr>
            <w:r>
              <w:rPr>
                <w:rFonts w:ascii="Arial" w:cs="Arial" w:eastAsia="Arial" w:hAnsi="Arial"/>
                <w:sz w:val="11"/>
                <w:szCs w:val="11"/>
                <w:b w:val="1"/>
                <w:bCs w:val="1"/>
                <w:color w:val="auto"/>
              </w:rPr>
              <w:t>Hunter Gary</w:t>
            </w:r>
          </w:p>
        </w:tc>
        <w:tc>
          <w:tcPr>
            <w:tcW w:w="5100" w:type="dxa"/>
            <w:vAlign w:val="bottom"/>
          </w:tcPr>
          <w:p>
            <w:pPr>
              <w:spacing w:after="0"/>
              <w:rPr>
                <w:sz w:val="12"/>
                <w:szCs w:val="12"/>
                <w:color w:val="auto"/>
              </w:rPr>
            </w:pPr>
          </w:p>
        </w:tc>
      </w:tr>
      <w:tr>
        <w:trPr>
          <w:trHeight w:val="181"/>
        </w:trPr>
        <w:tc>
          <w:tcPr>
            <w:tcW w:w="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/s/</w:t>
            </w:r>
          </w:p>
        </w:tc>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KATHY HIGGINS VICTOR</w:t>
            </w:r>
          </w:p>
        </w:tc>
        <w:tc>
          <w:tcPr>
            <w:tcW w:w="5100" w:type="dxa"/>
            <w:vAlign w:val="bottom"/>
          </w:tcPr>
          <w:p>
            <w:pPr>
              <w:ind w:left="120"/>
              <w:spacing w:after="0"/>
              <w:rPr>
                <w:sz w:val="20"/>
                <w:szCs w:val="20"/>
                <w:color w:val="auto"/>
              </w:rPr>
            </w:pPr>
            <w:r>
              <w:rPr>
                <w:rFonts w:ascii="Arial" w:cs="Arial" w:eastAsia="Arial" w:hAnsi="Arial"/>
                <w:sz w:val="14"/>
                <w:szCs w:val="14"/>
                <w:color w:val="auto"/>
              </w:rPr>
              <w:t>Director</w:t>
            </w:r>
          </w:p>
        </w:tc>
      </w:tr>
      <w:tr>
        <w:trPr>
          <w:trHeight w:val="142"/>
        </w:trPr>
        <w:tc>
          <w:tcPr>
            <w:tcW w:w="4280" w:type="dxa"/>
            <w:vAlign w:val="bottom"/>
            <w:gridSpan w:val="2"/>
          </w:tcPr>
          <w:p>
            <w:pPr>
              <w:ind w:left="20"/>
              <w:spacing w:after="0"/>
              <w:rPr>
                <w:sz w:val="20"/>
                <w:szCs w:val="20"/>
                <w:color w:val="auto"/>
              </w:rPr>
            </w:pPr>
            <w:r>
              <w:rPr>
                <w:rFonts w:ascii="Arial" w:cs="Arial" w:eastAsia="Arial" w:hAnsi="Arial"/>
                <w:sz w:val="11"/>
                <w:szCs w:val="11"/>
                <w:b w:val="1"/>
                <w:bCs w:val="1"/>
                <w:color w:val="auto"/>
              </w:rPr>
              <w:t>Kathy Higgins Victor</w:t>
            </w:r>
          </w:p>
        </w:tc>
        <w:tc>
          <w:tcPr>
            <w:tcW w:w="5100" w:type="dxa"/>
            <w:vAlign w:val="bottom"/>
          </w:tcPr>
          <w:p>
            <w:pPr>
              <w:spacing w:after="0"/>
              <w:rPr>
                <w:sz w:val="12"/>
                <w:szCs w:val="12"/>
                <w:color w:val="auto"/>
              </w:rPr>
            </w:pPr>
          </w:p>
        </w:tc>
      </w:tr>
      <w:tr>
        <w:trPr>
          <w:trHeight w:val="181"/>
        </w:trPr>
        <w:tc>
          <w:tcPr>
            <w:tcW w:w="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/s/</w:t>
            </w:r>
          </w:p>
        </w:tc>
        <w:tc>
          <w:tcPr>
            <w:tcW w:w="41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SCOTT LETIER</w:t>
            </w:r>
          </w:p>
        </w:tc>
        <w:tc>
          <w:tcPr>
            <w:tcW w:w="5100" w:type="dxa"/>
            <w:vAlign w:val="bottom"/>
          </w:tcPr>
          <w:p>
            <w:pPr>
              <w:ind w:left="120"/>
              <w:spacing w:after="0"/>
              <w:rPr>
                <w:sz w:val="20"/>
                <w:szCs w:val="20"/>
                <w:color w:val="auto"/>
              </w:rPr>
            </w:pPr>
            <w:r>
              <w:rPr>
                <w:rFonts w:ascii="Arial" w:cs="Arial" w:eastAsia="Arial" w:hAnsi="Arial"/>
                <w:sz w:val="14"/>
                <w:szCs w:val="14"/>
                <w:color w:val="auto"/>
              </w:rPr>
              <w:t>Director and Chairman of the Board</w:t>
            </w:r>
          </w:p>
        </w:tc>
      </w:tr>
      <w:tr>
        <w:trPr>
          <w:trHeight w:val="142"/>
        </w:trPr>
        <w:tc>
          <w:tcPr>
            <w:tcW w:w="4280" w:type="dxa"/>
            <w:vAlign w:val="bottom"/>
            <w:gridSpan w:val="2"/>
          </w:tcPr>
          <w:p>
            <w:pPr>
              <w:ind w:left="20"/>
              <w:spacing w:after="0"/>
              <w:rPr>
                <w:sz w:val="20"/>
                <w:szCs w:val="20"/>
                <w:color w:val="auto"/>
              </w:rPr>
            </w:pPr>
            <w:r>
              <w:rPr>
                <w:rFonts w:ascii="Arial" w:cs="Arial" w:eastAsia="Arial" w:hAnsi="Arial"/>
                <w:sz w:val="11"/>
                <w:szCs w:val="11"/>
                <w:b w:val="1"/>
                <w:bCs w:val="1"/>
                <w:color w:val="auto"/>
              </w:rPr>
              <w:t>Scott Letier</w:t>
            </w:r>
          </w:p>
        </w:tc>
        <w:tc>
          <w:tcPr>
            <w:tcW w:w="5100" w:type="dxa"/>
            <w:vAlign w:val="bottom"/>
          </w:tcPr>
          <w:p>
            <w:pPr>
              <w:spacing w:after="0"/>
              <w:rPr>
                <w:sz w:val="12"/>
                <w:szCs w:val="12"/>
                <w:color w:val="auto"/>
              </w:rPr>
            </w:pPr>
          </w:p>
        </w:tc>
      </w:tr>
      <w:tr>
        <w:trPr>
          <w:trHeight w:val="181"/>
        </w:trPr>
        <w:tc>
          <w:tcPr>
            <w:tcW w:w="4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/s/ JESSE LYNN</w:t>
            </w:r>
          </w:p>
        </w:tc>
        <w:tc>
          <w:tcPr>
            <w:tcW w:w="5100" w:type="dxa"/>
            <w:vAlign w:val="bottom"/>
          </w:tcPr>
          <w:p>
            <w:pPr>
              <w:ind w:left="120"/>
              <w:spacing w:after="0"/>
              <w:rPr>
                <w:sz w:val="20"/>
                <w:szCs w:val="20"/>
                <w:color w:val="auto"/>
              </w:rPr>
            </w:pPr>
            <w:r>
              <w:rPr>
                <w:rFonts w:ascii="Arial" w:cs="Arial" w:eastAsia="Arial" w:hAnsi="Arial"/>
                <w:sz w:val="14"/>
                <w:szCs w:val="14"/>
                <w:color w:val="auto"/>
              </w:rPr>
              <w:t>Director</w:t>
            </w:r>
          </w:p>
        </w:tc>
      </w:tr>
      <w:tr>
        <w:trPr>
          <w:trHeight w:val="142"/>
        </w:trPr>
        <w:tc>
          <w:tcPr>
            <w:tcW w:w="4280" w:type="dxa"/>
            <w:vAlign w:val="bottom"/>
            <w:gridSpan w:val="2"/>
          </w:tcPr>
          <w:p>
            <w:pPr>
              <w:ind w:left="20"/>
              <w:spacing w:after="0"/>
              <w:rPr>
                <w:sz w:val="20"/>
                <w:szCs w:val="20"/>
                <w:color w:val="auto"/>
              </w:rPr>
            </w:pPr>
            <w:r>
              <w:rPr>
                <w:rFonts w:ascii="Arial" w:cs="Arial" w:eastAsia="Arial" w:hAnsi="Arial"/>
                <w:sz w:val="11"/>
                <w:szCs w:val="11"/>
                <w:b w:val="1"/>
                <w:bCs w:val="1"/>
                <w:color w:val="auto"/>
              </w:rPr>
              <w:t>Jesse Lynn</w:t>
            </w:r>
          </w:p>
        </w:tc>
        <w:tc>
          <w:tcPr>
            <w:tcW w:w="5100" w:type="dxa"/>
            <w:vAlign w:val="bottom"/>
          </w:tcPr>
          <w:p>
            <w:pPr>
              <w:spacing w:after="0"/>
              <w:rPr>
                <w:sz w:val="12"/>
                <w:szCs w:val="12"/>
                <w:color w:val="auto"/>
              </w:rPr>
            </w:pPr>
          </w:p>
        </w:tc>
      </w:tr>
      <w:tr>
        <w:trPr>
          <w:trHeight w:val="181"/>
        </w:trPr>
        <w:tc>
          <w:tcPr>
            <w:tcW w:w="42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/s/ STEVEN MILLER</w:t>
            </w:r>
          </w:p>
        </w:tc>
        <w:tc>
          <w:tcPr>
            <w:tcW w:w="5100" w:type="dxa"/>
            <w:vAlign w:val="bottom"/>
          </w:tcPr>
          <w:p>
            <w:pPr>
              <w:ind w:left="120"/>
              <w:spacing w:after="0"/>
              <w:rPr>
                <w:sz w:val="20"/>
                <w:szCs w:val="20"/>
                <w:color w:val="auto"/>
              </w:rPr>
            </w:pPr>
            <w:r>
              <w:rPr>
                <w:rFonts w:ascii="Arial" w:cs="Arial" w:eastAsia="Arial" w:hAnsi="Arial"/>
                <w:sz w:val="14"/>
                <w:szCs w:val="14"/>
                <w:color w:val="auto"/>
              </w:rPr>
              <w:t>Director</w:t>
            </w:r>
          </w:p>
        </w:tc>
      </w:tr>
      <w:tr>
        <w:trPr>
          <w:trHeight w:val="142"/>
        </w:trPr>
        <w:tc>
          <w:tcPr>
            <w:tcW w:w="4280" w:type="dxa"/>
            <w:vAlign w:val="bottom"/>
            <w:gridSpan w:val="2"/>
          </w:tcPr>
          <w:p>
            <w:pPr>
              <w:ind w:left="20"/>
              <w:spacing w:after="0"/>
              <w:rPr>
                <w:sz w:val="20"/>
                <w:szCs w:val="20"/>
                <w:color w:val="auto"/>
              </w:rPr>
            </w:pPr>
            <w:r>
              <w:rPr>
                <w:rFonts w:ascii="Arial" w:cs="Arial" w:eastAsia="Arial" w:hAnsi="Arial"/>
                <w:sz w:val="11"/>
                <w:szCs w:val="11"/>
                <w:b w:val="1"/>
                <w:bCs w:val="1"/>
                <w:color w:val="auto"/>
              </w:rPr>
              <w:t>Steven Miller</w:t>
            </w:r>
          </w:p>
        </w:tc>
        <w:tc>
          <w:tcPr>
            <w:tcW w:w="5100" w:type="dxa"/>
            <w:vAlign w:val="bottom"/>
          </w:tcPr>
          <w:p>
            <w:pPr>
              <w:spacing w:after="0"/>
              <w:rPr>
                <w:sz w:val="12"/>
                <w:szCs w:val="12"/>
                <w:color w:val="auto"/>
              </w:rPr>
            </w:pPr>
          </w:p>
        </w:tc>
      </w:tr>
      <w:tr>
        <w:trPr>
          <w:trHeight w:val="181"/>
        </w:trPr>
        <w:tc>
          <w:tcPr>
            <w:tcW w:w="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/s/</w:t>
            </w:r>
          </w:p>
        </w:tc>
        <w:tc>
          <w:tcPr>
            <w:tcW w:w="410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MICHAEL MONTELONGO</w:t>
            </w:r>
          </w:p>
        </w:tc>
        <w:tc>
          <w:tcPr>
            <w:tcW w:w="5100" w:type="dxa"/>
            <w:vAlign w:val="bottom"/>
          </w:tcPr>
          <w:p>
            <w:pPr>
              <w:ind w:left="120"/>
              <w:spacing w:after="0"/>
              <w:rPr>
                <w:sz w:val="20"/>
                <w:szCs w:val="20"/>
                <w:color w:val="auto"/>
              </w:rPr>
            </w:pPr>
            <w:r>
              <w:rPr>
                <w:rFonts w:ascii="Arial" w:cs="Arial" w:eastAsia="Arial" w:hAnsi="Arial"/>
                <w:sz w:val="14"/>
                <w:szCs w:val="14"/>
                <w:color w:val="auto"/>
              </w:rPr>
              <w:t>Director</w:t>
            </w:r>
          </w:p>
        </w:tc>
      </w:tr>
      <w:tr>
        <w:trPr>
          <w:trHeight w:val="145"/>
        </w:trPr>
        <w:tc>
          <w:tcPr>
            <w:tcW w:w="4280" w:type="dxa"/>
            <w:vAlign w:val="bottom"/>
            <w:gridSpan w:val="2"/>
          </w:tcPr>
          <w:p>
            <w:pPr>
              <w:ind w:left="20"/>
              <w:spacing w:after="0"/>
              <w:rPr>
                <w:sz w:val="20"/>
                <w:szCs w:val="20"/>
                <w:color w:val="auto"/>
              </w:rPr>
            </w:pPr>
            <w:r>
              <w:rPr>
                <w:rFonts w:ascii="Arial" w:cs="Arial" w:eastAsia="Arial" w:hAnsi="Arial"/>
                <w:sz w:val="11"/>
                <w:szCs w:val="11"/>
                <w:b w:val="1"/>
                <w:bCs w:val="1"/>
                <w:color w:val="auto"/>
              </w:rPr>
              <w:t>Michael Montelongo</w:t>
            </w:r>
          </w:p>
        </w:tc>
        <w:tc>
          <w:tcPr>
            <w:tcW w:w="5100" w:type="dxa"/>
            <w:vAlign w:val="bottom"/>
          </w:tcPr>
          <w:p>
            <w:pPr>
              <w:spacing w:after="0"/>
              <w:rPr>
                <w:sz w:val="12"/>
                <w:szCs w:val="12"/>
                <w:color w:val="auto"/>
              </w:rPr>
            </w:pPr>
          </w:p>
        </w:tc>
      </w:tr>
      <w:tr>
        <w:trPr>
          <w:trHeight w:val="200"/>
        </w:trPr>
        <w:tc>
          <w:tcPr>
            <w:tcW w:w="1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/s/</w:t>
            </w:r>
          </w:p>
        </w:tc>
        <w:tc>
          <w:tcPr>
            <w:tcW w:w="41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MARGARITA PALÁU-HERNÁNDEZ</w:t>
            </w:r>
          </w:p>
        </w:tc>
        <w:tc>
          <w:tcPr>
            <w:tcW w:w="5100" w:type="dxa"/>
            <w:vAlign w:val="bottom"/>
          </w:tcPr>
          <w:p>
            <w:pPr>
              <w:ind w:left="120"/>
              <w:spacing w:after="0"/>
              <w:rPr>
                <w:sz w:val="20"/>
                <w:szCs w:val="20"/>
                <w:color w:val="auto"/>
              </w:rPr>
            </w:pPr>
            <w:r>
              <w:rPr>
                <w:rFonts w:ascii="Arial" w:cs="Arial" w:eastAsia="Arial" w:hAnsi="Arial"/>
                <w:sz w:val="14"/>
                <w:szCs w:val="14"/>
                <w:color w:val="auto"/>
              </w:rPr>
              <w:t>Director</w:t>
            </w:r>
          </w:p>
        </w:tc>
      </w:tr>
      <w:tr>
        <w:trPr>
          <w:trHeight w:val="145"/>
        </w:trPr>
        <w:tc>
          <w:tcPr>
            <w:tcW w:w="4280" w:type="dxa"/>
            <w:vAlign w:val="bottom"/>
            <w:gridSpan w:val="2"/>
          </w:tcPr>
          <w:p>
            <w:pPr>
              <w:ind w:left="20"/>
              <w:spacing w:after="0"/>
              <w:rPr>
                <w:sz w:val="20"/>
                <w:szCs w:val="20"/>
                <w:color w:val="auto"/>
              </w:rPr>
            </w:pPr>
            <w:r>
              <w:rPr>
                <w:rFonts w:ascii="Arial" w:cs="Arial" w:eastAsia="Arial" w:hAnsi="Arial"/>
                <w:sz w:val="11"/>
                <w:szCs w:val="11"/>
                <w:b w:val="1"/>
                <w:bCs w:val="1"/>
                <w:color w:val="auto"/>
              </w:rPr>
              <w:t>Margarita Paláu-Hernández</w:t>
            </w:r>
          </w:p>
        </w:tc>
        <w:tc>
          <w:tcPr>
            <w:tcW w:w="5100" w:type="dxa"/>
            <w:vAlign w:val="bottom"/>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2023 Annual Report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99</w:t>
      </w:r>
    </w:p>
    <w:p>
      <w:pPr>
        <w:sectPr>
          <w:pgSz w:w="11900" w:h="16838" w:orient="portrait"/>
          <w:cols w:equalWidth="0" w:num="1">
            <w:col w:w="11280"/>
          </w:cols>
          <w:pgMar w:left="300" w:top="156" w:right="319" w:bottom="1440" w:gutter="0" w:footer="0" w:header="0"/>
        </w:sectPr>
      </w:pPr>
    </w:p>
    <w:bookmarkStart w:id="101" w:name="page102"/>
    <w:bookmarkEnd w:id="101"/>
    <w:p>
      <w:pPr>
        <w:jc w:val="right"/>
        <w:spacing w:after="0"/>
        <w:rPr>
          <w:sz w:val="20"/>
          <w:szCs w:val="20"/>
          <w:color w:val="auto"/>
        </w:rPr>
      </w:pPr>
      <w:r>
        <w:rPr>
          <w:rFonts w:ascii="Arial" w:cs="Arial" w:eastAsia="Arial" w:hAnsi="Arial"/>
          <w:sz w:val="14"/>
          <w:szCs w:val="14"/>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w:t>
      </w:r>
    </w:p>
    <w:p>
      <w:pPr>
        <w:spacing w:after="0" w:line="120" w:lineRule="exact"/>
        <w:rPr>
          <w:sz w:val="20"/>
          <w:szCs w:val="20"/>
          <w:color w:val="auto"/>
        </w:rPr>
      </w:pPr>
    </w:p>
    <w:p>
      <w:pPr>
        <w:jc w:val="both"/>
        <w:spacing w:after="0" w:line="237" w:lineRule="auto"/>
        <w:rPr>
          <w:sz w:val="20"/>
          <w:szCs w:val="20"/>
          <w:color w:val="auto"/>
        </w:rPr>
      </w:pPr>
      <w:r>
        <w:rPr>
          <w:rFonts w:ascii="Arial" w:cs="Arial" w:eastAsia="Arial" w:hAnsi="Arial"/>
          <w:sz w:val="14"/>
          <w:szCs w:val="14"/>
          <w:color w:val="auto"/>
        </w:rPr>
        <w:t>This Insider Trading Policy (this "</w:t>
      </w:r>
      <w:r>
        <w:rPr>
          <w:rFonts w:ascii="Arial" w:cs="Arial" w:eastAsia="Arial" w:hAnsi="Arial"/>
          <w:sz w:val="14"/>
          <w:szCs w:val="14"/>
          <w:b w:val="1"/>
          <w:bCs w:val="1"/>
          <w:color w:val="auto"/>
        </w:rPr>
        <w:t>Policy</w:t>
      </w:r>
      <w:r>
        <w:rPr>
          <w:rFonts w:ascii="Arial" w:cs="Arial" w:eastAsia="Arial" w:hAnsi="Arial"/>
          <w:sz w:val="14"/>
          <w:szCs w:val="14"/>
          <w:color w:val="auto"/>
        </w:rPr>
        <w:t xml:space="preserve">”) describes the standards of the Company on trading, and causing the trading of, the Company’s securities or securities of certain other publicly traded companies while in possession of confidential information. </w:t>
      </w:r>
      <w:r>
        <w:rPr>
          <w:rFonts w:ascii="Arial" w:cs="Arial" w:eastAsia="Arial" w:hAnsi="Arial"/>
          <w:sz w:val="14"/>
          <w:szCs w:val="14"/>
          <w:u w:val="single" w:color="auto"/>
          <w:color w:val="auto"/>
        </w:rPr>
        <w:t>Appendix A</w:t>
      </w:r>
      <w:r>
        <w:rPr>
          <w:rFonts w:ascii="Arial" w:cs="Arial" w:eastAsia="Arial" w:hAnsi="Arial"/>
          <w:sz w:val="14"/>
          <w:szCs w:val="14"/>
          <w:color w:val="auto"/>
        </w:rPr>
        <w:t xml:space="preserve"> to this Policy contains certain definitions used in this Policy.</w:t>
      </w:r>
    </w:p>
    <w:p>
      <w:pPr>
        <w:spacing w:after="0" w:line="99" w:lineRule="exact"/>
        <w:rPr>
          <w:sz w:val="20"/>
          <w:szCs w:val="20"/>
          <w:color w:val="auto"/>
        </w:rPr>
      </w:pPr>
    </w:p>
    <w:p>
      <w:pPr>
        <w:jc w:val="both"/>
        <w:spacing w:after="0" w:line="230" w:lineRule="auto"/>
        <w:rPr>
          <w:sz w:val="20"/>
          <w:szCs w:val="20"/>
          <w:color w:val="auto"/>
        </w:rPr>
      </w:pPr>
      <w:r>
        <w:rPr>
          <w:rFonts w:ascii="Arial" w:cs="Arial" w:eastAsia="Arial" w:hAnsi="Arial"/>
          <w:sz w:val="13"/>
          <w:szCs w:val="13"/>
          <w:color w:val="auto"/>
        </w:rPr>
        <w:t>This Policy is divided into two parts. Part I of this Policy prohibits trading in certain circumstances and applies to all employees, directors, and officers, and their respective “</w:t>
      </w:r>
      <w:r>
        <w:rPr>
          <w:rFonts w:ascii="Arial" w:cs="Arial" w:eastAsia="Arial" w:hAnsi="Arial"/>
          <w:sz w:val="13"/>
          <w:szCs w:val="13"/>
          <w:b w:val="1"/>
          <w:bCs w:val="1"/>
          <w:color w:val="auto"/>
        </w:rPr>
        <w:t>immediate</w:t>
      </w:r>
      <w:r>
        <w:rPr>
          <w:rFonts w:ascii="Arial" w:cs="Arial" w:eastAsia="Arial" w:hAnsi="Arial"/>
          <w:sz w:val="13"/>
          <w:szCs w:val="13"/>
          <w:color w:val="auto"/>
        </w:rPr>
        <w:t xml:space="preserve"> </w:t>
      </w:r>
      <w:r>
        <w:rPr>
          <w:rFonts w:ascii="Arial" w:cs="Arial" w:eastAsia="Arial" w:hAnsi="Arial"/>
          <w:sz w:val="13"/>
          <w:szCs w:val="13"/>
          <w:b w:val="1"/>
          <w:bCs w:val="1"/>
          <w:color w:val="auto"/>
        </w:rPr>
        <w:t>family members</w:t>
      </w:r>
      <w:r>
        <w:rPr>
          <w:rFonts w:ascii="Arial" w:cs="Arial" w:eastAsia="Arial" w:hAnsi="Arial"/>
          <w:sz w:val="13"/>
          <w:szCs w:val="13"/>
          <w:color w:val="auto"/>
        </w:rPr>
        <w:t>,” (as defined in</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Appendix A</w:t>
      </w:r>
      <w:r>
        <w:rPr>
          <w:rFonts w:ascii="Arial" w:cs="Arial" w:eastAsia="Arial" w:hAnsi="Arial"/>
          <w:sz w:val="13"/>
          <w:szCs w:val="13"/>
          <w:color w:val="auto"/>
        </w:rPr>
        <w:t>) of the Company. Part II of this Policy imposes special additional trading restrictions and applies to all “</w:t>
      </w:r>
      <w:r>
        <w:rPr>
          <w:rFonts w:ascii="Arial" w:cs="Arial" w:eastAsia="Arial" w:hAnsi="Arial"/>
          <w:sz w:val="13"/>
          <w:szCs w:val="13"/>
          <w:b w:val="1"/>
          <w:bCs w:val="1"/>
          <w:color w:val="auto"/>
        </w:rPr>
        <w:t>Restricted Insiders</w:t>
      </w:r>
      <w:r>
        <w:rPr>
          <w:rFonts w:ascii="Arial" w:cs="Arial" w:eastAsia="Arial" w:hAnsi="Arial"/>
          <w:sz w:val="13"/>
          <w:szCs w:val="13"/>
          <w:color w:val="auto"/>
        </w:rPr>
        <w:t>” (which is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defined in Part II and is generally (i) directors of the Company, (ii) executive officers of the Company and (iii) the positions listed on </w:t>
      </w:r>
      <w:r>
        <w:rPr>
          <w:rFonts w:ascii="Arial" w:cs="Arial" w:eastAsia="Arial" w:hAnsi="Arial"/>
          <w:sz w:val="13"/>
          <w:szCs w:val="13"/>
          <w:u w:val="single" w:color="auto"/>
          <w:color w:val="auto"/>
        </w:rPr>
        <w:t>Appendix B</w:t>
      </w:r>
      <w:r>
        <w:rPr>
          <w:rFonts w:ascii="Arial" w:cs="Arial" w:eastAsia="Arial" w:hAnsi="Arial"/>
          <w:sz w:val="13"/>
          <w:szCs w:val="13"/>
          <w:color w:val="auto"/>
        </w:rPr>
        <w:t xml:space="preserve"> (with their respective immediate family</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members and entities over which such person exercises control), as well as certain other employees that the Company may designate).</w:t>
      </w:r>
    </w:p>
    <w:p>
      <w:pPr>
        <w:spacing w:after="0" w:line="95" w:lineRule="exact"/>
        <w:rPr>
          <w:sz w:val="20"/>
          <w:szCs w:val="20"/>
          <w:color w:val="auto"/>
        </w:rPr>
      </w:pPr>
    </w:p>
    <w:p>
      <w:pPr>
        <w:spacing w:after="0"/>
        <w:rPr>
          <w:sz w:val="20"/>
          <w:szCs w:val="20"/>
          <w:color w:val="auto"/>
        </w:rPr>
      </w:pPr>
      <w:r>
        <w:rPr>
          <w:rFonts w:ascii="Arial" w:cs="Arial" w:eastAsia="Arial" w:hAnsi="Arial"/>
          <w:sz w:val="14"/>
          <w:szCs w:val="14"/>
          <w:color w:val="auto"/>
        </w:rPr>
        <w:t>One of the principal purposes of the federal securities laws is to prohibit so-called "insider trading.” Simply stated, insider trading occurs when a person uses material nonpublic</w:t>
      </w:r>
    </w:p>
    <w:p>
      <w:pPr>
        <w:jc w:val="both"/>
        <w:spacing w:after="0" w:line="207" w:lineRule="auto"/>
        <w:rPr>
          <w:sz w:val="20"/>
          <w:szCs w:val="20"/>
          <w:color w:val="auto"/>
        </w:rPr>
      </w:pPr>
      <w:r>
        <w:rPr>
          <w:rFonts w:ascii="Arial" w:cs="Arial" w:eastAsia="Arial" w:hAnsi="Arial"/>
          <w:sz w:val="14"/>
          <w:szCs w:val="14"/>
          <w:color w:val="auto"/>
        </w:rPr>
        <w:t>information obtained through involvement with the Company to make decisions to purchase, sell, give away or otherwise trade the Company’s securities or to provide that information to others outside the Company. The prohibitions against insider trading apply to trades, tips and recommendations by virtually any person, including all persons associated with the Company, if the information involved is "</w:t>
      </w:r>
      <w:r>
        <w:rPr>
          <w:rFonts w:ascii="Arial" w:cs="Arial" w:eastAsia="Arial" w:hAnsi="Arial"/>
          <w:sz w:val="14"/>
          <w:szCs w:val="14"/>
          <w:b w:val="1"/>
          <w:bCs w:val="1"/>
          <w:color w:val="auto"/>
        </w:rPr>
        <w:t>material</w:t>
      </w:r>
      <w:r>
        <w:rPr>
          <w:rFonts w:ascii="Arial" w:cs="Arial" w:eastAsia="Arial" w:hAnsi="Arial"/>
          <w:sz w:val="14"/>
          <w:szCs w:val="14"/>
          <w:color w:val="auto"/>
        </w:rPr>
        <w:t>” and "</w:t>
      </w:r>
      <w:r>
        <w:rPr>
          <w:rFonts w:ascii="Arial" w:cs="Arial" w:eastAsia="Arial" w:hAnsi="Arial"/>
          <w:sz w:val="14"/>
          <w:szCs w:val="14"/>
          <w:b w:val="1"/>
          <w:bCs w:val="1"/>
          <w:color w:val="auto"/>
        </w:rPr>
        <w:t>nonpublic</w:t>
      </w:r>
      <w:r>
        <w:rPr>
          <w:rFonts w:ascii="Arial" w:cs="Arial" w:eastAsia="Arial" w:hAnsi="Arial"/>
          <w:sz w:val="14"/>
          <w:szCs w:val="14"/>
          <w:color w:val="auto"/>
        </w:rPr>
        <w:t xml:space="preserve">” (each, as defined in </w:t>
      </w:r>
      <w:r>
        <w:rPr>
          <w:rFonts w:ascii="Arial" w:cs="Arial" w:eastAsia="Arial" w:hAnsi="Arial"/>
          <w:sz w:val="14"/>
          <w:szCs w:val="14"/>
          <w:u w:val="single" w:color="auto"/>
          <w:color w:val="auto"/>
        </w:rPr>
        <w:t>Appendix A</w:t>
      </w:r>
      <w:r>
        <w:rPr>
          <w:rFonts w:ascii="Arial" w:cs="Arial" w:eastAsia="Arial" w:hAnsi="Arial"/>
          <w:sz w:val="14"/>
          <w:szCs w:val="14"/>
          <w:color w:val="auto"/>
        </w:rPr>
        <w:t xml:space="preserve"> attached hereto). The prohibitions would apply to any director, officer or employee</w:t>
      </w:r>
    </w:p>
    <w:p>
      <w:pPr>
        <w:jc w:val="both"/>
        <w:spacing w:after="0" w:line="227" w:lineRule="auto"/>
        <w:rPr>
          <w:sz w:val="20"/>
          <w:szCs w:val="20"/>
          <w:color w:val="auto"/>
        </w:rPr>
      </w:pPr>
      <w:r>
        <w:rPr>
          <w:rFonts w:ascii="Arial" w:cs="Arial" w:eastAsia="Arial" w:hAnsi="Arial"/>
          <w:sz w:val="14"/>
          <w:szCs w:val="14"/>
          <w:color w:val="auto"/>
        </w:rPr>
        <w:t>who buys or sells Company stock on the basis of material nonpublic information that he or she obtained about the Company, its customers, suppliers, or other companies with which the Company has contractual relationships or may be negotiating transactions.</w:t>
      </w:r>
    </w:p>
    <w:p>
      <w:pPr>
        <w:spacing w:after="0" w:line="98" w:lineRule="exact"/>
        <w:rPr>
          <w:sz w:val="20"/>
          <w:szCs w:val="20"/>
          <w:color w:val="auto"/>
        </w:rPr>
      </w:pPr>
    </w:p>
    <w:p>
      <w:pPr>
        <w:jc w:val="both"/>
        <w:spacing w:after="0" w:line="219" w:lineRule="auto"/>
        <w:rPr>
          <w:sz w:val="20"/>
          <w:szCs w:val="20"/>
          <w:color w:val="auto"/>
        </w:rPr>
      </w:pPr>
      <w:r>
        <w:rPr>
          <w:rFonts w:ascii="Arial" w:cs="Arial" w:eastAsia="Arial" w:hAnsi="Arial"/>
          <w:sz w:val="14"/>
          <w:szCs w:val="14"/>
          <w:color w:val="auto"/>
        </w:rPr>
        <w:t>Each person covered by this Policy is responsible for complying with it. In all cases, the responsibility for determining whether a person is in possession of material nonpublic information rests with such person, and any action on the part of the Company, the “</w:t>
      </w:r>
      <w:r>
        <w:rPr>
          <w:rFonts w:ascii="Arial" w:cs="Arial" w:eastAsia="Arial" w:hAnsi="Arial"/>
          <w:sz w:val="14"/>
          <w:szCs w:val="14"/>
          <w:b w:val="1"/>
          <w:bCs w:val="1"/>
          <w:color w:val="auto"/>
        </w:rPr>
        <w:t>Compliance Officer</w:t>
      </w:r>
      <w:r>
        <w:rPr>
          <w:rFonts w:ascii="Arial" w:cs="Arial" w:eastAsia="Arial" w:hAnsi="Arial"/>
          <w:sz w:val="14"/>
          <w:szCs w:val="14"/>
          <w:color w:val="auto"/>
        </w:rPr>
        <w:t xml:space="preserve">” (as defined in </w:t>
      </w:r>
      <w:r>
        <w:rPr>
          <w:rFonts w:ascii="Arial" w:cs="Arial" w:eastAsia="Arial" w:hAnsi="Arial"/>
          <w:sz w:val="14"/>
          <w:szCs w:val="14"/>
          <w:u w:val="single" w:color="auto"/>
          <w:color w:val="auto"/>
        </w:rPr>
        <w:t>Appendix A</w:t>
      </w:r>
      <w:r>
        <w:rPr>
          <w:rFonts w:ascii="Arial" w:cs="Arial" w:eastAsia="Arial" w:hAnsi="Arial"/>
          <w:sz w:val="14"/>
          <w:szCs w:val="14"/>
          <w:color w:val="auto"/>
        </w:rPr>
        <w:t>) or any other person pursuant to this Policy (or otherwise) does not in any way constitute legal advice or insulate any person covered by this Policy from liability under applicable securities laws. In addition, the existence of a personal financial emergency or any other mitigating circumstance does not excuse compliance with this Policy.</w:t>
      </w:r>
    </w:p>
    <w:p>
      <w:pPr>
        <w:sectPr>
          <w:pgSz w:w="11900" w:h="16838" w:orient="portrait"/>
          <w:cols w:equalWidth="0" w:num="1">
            <w:col w:w="11280"/>
          </w:cols>
          <w:pgMar w:left="300" w:top="115" w:right="319" w:bottom="1440" w:gutter="0" w:footer="0" w:header="0"/>
        </w:sectPr>
      </w:pPr>
    </w:p>
    <w:bookmarkStart w:id="102" w:name="page103"/>
    <w:bookmarkEnd w:id="102"/>
    <w:p>
      <w:pPr>
        <w:jc w:val="right"/>
        <w:spacing w:after="0"/>
        <w:rPr>
          <w:sz w:val="20"/>
          <w:szCs w:val="20"/>
          <w:color w:val="auto"/>
        </w:rPr>
      </w:pPr>
      <w:r>
        <w:rPr>
          <w:rFonts w:ascii="Arial" w:cs="Arial" w:eastAsia="Arial" w:hAnsi="Arial"/>
          <w:sz w:val="14"/>
          <w:szCs w:val="14"/>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PART I: All Employees, Directors and Officers</w:t>
      </w:r>
    </w:p>
    <w:p>
      <w:pPr>
        <w:spacing w:after="0" w:line="120" w:lineRule="exact"/>
        <w:rPr>
          <w:sz w:val="20"/>
          <w:szCs w:val="20"/>
          <w:color w:val="auto"/>
        </w:rPr>
      </w:pPr>
    </w:p>
    <w:p>
      <w:pPr>
        <w:ind w:left="240" w:hanging="237"/>
        <w:spacing w:after="0"/>
        <w:tabs>
          <w:tab w:leader="none" w:pos="240" w:val="left"/>
        </w:tabs>
        <w:numPr>
          <w:ilvl w:val="0"/>
          <w:numId w:val="54"/>
        </w:numPr>
        <w:rPr>
          <w:rFonts w:ascii="Arial" w:cs="Arial" w:eastAsia="Arial" w:hAnsi="Arial"/>
          <w:sz w:val="14"/>
          <w:szCs w:val="14"/>
          <w:b w:val="1"/>
          <w:bCs w:val="1"/>
          <w:color w:val="auto"/>
        </w:rPr>
      </w:pPr>
      <w:r>
        <w:rPr>
          <w:rFonts w:ascii="Arial" w:cs="Arial" w:eastAsia="Arial" w:hAnsi="Arial"/>
          <w:sz w:val="14"/>
          <w:szCs w:val="14"/>
          <w:b w:val="1"/>
          <w:bCs w:val="1"/>
          <w:color w:val="auto"/>
        </w:rPr>
        <w:t>Applicability</w:t>
      </w:r>
    </w:p>
    <w:p>
      <w:pPr>
        <w:spacing w:after="0" w:line="109" w:lineRule="exact"/>
        <w:rPr>
          <w:rFonts w:ascii="Arial" w:cs="Arial" w:eastAsia="Arial" w:hAnsi="Arial"/>
          <w:sz w:val="14"/>
          <w:szCs w:val="14"/>
          <w:b w:val="1"/>
          <w:bCs w:val="1"/>
          <w:color w:val="auto"/>
        </w:rPr>
      </w:pPr>
    </w:p>
    <w:p>
      <w:pPr>
        <w:jc w:val="both"/>
        <w:ind w:left="260"/>
        <w:spacing w:after="0" w:line="231" w:lineRule="auto"/>
        <w:rPr>
          <w:rFonts w:ascii="Arial" w:cs="Arial" w:eastAsia="Arial" w:hAnsi="Arial"/>
          <w:sz w:val="14"/>
          <w:szCs w:val="14"/>
          <w:b w:val="1"/>
          <w:bCs w:val="1"/>
          <w:color w:val="auto"/>
        </w:rPr>
      </w:pPr>
      <w:r>
        <w:rPr>
          <w:rFonts w:ascii="Arial" w:cs="Arial" w:eastAsia="Arial" w:hAnsi="Arial"/>
          <w:sz w:val="14"/>
          <w:szCs w:val="14"/>
          <w:color w:val="auto"/>
        </w:rPr>
        <w:t xml:space="preserve">This Policy applies to all trading or other transactions in the Company’s securities, including </w:t>
      </w:r>
      <w:r>
        <w:rPr>
          <w:rFonts w:ascii="Arial" w:cs="Arial" w:eastAsia="Arial" w:hAnsi="Arial"/>
          <w:sz w:val="14"/>
          <w:szCs w:val="14"/>
          <w:b w:val="1"/>
          <w:bCs w:val="1"/>
          <w:color w:val="auto"/>
        </w:rPr>
        <w:t>common stock</w:t>
      </w:r>
      <w:r>
        <w:rPr>
          <w:rFonts w:ascii="Arial" w:cs="Arial" w:eastAsia="Arial" w:hAnsi="Arial"/>
          <w:sz w:val="14"/>
          <w:szCs w:val="14"/>
          <w:color w:val="auto"/>
        </w:rPr>
        <w:t xml:space="preserve">, </w:t>
      </w:r>
      <w:r>
        <w:rPr>
          <w:rFonts w:ascii="Arial" w:cs="Arial" w:eastAsia="Arial" w:hAnsi="Arial"/>
          <w:sz w:val="14"/>
          <w:szCs w:val="14"/>
          <w:b w:val="1"/>
          <w:bCs w:val="1"/>
          <w:color w:val="auto"/>
        </w:rPr>
        <w:t>options</w:t>
      </w:r>
      <w:r>
        <w:rPr>
          <w:rFonts w:ascii="Arial" w:cs="Arial" w:eastAsia="Arial" w:hAnsi="Arial"/>
          <w:sz w:val="14"/>
          <w:szCs w:val="14"/>
          <w:color w:val="auto"/>
        </w:rPr>
        <w:t xml:space="preserve"> and any </w:t>
      </w:r>
      <w:r>
        <w:rPr>
          <w:rFonts w:ascii="Arial" w:cs="Arial" w:eastAsia="Arial" w:hAnsi="Arial"/>
          <w:sz w:val="14"/>
          <w:szCs w:val="14"/>
          <w:b w:val="1"/>
          <w:bCs w:val="1"/>
          <w:color w:val="auto"/>
        </w:rPr>
        <w:t>other securities</w:t>
      </w:r>
      <w:r>
        <w:rPr>
          <w:rFonts w:ascii="Arial" w:cs="Arial" w:eastAsia="Arial" w:hAnsi="Arial"/>
          <w:sz w:val="14"/>
          <w:szCs w:val="14"/>
          <w:color w:val="auto"/>
        </w:rPr>
        <w:t xml:space="preserve"> that the Company may issue, such as </w:t>
      </w:r>
      <w:r>
        <w:rPr>
          <w:rFonts w:ascii="Arial" w:cs="Arial" w:eastAsia="Arial" w:hAnsi="Arial"/>
          <w:sz w:val="14"/>
          <w:szCs w:val="14"/>
          <w:b w:val="1"/>
          <w:bCs w:val="1"/>
          <w:color w:val="auto"/>
        </w:rPr>
        <w:t>preferred stock</w:t>
      </w:r>
      <w:r>
        <w:rPr>
          <w:rFonts w:ascii="Arial" w:cs="Arial" w:eastAsia="Arial" w:hAnsi="Arial"/>
          <w:sz w:val="14"/>
          <w:szCs w:val="14"/>
          <w:color w:val="auto"/>
        </w:rPr>
        <w:t xml:space="preserve">, </w:t>
      </w:r>
      <w:r>
        <w:rPr>
          <w:rFonts w:ascii="Arial" w:cs="Arial" w:eastAsia="Arial" w:hAnsi="Arial"/>
          <w:sz w:val="14"/>
          <w:szCs w:val="14"/>
          <w:b w:val="1"/>
          <w:bCs w:val="1"/>
          <w:color w:val="auto"/>
        </w:rPr>
        <w:t>notes</w:t>
      </w:r>
      <w:r>
        <w:rPr>
          <w:rFonts w:ascii="Arial" w:cs="Arial" w:eastAsia="Arial" w:hAnsi="Arial"/>
          <w:sz w:val="14"/>
          <w:szCs w:val="14"/>
          <w:color w:val="auto"/>
        </w:rPr>
        <w:t xml:space="preserve">, </w:t>
      </w:r>
      <w:r>
        <w:rPr>
          <w:rFonts w:ascii="Arial" w:cs="Arial" w:eastAsia="Arial" w:hAnsi="Arial"/>
          <w:sz w:val="14"/>
          <w:szCs w:val="14"/>
          <w:b w:val="1"/>
          <w:bCs w:val="1"/>
          <w:color w:val="auto"/>
        </w:rPr>
        <w:t>bonds</w:t>
      </w:r>
      <w:r>
        <w:rPr>
          <w:rFonts w:ascii="Arial" w:cs="Arial" w:eastAsia="Arial" w:hAnsi="Arial"/>
          <w:sz w:val="14"/>
          <w:szCs w:val="14"/>
          <w:color w:val="auto"/>
        </w:rPr>
        <w:t xml:space="preserve"> and </w:t>
      </w:r>
      <w:r>
        <w:rPr>
          <w:rFonts w:ascii="Arial" w:cs="Arial" w:eastAsia="Arial" w:hAnsi="Arial"/>
          <w:sz w:val="14"/>
          <w:szCs w:val="14"/>
          <w:b w:val="1"/>
          <w:bCs w:val="1"/>
          <w:color w:val="auto"/>
        </w:rPr>
        <w:t>convertible securities</w:t>
      </w:r>
      <w:r>
        <w:rPr>
          <w:rFonts w:ascii="Arial" w:cs="Arial" w:eastAsia="Arial" w:hAnsi="Arial"/>
          <w:sz w:val="14"/>
          <w:szCs w:val="14"/>
          <w:color w:val="auto"/>
        </w:rPr>
        <w:t xml:space="preserve">, as well as to </w:t>
      </w:r>
      <w:r>
        <w:rPr>
          <w:rFonts w:ascii="Arial" w:cs="Arial" w:eastAsia="Arial" w:hAnsi="Arial"/>
          <w:sz w:val="14"/>
          <w:szCs w:val="14"/>
          <w:b w:val="1"/>
          <w:bCs w:val="1"/>
          <w:color w:val="auto"/>
        </w:rPr>
        <w:t>derivative securities</w:t>
      </w:r>
      <w:r>
        <w:rPr>
          <w:rFonts w:ascii="Arial" w:cs="Arial" w:eastAsia="Arial" w:hAnsi="Arial"/>
          <w:sz w:val="14"/>
          <w:szCs w:val="14"/>
          <w:color w:val="auto"/>
        </w:rPr>
        <w:t xml:space="preserve"> relating to any of the Company’s securities, whether or not issued by the Company.</w:t>
      </w:r>
    </w:p>
    <w:p>
      <w:pPr>
        <w:spacing w:after="0" w:line="97" w:lineRule="exact"/>
        <w:rPr>
          <w:rFonts w:ascii="Arial" w:cs="Arial" w:eastAsia="Arial" w:hAnsi="Arial"/>
          <w:sz w:val="14"/>
          <w:szCs w:val="14"/>
          <w:b w:val="1"/>
          <w:bCs w:val="1"/>
          <w:color w:val="auto"/>
        </w:rPr>
      </w:pPr>
    </w:p>
    <w:p>
      <w:pPr>
        <w:jc w:val="both"/>
        <w:ind w:left="260"/>
        <w:spacing w:after="0" w:line="225" w:lineRule="auto"/>
        <w:rPr>
          <w:rFonts w:ascii="Arial" w:cs="Arial" w:eastAsia="Arial" w:hAnsi="Arial"/>
          <w:sz w:val="14"/>
          <w:szCs w:val="14"/>
          <w:b w:val="1"/>
          <w:bCs w:val="1"/>
          <w:color w:val="auto"/>
        </w:rPr>
      </w:pPr>
      <w:r>
        <w:rPr>
          <w:rFonts w:ascii="Arial" w:cs="Arial" w:eastAsia="Arial" w:hAnsi="Arial"/>
          <w:sz w:val="14"/>
          <w:szCs w:val="14"/>
          <w:color w:val="auto"/>
        </w:rPr>
        <w:t>The Securities and Exchange Commission (“</w:t>
      </w:r>
      <w:r>
        <w:rPr>
          <w:rFonts w:ascii="Arial" w:cs="Arial" w:eastAsia="Arial" w:hAnsi="Arial"/>
          <w:sz w:val="14"/>
          <w:szCs w:val="14"/>
          <w:b w:val="1"/>
          <w:bCs w:val="1"/>
          <w:color w:val="auto"/>
        </w:rPr>
        <w:t>SEC</w:t>
      </w:r>
      <w:r>
        <w:rPr>
          <w:rFonts w:ascii="Arial" w:cs="Arial" w:eastAsia="Arial" w:hAnsi="Arial"/>
          <w:sz w:val="14"/>
          <w:szCs w:val="14"/>
          <w:color w:val="auto"/>
        </w:rPr>
        <w:t>”) takes the position that gifting of securities while in possession of nonpublic information about the Company in circumstances where it is likely that the donee will immediately sell those securities (typical for gifts to charitable organizations) may constitute insider trading, particularly where the donor will receive some benefit, such as a tax deduction or a favorable relationship. Accordingly, this Policy also covers all gifts of securities.</w:t>
      </w:r>
    </w:p>
    <w:p>
      <w:pPr>
        <w:spacing w:after="0" w:line="99" w:lineRule="exact"/>
        <w:rPr>
          <w:rFonts w:ascii="Arial" w:cs="Arial" w:eastAsia="Arial" w:hAnsi="Arial"/>
          <w:sz w:val="14"/>
          <w:szCs w:val="14"/>
          <w:b w:val="1"/>
          <w:bCs w:val="1"/>
          <w:color w:val="auto"/>
        </w:rPr>
      </w:pPr>
    </w:p>
    <w:p>
      <w:pPr>
        <w:jc w:val="both"/>
        <w:ind w:left="260"/>
        <w:spacing w:after="0" w:line="231" w:lineRule="auto"/>
        <w:rPr>
          <w:rFonts w:ascii="Arial" w:cs="Arial" w:eastAsia="Arial" w:hAnsi="Arial"/>
          <w:sz w:val="14"/>
          <w:szCs w:val="14"/>
          <w:b w:val="1"/>
          <w:bCs w:val="1"/>
          <w:color w:val="auto"/>
        </w:rPr>
      </w:pPr>
      <w:r>
        <w:rPr>
          <w:rFonts w:ascii="Arial" w:cs="Arial" w:eastAsia="Arial" w:hAnsi="Arial"/>
          <w:sz w:val="14"/>
          <w:szCs w:val="14"/>
          <w:color w:val="auto"/>
        </w:rPr>
        <w:t>This Policy applies to all employees of the Company, all officers of the Company and all members of the Company’s board of directors, and their respective immediate family members. This Policy also applies to any entities that such person influences or controls, including any corporations, partnerships or trusts, and transactions by these controlled entities should be treated for the purposes of this Policy and applicable securities laws as if they were for such person’s own account.</w:t>
      </w:r>
    </w:p>
    <w:p>
      <w:pPr>
        <w:spacing w:after="0" w:line="87" w:lineRule="exact"/>
        <w:rPr>
          <w:rFonts w:ascii="Arial" w:cs="Arial" w:eastAsia="Arial" w:hAnsi="Arial"/>
          <w:sz w:val="14"/>
          <w:szCs w:val="14"/>
          <w:b w:val="1"/>
          <w:bCs w:val="1"/>
          <w:color w:val="auto"/>
        </w:rPr>
      </w:pPr>
    </w:p>
    <w:p>
      <w:pPr>
        <w:ind w:left="240" w:hanging="237"/>
        <w:spacing w:after="0"/>
        <w:tabs>
          <w:tab w:leader="none" w:pos="240" w:val="left"/>
        </w:tabs>
        <w:numPr>
          <w:ilvl w:val="0"/>
          <w:numId w:val="54"/>
        </w:numPr>
        <w:rPr>
          <w:rFonts w:ascii="Arial" w:cs="Arial" w:eastAsia="Arial" w:hAnsi="Arial"/>
          <w:sz w:val="14"/>
          <w:szCs w:val="14"/>
          <w:b w:val="1"/>
          <w:bCs w:val="1"/>
          <w:color w:val="auto"/>
        </w:rPr>
      </w:pPr>
      <w:r>
        <w:rPr>
          <w:rFonts w:ascii="Arial" w:cs="Arial" w:eastAsia="Arial" w:hAnsi="Arial"/>
          <w:sz w:val="14"/>
          <w:szCs w:val="14"/>
          <w:b w:val="1"/>
          <w:bCs w:val="1"/>
          <w:color w:val="auto"/>
        </w:rPr>
        <w:t>General Policy: No Trading or Causing Trading While in Possession of Material Nonpublic Information</w:t>
      </w:r>
    </w:p>
    <w:p>
      <w:pPr>
        <w:spacing w:after="0" w:line="120" w:lineRule="exact"/>
        <w:rPr>
          <w:rFonts w:ascii="Arial" w:cs="Arial" w:eastAsia="Arial" w:hAnsi="Arial"/>
          <w:sz w:val="14"/>
          <w:szCs w:val="14"/>
          <w:b w:val="1"/>
          <w:bCs w:val="1"/>
          <w:color w:val="auto"/>
        </w:rPr>
      </w:pPr>
    </w:p>
    <w:p>
      <w:pPr>
        <w:ind w:left="500" w:hanging="247"/>
        <w:spacing w:after="0" w:line="237" w:lineRule="auto"/>
        <w:tabs>
          <w:tab w:leader="none" w:pos="492" w:val="left"/>
        </w:tabs>
        <w:numPr>
          <w:ilvl w:val="1"/>
          <w:numId w:val="54"/>
        </w:numPr>
        <w:rPr>
          <w:rFonts w:ascii="Arial" w:cs="Arial" w:eastAsia="Arial" w:hAnsi="Arial"/>
          <w:sz w:val="14"/>
          <w:szCs w:val="14"/>
          <w:color w:val="auto"/>
        </w:rPr>
      </w:pPr>
      <w:r>
        <w:rPr>
          <w:rFonts w:ascii="Arial" w:cs="Arial" w:eastAsia="Arial" w:hAnsi="Arial"/>
          <w:sz w:val="14"/>
          <w:szCs w:val="14"/>
          <w:color w:val="auto"/>
        </w:rPr>
        <w:t>No director, officer or employee or any of their immediate family members may purchase or sell, or offer to purchase or sell, any Company security, whether or not issued by the Company, while in possession of material nonpublic information about the Company.</w:t>
      </w:r>
    </w:p>
    <w:p>
      <w:pPr>
        <w:spacing w:after="0" w:line="98" w:lineRule="exact"/>
        <w:rPr>
          <w:rFonts w:ascii="Arial" w:cs="Arial" w:eastAsia="Arial" w:hAnsi="Arial"/>
          <w:sz w:val="14"/>
          <w:szCs w:val="14"/>
          <w:color w:val="auto"/>
        </w:rPr>
      </w:pPr>
    </w:p>
    <w:p>
      <w:pPr>
        <w:ind w:left="500" w:hanging="247"/>
        <w:spacing w:after="0" w:line="237" w:lineRule="auto"/>
        <w:tabs>
          <w:tab w:leader="none" w:pos="492" w:val="left"/>
        </w:tabs>
        <w:numPr>
          <w:ilvl w:val="1"/>
          <w:numId w:val="54"/>
        </w:numPr>
        <w:rPr>
          <w:rFonts w:ascii="Arial" w:cs="Arial" w:eastAsia="Arial" w:hAnsi="Arial"/>
          <w:sz w:val="14"/>
          <w:szCs w:val="14"/>
          <w:color w:val="auto"/>
        </w:rPr>
      </w:pPr>
      <w:r>
        <w:rPr>
          <w:rFonts w:ascii="Arial" w:cs="Arial" w:eastAsia="Arial" w:hAnsi="Arial"/>
          <w:sz w:val="14"/>
          <w:szCs w:val="14"/>
          <w:color w:val="auto"/>
        </w:rPr>
        <w:t>No director, officer or employee or any of their immediate family members who knows of any material nonpublic information about the Company may communicate that information to, or “tip”, any other person, including family members and friends, or otherwise disclose such information without the Company’s authorization.</w:t>
      </w:r>
    </w:p>
    <w:p>
      <w:pPr>
        <w:spacing w:after="0" w:line="98" w:lineRule="exact"/>
        <w:rPr>
          <w:rFonts w:ascii="Arial" w:cs="Arial" w:eastAsia="Arial" w:hAnsi="Arial"/>
          <w:sz w:val="14"/>
          <w:szCs w:val="14"/>
          <w:color w:val="auto"/>
        </w:rPr>
      </w:pPr>
    </w:p>
    <w:p>
      <w:pPr>
        <w:jc w:val="both"/>
        <w:ind w:left="500" w:hanging="247"/>
        <w:spacing w:after="0" w:line="223" w:lineRule="auto"/>
        <w:tabs>
          <w:tab w:leader="none" w:pos="495" w:val="left"/>
        </w:tabs>
        <w:numPr>
          <w:ilvl w:val="1"/>
          <w:numId w:val="54"/>
        </w:numPr>
        <w:rPr>
          <w:rFonts w:ascii="Arial" w:cs="Arial" w:eastAsia="Arial" w:hAnsi="Arial"/>
          <w:sz w:val="14"/>
          <w:szCs w:val="14"/>
          <w:color w:val="auto"/>
        </w:rPr>
      </w:pPr>
      <w:r>
        <w:rPr>
          <w:rFonts w:ascii="Arial" w:cs="Arial" w:eastAsia="Arial" w:hAnsi="Arial"/>
          <w:sz w:val="14"/>
          <w:szCs w:val="14"/>
          <w:color w:val="auto"/>
        </w:rPr>
        <w:t>No director, officer or employee or any of their immediate family members may purchase or sell any security of any other company, whether or not issued by the Company, while in possession of material nonpublic information about that company that was obtained in the course of his or her involvement with the Company. No director, officer or employee or any of their immediate family members who knows of any such material nonpublic information may communicate that information to, or tip, any other person, including family members and friends, or otherwise disclose such information without the Company’s authorization.</w:t>
      </w:r>
    </w:p>
    <w:p>
      <w:pPr>
        <w:spacing w:after="0" w:line="89" w:lineRule="exact"/>
        <w:rPr>
          <w:rFonts w:ascii="Arial" w:cs="Arial" w:eastAsia="Arial" w:hAnsi="Arial"/>
          <w:sz w:val="14"/>
          <w:szCs w:val="14"/>
          <w:color w:val="auto"/>
        </w:rPr>
      </w:pPr>
    </w:p>
    <w:p>
      <w:pPr>
        <w:ind w:left="500" w:hanging="247"/>
        <w:spacing w:after="0" w:line="251" w:lineRule="auto"/>
        <w:tabs>
          <w:tab w:leader="none" w:pos="492" w:val="left"/>
        </w:tabs>
        <w:numPr>
          <w:ilvl w:val="1"/>
          <w:numId w:val="54"/>
        </w:numPr>
        <w:rPr>
          <w:rFonts w:ascii="Arial" w:cs="Arial" w:eastAsia="Arial" w:hAnsi="Arial"/>
          <w:sz w:val="14"/>
          <w:szCs w:val="14"/>
          <w:color w:val="auto"/>
        </w:rPr>
      </w:pPr>
      <w:r>
        <w:rPr>
          <w:rFonts w:ascii="Arial" w:cs="Arial" w:eastAsia="Arial" w:hAnsi="Arial"/>
          <w:sz w:val="14"/>
          <w:szCs w:val="14"/>
          <w:color w:val="auto"/>
        </w:rPr>
        <w:t>For compliance purposes, you should never trade, tip or recommend securities (or otherwise cause the purchase or sale of securities) while in possession of information that you have reason to believe is material and nonpublic unless you first consult with, and obtain the advance approval of, the Compliance Officer.</w:t>
      </w:r>
    </w:p>
    <w:p>
      <w:pPr>
        <w:spacing w:after="0" w:line="79" w:lineRule="exact"/>
        <w:rPr>
          <w:rFonts w:ascii="Arial" w:cs="Arial" w:eastAsia="Arial" w:hAnsi="Arial"/>
          <w:sz w:val="14"/>
          <w:szCs w:val="14"/>
          <w:color w:val="auto"/>
        </w:rPr>
      </w:pPr>
    </w:p>
    <w:p>
      <w:pPr>
        <w:ind w:left="500" w:hanging="247"/>
        <w:spacing w:after="0"/>
        <w:tabs>
          <w:tab w:leader="none" w:pos="500" w:val="left"/>
        </w:tabs>
        <w:numPr>
          <w:ilvl w:val="1"/>
          <w:numId w:val="54"/>
        </w:numPr>
        <w:rPr>
          <w:rFonts w:ascii="Arial" w:cs="Arial" w:eastAsia="Arial" w:hAnsi="Arial"/>
          <w:sz w:val="14"/>
          <w:szCs w:val="14"/>
          <w:color w:val="auto"/>
        </w:rPr>
      </w:pPr>
      <w:r>
        <w:rPr>
          <w:rFonts w:ascii="Arial" w:cs="Arial" w:eastAsia="Arial" w:hAnsi="Arial"/>
          <w:sz w:val="14"/>
          <w:szCs w:val="14"/>
          <w:color w:val="auto"/>
        </w:rPr>
        <w:t>Restricted Insiders have additional requirements set forth in Part II, below.</w:t>
      </w:r>
    </w:p>
    <w:p>
      <w:pPr>
        <w:spacing w:after="0" w:line="120" w:lineRule="exact"/>
        <w:rPr>
          <w:rFonts w:ascii="Arial" w:cs="Arial" w:eastAsia="Arial" w:hAnsi="Arial"/>
          <w:sz w:val="14"/>
          <w:szCs w:val="14"/>
          <w:color w:val="auto"/>
        </w:rPr>
      </w:pPr>
    </w:p>
    <w:p>
      <w:pPr>
        <w:ind w:left="240" w:hanging="237"/>
        <w:spacing w:after="0"/>
        <w:tabs>
          <w:tab w:leader="none" w:pos="240" w:val="left"/>
        </w:tabs>
        <w:numPr>
          <w:ilvl w:val="0"/>
          <w:numId w:val="54"/>
        </w:numPr>
        <w:rPr>
          <w:rFonts w:ascii="Arial" w:cs="Arial" w:eastAsia="Arial" w:hAnsi="Arial"/>
          <w:sz w:val="14"/>
          <w:szCs w:val="14"/>
          <w:b w:val="1"/>
          <w:bCs w:val="1"/>
          <w:color w:val="auto"/>
        </w:rPr>
      </w:pPr>
      <w:r>
        <w:rPr>
          <w:rFonts w:ascii="Arial" w:cs="Arial" w:eastAsia="Arial" w:hAnsi="Arial"/>
          <w:sz w:val="14"/>
          <w:szCs w:val="14"/>
          <w:b w:val="1"/>
          <w:bCs w:val="1"/>
          <w:color w:val="auto"/>
        </w:rPr>
        <w:t>Exceptions</w:t>
      </w:r>
    </w:p>
    <w:p>
      <w:pPr>
        <w:spacing w:after="0" w:line="120" w:lineRule="exact"/>
        <w:rPr>
          <w:rFonts w:ascii="Arial" w:cs="Arial" w:eastAsia="Arial" w:hAnsi="Arial"/>
          <w:sz w:val="14"/>
          <w:szCs w:val="14"/>
          <w:b w:val="1"/>
          <w:bCs w:val="1"/>
          <w:color w:val="auto"/>
        </w:rPr>
      </w:pPr>
    </w:p>
    <w:p>
      <w:pPr>
        <w:ind w:left="260"/>
        <w:spacing w:after="0"/>
        <w:rPr>
          <w:rFonts w:ascii="Arial" w:cs="Arial" w:eastAsia="Arial" w:hAnsi="Arial"/>
          <w:sz w:val="14"/>
          <w:szCs w:val="14"/>
          <w:b w:val="1"/>
          <w:bCs w:val="1"/>
          <w:color w:val="auto"/>
        </w:rPr>
      </w:pPr>
      <w:r>
        <w:rPr>
          <w:rFonts w:ascii="Arial" w:cs="Arial" w:eastAsia="Arial" w:hAnsi="Arial"/>
          <w:sz w:val="14"/>
          <w:szCs w:val="14"/>
          <w:color w:val="auto"/>
        </w:rPr>
        <w:t>The trading restrictions of this Policy do not apply to the following:</w:t>
      </w:r>
    </w:p>
    <w:p>
      <w:pPr>
        <w:spacing w:after="0" w:line="109" w:lineRule="exact"/>
        <w:rPr>
          <w:rFonts w:ascii="Arial" w:cs="Arial" w:eastAsia="Arial" w:hAnsi="Arial"/>
          <w:sz w:val="14"/>
          <w:szCs w:val="14"/>
          <w:b w:val="1"/>
          <w:bCs w:val="1"/>
          <w:color w:val="auto"/>
        </w:rPr>
      </w:pPr>
    </w:p>
    <w:p>
      <w:pPr>
        <w:jc w:val="both"/>
        <w:ind w:left="500" w:hanging="247"/>
        <w:spacing w:after="0" w:line="231" w:lineRule="auto"/>
        <w:tabs>
          <w:tab w:leader="none" w:pos="492" w:val="left"/>
        </w:tabs>
        <w:numPr>
          <w:ilvl w:val="1"/>
          <w:numId w:val="54"/>
        </w:numPr>
        <w:rPr>
          <w:rFonts w:ascii="Arial" w:cs="Arial" w:eastAsia="Arial" w:hAnsi="Arial"/>
          <w:sz w:val="14"/>
          <w:szCs w:val="14"/>
          <w:color w:val="auto"/>
        </w:rPr>
      </w:pPr>
      <w:r>
        <w:rPr>
          <w:rFonts w:ascii="Arial" w:cs="Arial" w:eastAsia="Arial" w:hAnsi="Arial"/>
          <w:sz w:val="14"/>
          <w:szCs w:val="14"/>
          <w:b w:val="1"/>
          <w:bCs w:val="1"/>
          <w:u w:val="single" w:color="auto"/>
          <w:color w:val="auto"/>
        </w:rPr>
        <w:t>401(k) Plan</w:t>
      </w:r>
      <w:r>
        <w:rPr>
          <w:rFonts w:ascii="Arial" w:cs="Arial" w:eastAsia="Arial" w:hAnsi="Arial"/>
          <w:sz w:val="14"/>
          <w:szCs w:val="14"/>
          <w:b w:val="1"/>
          <w:bCs w:val="1"/>
          <w:color w:val="auto"/>
        </w:rPr>
        <w:t xml:space="preserve">. </w:t>
      </w:r>
      <w:r>
        <w:rPr>
          <w:rFonts w:ascii="Arial" w:cs="Arial" w:eastAsia="Arial" w:hAnsi="Arial"/>
          <w:sz w:val="14"/>
          <w:szCs w:val="14"/>
          <w:color w:val="auto"/>
        </w:rPr>
        <w:t>If the Company’s common stock becomes an investment option in the Company’s 401(k) plan, then investing 401(k) plan contributions in a Company stock fund in</w:t>
      </w:r>
      <w:r>
        <w:rPr>
          <w:rFonts w:ascii="Arial" w:cs="Arial" w:eastAsia="Arial" w:hAnsi="Arial"/>
          <w:sz w:val="14"/>
          <w:szCs w:val="14"/>
          <w:b w:val="1"/>
          <w:bCs w:val="1"/>
          <w:color w:val="auto"/>
        </w:rPr>
        <w:t xml:space="preserve"> </w:t>
      </w:r>
      <w:r>
        <w:rPr>
          <w:rFonts w:ascii="Arial" w:cs="Arial" w:eastAsia="Arial" w:hAnsi="Arial"/>
          <w:sz w:val="14"/>
          <w:szCs w:val="14"/>
          <w:color w:val="auto"/>
        </w:rPr>
        <w:t>accordance with the terms of the plan is permissible. However, any changes in your investment election regarding the Company’s stock, including changing participation levels in any stock fund under the Company’s 401(k) plan, are subject to trading restrictions under this Policy.</w:t>
      </w:r>
    </w:p>
    <w:p>
      <w:pPr>
        <w:spacing w:after="0" w:line="97" w:lineRule="exact"/>
        <w:rPr>
          <w:rFonts w:ascii="Arial" w:cs="Arial" w:eastAsia="Arial" w:hAnsi="Arial"/>
          <w:sz w:val="14"/>
          <w:szCs w:val="14"/>
          <w:color w:val="auto"/>
        </w:rPr>
      </w:pPr>
    </w:p>
    <w:p>
      <w:pPr>
        <w:jc w:val="both"/>
        <w:ind w:left="500" w:hanging="247"/>
        <w:spacing w:after="0" w:line="225" w:lineRule="auto"/>
        <w:tabs>
          <w:tab w:leader="none" w:pos="492" w:val="left"/>
        </w:tabs>
        <w:numPr>
          <w:ilvl w:val="1"/>
          <w:numId w:val="54"/>
        </w:numPr>
        <w:rPr>
          <w:rFonts w:ascii="Arial" w:cs="Arial" w:eastAsia="Arial" w:hAnsi="Arial"/>
          <w:sz w:val="14"/>
          <w:szCs w:val="14"/>
          <w:color w:val="auto"/>
        </w:rPr>
      </w:pPr>
      <w:r>
        <w:rPr>
          <w:rFonts w:ascii="Arial" w:cs="Arial" w:eastAsia="Arial" w:hAnsi="Arial"/>
          <w:sz w:val="14"/>
          <w:szCs w:val="14"/>
          <w:b w:val="1"/>
          <w:bCs w:val="1"/>
          <w:u w:val="single" w:color="auto"/>
          <w:color w:val="auto"/>
        </w:rPr>
        <w:t>Options</w:t>
      </w:r>
      <w:r>
        <w:rPr>
          <w:rFonts w:ascii="Arial" w:cs="Arial" w:eastAsia="Arial" w:hAnsi="Arial"/>
          <w:sz w:val="14"/>
          <w:szCs w:val="14"/>
          <w:b w:val="1"/>
          <w:bCs w:val="1"/>
          <w:color w:val="auto"/>
        </w:rPr>
        <w:t xml:space="preserve">. </w:t>
      </w:r>
      <w:r>
        <w:rPr>
          <w:rFonts w:ascii="Arial" w:cs="Arial" w:eastAsia="Arial" w:hAnsi="Arial"/>
          <w:sz w:val="14"/>
          <w:szCs w:val="14"/>
          <w:color w:val="auto"/>
        </w:rPr>
        <w:t>If the Company grants stock options, then exercising stock options for cash or exercising a tax withholding right pursuant to which a person has elected to have the</w:t>
      </w:r>
      <w:r>
        <w:rPr>
          <w:rFonts w:ascii="Arial" w:cs="Arial" w:eastAsia="Arial" w:hAnsi="Arial"/>
          <w:sz w:val="14"/>
          <w:szCs w:val="14"/>
          <w:b w:val="1"/>
          <w:bCs w:val="1"/>
          <w:color w:val="auto"/>
        </w:rPr>
        <w:t xml:space="preserve"> </w:t>
      </w:r>
      <w:r>
        <w:rPr>
          <w:rFonts w:ascii="Arial" w:cs="Arial" w:eastAsia="Arial" w:hAnsi="Arial"/>
          <w:sz w:val="14"/>
          <w:szCs w:val="14"/>
          <w:color w:val="auto"/>
        </w:rPr>
        <w:t>Company withhold shares subject to an option to satisfy tax withholding requirements is permissible. However, the sale of any shares issued on the exercise of Company-granted stock options and any sell-to-cover or cashless exercise of Company-granted stock options are subject to trading restrictions under this Policy.</w:t>
      </w:r>
    </w:p>
    <w:p>
      <w:pPr>
        <w:sectPr>
          <w:pgSz w:w="11900" w:h="16838" w:orient="portrait"/>
          <w:cols w:equalWidth="0" w:num="1">
            <w:col w:w="11280"/>
          </w:cols>
          <w:pgMar w:left="300" w:top="115" w:right="319" w:bottom="1440" w:gutter="0" w:footer="0" w:header="0"/>
        </w:sectPr>
      </w:pPr>
    </w:p>
    <w:bookmarkStart w:id="103" w:name="page104"/>
    <w:bookmarkEnd w:id="103"/>
    <w:p>
      <w:pPr>
        <w:jc w:val="right"/>
        <w:spacing w:after="0"/>
        <w:rPr>
          <w:sz w:val="20"/>
          <w:szCs w:val="20"/>
          <w:color w:val="auto"/>
        </w:rPr>
      </w:pPr>
      <w:r>
        <w:rPr>
          <w:rFonts w:ascii="Arial" w:cs="Arial" w:eastAsia="Arial" w:hAnsi="Arial"/>
          <w:sz w:val="14"/>
          <w:szCs w:val="14"/>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500" w:hanging="247"/>
        <w:spacing w:after="0" w:line="231" w:lineRule="auto"/>
        <w:tabs>
          <w:tab w:leader="none" w:pos="495" w:val="left"/>
        </w:tabs>
        <w:numPr>
          <w:ilvl w:val="1"/>
          <w:numId w:val="55"/>
        </w:numPr>
        <w:rPr>
          <w:rFonts w:ascii="Arial" w:cs="Arial" w:eastAsia="Arial" w:hAnsi="Arial"/>
          <w:sz w:val="14"/>
          <w:szCs w:val="14"/>
          <w:color w:val="auto"/>
        </w:rPr>
      </w:pPr>
      <w:r>
        <w:rPr>
          <w:rFonts w:ascii="Arial" w:cs="Arial" w:eastAsia="Arial" w:hAnsi="Arial"/>
          <w:sz w:val="14"/>
          <w:szCs w:val="14"/>
          <w:b w:val="1"/>
          <w:bCs w:val="1"/>
          <w:u w:val="single" w:color="auto"/>
          <w:color w:val="auto"/>
        </w:rPr>
        <w:t>Restricted Stock</w:t>
      </w:r>
      <w:r>
        <w:rPr>
          <w:rFonts w:ascii="Arial" w:cs="Arial" w:eastAsia="Arial" w:hAnsi="Arial"/>
          <w:sz w:val="14"/>
          <w:szCs w:val="14"/>
          <w:b w:val="1"/>
          <w:bCs w:val="1"/>
          <w:color w:val="auto"/>
        </w:rPr>
        <w:t xml:space="preserve">. </w:t>
      </w:r>
      <w:r>
        <w:rPr>
          <w:rFonts w:ascii="Arial" w:cs="Arial" w:eastAsia="Arial" w:hAnsi="Arial"/>
          <w:sz w:val="14"/>
          <w:szCs w:val="14"/>
          <w:color w:val="auto"/>
        </w:rPr>
        <w:t>Vesting of restricted stock is permissible, as is exercising a tax withholding right pursuant to which a person has elected to have the Company withhold</w:t>
      </w:r>
      <w:r>
        <w:rPr>
          <w:rFonts w:ascii="Arial" w:cs="Arial" w:eastAsia="Arial" w:hAnsi="Arial"/>
          <w:sz w:val="14"/>
          <w:szCs w:val="14"/>
          <w:b w:val="1"/>
          <w:bCs w:val="1"/>
          <w:color w:val="auto"/>
        </w:rPr>
        <w:t xml:space="preserve"> </w:t>
      </w:r>
      <w:r>
        <w:rPr>
          <w:rFonts w:ascii="Arial" w:cs="Arial" w:eastAsia="Arial" w:hAnsi="Arial"/>
          <w:sz w:val="14"/>
          <w:szCs w:val="14"/>
          <w:color w:val="auto"/>
        </w:rPr>
        <w:t>shares to satisfy tax withholding requirements. However, the sale of any restricted stock or any shares issued upon vesting of the Company-granted restricted stock awards are subject to trading restrictions under this Policy.</w:t>
      </w:r>
    </w:p>
    <w:p>
      <w:pPr>
        <w:spacing w:after="0" w:line="87" w:lineRule="exact"/>
        <w:rPr>
          <w:rFonts w:ascii="Arial" w:cs="Arial" w:eastAsia="Arial" w:hAnsi="Arial"/>
          <w:sz w:val="14"/>
          <w:szCs w:val="14"/>
          <w:color w:val="auto"/>
        </w:rPr>
      </w:pPr>
    </w:p>
    <w:p>
      <w:pPr>
        <w:ind w:left="500" w:hanging="247"/>
        <w:spacing w:after="0" w:line="251" w:lineRule="auto"/>
        <w:tabs>
          <w:tab w:leader="none" w:pos="492" w:val="left"/>
        </w:tabs>
        <w:numPr>
          <w:ilvl w:val="1"/>
          <w:numId w:val="55"/>
        </w:numPr>
        <w:rPr>
          <w:rFonts w:ascii="Arial" w:cs="Arial" w:eastAsia="Arial" w:hAnsi="Arial"/>
          <w:sz w:val="14"/>
          <w:szCs w:val="14"/>
          <w:color w:val="auto"/>
        </w:rPr>
      </w:pPr>
      <w:r>
        <w:rPr>
          <w:rFonts w:ascii="Arial" w:cs="Arial" w:eastAsia="Arial" w:hAnsi="Arial"/>
          <w:sz w:val="14"/>
          <w:szCs w:val="14"/>
          <w:b w:val="1"/>
          <w:bCs w:val="1"/>
          <w:u w:val="single" w:color="auto"/>
          <w:color w:val="auto"/>
        </w:rPr>
        <w:t>Mutual Funds</w:t>
      </w:r>
      <w:r>
        <w:rPr>
          <w:rFonts w:ascii="Arial" w:cs="Arial" w:eastAsia="Arial" w:hAnsi="Arial"/>
          <w:sz w:val="14"/>
          <w:szCs w:val="14"/>
          <w:b w:val="1"/>
          <w:bCs w:val="1"/>
          <w:color w:val="auto"/>
        </w:rPr>
        <w:t xml:space="preserve">. </w:t>
      </w:r>
      <w:r>
        <w:rPr>
          <w:rFonts w:ascii="Arial" w:cs="Arial" w:eastAsia="Arial" w:hAnsi="Arial"/>
          <w:sz w:val="14"/>
          <w:szCs w:val="14"/>
          <w:color w:val="auto"/>
        </w:rPr>
        <w:t>Transactions in mutual funds that are invested in the Company’s securities are not transactions subject to this Policy, provided the Company’s equity or debt</w:t>
      </w:r>
      <w:r>
        <w:rPr>
          <w:rFonts w:ascii="Arial" w:cs="Arial" w:eastAsia="Arial" w:hAnsi="Arial"/>
          <w:sz w:val="14"/>
          <w:szCs w:val="14"/>
          <w:b w:val="1"/>
          <w:bCs w:val="1"/>
          <w:color w:val="auto"/>
        </w:rPr>
        <w:t xml:space="preserve"> </w:t>
      </w:r>
      <w:r>
        <w:rPr>
          <w:rFonts w:ascii="Arial" w:cs="Arial" w:eastAsia="Arial" w:hAnsi="Arial"/>
          <w:sz w:val="14"/>
          <w:szCs w:val="14"/>
          <w:color w:val="auto"/>
        </w:rPr>
        <w:t>securities do not comprise more than 2% of such fund.</w:t>
      </w:r>
    </w:p>
    <w:p>
      <w:pPr>
        <w:spacing w:after="0" w:line="79" w:lineRule="exact"/>
        <w:rPr>
          <w:rFonts w:ascii="Arial" w:cs="Arial" w:eastAsia="Arial" w:hAnsi="Arial"/>
          <w:sz w:val="14"/>
          <w:szCs w:val="14"/>
          <w:color w:val="auto"/>
        </w:rPr>
      </w:pPr>
    </w:p>
    <w:p>
      <w:pPr>
        <w:jc w:val="both"/>
        <w:ind w:left="500" w:hanging="247"/>
        <w:spacing w:after="0" w:line="288" w:lineRule="auto"/>
        <w:tabs>
          <w:tab w:leader="none" w:pos="492" w:val="left"/>
        </w:tabs>
        <w:numPr>
          <w:ilvl w:val="1"/>
          <w:numId w:val="55"/>
        </w:numPr>
        <w:rPr>
          <w:rFonts w:ascii="Arial" w:cs="Arial" w:eastAsia="Arial" w:hAnsi="Arial"/>
          <w:sz w:val="13"/>
          <w:szCs w:val="13"/>
          <w:color w:val="auto"/>
        </w:rPr>
      </w:pPr>
      <w:r>
        <w:rPr>
          <w:rFonts w:ascii="Arial" w:cs="Arial" w:eastAsia="Arial" w:hAnsi="Arial"/>
          <w:sz w:val="13"/>
          <w:szCs w:val="13"/>
          <w:b w:val="1"/>
          <w:bCs w:val="1"/>
          <w:u w:val="single" w:color="auto"/>
          <w:color w:val="auto"/>
        </w:rPr>
        <w:t>Other Similar Transactions</w:t>
      </w:r>
      <w:r>
        <w:rPr>
          <w:rFonts w:ascii="Arial" w:cs="Arial" w:eastAsia="Arial" w:hAnsi="Arial"/>
          <w:sz w:val="13"/>
          <w:szCs w:val="13"/>
          <w:b w:val="1"/>
          <w:bCs w:val="1"/>
          <w:color w:val="auto"/>
        </w:rPr>
        <w:t xml:space="preserve">. </w:t>
      </w:r>
      <w:r>
        <w:rPr>
          <w:rFonts w:ascii="Arial" w:cs="Arial" w:eastAsia="Arial" w:hAnsi="Arial"/>
          <w:sz w:val="13"/>
          <w:szCs w:val="13"/>
          <w:color w:val="auto"/>
        </w:rPr>
        <w:t>Any other purchase of the Company’s securities from the Company or sales of the Company’s securities to the Company are not subject to this</w:t>
      </w:r>
      <w:r>
        <w:rPr>
          <w:rFonts w:ascii="Arial" w:cs="Arial" w:eastAsia="Arial" w:hAnsi="Arial"/>
          <w:sz w:val="13"/>
          <w:szCs w:val="13"/>
          <w:b w:val="1"/>
          <w:bCs w:val="1"/>
          <w:color w:val="auto"/>
        </w:rPr>
        <w:t xml:space="preserve"> </w:t>
      </w:r>
      <w:r>
        <w:rPr>
          <w:rFonts w:ascii="Arial" w:cs="Arial" w:eastAsia="Arial" w:hAnsi="Arial"/>
          <w:sz w:val="13"/>
          <w:szCs w:val="13"/>
          <w:color w:val="auto"/>
        </w:rPr>
        <w:t>Policy, including the granting or return of shares of the Company’s common stock issued under the Company’s Long Term Incentive Plan, as may be in effect from time to time.</w:t>
      </w:r>
    </w:p>
    <w:p>
      <w:pPr>
        <w:spacing w:after="0" w:line="57" w:lineRule="exact"/>
        <w:rPr>
          <w:rFonts w:ascii="Arial" w:cs="Arial" w:eastAsia="Arial" w:hAnsi="Arial"/>
          <w:sz w:val="13"/>
          <w:szCs w:val="13"/>
          <w:color w:val="auto"/>
        </w:rPr>
      </w:pPr>
    </w:p>
    <w:p>
      <w:pPr>
        <w:ind w:left="240" w:hanging="237"/>
        <w:spacing w:after="0"/>
        <w:tabs>
          <w:tab w:leader="none" w:pos="240" w:val="left"/>
        </w:tabs>
        <w:numPr>
          <w:ilvl w:val="0"/>
          <w:numId w:val="56"/>
        </w:numPr>
        <w:rPr>
          <w:rFonts w:ascii="Arial" w:cs="Arial" w:eastAsia="Arial" w:hAnsi="Arial"/>
          <w:sz w:val="14"/>
          <w:szCs w:val="14"/>
          <w:b w:val="1"/>
          <w:bCs w:val="1"/>
          <w:color w:val="auto"/>
        </w:rPr>
      </w:pPr>
      <w:r>
        <w:rPr>
          <w:rFonts w:ascii="Arial" w:cs="Arial" w:eastAsia="Arial" w:hAnsi="Arial"/>
          <w:sz w:val="14"/>
          <w:szCs w:val="14"/>
          <w:b w:val="1"/>
          <w:bCs w:val="1"/>
          <w:color w:val="auto"/>
        </w:rPr>
        <w:t>Violations of Insider Trading Laws</w:t>
      </w:r>
    </w:p>
    <w:p>
      <w:pPr>
        <w:spacing w:after="0" w:line="120" w:lineRule="exact"/>
        <w:rPr>
          <w:rFonts w:ascii="Arial" w:cs="Arial" w:eastAsia="Arial" w:hAnsi="Arial"/>
          <w:sz w:val="14"/>
          <w:szCs w:val="14"/>
          <w:b w:val="1"/>
          <w:bCs w:val="1"/>
          <w:color w:val="auto"/>
        </w:rPr>
      </w:pPr>
    </w:p>
    <w:p>
      <w:pPr>
        <w:jc w:val="both"/>
        <w:ind w:left="260"/>
        <w:spacing w:after="0" w:line="234" w:lineRule="auto"/>
        <w:rPr>
          <w:rFonts w:ascii="Arial" w:cs="Arial" w:eastAsia="Arial" w:hAnsi="Arial"/>
          <w:sz w:val="14"/>
          <w:szCs w:val="14"/>
          <w:b w:val="1"/>
          <w:bCs w:val="1"/>
          <w:color w:val="auto"/>
        </w:rPr>
      </w:pPr>
      <w:r>
        <w:rPr>
          <w:rFonts w:ascii="Arial" w:cs="Arial" w:eastAsia="Arial" w:hAnsi="Arial"/>
          <w:sz w:val="14"/>
          <w:szCs w:val="14"/>
          <w:color w:val="auto"/>
        </w:rPr>
        <w:t xml:space="preserve">Penalties for trading on or communicating material nonpublic information can be severe, both for individuals involved in such unlawful conduct and their employers and supervisors, and may include jail terms, criminal fines, civil penalties and civil enforcement injunctions. </w:t>
      </w:r>
      <w:r>
        <w:rPr>
          <w:rFonts w:ascii="Arial" w:cs="Arial" w:eastAsia="Arial" w:hAnsi="Arial"/>
          <w:sz w:val="14"/>
          <w:szCs w:val="14"/>
          <w:b w:val="1"/>
          <w:bCs w:val="1"/>
          <w:color w:val="auto"/>
        </w:rPr>
        <w:t>Given the severity of the potential penalties, compliance with this Policy is</w:t>
      </w:r>
      <w:r>
        <w:rPr>
          <w:rFonts w:ascii="Arial" w:cs="Arial" w:eastAsia="Arial" w:hAnsi="Arial"/>
          <w:sz w:val="14"/>
          <w:szCs w:val="14"/>
          <w:color w:val="auto"/>
        </w:rPr>
        <w:t xml:space="preserve"> </w:t>
      </w:r>
      <w:r>
        <w:rPr>
          <w:rFonts w:ascii="Arial" w:cs="Arial" w:eastAsia="Arial" w:hAnsi="Arial"/>
          <w:sz w:val="14"/>
          <w:szCs w:val="14"/>
          <w:b w:val="1"/>
          <w:bCs w:val="1"/>
          <w:color w:val="auto"/>
        </w:rPr>
        <w:t>absolutely mandatory.</w:t>
      </w:r>
    </w:p>
    <w:p>
      <w:pPr>
        <w:spacing w:after="0" w:line="81" w:lineRule="exact"/>
        <w:rPr>
          <w:rFonts w:ascii="Arial" w:cs="Arial" w:eastAsia="Arial" w:hAnsi="Arial"/>
          <w:sz w:val="14"/>
          <w:szCs w:val="14"/>
          <w:b w:val="1"/>
          <w:bCs w:val="1"/>
          <w:color w:val="auto"/>
        </w:rPr>
      </w:pPr>
    </w:p>
    <w:p>
      <w:pPr>
        <w:jc w:val="both"/>
        <w:ind w:left="500" w:hanging="247"/>
        <w:spacing w:after="0" w:line="215" w:lineRule="auto"/>
        <w:tabs>
          <w:tab w:leader="none" w:pos="492" w:val="left"/>
        </w:tabs>
        <w:numPr>
          <w:ilvl w:val="1"/>
          <w:numId w:val="56"/>
        </w:numPr>
        <w:rPr>
          <w:rFonts w:ascii="Arial" w:cs="Arial" w:eastAsia="Arial" w:hAnsi="Arial"/>
          <w:sz w:val="14"/>
          <w:szCs w:val="14"/>
          <w:color w:val="auto"/>
        </w:rPr>
      </w:pPr>
      <w:r>
        <w:rPr>
          <w:rFonts w:ascii="Arial" w:cs="Arial" w:eastAsia="Arial" w:hAnsi="Arial"/>
          <w:sz w:val="14"/>
          <w:szCs w:val="14"/>
          <w:b w:val="1"/>
          <w:bCs w:val="1"/>
          <w:u w:val="single" w:color="auto"/>
          <w:color w:val="auto"/>
        </w:rPr>
        <w:t>Legal Penalties</w:t>
      </w:r>
      <w:r>
        <w:rPr>
          <w:rFonts w:ascii="Arial" w:cs="Arial" w:eastAsia="Arial" w:hAnsi="Arial"/>
          <w:sz w:val="14"/>
          <w:szCs w:val="14"/>
          <w:b w:val="1"/>
          <w:bCs w:val="1"/>
          <w:color w:val="auto"/>
        </w:rPr>
        <w:t xml:space="preserve">. </w:t>
      </w:r>
      <w:r>
        <w:rPr>
          <w:rFonts w:ascii="Arial" w:cs="Arial" w:eastAsia="Arial" w:hAnsi="Arial"/>
          <w:sz w:val="14"/>
          <w:szCs w:val="14"/>
          <w:color w:val="auto"/>
        </w:rPr>
        <w:t>Both the SEC and the national securities exchanges, through the Financial Industry Regulatory Authority, investigate and are very effective at detecting</w:t>
      </w:r>
      <w:r>
        <w:rPr>
          <w:rFonts w:ascii="Arial" w:cs="Arial" w:eastAsia="Arial" w:hAnsi="Arial"/>
          <w:sz w:val="14"/>
          <w:szCs w:val="14"/>
          <w:b w:val="1"/>
          <w:bCs w:val="1"/>
          <w:color w:val="auto"/>
        </w:rPr>
        <w:t xml:space="preserve"> </w:t>
      </w:r>
      <w:r>
        <w:rPr>
          <w:rFonts w:ascii="Arial" w:cs="Arial" w:eastAsia="Arial" w:hAnsi="Arial"/>
          <w:sz w:val="14"/>
          <w:szCs w:val="14"/>
          <w:color w:val="auto"/>
        </w:rPr>
        <w:t>insider trading. A person who violates insider trading laws by engaging in transactions in a company’s securities when he or she has material nonpublic information can be sentenced to a substantial jail term and required to pay a criminal penalty of several times the amount of profits gained or losses avoided. In addition, a person who tips others may also be liable for transactions by the tippees to whom he or she has disclosed material nonpublic information. Tippers can be subject to the same penalties and sanctions as the tippees, and the SEC has imposed large penalties even when the tipper did not profit from the transaction. The SEC can also seek substantial civil penalties from any person who, at the time of an insider trading violation, “directly or indirectly controlled the person who committed such violation,” which would apply to the Company and/or management and supervisory personnel. These control persons may be held liable for up to the greater of $1 million or three times the amount of the profits gained or losses avoided. Even for violations that result in a small or no profit, the SEC can seek penalties from a company and/or its management and supervisory personnel as control persons.</w:t>
      </w:r>
    </w:p>
    <w:p>
      <w:pPr>
        <w:spacing w:after="0" w:line="87" w:lineRule="exact"/>
        <w:rPr>
          <w:rFonts w:ascii="Arial" w:cs="Arial" w:eastAsia="Arial" w:hAnsi="Arial"/>
          <w:sz w:val="14"/>
          <w:szCs w:val="14"/>
          <w:color w:val="auto"/>
        </w:rPr>
      </w:pPr>
    </w:p>
    <w:p>
      <w:pPr>
        <w:jc w:val="both"/>
        <w:ind w:left="500" w:hanging="247"/>
        <w:spacing w:after="0" w:line="223" w:lineRule="auto"/>
        <w:tabs>
          <w:tab w:leader="none" w:pos="492" w:val="left"/>
        </w:tabs>
        <w:numPr>
          <w:ilvl w:val="1"/>
          <w:numId w:val="56"/>
        </w:numPr>
        <w:rPr>
          <w:rFonts w:ascii="Arial" w:cs="Arial" w:eastAsia="Arial" w:hAnsi="Arial"/>
          <w:sz w:val="14"/>
          <w:szCs w:val="14"/>
          <w:color w:val="auto"/>
        </w:rPr>
      </w:pPr>
      <w:r>
        <w:rPr>
          <w:rFonts w:ascii="Arial" w:cs="Arial" w:eastAsia="Arial" w:hAnsi="Arial"/>
          <w:sz w:val="14"/>
          <w:szCs w:val="14"/>
          <w:b w:val="1"/>
          <w:bCs w:val="1"/>
          <w:u w:val="single" w:color="auto"/>
          <w:color w:val="auto"/>
        </w:rPr>
        <w:t>Company-Imposed Penalties</w:t>
      </w:r>
      <w:r>
        <w:rPr>
          <w:rFonts w:ascii="Arial" w:cs="Arial" w:eastAsia="Arial" w:hAnsi="Arial"/>
          <w:sz w:val="14"/>
          <w:szCs w:val="14"/>
          <w:b w:val="1"/>
          <w:bCs w:val="1"/>
          <w:color w:val="auto"/>
        </w:rPr>
        <w:t xml:space="preserve">. </w:t>
      </w:r>
      <w:r>
        <w:rPr>
          <w:rFonts w:ascii="Arial" w:cs="Arial" w:eastAsia="Arial" w:hAnsi="Arial"/>
          <w:sz w:val="14"/>
          <w:szCs w:val="14"/>
          <w:color w:val="auto"/>
        </w:rPr>
        <w:t>Employees who violate this Policy may be subject to disciplinary action by the Company, including dismissal for cause. The Company may</w:t>
      </w:r>
      <w:r>
        <w:rPr>
          <w:rFonts w:ascii="Arial" w:cs="Arial" w:eastAsia="Arial" w:hAnsi="Arial"/>
          <w:sz w:val="14"/>
          <w:szCs w:val="14"/>
          <w:b w:val="1"/>
          <w:bCs w:val="1"/>
          <w:color w:val="auto"/>
        </w:rPr>
        <w:t xml:space="preserve"> </w:t>
      </w:r>
      <w:r>
        <w:rPr>
          <w:rFonts w:ascii="Arial" w:cs="Arial" w:eastAsia="Arial" w:hAnsi="Arial"/>
          <w:sz w:val="14"/>
          <w:szCs w:val="14"/>
          <w:color w:val="auto"/>
        </w:rPr>
        <w:t>determine that specific conduct violates this Policy, whether or not the conduct also violates the law. It is not necessary for the Company to await the filing or conclusion of a civil or criminal action against the alleged violator before taking disciplinary action. Any exceptions to this Policy, if permitted, may only be granted by the Compliance Officer and must be provided before any activity contrary to the above requirements takes place.</w:t>
      </w:r>
    </w:p>
    <w:p>
      <w:pPr>
        <w:spacing w:after="0" w:line="99" w:lineRule="exact"/>
        <w:rPr>
          <w:rFonts w:ascii="Arial" w:cs="Arial" w:eastAsia="Arial" w:hAnsi="Arial"/>
          <w:sz w:val="14"/>
          <w:szCs w:val="14"/>
          <w:color w:val="auto"/>
        </w:rPr>
      </w:pPr>
    </w:p>
    <w:p>
      <w:pPr>
        <w:ind w:left="240" w:hanging="237"/>
        <w:spacing w:after="0"/>
        <w:tabs>
          <w:tab w:leader="none" w:pos="240" w:val="left"/>
        </w:tabs>
        <w:numPr>
          <w:ilvl w:val="0"/>
          <w:numId w:val="56"/>
        </w:numPr>
        <w:rPr>
          <w:rFonts w:ascii="Arial" w:cs="Arial" w:eastAsia="Arial" w:hAnsi="Arial"/>
          <w:sz w:val="14"/>
          <w:szCs w:val="14"/>
          <w:b w:val="1"/>
          <w:bCs w:val="1"/>
          <w:color w:val="auto"/>
        </w:rPr>
      </w:pPr>
      <w:r>
        <w:rPr>
          <w:rFonts w:ascii="Arial" w:cs="Arial" w:eastAsia="Arial" w:hAnsi="Arial"/>
          <w:sz w:val="14"/>
          <w:szCs w:val="14"/>
          <w:b w:val="1"/>
          <w:bCs w:val="1"/>
          <w:color w:val="auto"/>
        </w:rPr>
        <w:t>Inquiries</w:t>
      </w:r>
    </w:p>
    <w:p>
      <w:pPr>
        <w:spacing w:after="0" w:line="120" w:lineRule="exact"/>
        <w:rPr>
          <w:rFonts w:ascii="Arial" w:cs="Arial" w:eastAsia="Arial" w:hAnsi="Arial"/>
          <w:sz w:val="14"/>
          <w:szCs w:val="14"/>
          <w:b w:val="1"/>
          <w:bCs w:val="1"/>
          <w:color w:val="auto"/>
        </w:rPr>
      </w:pPr>
    </w:p>
    <w:p>
      <w:pPr>
        <w:ind w:left="260"/>
        <w:spacing w:after="0" w:line="237" w:lineRule="auto"/>
        <w:rPr>
          <w:rFonts w:ascii="Arial" w:cs="Arial" w:eastAsia="Arial" w:hAnsi="Arial"/>
          <w:sz w:val="14"/>
          <w:szCs w:val="14"/>
          <w:b w:val="1"/>
          <w:bCs w:val="1"/>
          <w:color w:val="auto"/>
        </w:rPr>
      </w:pPr>
      <w:r>
        <w:rPr>
          <w:rFonts w:ascii="Arial" w:cs="Arial" w:eastAsia="Arial" w:hAnsi="Arial"/>
          <w:sz w:val="14"/>
          <w:szCs w:val="14"/>
          <w:color w:val="auto"/>
        </w:rPr>
        <w:t xml:space="preserve">If you have any questions regarding any of the provisions of this Policy, please contact the Compliance Officer via email at </w:t>
      </w:r>
      <w:r>
        <w:rPr>
          <w:rFonts w:ascii="Arial" w:cs="Arial" w:eastAsia="Arial" w:hAnsi="Arial"/>
          <w:sz w:val="14"/>
          <w:szCs w:val="14"/>
          <w:u w:val="single" w:color="auto"/>
          <w:color w:val="0000FF"/>
        </w:rPr>
        <w:t>michael</w:t>
      </w:r>
      <w:r>
        <w:rPr>
          <w:rFonts w:ascii="Arial" w:cs="Arial" w:eastAsia="Arial" w:hAnsi="Arial"/>
          <w:sz w:val="14"/>
          <w:szCs w:val="14"/>
          <w:color w:val="0000FF"/>
        </w:rPr>
        <w:t>.</w:t>
      </w:r>
      <w:r>
        <w:rPr>
          <w:rFonts w:ascii="Arial" w:cs="Arial" w:eastAsia="Arial" w:hAnsi="Arial"/>
          <w:sz w:val="14"/>
          <w:szCs w:val="14"/>
          <w:u w:val="single" w:color="auto"/>
          <w:color w:val="0000FF"/>
        </w:rPr>
        <w:t>krawitz@conduent</w:t>
      </w:r>
      <w:r>
        <w:rPr>
          <w:rFonts w:ascii="Arial" w:cs="Arial" w:eastAsia="Arial" w:hAnsi="Arial"/>
          <w:sz w:val="14"/>
          <w:szCs w:val="14"/>
          <w:color w:val="0000FF"/>
        </w:rPr>
        <w:t>.</w:t>
      </w:r>
      <w:r>
        <w:rPr>
          <w:rFonts w:ascii="Arial" w:cs="Arial" w:eastAsia="Arial" w:hAnsi="Arial"/>
          <w:sz w:val="14"/>
          <w:szCs w:val="14"/>
          <w:u w:val="single" w:color="auto"/>
          <w:color w:val="0000FF"/>
        </w:rPr>
        <w:t>com</w:t>
      </w:r>
      <w:r>
        <w:rPr>
          <w:rFonts w:ascii="Arial" w:cs="Arial" w:eastAsia="Arial" w:hAnsi="Arial"/>
          <w:sz w:val="14"/>
          <w:szCs w:val="14"/>
          <w:color w:val="auto"/>
        </w:rPr>
        <w:t xml:space="preserve"> or by telephone at (973) 526-7152.</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PART II: Restricted Insiders</w:t>
      </w:r>
    </w:p>
    <w:p>
      <w:pPr>
        <w:spacing w:after="0" w:line="120" w:lineRule="exact"/>
        <w:rPr>
          <w:sz w:val="20"/>
          <w:szCs w:val="20"/>
          <w:color w:val="auto"/>
        </w:rPr>
      </w:pPr>
    </w:p>
    <w:p>
      <w:pPr>
        <w:ind w:left="240" w:hanging="237"/>
        <w:spacing w:after="0"/>
        <w:tabs>
          <w:tab w:leader="none" w:pos="240" w:val="left"/>
        </w:tabs>
        <w:numPr>
          <w:ilvl w:val="0"/>
          <w:numId w:val="57"/>
        </w:numPr>
        <w:rPr>
          <w:rFonts w:ascii="Arial" w:cs="Arial" w:eastAsia="Arial" w:hAnsi="Arial"/>
          <w:sz w:val="14"/>
          <w:szCs w:val="14"/>
          <w:b w:val="1"/>
          <w:bCs w:val="1"/>
          <w:color w:val="auto"/>
        </w:rPr>
      </w:pPr>
      <w:r>
        <w:rPr>
          <w:rFonts w:ascii="Arial" w:cs="Arial" w:eastAsia="Arial" w:hAnsi="Arial"/>
          <w:sz w:val="14"/>
          <w:szCs w:val="14"/>
          <w:b w:val="1"/>
          <w:bCs w:val="1"/>
          <w:color w:val="auto"/>
        </w:rPr>
        <w:t>Blackout Periods</w:t>
      </w:r>
    </w:p>
    <w:p>
      <w:pPr>
        <w:spacing w:after="0" w:line="109" w:lineRule="exact"/>
        <w:rPr>
          <w:rFonts w:ascii="Arial" w:cs="Arial" w:eastAsia="Arial" w:hAnsi="Arial"/>
          <w:sz w:val="14"/>
          <w:szCs w:val="14"/>
          <w:b w:val="1"/>
          <w:bCs w:val="1"/>
          <w:color w:val="auto"/>
        </w:rPr>
      </w:pPr>
    </w:p>
    <w:p>
      <w:pPr>
        <w:jc w:val="both"/>
        <w:ind w:left="260"/>
        <w:spacing w:after="0" w:line="231" w:lineRule="auto"/>
        <w:rPr>
          <w:rFonts w:ascii="Arial" w:cs="Arial" w:eastAsia="Arial" w:hAnsi="Arial"/>
          <w:sz w:val="14"/>
          <w:szCs w:val="14"/>
          <w:b w:val="1"/>
          <w:bCs w:val="1"/>
          <w:color w:val="auto"/>
        </w:rPr>
      </w:pPr>
      <w:r>
        <w:rPr>
          <w:rFonts w:ascii="Arial" w:cs="Arial" w:eastAsia="Arial" w:hAnsi="Arial"/>
          <w:sz w:val="14"/>
          <w:szCs w:val="14"/>
          <w:color w:val="auto"/>
        </w:rPr>
        <w:t>“</w:t>
      </w:r>
      <w:r>
        <w:rPr>
          <w:rFonts w:ascii="Arial" w:cs="Arial" w:eastAsia="Arial" w:hAnsi="Arial"/>
          <w:sz w:val="14"/>
          <w:szCs w:val="14"/>
          <w:b w:val="1"/>
          <w:bCs w:val="1"/>
          <w:color w:val="auto"/>
        </w:rPr>
        <w:t>Restricted Insiders</w:t>
      </w:r>
      <w:r>
        <w:rPr>
          <w:rFonts w:ascii="Arial" w:cs="Arial" w:eastAsia="Arial" w:hAnsi="Arial"/>
          <w:sz w:val="14"/>
          <w:szCs w:val="14"/>
          <w:color w:val="auto"/>
        </w:rPr>
        <w:t xml:space="preserve">” include all (i) directors of the Company, (ii) executive officers of the Company (iii) the positions listed on </w:t>
      </w:r>
      <w:r>
        <w:rPr>
          <w:rFonts w:ascii="Arial" w:cs="Arial" w:eastAsia="Arial" w:hAnsi="Arial"/>
          <w:sz w:val="14"/>
          <w:szCs w:val="14"/>
          <w:u w:val="single" w:color="auto"/>
          <w:color w:val="auto"/>
        </w:rPr>
        <w:t>Appendix B</w:t>
      </w:r>
      <w:r>
        <w:rPr>
          <w:rFonts w:ascii="Arial" w:cs="Arial" w:eastAsia="Arial" w:hAnsi="Arial"/>
          <w:sz w:val="14"/>
          <w:szCs w:val="14"/>
          <w:color w:val="auto"/>
        </w:rPr>
        <w:t>, and (iv) certain other employees that the Company may designate from time to time as “Restricted Insiders” because of their position, responsibilities or their actual or potential access to material information, and their respective immediate family members and entities over which such person exercises control.</w:t>
      </w:r>
    </w:p>
    <w:p>
      <w:pPr>
        <w:spacing w:after="0" w:line="97" w:lineRule="exact"/>
        <w:rPr>
          <w:rFonts w:ascii="Arial" w:cs="Arial" w:eastAsia="Arial" w:hAnsi="Arial"/>
          <w:sz w:val="14"/>
          <w:szCs w:val="14"/>
          <w:b w:val="1"/>
          <w:bCs w:val="1"/>
          <w:color w:val="auto"/>
        </w:rPr>
      </w:pPr>
    </w:p>
    <w:p>
      <w:pPr>
        <w:ind w:left="260"/>
        <w:spacing w:after="0" w:line="237" w:lineRule="auto"/>
        <w:rPr>
          <w:rFonts w:ascii="Arial" w:cs="Arial" w:eastAsia="Arial" w:hAnsi="Arial"/>
          <w:sz w:val="14"/>
          <w:szCs w:val="14"/>
          <w:b w:val="1"/>
          <w:bCs w:val="1"/>
          <w:color w:val="auto"/>
        </w:rPr>
      </w:pPr>
      <w:r>
        <w:rPr>
          <w:rFonts w:ascii="Arial" w:cs="Arial" w:eastAsia="Arial" w:hAnsi="Arial"/>
          <w:sz w:val="14"/>
          <w:szCs w:val="14"/>
          <w:color w:val="auto"/>
        </w:rPr>
        <w:t>All Restricted Insiders are prohibited from trading in the Company’s securities during “</w:t>
      </w:r>
      <w:r>
        <w:rPr>
          <w:rFonts w:ascii="Arial" w:cs="Arial" w:eastAsia="Arial" w:hAnsi="Arial"/>
          <w:sz w:val="14"/>
          <w:szCs w:val="14"/>
          <w:b w:val="1"/>
          <w:bCs w:val="1"/>
          <w:color w:val="auto"/>
        </w:rPr>
        <w:t>blackout periods</w:t>
      </w:r>
      <w:r>
        <w:rPr>
          <w:rFonts w:ascii="Arial" w:cs="Arial" w:eastAsia="Arial" w:hAnsi="Arial"/>
          <w:sz w:val="14"/>
          <w:szCs w:val="14"/>
          <w:color w:val="auto"/>
        </w:rPr>
        <w:t>” (as defined below). The following transactions by a Restricted Insider are prohibited during a blackout period:</w:t>
      </w:r>
    </w:p>
    <w:p>
      <w:pPr>
        <w:sectPr>
          <w:pgSz w:w="11900" w:h="16838" w:orient="portrait"/>
          <w:cols w:equalWidth="0" w:num="1">
            <w:col w:w="11280"/>
          </w:cols>
          <w:pgMar w:left="300" w:top="116" w:right="319" w:bottom="1440" w:gutter="0" w:footer="0" w:header="0"/>
        </w:sectPr>
      </w:pPr>
    </w:p>
    <w:bookmarkStart w:id="104" w:name="page105"/>
    <w:bookmarkEnd w:id="104"/>
    <w:p>
      <w:pPr>
        <w:jc w:val="right"/>
        <w:spacing w:after="0"/>
        <w:rPr>
          <w:sz w:val="20"/>
          <w:szCs w:val="20"/>
          <w:color w:val="auto"/>
        </w:rPr>
      </w:pPr>
      <w:r>
        <w:rPr>
          <w:rFonts w:ascii="Arial" w:cs="Arial" w:eastAsia="Arial" w:hAnsi="Arial"/>
          <w:sz w:val="14"/>
          <w:szCs w:val="14"/>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00" w:hanging="247"/>
        <w:spacing w:after="0" w:line="237" w:lineRule="auto"/>
        <w:tabs>
          <w:tab w:leader="none" w:pos="496" w:val="left"/>
        </w:tabs>
        <w:numPr>
          <w:ilvl w:val="0"/>
          <w:numId w:val="58"/>
        </w:numPr>
        <w:rPr>
          <w:rFonts w:ascii="Times New Roman" w:cs="Times New Roman" w:eastAsia="Times New Roman" w:hAnsi="Times New Roman"/>
          <w:sz w:val="14"/>
          <w:szCs w:val="14"/>
          <w:color w:val="auto"/>
        </w:rPr>
      </w:pPr>
      <w:r>
        <w:rPr>
          <w:rFonts w:ascii="Arial" w:cs="Arial" w:eastAsia="Arial" w:hAnsi="Arial"/>
          <w:sz w:val="14"/>
          <w:szCs w:val="14"/>
          <w:color w:val="auto"/>
        </w:rPr>
        <w:t>purchases or sales of Company securities, including through use of limit orders, discretionary accounts, blind trusts, pre-scheduled stock option exercise and sale, pre-arranged trading instructions, and other brokerage or third party arrangements, unless pursuant to an exception set forth in Section 1(c) below,</w:t>
      </w:r>
    </w:p>
    <w:p>
      <w:pPr>
        <w:spacing w:after="0" w:line="98" w:lineRule="exact"/>
        <w:rPr>
          <w:rFonts w:ascii="Times New Roman" w:cs="Times New Roman" w:eastAsia="Times New Roman" w:hAnsi="Times New Roman"/>
          <w:sz w:val="14"/>
          <w:szCs w:val="14"/>
          <w:color w:val="auto"/>
        </w:rPr>
      </w:pPr>
    </w:p>
    <w:p>
      <w:pPr>
        <w:ind w:left="500" w:hanging="247"/>
        <w:spacing w:after="0" w:line="237" w:lineRule="auto"/>
        <w:tabs>
          <w:tab w:leader="none" w:pos="496" w:val="left"/>
        </w:tabs>
        <w:numPr>
          <w:ilvl w:val="0"/>
          <w:numId w:val="58"/>
        </w:numPr>
        <w:rPr>
          <w:rFonts w:ascii="Times New Roman" w:cs="Times New Roman" w:eastAsia="Times New Roman" w:hAnsi="Times New Roman"/>
          <w:sz w:val="14"/>
          <w:szCs w:val="14"/>
          <w:color w:val="auto"/>
        </w:rPr>
      </w:pPr>
      <w:r>
        <w:rPr>
          <w:rFonts w:ascii="Arial" w:cs="Arial" w:eastAsia="Arial" w:hAnsi="Arial"/>
          <w:sz w:val="14"/>
          <w:szCs w:val="14"/>
          <w:color w:val="auto"/>
        </w:rPr>
        <w:t>exercise of stock options where all or a portion of the acquired stock is sold during the blackout period, including where Company stock is sold to fund the option exercise, or any “cashless” stock option exercise,</w:t>
      </w:r>
    </w:p>
    <w:p>
      <w:pPr>
        <w:spacing w:after="0" w:line="98" w:lineRule="exact"/>
        <w:rPr>
          <w:rFonts w:ascii="Times New Roman" w:cs="Times New Roman" w:eastAsia="Times New Roman" w:hAnsi="Times New Roman"/>
          <w:sz w:val="14"/>
          <w:szCs w:val="14"/>
          <w:color w:val="auto"/>
        </w:rPr>
      </w:pPr>
    </w:p>
    <w:p>
      <w:pPr>
        <w:ind w:left="500" w:hanging="247"/>
        <w:spacing w:after="0" w:line="237" w:lineRule="auto"/>
        <w:tabs>
          <w:tab w:leader="none" w:pos="496" w:val="left"/>
        </w:tabs>
        <w:numPr>
          <w:ilvl w:val="0"/>
          <w:numId w:val="58"/>
        </w:numPr>
        <w:rPr>
          <w:rFonts w:ascii="Times New Roman" w:cs="Times New Roman" w:eastAsia="Times New Roman" w:hAnsi="Times New Roman"/>
          <w:sz w:val="14"/>
          <w:szCs w:val="14"/>
          <w:color w:val="auto"/>
        </w:rPr>
      </w:pPr>
      <w:r>
        <w:rPr>
          <w:rFonts w:ascii="Arial" w:cs="Arial" w:eastAsia="Arial" w:hAnsi="Arial"/>
          <w:sz w:val="14"/>
          <w:szCs w:val="14"/>
          <w:color w:val="auto"/>
        </w:rPr>
        <w:t>making any changes in your investment election regarding the Company’s stock pursuant to the terms of the Company’s 401(k) plan (if the Company’s common stock becomes an investment option under the plan), and</w:t>
      </w:r>
    </w:p>
    <w:p>
      <w:pPr>
        <w:spacing w:after="0" w:line="98"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0"/>
          <w:numId w:val="58"/>
        </w:numPr>
        <w:rPr>
          <w:rFonts w:ascii="Times New Roman" w:cs="Times New Roman" w:eastAsia="Times New Roman" w:hAnsi="Times New Roman"/>
          <w:sz w:val="14"/>
          <w:szCs w:val="14"/>
          <w:color w:val="auto"/>
        </w:rPr>
      </w:pPr>
      <w:r>
        <w:rPr>
          <w:rFonts w:ascii="Arial" w:cs="Arial" w:eastAsia="Arial" w:hAnsi="Arial"/>
          <w:sz w:val="14"/>
          <w:szCs w:val="14"/>
          <w:color w:val="auto"/>
        </w:rPr>
        <w:t>entry into or modification of an Approved 10b5-1 Plan (as defined in Appendix A).</w:t>
      </w:r>
    </w:p>
    <w:p>
      <w:pPr>
        <w:spacing w:after="0" w:line="120" w:lineRule="exact"/>
        <w:rPr>
          <w:sz w:val="20"/>
          <w:szCs w:val="20"/>
          <w:color w:val="auto"/>
        </w:rPr>
      </w:pPr>
    </w:p>
    <w:p>
      <w:pPr>
        <w:jc w:val="both"/>
        <w:ind w:left="500" w:hanging="247"/>
        <w:spacing w:after="0" w:line="225" w:lineRule="auto"/>
        <w:tabs>
          <w:tab w:leader="none" w:pos="492" w:val="left"/>
        </w:tabs>
        <w:numPr>
          <w:ilvl w:val="1"/>
          <w:numId w:val="59"/>
        </w:numPr>
        <w:rPr>
          <w:rFonts w:ascii="Arial" w:cs="Arial" w:eastAsia="Arial" w:hAnsi="Arial"/>
          <w:sz w:val="14"/>
          <w:szCs w:val="14"/>
          <w:color w:val="auto"/>
        </w:rPr>
      </w:pPr>
      <w:r>
        <w:rPr>
          <w:rFonts w:ascii="Arial" w:cs="Arial" w:eastAsia="Arial" w:hAnsi="Arial"/>
          <w:sz w:val="14"/>
          <w:szCs w:val="14"/>
          <w:b w:val="1"/>
          <w:bCs w:val="1"/>
          <w:u w:val="single" w:color="auto"/>
          <w:color w:val="auto"/>
        </w:rPr>
        <w:t>Quarterly Blackout Periods</w:t>
      </w:r>
      <w:r>
        <w:rPr>
          <w:rFonts w:ascii="Arial" w:cs="Arial" w:eastAsia="Arial" w:hAnsi="Arial"/>
          <w:sz w:val="14"/>
          <w:szCs w:val="14"/>
          <w:b w:val="1"/>
          <w:bCs w:val="1"/>
          <w:color w:val="auto"/>
        </w:rPr>
        <w:t xml:space="preserve">. </w:t>
      </w:r>
      <w:r>
        <w:rPr>
          <w:rFonts w:ascii="Arial" w:cs="Arial" w:eastAsia="Arial" w:hAnsi="Arial"/>
          <w:sz w:val="14"/>
          <w:szCs w:val="14"/>
          <w:color w:val="auto"/>
        </w:rPr>
        <w:t>Trading in the Company’s securities is prohibited during the period beginning at the open of the market on the penultimate trading day of each</w:t>
      </w:r>
      <w:r>
        <w:rPr>
          <w:rFonts w:ascii="Arial" w:cs="Arial" w:eastAsia="Arial" w:hAnsi="Arial"/>
          <w:sz w:val="14"/>
          <w:szCs w:val="14"/>
          <w:b w:val="1"/>
          <w:bCs w:val="1"/>
          <w:color w:val="auto"/>
        </w:rPr>
        <w:t xml:space="preserve"> </w:t>
      </w:r>
      <w:r>
        <w:rPr>
          <w:rFonts w:ascii="Arial" w:cs="Arial" w:eastAsia="Arial" w:hAnsi="Arial"/>
          <w:sz w:val="14"/>
          <w:szCs w:val="14"/>
          <w:color w:val="auto"/>
        </w:rPr>
        <w:t>fiscal quarter and ending at the open of business on the second trading day following the date the Company’s financial results are publicly disclosed. During these periods, Restricted Insiders generally possess or are presumed to possess material nonpublic information about the Company’s financial results.</w:t>
      </w:r>
    </w:p>
    <w:p>
      <w:pPr>
        <w:spacing w:after="0" w:line="99" w:lineRule="exact"/>
        <w:rPr>
          <w:rFonts w:ascii="Arial" w:cs="Arial" w:eastAsia="Arial" w:hAnsi="Arial"/>
          <w:sz w:val="14"/>
          <w:szCs w:val="14"/>
          <w:color w:val="auto"/>
        </w:rPr>
      </w:pPr>
    </w:p>
    <w:p>
      <w:pPr>
        <w:jc w:val="both"/>
        <w:ind w:left="500" w:hanging="247"/>
        <w:spacing w:after="0" w:line="219" w:lineRule="auto"/>
        <w:tabs>
          <w:tab w:leader="none" w:pos="492" w:val="left"/>
        </w:tabs>
        <w:numPr>
          <w:ilvl w:val="1"/>
          <w:numId w:val="59"/>
        </w:numPr>
        <w:rPr>
          <w:rFonts w:ascii="Arial" w:cs="Arial" w:eastAsia="Arial" w:hAnsi="Arial"/>
          <w:sz w:val="14"/>
          <w:szCs w:val="14"/>
          <w:color w:val="auto"/>
        </w:rPr>
      </w:pPr>
      <w:r>
        <w:rPr>
          <w:rFonts w:ascii="Arial" w:cs="Arial" w:eastAsia="Arial" w:hAnsi="Arial"/>
          <w:sz w:val="14"/>
          <w:szCs w:val="14"/>
          <w:b w:val="1"/>
          <w:bCs w:val="1"/>
          <w:u w:val="single" w:color="auto"/>
          <w:color w:val="auto"/>
        </w:rPr>
        <w:t>Other Blackout Periods</w:t>
      </w:r>
      <w:r>
        <w:rPr>
          <w:rFonts w:ascii="Arial" w:cs="Arial" w:eastAsia="Arial" w:hAnsi="Arial"/>
          <w:sz w:val="14"/>
          <w:szCs w:val="14"/>
          <w:b w:val="1"/>
          <w:bCs w:val="1"/>
          <w:color w:val="auto"/>
        </w:rPr>
        <w:t xml:space="preserve">. </w:t>
      </w:r>
      <w:r>
        <w:rPr>
          <w:rFonts w:ascii="Arial" w:cs="Arial" w:eastAsia="Arial" w:hAnsi="Arial"/>
          <w:sz w:val="14"/>
          <w:szCs w:val="14"/>
          <w:color w:val="auto"/>
        </w:rPr>
        <w:t>From time to time, other types of material nonpublic information regarding the Company (such as negotiation of mergers, acquisitions or dispositions,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investigation and assessment of cybersecurity incidents or new product developments) may be pending and not be publicly disclosed. While such material nonpublic information is pending, the Company may impose special blackout periods during which Restricted Insiders are prohibited from trading in the Company’s securities. If the Company imposes a special blackout period, it will notify the Restricted Insiders affected. </w:t>
      </w:r>
      <w:r>
        <w:rPr>
          <w:rFonts w:ascii="Arial" w:cs="Arial" w:eastAsia="Arial" w:hAnsi="Arial"/>
          <w:sz w:val="14"/>
          <w:szCs w:val="14"/>
          <w:i w:val="1"/>
          <w:iCs w:val="1"/>
          <w:color w:val="auto"/>
        </w:rPr>
        <w:t>No Restricted Insider may disclose to any outside third party (other than brokers</w:t>
      </w:r>
      <w:r>
        <w:rPr>
          <w:rFonts w:ascii="Arial" w:cs="Arial" w:eastAsia="Arial" w:hAnsi="Arial"/>
          <w:sz w:val="14"/>
          <w:szCs w:val="14"/>
          <w:color w:val="auto"/>
        </w:rPr>
        <w:t xml:space="preserve"> </w:t>
      </w:r>
      <w:r>
        <w:rPr>
          <w:rFonts w:ascii="Arial" w:cs="Arial" w:eastAsia="Arial" w:hAnsi="Arial"/>
          <w:sz w:val="14"/>
          <w:szCs w:val="14"/>
          <w:i w:val="1"/>
          <w:iCs w:val="1"/>
          <w:color w:val="auto"/>
        </w:rPr>
        <w:t>requiring certifications to such effect) that a special blackout period has been designated or that a quarterly blackout period has been modified.</w:t>
      </w:r>
    </w:p>
    <w:p>
      <w:pPr>
        <w:spacing w:after="0" w:line="98" w:lineRule="exact"/>
        <w:rPr>
          <w:rFonts w:ascii="Arial" w:cs="Arial" w:eastAsia="Arial" w:hAnsi="Arial"/>
          <w:sz w:val="14"/>
          <w:szCs w:val="14"/>
          <w:color w:val="auto"/>
        </w:rPr>
      </w:pPr>
    </w:p>
    <w:p>
      <w:pPr>
        <w:ind w:left="500" w:hanging="247"/>
        <w:spacing w:after="0"/>
        <w:tabs>
          <w:tab w:leader="none" w:pos="500" w:val="left"/>
        </w:tabs>
        <w:numPr>
          <w:ilvl w:val="1"/>
          <w:numId w:val="59"/>
        </w:numPr>
        <w:rPr>
          <w:rFonts w:ascii="Arial" w:cs="Arial" w:eastAsia="Arial" w:hAnsi="Arial"/>
          <w:sz w:val="14"/>
          <w:szCs w:val="14"/>
          <w:color w:val="auto"/>
        </w:rPr>
      </w:pPr>
      <w:r>
        <w:rPr>
          <w:rFonts w:ascii="Arial" w:cs="Arial" w:eastAsia="Arial" w:hAnsi="Arial"/>
          <w:sz w:val="14"/>
          <w:szCs w:val="14"/>
          <w:b w:val="1"/>
          <w:bCs w:val="1"/>
          <w:u w:val="single" w:color="auto"/>
          <w:color w:val="auto"/>
        </w:rPr>
        <w:t>Exceptions</w:t>
      </w:r>
      <w:r>
        <w:rPr>
          <w:rFonts w:ascii="Arial" w:cs="Arial" w:eastAsia="Arial" w:hAnsi="Arial"/>
          <w:sz w:val="14"/>
          <w:szCs w:val="14"/>
          <w:b w:val="1"/>
          <w:bCs w:val="1"/>
          <w:color w:val="auto"/>
        </w:rPr>
        <w:t>.</w:t>
      </w:r>
    </w:p>
    <w:p>
      <w:pPr>
        <w:spacing w:after="0" w:line="109" w:lineRule="exact"/>
        <w:rPr>
          <w:rFonts w:ascii="Arial" w:cs="Arial" w:eastAsia="Arial" w:hAnsi="Arial"/>
          <w:sz w:val="14"/>
          <w:szCs w:val="14"/>
          <w:color w:val="auto"/>
        </w:rPr>
      </w:pPr>
    </w:p>
    <w:p>
      <w:pPr>
        <w:ind w:left="760" w:hanging="257"/>
        <w:spacing w:after="0"/>
        <w:tabs>
          <w:tab w:leader="none" w:pos="760" w:val="left"/>
        </w:tabs>
        <w:numPr>
          <w:ilvl w:val="2"/>
          <w:numId w:val="59"/>
        </w:numPr>
        <w:rPr>
          <w:rFonts w:ascii="Arial" w:cs="Arial" w:eastAsia="Arial" w:hAnsi="Arial"/>
          <w:sz w:val="14"/>
          <w:szCs w:val="14"/>
          <w:color w:val="auto"/>
        </w:rPr>
      </w:pPr>
      <w:r>
        <w:rPr>
          <w:rFonts w:ascii="Arial" w:cs="Arial" w:eastAsia="Arial" w:hAnsi="Arial"/>
          <w:sz w:val="14"/>
          <w:szCs w:val="14"/>
          <w:color w:val="auto"/>
        </w:rPr>
        <w:t>The blackout period restrictions do not apply to the transactions described above in Part I, Section 3.</w:t>
      </w:r>
    </w:p>
    <w:p>
      <w:pPr>
        <w:spacing w:after="0" w:line="120" w:lineRule="exact"/>
        <w:rPr>
          <w:rFonts w:ascii="Arial" w:cs="Arial" w:eastAsia="Arial" w:hAnsi="Arial"/>
          <w:sz w:val="14"/>
          <w:szCs w:val="14"/>
          <w:color w:val="auto"/>
        </w:rPr>
      </w:pPr>
    </w:p>
    <w:p>
      <w:pPr>
        <w:jc w:val="both"/>
        <w:ind w:left="760" w:hanging="257"/>
        <w:spacing w:after="0" w:line="219" w:lineRule="auto"/>
        <w:tabs>
          <w:tab w:leader="none" w:pos="758" w:val="left"/>
        </w:tabs>
        <w:numPr>
          <w:ilvl w:val="2"/>
          <w:numId w:val="59"/>
        </w:numPr>
        <w:rPr>
          <w:rFonts w:ascii="Arial" w:cs="Arial" w:eastAsia="Arial" w:hAnsi="Arial"/>
          <w:sz w:val="14"/>
          <w:szCs w:val="14"/>
          <w:color w:val="auto"/>
        </w:rPr>
      </w:pPr>
      <w:r>
        <w:rPr>
          <w:rFonts w:ascii="Arial" w:cs="Arial" w:eastAsia="Arial" w:hAnsi="Arial"/>
          <w:sz w:val="14"/>
          <w:szCs w:val="14"/>
          <w:color w:val="auto"/>
        </w:rPr>
        <w:t>The blackout period restrictions do not apply to transactions under an Approved 10b5-1 Plan. However, amendments adopted in 2023 to Rule 10b5-1 (“</w:t>
      </w:r>
      <w:r>
        <w:rPr>
          <w:rFonts w:ascii="Arial" w:cs="Arial" w:eastAsia="Arial" w:hAnsi="Arial"/>
          <w:sz w:val="14"/>
          <w:szCs w:val="14"/>
          <w:b w:val="1"/>
          <w:bCs w:val="1"/>
          <w:color w:val="auto"/>
        </w:rPr>
        <w:t>Rule 10b5-1</w:t>
      </w:r>
      <w:r>
        <w:rPr>
          <w:rFonts w:ascii="Arial" w:cs="Arial" w:eastAsia="Arial" w:hAnsi="Arial"/>
          <w:sz w:val="14"/>
          <w:szCs w:val="14"/>
          <w:color w:val="auto"/>
        </w:rPr>
        <w:t>”) under the Securities Exchange Act of 1934, as amended, have added significant additional requirements for Approved 10b5-1 Plans, including “</w:t>
      </w:r>
      <w:r>
        <w:rPr>
          <w:rFonts w:ascii="Arial" w:cs="Arial" w:eastAsia="Arial" w:hAnsi="Arial"/>
          <w:sz w:val="14"/>
          <w:szCs w:val="14"/>
          <w:b w:val="1"/>
          <w:bCs w:val="1"/>
          <w:color w:val="auto"/>
        </w:rPr>
        <w:t>cooling-off periods</w:t>
      </w:r>
      <w:r>
        <w:rPr>
          <w:rFonts w:ascii="Arial" w:cs="Arial" w:eastAsia="Arial" w:hAnsi="Arial"/>
          <w:sz w:val="14"/>
          <w:szCs w:val="14"/>
          <w:color w:val="auto"/>
        </w:rPr>
        <w:t xml:space="preserve">” (as defined in </w:t>
      </w:r>
      <w:r>
        <w:rPr>
          <w:rFonts w:ascii="Arial" w:cs="Arial" w:eastAsia="Arial" w:hAnsi="Arial"/>
          <w:sz w:val="14"/>
          <w:szCs w:val="14"/>
          <w:u w:val="single" w:color="auto"/>
          <w:color w:val="auto"/>
        </w:rPr>
        <w:t>Appendix A</w:t>
      </w:r>
      <w:r>
        <w:rPr>
          <w:rFonts w:ascii="Arial" w:cs="Arial" w:eastAsia="Arial" w:hAnsi="Arial"/>
          <w:sz w:val="14"/>
          <w:szCs w:val="14"/>
          <w:color w:val="auto"/>
        </w:rPr>
        <w:t>), prohibitions on multiple overlapping plans, limitations on “</w:t>
      </w:r>
      <w:r>
        <w:rPr>
          <w:rFonts w:ascii="Arial" w:cs="Arial" w:eastAsia="Arial" w:hAnsi="Arial"/>
          <w:sz w:val="14"/>
          <w:szCs w:val="14"/>
          <w:b w:val="1"/>
          <w:bCs w:val="1"/>
          <w:color w:val="auto"/>
        </w:rPr>
        <w:t>single-trade plans</w:t>
      </w:r>
      <w:r>
        <w:rPr>
          <w:rFonts w:ascii="Arial" w:cs="Arial" w:eastAsia="Arial" w:hAnsi="Arial"/>
          <w:sz w:val="14"/>
          <w:szCs w:val="14"/>
          <w:color w:val="auto"/>
        </w:rPr>
        <w:t xml:space="preserve">” (as defined in </w:t>
      </w:r>
      <w:r>
        <w:rPr>
          <w:rFonts w:ascii="Arial" w:cs="Arial" w:eastAsia="Arial" w:hAnsi="Arial"/>
          <w:sz w:val="14"/>
          <w:szCs w:val="14"/>
          <w:u w:val="single" w:color="auto"/>
          <w:color w:val="auto"/>
        </w:rPr>
        <w:t>Appendix A</w:t>
      </w:r>
      <w:r>
        <w:rPr>
          <w:rFonts w:ascii="Arial" w:cs="Arial" w:eastAsia="Arial" w:hAnsi="Arial"/>
          <w:sz w:val="14"/>
          <w:szCs w:val="14"/>
          <w:color w:val="auto"/>
        </w:rPr>
        <w:t>) and mandated representations regarding legal compliance. In addition, the SEC has expressed concerns with respect to terminations of Rule 10b5-1 plans and the SEC requires quarterly disclosures by the Company if any director or officer has adopted, modified or terminated a Rule 10b5-1 plan.</w:t>
      </w:r>
    </w:p>
    <w:p>
      <w:pPr>
        <w:spacing w:after="0" w:line="98" w:lineRule="exact"/>
        <w:rPr>
          <w:rFonts w:ascii="Arial" w:cs="Arial" w:eastAsia="Arial" w:hAnsi="Arial"/>
          <w:sz w:val="14"/>
          <w:szCs w:val="14"/>
          <w:color w:val="auto"/>
        </w:rPr>
      </w:pPr>
    </w:p>
    <w:p>
      <w:pPr>
        <w:ind w:left="240" w:hanging="237"/>
        <w:spacing w:after="0"/>
        <w:tabs>
          <w:tab w:leader="none" w:pos="240" w:val="left"/>
        </w:tabs>
        <w:numPr>
          <w:ilvl w:val="0"/>
          <w:numId w:val="60"/>
        </w:numPr>
        <w:rPr>
          <w:rFonts w:ascii="Arial" w:cs="Arial" w:eastAsia="Arial" w:hAnsi="Arial"/>
          <w:sz w:val="14"/>
          <w:szCs w:val="14"/>
          <w:b w:val="1"/>
          <w:bCs w:val="1"/>
          <w:color w:val="auto"/>
        </w:rPr>
      </w:pPr>
      <w:r>
        <w:rPr>
          <w:rFonts w:ascii="Arial" w:cs="Arial" w:eastAsia="Arial" w:hAnsi="Arial"/>
          <w:sz w:val="14"/>
          <w:szCs w:val="14"/>
          <w:b w:val="1"/>
          <w:bCs w:val="1"/>
          <w:color w:val="auto"/>
        </w:rPr>
        <w:t>Trading Window</w:t>
      </w:r>
    </w:p>
    <w:p>
      <w:pPr>
        <w:spacing w:after="0" w:line="120" w:lineRule="exact"/>
        <w:rPr>
          <w:rFonts w:ascii="Arial" w:cs="Arial" w:eastAsia="Arial" w:hAnsi="Arial"/>
          <w:sz w:val="14"/>
          <w:szCs w:val="14"/>
          <w:b w:val="1"/>
          <w:bCs w:val="1"/>
          <w:color w:val="auto"/>
        </w:rPr>
      </w:pPr>
    </w:p>
    <w:p>
      <w:pPr>
        <w:jc w:val="both"/>
        <w:ind w:left="260"/>
        <w:spacing w:after="0" w:line="216" w:lineRule="auto"/>
        <w:rPr>
          <w:rFonts w:ascii="Arial" w:cs="Arial" w:eastAsia="Arial" w:hAnsi="Arial"/>
          <w:sz w:val="14"/>
          <w:szCs w:val="14"/>
          <w:b w:val="1"/>
          <w:bCs w:val="1"/>
          <w:color w:val="auto"/>
        </w:rPr>
      </w:pPr>
      <w:r>
        <w:rPr>
          <w:rFonts w:ascii="Arial" w:cs="Arial" w:eastAsia="Arial" w:hAnsi="Arial"/>
          <w:sz w:val="14"/>
          <w:szCs w:val="14"/>
          <w:color w:val="auto"/>
        </w:rPr>
        <w:t>Restricted Insiders are permitted to trade in the Company’s securities during a “</w:t>
      </w:r>
      <w:r>
        <w:rPr>
          <w:rFonts w:ascii="Arial" w:cs="Arial" w:eastAsia="Arial" w:hAnsi="Arial"/>
          <w:sz w:val="14"/>
          <w:szCs w:val="14"/>
          <w:b w:val="1"/>
          <w:bCs w:val="1"/>
          <w:color w:val="auto"/>
        </w:rPr>
        <w:t>trading window</w:t>
      </w:r>
      <w:r>
        <w:rPr>
          <w:rFonts w:ascii="Arial" w:cs="Arial" w:eastAsia="Arial" w:hAnsi="Arial"/>
          <w:sz w:val="14"/>
          <w:szCs w:val="14"/>
          <w:color w:val="auto"/>
        </w:rPr>
        <w:t>” (as defined below) when no blackout period is in effect. Generally, this means that Restricted Insiders can trade during the period beginning at the open of business on the second trading day following the date the Company’s financial results are publicly disclosed and ending at the open of the market on the penultimate trading day of each fiscal quarter. However, even during this trading window, a Restricted Insider who is in possession of any material nonpublic information should not trade in the Company’s securities until the information has been made publicly available or is no longer material. In addition, the Company may close this trading window if a special blackout period under Part II, Section 1(b) above is imposed and will re-open the trading window once the special blackout period has ended.</w:t>
      </w:r>
    </w:p>
    <w:p>
      <w:pPr>
        <w:spacing w:after="0" w:line="99" w:lineRule="exact"/>
        <w:rPr>
          <w:rFonts w:ascii="Arial" w:cs="Arial" w:eastAsia="Arial" w:hAnsi="Arial"/>
          <w:sz w:val="14"/>
          <w:szCs w:val="14"/>
          <w:b w:val="1"/>
          <w:bCs w:val="1"/>
          <w:color w:val="auto"/>
        </w:rPr>
      </w:pPr>
    </w:p>
    <w:p>
      <w:pPr>
        <w:ind w:left="240" w:hanging="237"/>
        <w:spacing w:after="0"/>
        <w:tabs>
          <w:tab w:leader="none" w:pos="240" w:val="left"/>
        </w:tabs>
        <w:numPr>
          <w:ilvl w:val="0"/>
          <w:numId w:val="60"/>
        </w:numPr>
        <w:rPr>
          <w:rFonts w:ascii="Arial" w:cs="Arial" w:eastAsia="Arial" w:hAnsi="Arial"/>
          <w:sz w:val="14"/>
          <w:szCs w:val="14"/>
          <w:b w:val="1"/>
          <w:bCs w:val="1"/>
          <w:color w:val="auto"/>
        </w:rPr>
      </w:pPr>
      <w:r>
        <w:rPr>
          <w:rFonts w:ascii="Arial" w:cs="Arial" w:eastAsia="Arial" w:hAnsi="Arial"/>
          <w:sz w:val="14"/>
          <w:szCs w:val="14"/>
          <w:b w:val="1"/>
          <w:bCs w:val="1"/>
          <w:color w:val="auto"/>
        </w:rPr>
        <w:t>Pre-Clearance of Securities Transactions</w:t>
      </w:r>
    </w:p>
    <w:p>
      <w:pPr>
        <w:spacing w:after="0" w:line="120" w:lineRule="exact"/>
        <w:rPr>
          <w:rFonts w:ascii="Arial" w:cs="Arial" w:eastAsia="Arial" w:hAnsi="Arial"/>
          <w:sz w:val="14"/>
          <w:szCs w:val="14"/>
          <w:b w:val="1"/>
          <w:bCs w:val="1"/>
          <w:color w:val="auto"/>
        </w:rPr>
      </w:pPr>
    </w:p>
    <w:p>
      <w:pPr>
        <w:ind w:left="500" w:hanging="247"/>
        <w:spacing w:after="0" w:line="237" w:lineRule="auto"/>
        <w:tabs>
          <w:tab w:leader="none" w:pos="492" w:val="left"/>
        </w:tabs>
        <w:numPr>
          <w:ilvl w:val="1"/>
          <w:numId w:val="60"/>
        </w:numPr>
        <w:rPr>
          <w:rFonts w:ascii="Arial" w:cs="Arial" w:eastAsia="Arial" w:hAnsi="Arial"/>
          <w:sz w:val="14"/>
          <w:szCs w:val="14"/>
          <w:color w:val="auto"/>
        </w:rPr>
      </w:pPr>
      <w:r>
        <w:rPr>
          <w:rFonts w:ascii="Arial" w:cs="Arial" w:eastAsia="Arial" w:hAnsi="Arial"/>
          <w:sz w:val="14"/>
          <w:szCs w:val="14"/>
          <w:color w:val="auto"/>
        </w:rPr>
        <w:t>Because Restricted Insiders are likely to obtain material nonpublic information on a regular basis, the Company requires all such persons to refrain from trading, even during a trading window under Part II, Section 2 above, without first pre-clearing all transactions in the Company’s securities with the Compliance Officer.</w:t>
      </w:r>
    </w:p>
    <w:p>
      <w:pPr>
        <w:spacing w:after="0" w:line="98" w:lineRule="exact"/>
        <w:rPr>
          <w:rFonts w:ascii="Arial" w:cs="Arial" w:eastAsia="Arial" w:hAnsi="Arial"/>
          <w:sz w:val="14"/>
          <w:szCs w:val="14"/>
          <w:color w:val="auto"/>
        </w:rPr>
      </w:pPr>
    </w:p>
    <w:p>
      <w:pPr>
        <w:ind w:left="500" w:hanging="247"/>
        <w:spacing w:after="0" w:line="237" w:lineRule="auto"/>
        <w:tabs>
          <w:tab w:leader="none" w:pos="492" w:val="left"/>
        </w:tabs>
        <w:numPr>
          <w:ilvl w:val="1"/>
          <w:numId w:val="60"/>
        </w:numPr>
        <w:rPr>
          <w:rFonts w:ascii="Arial" w:cs="Arial" w:eastAsia="Arial" w:hAnsi="Arial"/>
          <w:sz w:val="14"/>
          <w:szCs w:val="14"/>
          <w:color w:val="auto"/>
        </w:rPr>
      </w:pPr>
      <w:r>
        <w:rPr>
          <w:rFonts w:ascii="Arial" w:cs="Arial" w:eastAsia="Arial" w:hAnsi="Arial"/>
          <w:sz w:val="14"/>
          <w:szCs w:val="14"/>
          <w:color w:val="auto"/>
        </w:rPr>
        <w:t>Subject to the exemption in subsection (d) below, no Restricted Insider may, directly or indirectly, purchase or sell (or otherwise make any transfer, gift, pledge or loan of) any Company security at any time without first obtaining prior approval from the Compliance Officer. These procedures also apply to</w:t>
      </w:r>
    </w:p>
    <w:p>
      <w:pPr>
        <w:sectPr>
          <w:pgSz w:w="11900" w:h="16838" w:orient="portrait"/>
          <w:cols w:equalWidth="0" w:num="1">
            <w:col w:w="11280"/>
          </w:cols>
          <w:pgMar w:left="300" w:top="115" w:right="319" w:bottom="1440" w:gutter="0" w:footer="0" w:header="0"/>
        </w:sectPr>
      </w:pPr>
    </w:p>
    <w:bookmarkStart w:id="105" w:name="page106"/>
    <w:bookmarkEnd w:id="105"/>
    <w:p>
      <w:pPr>
        <w:jc w:val="right"/>
        <w:ind w:right="20"/>
        <w:spacing w:after="0"/>
        <w:rPr>
          <w:sz w:val="20"/>
          <w:szCs w:val="20"/>
          <w:color w:val="auto"/>
        </w:rPr>
      </w:pPr>
      <w:r>
        <w:rPr>
          <w:rFonts w:ascii="Arial" w:cs="Arial" w:eastAsia="Arial" w:hAnsi="Arial"/>
          <w:sz w:val="14"/>
          <w:szCs w:val="14"/>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00"/>
        <w:spacing w:after="0"/>
        <w:rPr>
          <w:sz w:val="20"/>
          <w:szCs w:val="20"/>
          <w:color w:val="auto"/>
        </w:rPr>
      </w:pPr>
      <w:r>
        <w:rPr>
          <w:rFonts w:ascii="Arial" w:cs="Arial" w:eastAsia="Arial" w:hAnsi="Arial"/>
          <w:sz w:val="14"/>
          <w:szCs w:val="14"/>
          <w:color w:val="auto"/>
        </w:rPr>
        <w:t>transactions by such person’s immediate family members and to transactions by entities over which such person exercises control.</w:t>
      </w:r>
    </w:p>
    <w:p>
      <w:pPr>
        <w:spacing w:after="0" w:line="120" w:lineRule="exact"/>
        <w:rPr>
          <w:sz w:val="20"/>
          <w:szCs w:val="20"/>
          <w:color w:val="auto"/>
        </w:rPr>
      </w:pPr>
    </w:p>
    <w:p>
      <w:pPr>
        <w:jc w:val="both"/>
        <w:ind w:left="500" w:right="20" w:hanging="247"/>
        <w:spacing w:after="0" w:line="236" w:lineRule="auto"/>
        <w:tabs>
          <w:tab w:leader="none" w:pos="495" w:val="left"/>
        </w:tabs>
        <w:numPr>
          <w:ilvl w:val="1"/>
          <w:numId w:val="61"/>
        </w:numPr>
        <w:rPr>
          <w:rFonts w:ascii="Arial" w:cs="Arial" w:eastAsia="Arial" w:hAnsi="Arial"/>
          <w:sz w:val="13"/>
          <w:szCs w:val="13"/>
          <w:color w:val="auto"/>
        </w:rPr>
      </w:pPr>
      <w:r>
        <w:rPr>
          <w:rFonts w:ascii="Arial" w:cs="Arial" w:eastAsia="Arial" w:hAnsi="Arial"/>
          <w:sz w:val="13"/>
          <w:szCs w:val="13"/>
          <w:color w:val="auto"/>
        </w:rPr>
        <w:t>A request for pre-clearance should be submitted to the Compliance Officer at least two business days in advance of the proposed transaction. The Compliance Officer shall record the date each request is received and the date and time each request is approved or disapproved. The Compliance Officer is under no obligation to approve a transaction submitted for pre-clearance, and may determine not to permit the transaction. If your request is disapproved, then you should refrain from initiating any transaction in the Company’s securities, and should not inform any other person of the restriction. Unless revoked, a grant of permission will normally remain valid until the close of trading two business days following the day on which it was granted. If the transaction does not occur during the two-day period, pre-clearance of the transaction must be re-requested.</w:t>
      </w:r>
    </w:p>
    <w:p>
      <w:pPr>
        <w:spacing w:after="0" w:line="98" w:lineRule="exact"/>
        <w:rPr>
          <w:rFonts w:ascii="Arial" w:cs="Arial" w:eastAsia="Arial" w:hAnsi="Arial"/>
          <w:sz w:val="13"/>
          <w:szCs w:val="13"/>
          <w:color w:val="auto"/>
        </w:rPr>
      </w:pPr>
    </w:p>
    <w:p>
      <w:pPr>
        <w:ind w:left="500" w:right="20" w:hanging="247"/>
        <w:spacing w:after="0" w:line="237" w:lineRule="auto"/>
        <w:tabs>
          <w:tab w:leader="none" w:pos="492" w:val="left"/>
        </w:tabs>
        <w:numPr>
          <w:ilvl w:val="1"/>
          <w:numId w:val="61"/>
        </w:numPr>
        <w:rPr>
          <w:rFonts w:ascii="Arial" w:cs="Arial" w:eastAsia="Arial" w:hAnsi="Arial"/>
          <w:sz w:val="14"/>
          <w:szCs w:val="14"/>
          <w:color w:val="auto"/>
        </w:rPr>
      </w:pPr>
      <w:r>
        <w:rPr>
          <w:rFonts w:ascii="Arial" w:cs="Arial" w:eastAsia="Arial" w:hAnsi="Arial"/>
          <w:sz w:val="14"/>
          <w:szCs w:val="14"/>
          <w:color w:val="auto"/>
        </w:rPr>
        <w:t>Pre-clearance is not required for purchases and sales of securities under an Approved 10b5-1 Plan. With respect to any purchase or sale under an Approved 10b5-1 Plan, the third party effecting transactions on behalf of the Restricted Insider should be instructed to send duplicate confirmations of all such transactions to the Compliance Officer.</w:t>
      </w:r>
    </w:p>
    <w:p>
      <w:pPr>
        <w:spacing w:after="0" w:line="98" w:lineRule="exact"/>
        <w:rPr>
          <w:rFonts w:ascii="Arial" w:cs="Arial" w:eastAsia="Arial" w:hAnsi="Arial"/>
          <w:sz w:val="14"/>
          <w:szCs w:val="14"/>
          <w:color w:val="auto"/>
        </w:rPr>
      </w:pPr>
    </w:p>
    <w:p>
      <w:pPr>
        <w:ind w:left="240" w:hanging="237"/>
        <w:spacing w:after="0"/>
        <w:tabs>
          <w:tab w:leader="none" w:pos="240" w:val="left"/>
        </w:tabs>
        <w:numPr>
          <w:ilvl w:val="0"/>
          <w:numId w:val="62"/>
        </w:numPr>
        <w:rPr>
          <w:rFonts w:ascii="Arial" w:cs="Arial" w:eastAsia="Arial" w:hAnsi="Arial"/>
          <w:sz w:val="14"/>
          <w:szCs w:val="14"/>
          <w:b w:val="1"/>
          <w:bCs w:val="1"/>
          <w:color w:val="auto"/>
        </w:rPr>
      </w:pPr>
      <w:r>
        <w:rPr>
          <w:rFonts w:ascii="Arial" w:cs="Arial" w:eastAsia="Arial" w:hAnsi="Arial"/>
          <w:sz w:val="14"/>
          <w:szCs w:val="14"/>
          <w:b w:val="1"/>
          <w:bCs w:val="1"/>
          <w:color w:val="auto"/>
        </w:rPr>
        <w:t>Prohibited Transactions</w:t>
      </w:r>
    </w:p>
    <w:p>
      <w:pPr>
        <w:spacing w:after="0" w:line="109" w:lineRule="exact"/>
        <w:rPr>
          <w:rFonts w:ascii="Arial" w:cs="Arial" w:eastAsia="Arial" w:hAnsi="Arial"/>
          <w:sz w:val="14"/>
          <w:szCs w:val="14"/>
          <w:b w:val="1"/>
          <w:bCs w:val="1"/>
          <w:color w:val="auto"/>
        </w:rPr>
      </w:pPr>
    </w:p>
    <w:p>
      <w:pPr>
        <w:jc w:val="both"/>
        <w:ind w:left="500" w:right="20" w:hanging="247"/>
        <w:spacing w:after="0" w:line="231" w:lineRule="auto"/>
        <w:tabs>
          <w:tab w:leader="none" w:pos="492" w:val="left"/>
        </w:tabs>
        <w:numPr>
          <w:ilvl w:val="1"/>
          <w:numId w:val="62"/>
        </w:numPr>
        <w:rPr>
          <w:rFonts w:ascii="Arial" w:cs="Arial" w:eastAsia="Arial" w:hAnsi="Arial"/>
          <w:sz w:val="14"/>
          <w:szCs w:val="14"/>
          <w:color w:val="auto"/>
        </w:rPr>
      </w:pPr>
      <w:r>
        <w:rPr>
          <w:rFonts w:ascii="Arial" w:cs="Arial" w:eastAsia="Arial" w:hAnsi="Arial"/>
          <w:sz w:val="14"/>
          <w:szCs w:val="14"/>
          <w:color w:val="auto"/>
        </w:rPr>
        <w:t>Restricted Insiders are prohibited from trading in the Company’s equity securities during a blackout period imposed under an “individual account” retirement or pension plan of the Company, during which at least 50% of the plan participants are unable to purchase, sell or otherwise acquire or transfer an interest in equity securities of the Company, due to a temporary suspension of trading by the Company or the plan fiduciary.</w:t>
      </w:r>
    </w:p>
    <w:p>
      <w:pPr>
        <w:spacing w:after="0" w:line="97" w:lineRule="exact"/>
        <w:rPr>
          <w:rFonts w:ascii="Arial" w:cs="Arial" w:eastAsia="Arial" w:hAnsi="Arial"/>
          <w:sz w:val="14"/>
          <w:szCs w:val="14"/>
          <w:color w:val="auto"/>
        </w:rPr>
      </w:pPr>
    </w:p>
    <w:p>
      <w:pPr>
        <w:jc w:val="both"/>
        <w:ind w:left="500" w:right="20" w:hanging="247"/>
        <w:spacing w:after="0" w:line="225" w:lineRule="auto"/>
        <w:tabs>
          <w:tab w:leader="none" w:pos="492" w:val="left"/>
        </w:tabs>
        <w:numPr>
          <w:ilvl w:val="1"/>
          <w:numId w:val="62"/>
        </w:numPr>
        <w:rPr>
          <w:rFonts w:ascii="Arial" w:cs="Arial" w:eastAsia="Arial" w:hAnsi="Arial"/>
          <w:sz w:val="14"/>
          <w:szCs w:val="14"/>
          <w:color w:val="auto"/>
        </w:rPr>
      </w:pPr>
      <w:r>
        <w:rPr>
          <w:rFonts w:ascii="Arial" w:cs="Arial" w:eastAsia="Arial" w:hAnsi="Arial"/>
          <w:sz w:val="14"/>
          <w:szCs w:val="14"/>
          <w:color w:val="auto"/>
        </w:rPr>
        <w:t>The Company has determined that there is a heightened legal risk and/or the appearance of improper or inappropriate conduct if any Restricted Insiders engage in certain types of transactions. Therefore, Restricted Insiders are prohibited from engaging in the following transactions in the Company’s securities unless the Compliance Officer determines an exception to this prohibition should be granted:</w:t>
      </w:r>
    </w:p>
    <w:p>
      <w:pPr>
        <w:spacing w:after="0" w:line="99" w:lineRule="exact"/>
        <w:rPr>
          <w:rFonts w:ascii="Arial" w:cs="Arial" w:eastAsia="Arial" w:hAnsi="Arial"/>
          <w:sz w:val="14"/>
          <w:szCs w:val="14"/>
          <w:color w:val="auto"/>
        </w:rPr>
      </w:pPr>
    </w:p>
    <w:p>
      <w:pPr>
        <w:ind w:left="760" w:hanging="257"/>
        <w:spacing w:after="0"/>
        <w:tabs>
          <w:tab w:leader="none" w:pos="760" w:val="left"/>
        </w:tabs>
        <w:numPr>
          <w:ilvl w:val="2"/>
          <w:numId w:val="62"/>
        </w:numPr>
        <w:rPr>
          <w:rFonts w:ascii="Arial" w:cs="Arial" w:eastAsia="Arial" w:hAnsi="Arial"/>
          <w:sz w:val="13"/>
          <w:szCs w:val="13"/>
          <w:color w:val="auto"/>
        </w:rPr>
      </w:pPr>
      <w:r>
        <w:rPr>
          <w:rFonts w:ascii="Arial" w:cs="Arial" w:eastAsia="Arial" w:hAnsi="Arial"/>
          <w:sz w:val="13"/>
          <w:szCs w:val="13"/>
          <w:u w:val="single" w:color="auto"/>
          <w:color w:val="auto"/>
        </w:rPr>
        <w:t>Short-term trading</w:t>
      </w:r>
      <w:r>
        <w:rPr>
          <w:rFonts w:ascii="Arial" w:cs="Arial" w:eastAsia="Arial" w:hAnsi="Arial"/>
          <w:sz w:val="13"/>
          <w:szCs w:val="13"/>
          <w:color w:val="auto"/>
        </w:rPr>
        <w:t>. Restricted Insiders who purchase Company securities may not sell any Company securities of the same class for at least six months after the purchase;</w:t>
      </w:r>
    </w:p>
    <w:p>
      <w:pPr>
        <w:spacing w:after="0" w:line="121" w:lineRule="exact"/>
        <w:rPr>
          <w:rFonts w:ascii="Arial" w:cs="Arial" w:eastAsia="Arial" w:hAnsi="Arial"/>
          <w:sz w:val="13"/>
          <w:szCs w:val="13"/>
          <w:color w:val="auto"/>
        </w:rPr>
      </w:pPr>
    </w:p>
    <w:p>
      <w:pPr>
        <w:ind w:left="760" w:right="20" w:hanging="257"/>
        <w:spacing w:after="0" w:line="251" w:lineRule="auto"/>
        <w:tabs>
          <w:tab w:leader="none" w:pos="758" w:val="left"/>
        </w:tabs>
        <w:numPr>
          <w:ilvl w:val="2"/>
          <w:numId w:val="62"/>
        </w:numPr>
        <w:rPr>
          <w:rFonts w:ascii="Arial" w:cs="Arial" w:eastAsia="Arial" w:hAnsi="Arial"/>
          <w:sz w:val="14"/>
          <w:szCs w:val="14"/>
          <w:color w:val="auto"/>
        </w:rPr>
      </w:pPr>
      <w:r>
        <w:rPr>
          <w:rFonts w:ascii="Arial" w:cs="Arial" w:eastAsia="Arial" w:hAnsi="Arial"/>
          <w:sz w:val="14"/>
          <w:szCs w:val="14"/>
          <w:u w:val="single" w:color="auto"/>
          <w:color w:val="auto"/>
        </w:rPr>
        <w:t>Short sales</w:t>
      </w:r>
      <w:r>
        <w:rPr>
          <w:rFonts w:ascii="Arial" w:cs="Arial" w:eastAsia="Arial" w:hAnsi="Arial"/>
          <w:sz w:val="14"/>
          <w:szCs w:val="14"/>
          <w:color w:val="auto"/>
        </w:rPr>
        <w:t>. Restricted Insiders may not sell the Company’s securities short (a sale of securities which are not then owned), including a “sale against the box” (a sale with delayed delivery);</w:t>
      </w:r>
    </w:p>
    <w:p>
      <w:pPr>
        <w:spacing w:after="0" w:line="79" w:lineRule="exact"/>
        <w:rPr>
          <w:rFonts w:ascii="Arial" w:cs="Arial" w:eastAsia="Arial" w:hAnsi="Arial"/>
          <w:sz w:val="14"/>
          <w:szCs w:val="14"/>
          <w:color w:val="auto"/>
        </w:rPr>
      </w:pPr>
    </w:p>
    <w:p>
      <w:pPr>
        <w:ind w:left="760" w:hanging="257"/>
        <w:spacing w:after="0"/>
        <w:tabs>
          <w:tab w:leader="none" w:pos="760" w:val="left"/>
        </w:tabs>
        <w:numPr>
          <w:ilvl w:val="2"/>
          <w:numId w:val="62"/>
        </w:numPr>
        <w:rPr>
          <w:rFonts w:ascii="Arial" w:cs="Arial" w:eastAsia="Arial" w:hAnsi="Arial"/>
          <w:sz w:val="14"/>
          <w:szCs w:val="14"/>
          <w:color w:val="auto"/>
        </w:rPr>
      </w:pPr>
      <w:r>
        <w:rPr>
          <w:rFonts w:ascii="Arial" w:cs="Arial" w:eastAsia="Arial" w:hAnsi="Arial"/>
          <w:sz w:val="14"/>
          <w:szCs w:val="14"/>
          <w:u w:val="single" w:color="auto"/>
          <w:color w:val="auto"/>
        </w:rPr>
        <w:t>Options trading</w:t>
      </w:r>
      <w:r>
        <w:rPr>
          <w:rFonts w:ascii="Arial" w:cs="Arial" w:eastAsia="Arial" w:hAnsi="Arial"/>
          <w:sz w:val="14"/>
          <w:szCs w:val="14"/>
          <w:color w:val="auto"/>
        </w:rPr>
        <w:t>. Restricted Insiders may not buy or sell puts or calls or other derivative securities on the Company’s securities;</w:t>
      </w:r>
    </w:p>
    <w:p>
      <w:pPr>
        <w:spacing w:after="0" w:line="120" w:lineRule="exact"/>
        <w:rPr>
          <w:rFonts w:ascii="Arial" w:cs="Arial" w:eastAsia="Arial" w:hAnsi="Arial"/>
          <w:sz w:val="14"/>
          <w:szCs w:val="14"/>
          <w:color w:val="auto"/>
        </w:rPr>
      </w:pPr>
    </w:p>
    <w:p>
      <w:pPr>
        <w:ind w:left="740" w:hanging="237"/>
        <w:spacing w:after="0"/>
        <w:tabs>
          <w:tab w:leader="none" w:pos="740" w:val="left"/>
        </w:tabs>
        <w:numPr>
          <w:ilvl w:val="2"/>
          <w:numId w:val="62"/>
        </w:numPr>
        <w:rPr>
          <w:rFonts w:ascii="Arial" w:cs="Arial" w:eastAsia="Arial" w:hAnsi="Arial"/>
          <w:sz w:val="14"/>
          <w:szCs w:val="14"/>
          <w:color w:val="auto"/>
        </w:rPr>
      </w:pPr>
      <w:r>
        <w:rPr>
          <w:rFonts w:ascii="Arial" w:cs="Arial" w:eastAsia="Arial" w:hAnsi="Arial"/>
          <w:sz w:val="14"/>
          <w:szCs w:val="14"/>
          <w:u w:val="single" w:color="auto"/>
          <w:color w:val="auto"/>
        </w:rPr>
        <w:t>Trading on margin or pledging</w:t>
      </w:r>
      <w:r>
        <w:rPr>
          <w:rFonts w:ascii="Arial" w:cs="Arial" w:eastAsia="Arial" w:hAnsi="Arial"/>
          <w:sz w:val="14"/>
          <w:szCs w:val="14"/>
          <w:color w:val="auto"/>
        </w:rPr>
        <w:t>. Restricted Insiders may not hold Company securities in a margin account or pledge Company securities as collateral for a loan; and</w:t>
      </w:r>
    </w:p>
    <w:p>
      <w:pPr>
        <w:spacing w:after="0" w:line="120" w:lineRule="exact"/>
        <w:rPr>
          <w:rFonts w:ascii="Arial" w:cs="Arial" w:eastAsia="Arial" w:hAnsi="Arial"/>
          <w:sz w:val="14"/>
          <w:szCs w:val="14"/>
          <w:color w:val="auto"/>
        </w:rPr>
      </w:pPr>
    </w:p>
    <w:p>
      <w:pPr>
        <w:ind w:left="760" w:right="20" w:hanging="257"/>
        <w:spacing w:after="0" w:line="237" w:lineRule="auto"/>
        <w:tabs>
          <w:tab w:leader="none" w:pos="755" w:val="left"/>
        </w:tabs>
        <w:numPr>
          <w:ilvl w:val="2"/>
          <w:numId w:val="62"/>
        </w:numPr>
        <w:rPr>
          <w:rFonts w:ascii="Arial" w:cs="Arial" w:eastAsia="Arial" w:hAnsi="Arial"/>
          <w:sz w:val="14"/>
          <w:szCs w:val="14"/>
          <w:color w:val="auto"/>
        </w:rPr>
      </w:pPr>
      <w:r>
        <w:rPr>
          <w:rFonts w:ascii="Arial" w:cs="Arial" w:eastAsia="Arial" w:hAnsi="Arial"/>
          <w:sz w:val="14"/>
          <w:szCs w:val="14"/>
          <w:u w:val="single" w:color="auto"/>
          <w:color w:val="auto"/>
        </w:rPr>
        <w:t>Hedging</w:t>
      </w:r>
      <w:r>
        <w:rPr>
          <w:rFonts w:ascii="Arial" w:cs="Arial" w:eastAsia="Arial" w:hAnsi="Arial"/>
          <w:sz w:val="14"/>
          <w:szCs w:val="14"/>
          <w:color w:val="auto"/>
        </w:rPr>
        <w:t>. Restricted Insiders may not enter into hedging or monetization transactions or similar arrangements with respect to Company securities, including, but not limited to, through the use of financial instruments such as prepaid variable forwards, equity swaps, collars and exchange funds.</w:t>
      </w:r>
    </w:p>
    <w:p>
      <w:pPr>
        <w:spacing w:after="0" w:line="98" w:lineRule="exact"/>
        <w:rPr>
          <w:rFonts w:ascii="Arial" w:cs="Arial" w:eastAsia="Arial" w:hAnsi="Arial"/>
          <w:sz w:val="14"/>
          <w:szCs w:val="14"/>
          <w:color w:val="auto"/>
        </w:rPr>
      </w:pPr>
    </w:p>
    <w:p>
      <w:pPr>
        <w:ind w:left="240" w:hanging="237"/>
        <w:spacing w:after="0"/>
        <w:tabs>
          <w:tab w:leader="none" w:pos="240" w:val="left"/>
        </w:tabs>
        <w:numPr>
          <w:ilvl w:val="0"/>
          <w:numId w:val="62"/>
        </w:numPr>
        <w:rPr>
          <w:rFonts w:ascii="Arial" w:cs="Arial" w:eastAsia="Arial" w:hAnsi="Arial"/>
          <w:sz w:val="14"/>
          <w:szCs w:val="14"/>
          <w:b w:val="1"/>
          <w:bCs w:val="1"/>
          <w:color w:val="auto"/>
        </w:rPr>
      </w:pPr>
      <w:r>
        <w:rPr>
          <w:rFonts w:ascii="Arial" w:cs="Arial" w:eastAsia="Arial" w:hAnsi="Arial"/>
          <w:sz w:val="14"/>
          <w:szCs w:val="14"/>
          <w:b w:val="1"/>
          <w:bCs w:val="1"/>
          <w:color w:val="auto"/>
        </w:rPr>
        <w:t>Acknowledgment and Certification</w:t>
      </w:r>
    </w:p>
    <w:p>
      <w:pPr>
        <w:spacing w:after="0" w:line="109" w:lineRule="exact"/>
        <w:rPr>
          <w:rFonts w:ascii="Arial" w:cs="Arial" w:eastAsia="Arial" w:hAnsi="Arial"/>
          <w:sz w:val="14"/>
          <w:szCs w:val="14"/>
          <w:b w:val="1"/>
          <w:bCs w:val="1"/>
          <w:color w:val="auto"/>
        </w:rPr>
      </w:pPr>
    </w:p>
    <w:p>
      <w:pPr>
        <w:ind w:left="260"/>
        <w:spacing w:after="0"/>
        <w:rPr>
          <w:rFonts w:ascii="Arial" w:cs="Arial" w:eastAsia="Arial" w:hAnsi="Arial"/>
          <w:sz w:val="14"/>
          <w:szCs w:val="14"/>
          <w:b w:val="1"/>
          <w:bCs w:val="1"/>
          <w:color w:val="auto"/>
        </w:rPr>
      </w:pPr>
      <w:r>
        <w:rPr>
          <w:rFonts w:ascii="Arial" w:cs="Arial" w:eastAsia="Arial" w:hAnsi="Arial"/>
          <w:sz w:val="14"/>
          <w:szCs w:val="14"/>
          <w:color w:val="auto"/>
        </w:rPr>
        <w:t>All Restricted Insiders are required to sign the acknowledgment and certification attached to this Policy.</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Revision History</w:t>
      </w:r>
    </w:p>
    <w:p>
      <w:pPr>
        <w:spacing w:after="0" w:line="146"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500" w:type="dxa"/>
            <w:vAlign w:val="bottom"/>
            <w:tcBorders>
              <w:top w:val="single" w:sz="8" w:color="auto"/>
              <w:left w:val="single" w:sz="8" w:color="auto"/>
              <w:bottom w:val="single" w:sz="8" w:color="auto"/>
              <w:right w:val="single" w:sz="8" w:color="auto"/>
            </w:tcBorders>
            <w:shd w:val="clear" w:color="auto" w:fill="ECECEC"/>
          </w:tcPr>
          <w:p>
            <w:pPr>
              <w:jc w:val="center"/>
              <w:spacing w:after="0"/>
              <w:rPr>
                <w:sz w:val="20"/>
                <w:szCs w:val="20"/>
                <w:color w:val="auto"/>
              </w:rPr>
            </w:pPr>
            <w:r>
              <w:rPr>
                <w:rFonts w:ascii="Arial" w:cs="Arial" w:eastAsia="Arial" w:hAnsi="Arial"/>
                <w:sz w:val="11"/>
                <w:szCs w:val="11"/>
                <w:b w:val="1"/>
                <w:bCs w:val="1"/>
                <w:color w:val="auto"/>
              </w:rPr>
              <w:t>Revision No.</w:t>
            </w:r>
          </w:p>
        </w:tc>
        <w:tc>
          <w:tcPr>
            <w:tcW w:w="1300" w:type="dxa"/>
            <w:vAlign w:val="bottom"/>
            <w:tcBorders>
              <w:top w:val="single" w:sz="8" w:color="auto"/>
              <w:bottom w:val="single" w:sz="8" w:color="auto"/>
            </w:tcBorders>
            <w:shd w:val="clear" w:color="auto" w:fill="ECECEC"/>
          </w:tcPr>
          <w:p>
            <w:pPr>
              <w:spacing w:after="0"/>
              <w:rPr>
                <w:sz w:val="14"/>
                <w:szCs w:val="14"/>
                <w:color w:val="auto"/>
              </w:rPr>
            </w:pPr>
          </w:p>
        </w:tc>
        <w:tc>
          <w:tcPr>
            <w:tcW w:w="3900" w:type="dxa"/>
            <w:vAlign w:val="bottom"/>
            <w:tcBorders>
              <w:top w:val="single" w:sz="8" w:color="auto"/>
              <w:bottom w:val="single" w:sz="8" w:color="auto"/>
              <w:right w:val="single" w:sz="8" w:color="auto"/>
            </w:tcBorders>
            <w:shd w:val="clear" w:color="auto" w:fill="ECECEC"/>
          </w:tcPr>
          <w:p>
            <w:pPr>
              <w:ind w:left="760"/>
              <w:spacing w:after="0"/>
              <w:rPr>
                <w:sz w:val="20"/>
                <w:szCs w:val="20"/>
                <w:color w:val="auto"/>
              </w:rPr>
            </w:pPr>
            <w:r>
              <w:rPr>
                <w:rFonts w:ascii="Arial" w:cs="Arial" w:eastAsia="Arial" w:hAnsi="Arial"/>
                <w:sz w:val="11"/>
                <w:szCs w:val="11"/>
                <w:b w:val="1"/>
                <w:bCs w:val="1"/>
                <w:color w:val="auto"/>
              </w:rPr>
              <w:t>Content of Revision</w:t>
            </w:r>
          </w:p>
        </w:tc>
        <w:tc>
          <w:tcPr>
            <w:tcW w:w="2960" w:type="dxa"/>
            <w:vAlign w:val="bottom"/>
            <w:tcBorders>
              <w:top w:val="single" w:sz="8" w:color="auto"/>
              <w:bottom w:val="single" w:sz="8" w:color="auto"/>
              <w:right w:val="single" w:sz="8" w:color="auto"/>
            </w:tcBorders>
            <w:shd w:val="clear" w:color="auto" w:fill="ECECEC"/>
          </w:tcPr>
          <w:p>
            <w:pPr>
              <w:spacing w:after="0"/>
              <w:rPr>
                <w:sz w:val="20"/>
                <w:szCs w:val="20"/>
                <w:color w:val="auto"/>
              </w:rPr>
            </w:pPr>
            <w:r>
              <w:rPr>
                <w:rFonts w:ascii="Arial" w:cs="Arial" w:eastAsia="Arial" w:hAnsi="Arial"/>
                <w:sz w:val="11"/>
                <w:szCs w:val="11"/>
                <w:b w:val="1"/>
                <w:bCs w:val="1"/>
                <w:color w:val="auto"/>
              </w:rPr>
              <w:t>Conduent Department</w:t>
            </w:r>
          </w:p>
        </w:tc>
        <w:tc>
          <w:tcPr>
            <w:tcW w:w="1640" w:type="dxa"/>
            <w:vAlign w:val="bottom"/>
            <w:tcBorders>
              <w:top w:val="single" w:sz="8" w:color="auto"/>
              <w:bottom w:val="single" w:sz="8" w:color="auto"/>
              <w:right w:val="single" w:sz="8" w:color="auto"/>
            </w:tcBorders>
            <w:shd w:val="clear" w:color="auto" w:fill="ECECEC"/>
          </w:tcPr>
          <w:p>
            <w:pPr>
              <w:ind w:left="440"/>
              <w:spacing w:after="0"/>
              <w:rPr>
                <w:sz w:val="20"/>
                <w:szCs w:val="20"/>
                <w:color w:val="auto"/>
              </w:rPr>
            </w:pPr>
            <w:r>
              <w:rPr>
                <w:rFonts w:ascii="Arial" w:cs="Arial" w:eastAsia="Arial" w:hAnsi="Arial"/>
                <w:sz w:val="11"/>
                <w:szCs w:val="11"/>
                <w:b w:val="1"/>
                <w:bCs w:val="1"/>
                <w:color w:val="auto"/>
              </w:rPr>
              <w:t>Revision Date</w:t>
            </w:r>
          </w:p>
        </w:tc>
      </w:tr>
      <w:tr>
        <w:trPr>
          <w:trHeight w:val="144"/>
        </w:trPr>
        <w:tc>
          <w:tcPr>
            <w:tcW w:w="1500" w:type="dxa"/>
            <w:vAlign w:val="bottom"/>
            <w:tcBorders>
              <w:left w:val="single" w:sz="8" w:color="auto"/>
              <w:bottom w:val="single" w:sz="8" w:color="auto"/>
              <w:right w:val="single" w:sz="8" w:color="auto"/>
            </w:tcBorders>
          </w:tcPr>
          <w:p>
            <w:pPr>
              <w:spacing w:after="0"/>
              <w:rPr>
                <w:sz w:val="12"/>
                <w:szCs w:val="12"/>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New Policy</w:t>
            </w:r>
          </w:p>
        </w:tc>
        <w:tc>
          <w:tcPr>
            <w:tcW w:w="3900" w:type="dxa"/>
            <w:vAlign w:val="bottom"/>
            <w:tcBorders>
              <w:bottom w:val="single" w:sz="8" w:color="auto"/>
              <w:right w:val="single" w:sz="8" w:color="auto"/>
            </w:tcBorders>
          </w:tcPr>
          <w:p>
            <w:pPr>
              <w:spacing w:after="0"/>
              <w:rPr>
                <w:sz w:val="12"/>
                <w:szCs w:val="12"/>
                <w:color w:val="auto"/>
              </w:rPr>
            </w:pPr>
          </w:p>
        </w:tc>
        <w:tc>
          <w:tcPr>
            <w:tcW w:w="2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Legal</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1/01/2017</w:t>
            </w:r>
          </w:p>
        </w:tc>
      </w:tr>
      <w:tr>
        <w:trPr>
          <w:trHeight w:val="14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1</w:t>
            </w:r>
          </w:p>
        </w:tc>
        <w:tc>
          <w:tcPr>
            <w:tcW w:w="13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Updated</w:t>
            </w:r>
          </w:p>
        </w:tc>
        <w:tc>
          <w:tcPr>
            <w:tcW w:w="3900" w:type="dxa"/>
            <w:vAlign w:val="bottom"/>
            <w:tcBorders>
              <w:bottom w:val="single" w:sz="8" w:color="auto"/>
              <w:right w:val="single" w:sz="8" w:color="auto"/>
            </w:tcBorders>
          </w:tcPr>
          <w:p>
            <w:pPr>
              <w:spacing w:after="0"/>
              <w:rPr>
                <w:sz w:val="12"/>
                <w:szCs w:val="12"/>
                <w:color w:val="auto"/>
              </w:rPr>
            </w:pPr>
          </w:p>
        </w:tc>
        <w:tc>
          <w:tcPr>
            <w:tcW w:w="2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Legal</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rPr>
              <w:t>4/21/2020</w:t>
            </w:r>
          </w:p>
        </w:tc>
      </w:tr>
      <w:tr>
        <w:trPr>
          <w:trHeight w:val="147"/>
        </w:trPr>
        <w:tc>
          <w:tcPr>
            <w:tcW w:w="15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7"/>
              </w:rPr>
              <w:t>2</w:t>
            </w:r>
          </w:p>
        </w:tc>
        <w:tc>
          <w:tcPr>
            <w:tcW w:w="130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Updated</w:t>
            </w:r>
          </w:p>
        </w:tc>
        <w:tc>
          <w:tcPr>
            <w:tcW w:w="3900" w:type="dxa"/>
            <w:vAlign w:val="bottom"/>
            <w:tcBorders>
              <w:bottom w:val="single" w:sz="8" w:color="auto"/>
              <w:right w:val="single" w:sz="8" w:color="auto"/>
            </w:tcBorders>
          </w:tcPr>
          <w:p>
            <w:pPr>
              <w:spacing w:after="0"/>
              <w:rPr>
                <w:sz w:val="12"/>
                <w:szCs w:val="12"/>
                <w:color w:val="auto"/>
              </w:rPr>
            </w:pPr>
          </w:p>
        </w:tc>
        <w:tc>
          <w:tcPr>
            <w:tcW w:w="2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1"/>
                <w:szCs w:val="11"/>
                <w:color w:val="auto"/>
              </w:rPr>
              <w:t>Legal</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8"/>
              </w:rPr>
              <w:t>10/31/2023</w:t>
            </w:r>
          </w:p>
        </w:tc>
      </w:tr>
    </w:tbl>
    <w:p>
      <w:pPr>
        <w:sectPr>
          <w:pgSz w:w="11900" w:h="16838" w:orient="portrait"/>
          <w:cols w:equalWidth="0" w:num="1">
            <w:col w:w="11300"/>
          </w:cols>
          <w:pgMar w:left="300" w:top="115" w:right="299" w:bottom="1440" w:gutter="0" w:footer="0" w:header="0"/>
        </w:sectPr>
      </w:pPr>
    </w:p>
    <w:bookmarkStart w:id="106" w:name="page107"/>
    <w:bookmarkEnd w:id="106"/>
    <w:p>
      <w:pPr>
        <w:jc w:val="right"/>
        <w:spacing w:after="0"/>
        <w:rPr>
          <w:sz w:val="20"/>
          <w:szCs w:val="20"/>
          <w:color w:val="auto"/>
        </w:rPr>
      </w:pPr>
      <w:r>
        <w:rPr>
          <w:rFonts w:ascii="Arial" w:cs="Arial" w:eastAsia="Arial" w:hAnsi="Arial"/>
          <w:sz w:val="14"/>
          <w:szCs w:val="14"/>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INSIDER TRADING POLICY ACKNOWLEDGMENT AND CERTIFICATION</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The undersigned certifies that:</w:t>
      </w:r>
    </w:p>
    <w:p>
      <w:pPr>
        <w:spacing w:after="0" w:line="110" w:lineRule="exact"/>
        <w:rPr>
          <w:sz w:val="20"/>
          <w:szCs w:val="20"/>
          <w:color w:val="auto"/>
        </w:rPr>
      </w:pPr>
    </w:p>
    <w:p>
      <w:pPr>
        <w:ind w:firstLine="500"/>
        <w:spacing w:after="0" w:line="251" w:lineRule="auto"/>
        <w:rPr>
          <w:sz w:val="20"/>
          <w:szCs w:val="20"/>
          <w:color w:val="auto"/>
        </w:rPr>
      </w:pPr>
      <w:r>
        <w:rPr>
          <w:rFonts w:ascii="Arial" w:cs="Arial" w:eastAsia="Arial" w:hAnsi="Arial"/>
          <w:sz w:val="14"/>
          <w:szCs w:val="14"/>
          <w:color w:val="auto"/>
        </w:rPr>
        <w:t>I have read and understand the Conduent Incorporated Insider Trading Policy (the "</w:t>
      </w:r>
      <w:r>
        <w:rPr>
          <w:rFonts w:ascii="Arial" w:cs="Arial" w:eastAsia="Arial" w:hAnsi="Arial"/>
          <w:sz w:val="14"/>
          <w:szCs w:val="14"/>
          <w:b w:val="1"/>
          <w:bCs w:val="1"/>
          <w:color w:val="auto"/>
        </w:rPr>
        <w:t>Insider Trading Policy</w:t>
      </w:r>
      <w:r>
        <w:rPr>
          <w:rFonts w:ascii="Arial" w:cs="Arial" w:eastAsia="Arial" w:hAnsi="Arial"/>
          <w:sz w:val="14"/>
          <w:szCs w:val="14"/>
          <w:color w:val="auto"/>
        </w:rPr>
        <w:t>”). I understand that the Compliance Officer (as defined in the Insider Trading Policy) is available to answer any questions I have regarding the Insider Trading Policy.</w:t>
      </w:r>
    </w:p>
    <w:p>
      <w:pPr>
        <w:spacing w:after="0" w:line="80" w:lineRule="exact"/>
        <w:rPr>
          <w:sz w:val="20"/>
          <w:szCs w:val="20"/>
          <w:color w:val="auto"/>
        </w:rPr>
      </w:pPr>
    </w:p>
    <w:p>
      <w:pPr>
        <w:ind w:firstLine="500"/>
        <w:spacing w:after="0" w:line="251" w:lineRule="auto"/>
        <w:rPr>
          <w:sz w:val="20"/>
          <w:szCs w:val="20"/>
          <w:color w:val="auto"/>
        </w:rPr>
      </w:pPr>
      <w:r>
        <w:rPr>
          <w:rFonts w:ascii="Arial" w:cs="Arial" w:eastAsia="Arial" w:hAnsi="Arial"/>
          <w:sz w:val="14"/>
          <w:szCs w:val="14"/>
          <w:color w:val="auto"/>
        </w:rPr>
        <w:t>Since the date the Insider Trading Policy, as revised, became effective, or such shorter period of time that I have been a Restricted Insider, I have complied with the Insider Trading Policy.</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4"/>
          <w:szCs w:val="14"/>
          <w:color w:val="auto"/>
        </w:rPr>
        <w:t>I will continue to comply with the Insider Trading Policy for as long as I am a Restricted Insider subject to the Insider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2224405</wp:posOffset>
            </wp:positionH>
            <wp:positionV relativeFrom="paragraph">
              <wp:posOffset>647700</wp:posOffset>
            </wp:positionV>
            <wp:extent cx="2466975" cy="63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5">
                      <a:extLst>
                        <a:ext uri="{28A0092B-C50C-407E-A947-70E740481C1C}"/>
                      </a:extLst>
                    </a:blip>
                    <a:srcRect/>
                    <a:stretch>
                      <a:fillRect/>
                    </a:stretch>
                  </pic:blipFill>
                  <pic:spPr bwMode="auto">
                    <a:xfrm>
                      <a:off x="0" y="0"/>
                      <a:ext cx="2466975"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520"/>
        <w:spacing w:after="0"/>
        <w:rPr>
          <w:sz w:val="20"/>
          <w:szCs w:val="20"/>
          <w:color w:val="auto"/>
        </w:rPr>
      </w:pPr>
      <w:r>
        <w:rPr>
          <w:rFonts w:ascii="Arial" w:cs="Arial" w:eastAsia="Arial" w:hAnsi="Arial"/>
          <w:sz w:val="14"/>
          <w:szCs w:val="14"/>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2224405</wp:posOffset>
            </wp:positionH>
            <wp:positionV relativeFrom="paragraph">
              <wp:posOffset>350520</wp:posOffset>
            </wp:positionV>
            <wp:extent cx="2466975" cy="63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6">
                      <a:extLst>
                        <a:ext uri="{28A0092B-C50C-407E-A947-70E740481C1C}"/>
                      </a:extLst>
                    </a:blip>
                    <a:srcRect/>
                    <a:stretch>
                      <a:fillRect/>
                    </a:stretch>
                  </pic:blipFill>
                  <pic:spPr bwMode="auto">
                    <a:xfrm>
                      <a:off x="0" y="0"/>
                      <a:ext cx="2466975" cy="635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3520"/>
        <w:spacing w:after="0"/>
        <w:rPr>
          <w:sz w:val="20"/>
          <w:szCs w:val="20"/>
          <w:color w:val="auto"/>
        </w:rPr>
      </w:pPr>
      <w:r>
        <w:rPr>
          <w:rFonts w:ascii="Arial" w:cs="Arial" w:eastAsia="Arial" w:hAnsi="Arial"/>
          <w:sz w:val="14"/>
          <w:szCs w:val="14"/>
          <w:color w:val="auto"/>
        </w:rPr>
        <w:t>Printed name</w:t>
      </w:r>
    </w:p>
    <w:p>
      <w:pPr>
        <w:spacing w:after="0" w:line="200" w:lineRule="exact"/>
        <w:rPr>
          <w:sz w:val="20"/>
          <w:szCs w:val="20"/>
          <w:color w:val="auto"/>
        </w:rPr>
      </w:pPr>
    </w:p>
    <w:p>
      <w:pPr>
        <w:spacing w:after="0" w:line="379" w:lineRule="exact"/>
        <w:rPr>
          <w:sz w:val="20"/>
          <w:szCs w:val="20"/>
          <w:color w:val="auto"/>
        </w:rPr>
      </w:pPr>
    </w:p>
    <w:p>
      <w:pPr>
        <w:ind w:left="60"/>
        <w:spacing w:after="0"/>
        <w:rPr>
          <w:sz w:val="20"/>
          <w:szCs w:val="20"/>
          <w:color w:val="auto"/>
        </w:rPr>
      </w:pPr>
      <w:r>
        <w:rPr>
          <w:rFonts w:ascii="Arial" w:cs="Arial" w:eastAsia="Arial" w:hAnsi="Arial"/>
          <w:sz w:val="14"/>
          <w:szCs w:val="14"/>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544830</wp:posOffset>
            </wp:positionH>
            <wp:positionV relativeFrom="paragraph">
              <wp:posOffset>12700</wp:posOffset>
            </wp:positionV>
            <wp:extent cx="3049270" cy="63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7">
                      <a:extLst>
                        <a:ext uri="{28A0092B-C50C-407E-A947-70E740481C1C}"/>
                      </a:extLst>
                    </a:blip>
                    <a:srcRect/>
                    <a:stretch>
                      <a:fillRect/>
                    </a:stretch>
                  </pic:blipFill>
                  <pic:spPr bwMode="auto">
                    <a:xfrm>
                      <a:off x="0" y="0"/>
                      <a:ext cx="3049270" cy="6350"/>
                    </a:xfrm>
                    <a:prstGeom prst="rect">
                      <a:avLst/>
                    </a:prstGeom>
                    <a:noFill/>
                  </pic:spPr>
                </pic:pic>
              </a:graphicData>
            </a:graphic>
          </wp:anchor>
        </w:drawing>
      </w:r>
    </w:p>
    <w:p>
      <w:pPr>
        <w:sectPr>
          <w:pgSz w:w="11900" w:h="16838" w:orient="portrait"/>
          <w:cols w:equalWidth="0" w:num="1">
            <w:col w:w="11280"/>
          </w:cols>
          <w:pgMar w:left="300" w:top="115" w:right="319" w:bottom="1440" w:gutter="0" w:footer="0" w:header="0"/>
        </w:sectPr>
      </w:pPr>
    </w:p>
    <w:bookmarkStart w:id="107" w:name="page108"/>
    <w:bookmarkEnd w:id="107"/>
    <w:p>
      <w:pPr>
        <w:jc w:val="right"/>
        <w:spacing w:after="0"/>
        <w:rPr>
          <w:sz w:val="20"/>
          <w:szCs w:val="20"/>
          <w:color w:val="auto"/>
        </w:rPr>
      </w:pPr>
      <w:r>
        <w:rPr>
          <w:rFonts w:ascii="Arial" w:cs="Arial" w:eastAsia="Arial" w:hAnsi="Arial"/>
          <w:sz w:val="14"/>
          <w:szCs w:val="14"/>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APPENDIX A</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Defined Terms</w:t>
      </w:r>
    </w:p>
    <w:p>
      <w:pPr>
        <w:spacing w:after="0" w:line="110" w:lineRule="exact"/>
        <w:rPr>
          <w:sz w:val="20"/>
          <w:szCs w:val="20"/>
          <w:color w:val="auto"/>
        </w:rPr>
      </w:pPr>
    </w:p>
    <w:p>
      <w:pPr>
        <w:ind w:left="240" w:hanging="237"/>
        <w:spacing w:after="0"/>
        <w:tabs>
          <w:tab w:leader="none" w:pos="240" w:val="left"/>
        </w:tabs>
        <w:numPr>
          <w:ilvl w:val="0"/>
          <w:numId w:val="6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Restricted Insiders</w:t>
      </w:r>
      <w:r>
        <w:rPr>
          <w:rFonts w:ascii="Arial" w:cs="Arial" w:eastAsia="Arial" w:hAnsi="Arial"/>
          <w:sz w:val="14"/>
          <w:szCs w:val="14"/>
          <w:color w:val="auto"/>
        </w:rPr>
        <w:t>. See the definition in Part II, Section 1.</w:t>
      </w:r>
    </w:p>
    <w:p>
      <w:pPr>
        <w:spacing w:after="0" w:line="120" w:lineRule="exact"/>
        <w:rPr>
          <w:rFonts w:ascii="Arial" w:cs="Arial" w:eastAsia="Arial" w:hAnsi="Arial"/>
          <w:sz w:val="14"/>
          <w:szCs w:val="14"/>
          <w:b w:val="1"/>
          <w:bCs w:val="1"/>
          <w:color w:val="auto"/>
        </w:rPr>
      </w:pPr>
    </w:p>
    <w:p>
      <w:pPr>
        <w:jc w:val="both"/>
        <w:ind w:left="260" w:hanging="257"/>
        <w:spacing w:after="0" w:line="219" w:lineRule="auto"/>
        <w:tabs>
          <w:tab w:leader="none" w:pos="250" w:val="left"/>
        </w:tabs>
        <w:numPr>
          <w:ilvl w:val="0"/>
          <w:numId w:val="63"/>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Material</w:t>
      </w:r>
      <w:r>
        <w:rPr>
          <w:rFonts w:ascii="Arial" w:cs="Arial" w:eastAsia="Arial" w:hAnsi="Arial"/>
          <w:sz w:val="14"/>
          <w:szCs w:val="14"/>
          <w:color w:val="auto"/>
        </w:rPr>
        <w:t>. Insider trading restrictions come into play only if the information you possess is "material.” Materiality, however, involves a relatively low threshold. Information is generally</w:t>
      </w:r>
      <w:r>
        <w:rPr>
          <w:rFonts w:ascii="Arial" w:cs="Arial" w:eastAsia="Arial" w:hAnsi="Arial"/>
          <w:sz w:val="14"/>
          <w:szCs w:val="14"/>
          <w:b w:val="1"/>
          <w:bCs w:val="1"/>
          <w:color w:val="auto"/>
        </w:rPr>
        <w:t xml:space="preserve"> </w:t>
      </w:r>
      <w:r>
        <w:rPr>
          <w:rFonts w:ascii="Arial" w:cs="Arial" w:eastAsia="Arial" w:hAnsi="Arial"/>
          <w:sz w:val="14"/>
          <w:szCs w:val="14"/>
          <w:color w:val="auto"/>
        </w:rPr>
        <w:t>regarded as "material” if it has market significance, that is, if its public dissemination is likely to affect the market price of securities, or if it otherwise is information that a reasonable investor would want to know before making an investment decision. There is no bright-line standard for assessing materiality; rather, materiality is based on an assessment of all of the facts and circumstances. Although it is not possible to define all categories of material information, information dealing with the following subjects is reasonably likely to be found material in particular situations:</w:t>
      </w:r>
    </w:p>
    <w:p>
      <w:pPr>
        <w:spacing w:after="0" w:line="98" w:lineRule="exact"/>
        <w:rPr>
          <w:rFonts w:ascii="Arial" w:cs="Arial" w:eastAsia="Arial" w:hAnsi="Arial"/>
          <w:sz w:val="14"/>
          <w:szCs w:val="14"/>
          <w:b w:val="1"/>
          <w:bCs w:val="1"/>
          <w:color w:val="auto"/>
        </w:rPr>
      </w:pPr>
    </w:p>
    <w:p>
      <w:pPr>
        <w:ind w:left="500" w:hanging="247"/>
        <w:spacing w:after="0"/>
        <w:tabs>
          <w:tab w:leader="none" w:pos="500" w:val="left"/>
        </w:tabs>
        <w:numPr>
          <w:ilvl w:val="1"/>
          <w:numId w:val="63"/>
        </w:numPr>
        <w:rPr>
          <w:rFonts w:ascii="Times New Roman" w:cs="Times New Roman" w:eastAsia="Times New Roman" w:hAnsi="Times New Roman"/>
          <w:sz w:val="14"/>
          <w:szCs w:val="14"/>
          <w:color w:val="auto"/>
        </w:rPr>
      </w:pPr>
      <w:r>
        <w:rPr>
          <w:rFonts w:ascii="Arial" w:cs="Arial" w:eastAsia="Arial" w:hAnsi="Arial"/>
          <w:sz w:val="14"/>
          <w:szCs w:val="14"/>
          <w:color w:val="auto"/>
        </w:rPr>
        <w:t>significant changes in the Company’s current or expected operating performance or consolidated financial results;</w:t>
      </w:r>
    </w:p>
    <w:p>
      <w:pPr>
        <w:spacing w:after="0" w:line="119"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1"/>
          <w:numId w:val="63"/>
        </w:numPr>
        <w:rPr>
          <w:rFonts w:ascii="Times New Roman" w:cs="Times New Roman" w:eastAsia="Times New Roman" w:hAnsi="Times New Roman"/>
          <w:sz w:val="14"/>
          <w:szCs w:val="14"/>
          <w:color w:val="auto"/>
        </w:rPr>
      </w:pPr>
      <w:r>
        <w:rPr>
          <w:rFonts w:ascii="Arial" w:cs="Arial" w:eastAsia="Arial" w:hAnsi="Arial"/>
          <w:sz w:val="14"/>
          <w:szCs w:val="14"/>
          <w:color w:val="auto"/>
        </w:rPr>
        <w:t>significant write-downs in assets or increases in reserves;</w:t>
      </w:r>
    </w:p>
    <w:p>
      <w:pPr>
        <w:spacing w:after="0" w:line="109"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1"/>
          <w:numId w:val="63"/>
        </w:numPr>
        <w:rPr>
          <w:rFonts w:ascii="Times New Roman" w:cs="Times New Roman" w:eastAsia="Times New Roman" w:hAnsi="Times New Roman"/>
          <w:sz w:val="14"/>
          <w:szCs w:val="14"/>
          <w:color w:val="auto"/>
        </w:rPr>
      </w:pPr>
      <w:r>
        <w:rPr>
          <w:rFonts w:ascii="Arial" w:cs="Arial" w:eastAsia="Arial" w:hAnsi="Arial"/>
          <w:sz w:val="14"/>
          <w:szCs w:val="14"/>
          <w:color w:val="auto"/>
        </w:rPr>
        <w:t>developments regarding significant litigation or government agency investigations;</w:t>
      </w:r>
    </w:p>
    <w:p>
      <w:pPr>
        <w:spacing w:after="0" w:line="119"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1"/>
          <w:numId w:val="63"/>
        </w:numPr>
        <w:rPr>
          <w:rFonts w:ascii="Times New Roman" w:cs="Times New Roman" w:eastAsia="Times New Roman" w:hAnsi="Times New Roman"/>
          <w:sz w:val="14"/>
          <w:szCs w:val="14"/>
          <w:color w:val="auto"/>
        </w:rPr>
      </w:pPr>
      <w:r>
        <w:rPr>
          <w:rFonts w:ascii="Arial" w:cs="Arial" w:eastAsia="Arial" w:hAnsi="Arial"/>
          <w:sz w:val="14"/>
          <w:szCs w:val="14"/>
          <w:color w:val="auto"/>
        </w:rPr>
        <w:t>liquidity problems;</w:t>
      </w:r>
    </w:p>
    <w:p>
      <w:pPr>
        <w:spacing w:after="0" w:line="109"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1"/>
          <w:numId w:val="63"/>
        </w:numPr>
        <w:rPr>
          <w:rFonts w:ascii="Times New Roman" w:cs="Times New Roman" w:eastAsia="Times New Roman" w:hAnsi="Times New Roman"/>
          <w:sz w:val="14"/>
          <w:szCs w:val="14"/>
          <w:color w:val="auto"/>
        </w:rPr>
      </w:pPr>
      <w:r>
        <w:rPr>
          <w:rFonts w:ascii="Arial" w:cs="Arial" w:eastAsia="Arial" w:hAnsi="Arial"/>
          <w:sz w:val="14"/>
          <w:szCs w:val="14"/>
          <w:color w:val="auto"/>
        </w:rPr>
        <w:t>changes in earnings estimates or unusual gains or losses in major operations;</w:t>
      </w:r>
    </w:p>
    <w:p>
      <w:pPr>
        <w:spacing w:after="0" w:line="119"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1"/>
          <w:numId w:val="63"/>
        </w:numPr>
        <w:rPr>
          <w:rFonts w:ascii="Times New Roman" w:cs="Times New Roman" w:eastAsia="Times New Roman" w:hAnsi="Times New Roman"/>
          <w:sz w:val="14"/>
          <w:szCs w:val="14"/>
          <w:color w:val="auto"/>
        </w:rPr>
      </w:pPr>
      <w:r>
        <w:rPr>
          <w:rFonts w:ascii="Arial" w:cs="Arial" w:eastAsia="Arial" w:hAnsi="Arial"/>
          <w:sz w:val="14"/>
          <w:szCs w:val="14"/>
          <w:color w:val="auto"/>
        </w:rPr>
        <w:t>major changes in the Company’s management or the board of directors;</w:t>
      </w:r>
    </w:p>
    <w:p>
      <w:pPr>
        <w:spacing w:after="0" w:line="119"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1"/>
          <w:numId w:val="63"/>
        </w:numPr>
        <w:rPr>
          <w:rFonts w:ascii="Times New Roman" w:cs="Times New Roman" w:eastAsia="Times New Roman" w:hAnsi="Times New Roman"/>
          <w:sz w:val="14"/>
          <w:szCs w:val="14"/>
          <w:color w:val="auto"/>
        </w:rPr>
      </w:pPr>
      <w:r>
        <w:rPr>
          <w:rFonts w:ascii="Arial" w:cs="Arial" w:eastAsia="Arial" w:hAnsi="Arial"/>
          <w:sz w:val="14"/>
          <w:szCs w:val="14"/>
          <w:color w:val="auto"/>
        </w:rPr>
        <w:t>changes in dividends;</w:t>
      </w:r>
    </w:p>
    <w:p>
      <w:pPr>
        <w:spacing w:after="0" w:line="109"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1"/>
          <w:numId w:val="63"/>
        </w:numPr>
        <w:rPr>
          <w:rFonts w:ascii="Times New Roman" w:cs="Times New Roman" w:eastAsia="Times New Roman" w:hAnsi="Times New Roman"/>
          <w:sz w:val="14"/>
          <w:szCs w:val="14"/>
          <w:color w:val="auto"/>
        </w:rPr>
      </w:pPr>
      <w:r>
        <w:rPr>
          <w:rFonts w:ascii="Arial" w:cs="Arial" w:eastAsia="Arial" w:hAnsi="Arial"/>
          <w:sz w:val="14"/>
          <w:szCs w:val="14"/>
          <w:color w:val="auto"/>
        </w:rPr>
        <w:t>extraordinary borrowings;</w:t>
      </w:r>
    </w:p>
    <w:p>
      <w:pPr>
        <w:spacing w:after="0" w:line="119"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1"/>
          <w:numId w:val="63"/>
        </w:numPr>
        <w:rPr>
          <w:rFonts w:ascii="Times New Roman" w:cs="Times New Roman" w:eastAsia="Times New Roman" w:hAnsi="Times New Roman"/>
          <w:sz w:val="14"/>
          <w:szCs w:val="14"/>
          <w:color w:val="auto"/>
        </w:rPr>
      </w:pPr>
      <w:r>
        <w:rPr>
          <w:rFonts w:ascii="Arial" w:cs="Arial" w:eastAsia="Arial" w:hAnsi="Arial"/>
          <w:sz w:val="14"/>
          <w:szCs w:val="14"/>
          <w:color w:val="auto"/>
        </w:rPr>
        <w:t>major changes in accounting methods or policies;</w:t>
      </w:r>
    </w:p>
    <w:p>
      <w:pPr>
        <w:spacing w:after="0" w:line="119"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1"/>
          <w:numId w:val="63"/>
        </w:numPr>
        <w:rPr>
          <w:rFonts w:ascii="Times New Roman" w:cs="Times New Roman" w:eastAsia="Times New Roman" w:hAnsi="Times New Roman"/>
          <w:sz w:val="14"/>
          <w:szCs w:val="14"/>
          <w:color w:val="auto"/>
        </w:rPr>
      </w:pPr>
      <w:r>
        <w:rPr>
          <w:rFonts w:ascii="Arial" w:cs="Arial" w:eastAsia="Arial" w:hAnsi="Arial"/>
          <w:sz w:val="14"/>
          <w:szCs w:val="14"/>
          <w:color w:val="auto"/>
        </w:rPr>
        <w:t>award or loss of a significant contract;</w:t>
      </w:r>
    </w:p>
    <w:p>
      <w:pPr>
        <w:spacing w:after="0" w:line="109"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1"/>
          <w:numId w:val="63"/>
        </w:numPr>
        <w:rPr>
          <w:rFonts w:ascii="Times New Roman" w:cs="Times New Roman" w:eastAsia="Times New Roman" w:hAnsi="Times New Roman"/>
          <w:sz w:val="14"/>
          <w:szCs w:val="14"/>
          <w:color w:val="auto"/>
        </w:rPr>
      </w:pPr>
      <w:r>
        <w:rPr>
          <w:rFonts w:ascii="Arial" w:cs="Arial" w:eastAsia="Arial" w:hAnsi="Arial"/>
          <w:sz w:val="14"/>
          <w:szCs w:val="14"/>
          <w:color w:val="auto"/>
        </w:rPr>
        <w:t>gain or loss of a significant supplier;</w:t>
      </w:r>
    </w:p>
    <w:p>
      <w:pPr>
        <w:spacing w:after="0" w:line="119"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1"/>
          <w:numId w:val="63"/>
        </w:numPr>
        <w:rPr>
          <w:rFonts w:ascii="Times New Roman" w:cs="Times New Roman" w:eastAsia="Times New Roman" w:hAnsi="Times New Roman"/>
          <w:sz w:val="14"/>
          <w:szCs w:val="14"/>
          <w:color w:val="auto"/>
        </w:rPr>
      </w:pPr>
      <w:r>
        <w:rPr>
          <w:rFonts w:ascii="Arial" w:cs="Arial" w:eastAsia="Arial" w:hAnsi="Arial"/>
          <w:sz w:val="14"/>
          <w:szCs w:val="14"/>
          <w:color w:val="auto"/>
        </w:rPr>
        <w:t>cybersecurity risks and incidents, including vulnerabilities and breaches;</w:t>
      </w:r>
    </w:p>
    <w:p>
      <w:pPr>
        <w:spacing w:after="0" w:line="119"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1"/>
          <w:numId w:val="63"/>
        </w:numPr>
        <w:rPr>
          <w:rFonts w:ascii="Times New Roman" w:cs="Times New Roman" w:eastAsia="Times New Roman" w:hAnsi="Times New Roman"/>
          <w:sz w:val="14"/>
          <w:szCs w:val="14"/>
          <w:color w:val="auto"/>
        </w:rPr>
      </w:pPr>
      <w:r>
        <w:rPr>
          <w:rFonts w:ascii="Arial" w:cs="Arial" w:eastAsia="Arial" w:hAnsi="Arial"/>
          <w:sz w:val="14"/>
          <w:szCs w:val="14"/>
          <w:color w:val="auto"/>
        </w:rPr>
        <w:t>changes in debt ratings;</w:t>
      </w:r>
    </w:p>
    <w:p>
      <w:pPr>
        <w:spacing w:after="0" w:line="109" w:lineRule="exact"/>
        <w:rPr>
          <w:rFonts w:ascii="Times New Roman" w:cs="Times New Roman" w:eastAsia="Times New Roman" w:hAnsi="Times New Roman"/>
          <w:sz w:val="14"/>
          <w:szCs w:val="14"/>
          <w:color w:val="auto"/>
        </w:rPr>
      </w:pPr>
    </w:p>
    <w:p>
      <w:pPr>
        <w:ind w:left="500" w:hanging="247"/>
        <w:spacing w:after="0" w:line="250" w:lineRule="auto"/>
        <w:tabs>
          <w:tab w:leader="none" w:pos="496" w:val="left"/>
        </w:tabs>
        <w:numPr>
          <w:ilvl w:val="1"/>
          <w:numId w:val="63"/>
        </w:numPr>
        <w:rPr>
          <w:rFonts w:ascii="Times New Roman" w:cs="Times New Roman" w:eastAsia="Times New Roman" w:hAnsi="Times New Roman"/>
          <w:sz w:val="14"/>
          <w:szCs w:val="14"/>
          <w:color w:val="auto"/>
        </w:rPr>
      </w:pPr>
      <w:r>
        <w:rPr>
          <w:rFonts w:ascii="Arial" w:cs="Arial" w:eastAsia="Arial" w:hAnsi="Arial"/>
          <w:sz w:val="14"/>
          <w:szCs w:val="14"/>
          <w:color w:val="auto"/>
        </w:rPr>
        <w:t>proposals, plans or agreements, even if preliminary in nature, involving mergers, acquisitions, divestitures, recapitalizations, financings, strategic alliances, licensing arrangements, or purchases or sales of substantial assets;</w:t>
      </w:r>
    </w:p>
    <w:p>
      <w:pPr>
        <w:spacing w:after="0" w:line="80"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1"/>
          <w:numId w:val="63"/>
        </w:numPr>
        <w:rPr>
          <w:rFonts w:ascii="Times New Roman" w:cs="Times New Roman" w:eastAsia="Times New Roman" w:hAnsi="Times New Roman"/>
          <w:sz w:val="14"/>
          <w:szCs w:val="14"/>
          <w:color w:val="auto"/>
        </w:rPr>
      </w:pPr>
      <w:r>
        <w:rPr>
          <w:rFonts w:ascii="Arial" w:cs="Arial" w:eastAsia="Arial" w:hAnsi="Arial"/>
          <w:sz w:val="14"/>
          <w:szCs w:val="14"/>
          <w:color w:val="auto"/>
        </w:rPr>
        <w:t>offerings of Company securities;</w:t>
      </w:r>
    </w:p>
    <w:p>
      <w:pPr>
        <w:spacing w:after="0" w:line="119"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1"/>
          <w:numId w:val="63"/>
        </w:numPr>
        <w:rPr>
          <w:rFonts w:ascii="Times New Roman" w:cs="Times New Roman" w:eastAsia="Times New Roman" w:hAnsi="Times New Roman"/>
          <w:sz w:val="14"/>
          <w:szCs w:val="14"/>
          <w:color w:val="auto"/>
        </w:rPr>
      </w:pPr>
      <w:r>
        <w:rPr>
          <w:rFonts w:ascii="Arial" w:cs="Arial" w:eastAsia="Arial" w:hAnsi="Arial"/>
          <w:sz w:val="14"/>
          <w:szCs w:val="14"/>
          <w:color w:val="auto"/>
        </w:rPr>
        <w:t>quarterly or annual earnings or operational results or projections;</w:t>
      </w:r>
    </w:p>
    <w:p>
      <w:pPr>
        <w:spacing w:after="0" w:line="119"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1"/>
          <w:numId w:val="63"/>
        </w:numPr>
        <w:rPr>
          <w:rFonts w:ascii="Times New Roman" w:cs="Times New Roman" w:eastAsia="Times New Roman" w:hAnsi="Times New Roman"/>
          <w:sz w:val="14"/>
          <w:szCs w:val="14"/>
          <w:color w:val="auto"/>
        </w:rPr>
      </w:pPr>
      <w:r>
        <w:rPr>
          <w:rFonts w:ascii="Arial" w:cs="Arial" w:eastAsia="Arial" w:hAnsi="Arial"/>
          <w:sz w:val="14"/>
          <w:szCs w:val="14"/>
          <w:color w:val="auto"/>
        </w:rPr>
        <w:t>mergers, acquisitions, joint ventures, divestitures, or other changes in company assets;</w:t>
      </w:r>
    </w:p>
    <w:p>
      <w:pPr>
        <w:spacing w:after="0" w:line="109"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1"/>
          <w:numId w:val="63"/>
        </w:numPr>
        <w:rPr>
          <w:rFonts w:ascii="Times New Roman" w:cs="Times New Roman" w:eastAsia="Times New Roman" w:hAnsi="Times New Roman"/>
          <w:sz w:val="14"/>
          <w:szCs w:val="14"/>
          <w:color w:val="auto"/>
        </w:rPr>
      </w:pPr>
      <w:r>
        <w:rPr>
          <w:rFonts w:ascii="Arial" w:cs="Arial" w:eastAsia="Arial" w:hAnsi="Arial"/>
          <w:sz w:val="14"/>
          <w:szCs w:val="14"/>
          <w:color w:val="auto"/>
        </w:rPr>
        <w:t>profits by product, business division or subsidiary;</w:t>
      </w:r>
    </w:p>
    <w:p>
      <w:pPr>
        <w:spacing w:after="0" w:line="119"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1"/>
          <w:numId w:val="63"/>
        </w:numPr>
        <w:rPr>
          <w:rFonts w:ascii="Times New Roman" w:cs="Times New Roman" w:eastAsia="Times New Roman" w:hAnsi="Times New Roman"/>
          <w:sz w:val="14"/>
          <w:szCs w:val="14"/>
          <w:color w:val="auto"/>
        </w:rPr>
      </w:pPr>
      <w:r>
        <w:rPr>
          <w:rFonts w:ascii="Arial" w:cs="Arial" w:eastAsia="Arial" w:hAnsi="Arial"/>
          <w:sz w:val="14"/>
          <w:szCs w:val="14"/>
          <w:color w:val="auto"/>
        </w:rPr>
        <w:t>Company share buyback programs and their implementation or cessation;</w:t>
      </w:r>
    </w:p>
    <w:p>
      <w:pPr>
        <w:spacing w:after="0" w:line="119"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1"/>
          <w:numId w:val="63"/>
        </w:numPr>
        <w:rPr>
          <w:rFonts w:ascii="Times New Roman" w:cs="Times New Roman" w:eastAsia="Times New Roman" w:hAnsi="Times New Roman"/>
          <w:sz w:val="14"/>
          <w:szCs w:val="14"/>
          <w:color w:val="auto"/>
        </w:rPr>
      </w:pPr>
      <w:r>
        <w:rPr>
          <w:rFonts w:ascii="Arial" w:cs="Arial" w:eastAsia="Arial" w:hAnsi="Arial"/>
          <w:sz w:val="14"/>
          <w:szCs w:val="14"/>
          <w:color w:val="auto"/>
        </w:rPr>
        <w:t>new products, discoveries, patents or developments regarding customers or suppliers; and</w:t>
      </w:r>
    </w:p>
    <w:p>
      <w:pPr>
        <w:spacing w:after="0" w:line="109"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1"/>
          <w:numId w:val="63"/>
        </w:numPr>
        <w:rPr>
          <w:rFonts w:ascii="Times New Roman" w:cs="Times New Roman" w:eastAsia="Times New Roman" w:hAnsi="Times New Roman"/>
          <w:sz w:val="14"/>
          <w:szCs w:val="14"/>
          <w:color w:val="auto"/>
        </w:rPr>
      </w:pPr>
      <w:r>
        <w:rPr>
          <w:rFonts w:ascii="Arial" w:cs="Arial" w:eastAsia="Arial" w:hAnsi="Arial"/>
          <w:sz w:val="14"/>
          <w:szCs w:val="14"/>
          <w:color w:val="auto"/>
        </w:rPr>
        <w:t>change in auditors and agreements/disagreements with auditors.</w:t>
      </w:r>
    </w:p>
    <w:p>
      <w:pPr>
        <w:spacing w:after="0" w:line="120" w:lineRule="exact"/>
        <w:rPr>
          <w:sz w:val="20"/>
          <w:szCs w:val="20"/>
          <w:color w:val="auto"/>
        </w:rPr>
      </w:pPr>
    </w:p>
    <w:p>
      <w:pPr>
        <w:ind w:left="260"/>
        <w:spacing w:after="0" w:line="237" w:lineRule="auto"/>
        <w:rPr>
          <w:sz w:val="20"/>
          <w:szCs w:val="20"/>
          <w:color w:val="auto"/>
        </w:rPr>
      </w:pPr>
      <w:r>
        <w:rPr>
          <w:rFonts w:ascii="Arial" w:cs="Arial" w:eastAsia="Arial" w:hAnsi="Arial"/>
          <w:sz w:val="13"/>
          <w:szCs w:val="13"/>
          <w:color w:val="auto"/>
        </w:rPr>
        <w:t>Material information is not limited to historical facts but may also include projections and forecasts. With respect to a future event, such as a merger, acquisition or introduction of a new product, the point at which negotiations or product development are determined to be material is determined by balancing the probability that the event will occur against the</w:t>
      </w:r>
    </w:p>
    <w:p>
      <w:pPr>
        <w:ind w:left="260"/>
        <w:spacing w:after="0"/>
        <w:rPr>
          <w:sz w:val="20"/>
          <w:szCs w:val="20"/>
          <w:color w:val="auto"/>
        </w:rPr>
      </w:pPr>
      <w:r>
        <w:rPr>
          <w:rFonts w:ascii="Arial" w:cs="Arial" w:eastAsia="Arial" w:hAnsi="Arial"/>
          <w:sz w:val="14"/>
          <w:szCs w:val="14"/>
          <w:color w:val="auto"/>
        </w:rPr>
        <w:t>magnitude of the effect the event would have on a company’s operations</w:t>
      </w:r>
    </w:p>
    <w:p>
      <w:pPr>
        <w:sectPr>
          <w:pgSz w:w="11900" w:h="16838" w:orient="portrait"/>
          <w:cols w:equalWidth="0" w:num="1">
            <w:col w:w="11280"/>
          </w:cols>
          <w:pgMar w:left="300" w:top="115" w:right="319" w:bottom="1440" w:gutter="0" w:footer="0" w:header="0"/>
        </w:sectPr>
      </w:pPr>
    </w:p>
    <w:bookmarkStart w:id="108" w:name="page109"/>
    <w:bookmarkEnd w:id="108"/>
    <w:p>
      <w:pPr>
        <w:jc w:val="right"/>
        <w:spacing w:after="0"/>
        <w:rPr>
          <w:sz w:val="20"/>
          <w:szCs w:val="20"/>
          <w:color w:val="auto"/>
        </w:rPr>
      </w:pPr>
      <w:r>
        <w:rPr>
          <w:rFonts w:ascii="Arial" w:cs="Arial" w:eastAsia="Arial" w:hAnsi="Arial"/>
          <w:sz w:val="14"/>
          <w:szCs w:val="14"/>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260"/>
        <w:spacing w:after="0" w:line="237" w:lineRule="auto"/>
        <w:rPr>
          <w:sz w:val="20"/>
          <w:szCs w:val="20"/>
          <w:color w:val="auto"/>
        </w:rPr>
      </w:pPr>
      <w:r>
        <w:rPr>
          <w:rFonts w:ascii="Arial" w:cs="Arial" w:eastAsia="Arial" w:hAnsi="Arial"/>
          <w:sz w:val="13"/>
          <w:szCs w:val="13"/>
          <w:color w:val="auto"/>
        </w:rPr>
        <w:t>or stock price should it occur. Thus, information concerning an event that would have a large effect on stock price, such as a merger, may be material even if the possibility that the event will occur is relatively small. Obviously, what is material information cannot be described or listed with precision, since there are many gray areas and varying circumstances.</w:t>
      </w:r>
    </w:p>
    <w:p>
      <w:pPr>
        <w:ind w:left="260"/>
        <w:spacing w:after="0" w:line="201" w:lineRule="auto"/>
        <w:rPr>
          <w:sz w:val="20"/>
          <w:szCs w:val="20"/>
          <w:color w:val="auto"/>
        </w:rPr>
      </w:pPr>
      <w:r>
        <w:rPr>
          <w:rFonts w:ascii="Arial" w:cs="Arial" w:eastAsia="Arial" w:hAnsi="Arial"/>
          <w:sz w:val="14"/>
          <w:szCs w:val="14"/>
          <w:color w:val="auto"/>
        </w:rPr>
        <w:t>When in doubt about whether particular nonpublic information is material, you should presume it is material. If you are unsure whether information is material, you should either</w:t>
      </w:r>
    </w:p>
    <w:p>
      <w:pPr>
        <w:spacing w:after="0" w:line="1" w:lineRule="exact"/>
        <w:rPr>
          <w:sz w:val="20"/>
          <w:szCs w:val="20"/>
          <w:color w:val="auto"/>
        </w:rPr>
      </w:pPr>
    </w:p>
    <w:p>
      <w:pPr>
        <w:ind w:left="260" w:hanging="7"/>
        <w:spacing w:after="0" w:line="227" w:lineRule="auto"/>
        <w:tabs>
          <w:tab w:leader="none" w:pos="488" w:val="left"/>
        </w:tabs>
        <w:numPr>
          <w:ilvl w:val="1"/>
          <w:numId w:val="64"/>
        </w:numPr>
        <w:rPr>
          <w:rFonts w:ascii="Arial" w:cs="Arial" w:eastAsia="Arial" w:hAnsi="Arial"/>
          <w:sz w:val="14"/>
          <w:szCs w:val="14"/>
          <w:color w:val="auto"/>
        </w:rPr>
      </w:pPr>
      <w:r>
        <w:rPr>
          <w:rFonts w:ascii="Arial" w:cs="Arial" w:eastAsia="Arial" w:hAnsi="Arial"/>
          <w:sz w:val="14"/>
          <w:szCs w:val="14"/>
          <w:color w:val="auto"/>
        </w:rPr>
        <w:t>consult the Compliance Officer (as defined below) before making any decision to disclose such information (other than to persons who need to know it) or to trade in or recommend securities to which that information relates or (2) assume that the information is material.</w:t>
      </w:r>
    </w:p>
    <w:p>
      <w:pPr>
        <w:spacing w:after="0" w:line="98" w:lineRule="exact"/>
        <w:rPr>
          <w:rFonts w:ascii="Arial" w:cs="Arial" w:eastAsia="Arial" w:hAnsi="Arial"/>
          <w:sz w:val="14"/>
          <w:szCs w:val="14"/>
          <w:color w:val="auto"/>
        </w:rPr>
      </w:pPr>
    </w:p>
    <w:p>
      <w:pPr>
        <w:jc w:val="both"/>
        <w:ind w:left="260" w:hanging="257"/>
        <w:spacing w:after="0" w:line="219" w:lineRule="auto"/>
        <w:tabs>
          <w:tab w:leader="none" w:pos="252" w:val="left"/>
        </w:tabs>
        <w:numPr>
          <w:ilvl w:val="0"/>
          <w:numId w:val="6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Nonpublic</w:t>
      </w:r>
      <w:r>
        <w:rPr>
          <w:rFonts w:ascii="Arial" w:cs="Arial" w:eastAsia="Arial" w:hAnsi="Arial"/>
          <w:sz w:val="14"/>
          <w:szCs w:val="14"/>
          <w:b w:val="1"/>
          <w:bCs w:val="1"/>
          <w:color w:val="auto"/>
        </w:rPr>
        <w:t xml:space="preserve">. </w:t>
      </w:r>
      <w:r>
        <w:rPr>
          <w:rFonts w:ascii="Arial" w:cs="Arial" w:eastAsia="Arial" w:hAnsi="Arial"/>
          <w:sz w:val="14"/>
          <w:szCs w:val="14"/>
          <w:color w:val="auto"/>
        </w:rPr>
        <w:t>Insider trading prohibitions come into play only when you possess information that is material and “nonpublic.” “Nonpublic” information is any information that has not</w:t>
      </w:r>
      <w:r>
        <w:rPr>
          <w:rFonts w:ascii="Arial" w:cs="Arial" w:eastAsia="Arial" w:hAnsi="Arial"/>
          <w:sz w:val="14"/>
          <w:szCs w:val="14"/>
          <w:b w:val="1"/>
          <w:bCs w:val="1"/>
          <w:color w:val="auto"/>
        </w:rPr>
        <w:t xml:space="preserve"> </w:t>
      </w:r>
      <w:r>
        <w:rPr>
          <w:rFonts w:ascii="Arial" w:cs="Arial" w:eastAsia="Arial" w:hAnsi="Arial"/>
          <w:sz w:val="14"/>
          <w:szCs w:val="14"/>
          <w:color w:val="auto"/>
        </w:rPr>
        <w:t>been previously disclosed and is not otherwise available to investors generally. Conversely, the fact that information has been disclosed to a few members of the public does not make it public for insider trading purposes. To be “public” the information must have been disseminated in a manner designed to reach investors generally, and the investors must be given the opportunity to absorb the information. Filings with the SEC and press releases are generally regarded as public information. However, even after public disclosure of information about the Company, you must wait until the second trading day after the information was publicly disclosed before you can treat the information as public.</w:t>
      </w:r>
    </w:p>
    <w:p>
      <w:pPr>
        <w:spacing w:after="0" w:line="98" w:lineRule="exact"/>
        <w:rPr>
          <w:rFonts w:ascii="Arial" w:cs="Arial" w:eastAsia="Arial" w:hAnsi="Arial"/>
          <w:sz w:val="14"/>
          <w:szCs w:val="14"/>
          <w:b w:val="1"/>
          <w:bCs w:val="1"/>
          <w:color w:val="auto"/>
        </w:rPr>
      </w:pPr>
    </w:p>
    <w:p>
      <w:pPr>
        <w:ind w:left="260"/>
        <w:spacing w:after="0"/>
        <w:rPr>
          <w:rFonts w:ascii="Arial" w:cs="Arial" w:eastAsia="Arial" w:hAnsi="Arial"/>
          <w:sz w:val="14"/>
          <w:szCs w:val="14"/>
          <w:b w:val="1"/>
          <w:bCs w:val="1"/>
          <w:color w:val="auto"/>
        </w:rPr>
      </w:pPr>
      <w:r>
        <w:rPr>
          <w:rFonts w:ascii="Arial" w:cs="Arial" w:eastAsia="Arial" w:hAnsi="Arial"/>
          <w:sz w:val="14"/>
          <w:szCs w:val="14"/>
          <w:color w:val="auto"/>
        </w:rPr>
        <w:t>Nonpublic information may include:</w:t>
      </w:r>
    </w:p>
    <w:p>
      <w:pPr>
        <w:spacing w:after="0" w:line="120" w:lineRule="exact"/>
        <w:rPr>
          <w:rFonts w:ascii="Arial" w:cs="Arial" w:eastAsia="Arial" w:hAnsi="Arial"/>
          <w:sz w:val="14"/>
          <w:szCs w:val="14"/>
          <w:b w:val="1"/>
          <w:bCs w:val="1"/>
          <w:color w:val="auto"/>
        </w:rPr>
      </w:pPr>
    </w:p>
    <w:p>
      <w:pPr>
        <w:ind w:left="260"/>
        <w:spacing w:after="0"/>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information available to a select group of analysts or brokers or institutional investors;</w:t>
      </w:r>
    </w:p>
    <w:p>
      <w:pPr>
        <w:spacing w:after="0" w:line="109" w:lineRule="exact"/>
        <w:rPr>
          <w:rFonts w:ascii="Arial" w:cs="Arial" w:eastAsia="Arial" w:hAnsi="Arial"/>
          <w:sz w:val="14"/>
          <w:szCs w:val="14"/>
          <w:b w:val="1"/>
          <w:bCs w:val="1"/>
          <w:color w:val="auto"/>
        </w:rPr>
      </w:pPr>
    </w:p>
    <w:p>
      <w:pPr>
        <w:ind w:left="260"/>
        <w:spacing w:after="0"/>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undisclosed facts that are the subject of rumors, even if the rumors are widely circulated; and</w:t>
      </w:r>
    </w:p>
    <w:p>
      <w:pPr>
        <w:spacing w:after="0" w:line="119" w:lineRule="exact"/>
        <w:rPr>
          <w:rFonts w:ascii="Arial" w:cs="Arial" w:eastAsia="Arial" w:hAnsi="Arial"/>
          <w:sz w:val="14"/>
          <w:szCs w:val="14"/>
          <w:b w:val="1"/>
          <w:bCs w:val="1"/>
          <w:color w:val="auto"/>
        </w:rPr>
      </w:pPr>
    </w:p>
    <w:p>
      <w:pPr>
        <w:ind w:left="500" w:hanging="250"/>
        <w:spacing w:after="0" w:line="237" w:lineRule="auto"/>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information that has been entrusted to the Company on a confidential basis until a public announcement of the information has been made and enough time has elapsed for</w:t>
      </w: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the market to respond to a public announcement of the information (normally the second trading day following the day of the announcement).</w:t>
      </w:r>
    </w:p>
    <w:p>
      <w:pPr>
        <w:spacing w:after="0" w:line="98" w:lineRule="exact"/>
        <w:rPr>
          <w:rFonts w:ascii="Arial" w:cs="Arial" w:eastAsia="Arial" w:hAnsi="Arial"/>
          <w:sz w:val="14"/>
          <w:szCs w:val="14"/>
          <w:b w:val="1"/>
          <w:bCs w:val="1"/>
          <w:color w:val="auto"/>
        </w:rPr>
      </w:pPr>
    </w:p>
    <w:p>
      <w:pPr>
        <w:ind w:left="260"/>
        <w:spacing w:after="0" w:line="237" w:lineRule="auto"/>
        <w:rPr>
          <w:rFonts w:ascii="Arial" w:cs="Arial" w:eastAsia="Arial" w:hAnsi="Arial"/>
          <w:sz w:val="14"/>
          <w:szCs w:val="14"/>
          <w:b w:val="1"/>
          <w:bCs w:val="1"/>
          <w:color w:val="auto"/>
        </w:rPr>
      </w:pPr>
      <w:r>
        <w:rPr>
          <w:rFonts w:ascii="Arial" w:cs="Arial" w:eastAsia="Arial" w:hAnsi="Arial"/>
          <w:sz w:val="14"/>
          <w:szCs w:val="14"/>
          <w:color w:val="auto"/>
        </w:rPr>
        <w:t>As with questions of materiality, if you are not sure whether information is considered public, you should either consult with the Compliance Officer or assume that the information is nonpublic and treat it as confidential.</w:t>
      </w:r>
    </w:p>
    <w:p>
      <w:pPr>
        <w:spacing w:after="0" w:line="98" w:lineRule="exact"/>
        <w:rPr>
          <w:rFonts w:ascii="Arial" w:cs="Arial" w:eastAsia="Arial" w:hAnsi="Arial"/>
          <w:sz w:val="14"/>
          <w:szCs w:val="14"/>
          <w:b w:val="1"/>
          <w:bCs w:val="1"/>
          <w:color w:val="auto"/>
        </w:rPr>
      </w:pPr>
    </w:p>
    <w:p>
      <w:pPr>
        <w:ind w:left="260" w:hanging="257"/>
        <w:spacing w:after="0" w:line="237" w:lineRule="auto"/>
        <w:tabs>
          <w:tab w:leader="none" w:pos="250" w:val="left"/>
        </w:tabs>
        <w:numPr>
          <w:ilvl w:val="0"/>
          <w:numId w:val="6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Compliance Officer</w:t>
      </w:r>
      <w:r>
        <w:rPr>
          <w:rFonts w:ascii="Arial" w:cs="Arial" w:eastAsia="Arial" w:hAnsi="Arial"/>
          <w:sz w:val="14"/>
          <w:szCs w:val="14"/>
          <w:color w:val="auto"/>
        </w:rPr>
        <w:t>. The Company has appointed the General Counsel or the General Counsel’s designee, as the Compliance Officer for this Policy. The duties of the Compliance</w:t>
      </w:r>
      <w:r>
        <w:rPr>
          <w:rFonts w:ascii="Arial" w:cs="Arial" w:eastAsia="Arial" w:hAnsi="Arial"/>
          <w:sz w:val="14"/>
          <w:szCs w:val="14"/>
          <w:b w:val="1"/>
          <w:bCs w:val="1"/>
          <w:color w:val="auto"/>
        </w:rPr>
        <w:t xml:space="preserve"> </w:t>
      </w:r>
      <w:r>
        <w:rPr>
          <w:rFonts w:ascii="Arial" w:cs="Arial" w:eastAsia="Arial" w:hAnsi="Arial"/>
          <w:sz w:val="14"/>
          <w:szCs w:val="14"/>
          <w:color w:val="auto"/>
        </w:rPr>
        <w:t>Officer, in conjunction with the legal and finance departments, include, but are not limited to, the following:</w:t>
      </w:r>
    </w:p>
    <w:p>
      <w:pPr>
        <w:spacing w:after="0" w:line="98" w:lineRule="exact"/>
        <w:rPr>
          <w:rFonts w:ascii="Arial" w:cs="Arial" w:eastAsia="Arial" w:hAnsi="Arial"/>
          <w:sz w:val="14"/>
          <w:szCs w:val="14"/>
          <w:b w:val="1"/>
          <w:bCs w:val="1"/>
          <w:color w:val="auto"/>
        </w:rPr>
      </w:pPr>
    </w:p>
    <w:p>
      <w:pPr>
        <w:ind w:left="260"/>
        <w:spacing w:after="0"/>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assisting with implementation and enforcement of this Policy;</w:t>
      </w:r>
    </w:p>
    <w:p>
      <w:pPr>
        <w:spacing w:after="0" w:line="109" w:lineRule="exact"/>
        <w:rPr>
          <w:rFonts w:ascii="Arial" w:cs="Arial" w:eastAsia="Arial" w:hAnsi="Arial"/>
          <w:sz w:val="14"/>
          <w:szCs w:val="14"/>
          <w:b w:val="1"/>
          <w:bCs w:val="1"/>
          <w:color w:val="auto"/>
        </w:rPr>
      </w:pPr>
    </w:p>
    <w:p>
      <w:pPr>
        <w:ind w:left="260"/>
        <w:spacing w:after="0"/>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circulating this Policy to all employees and ensuring that this Policy is amended as necessary to remain up-to-date with insider trading laws;</w:t>
      </w:r>
    </w:p>
    <w:p>
      <w:pPr>
        <w:spacing w:after="0" w:line="119" w:lineRule="exact"/>
        <w:rPr>
          <w:rFonts w:ascii="Arial" w:cs="Arial" w:eastAsia="Arial" w:hAnsi="Arial"/>
          <w:sz w:val="14"/>
          <w:szCs w:val="14"/>
          <w:b w:val="1"/>
          <w:bCs w:val="1"/>
          <w:color w:val="auto"/>
        </w:rPr>
      </w:pPr>
    </w:p>
    <w:p>
      <w:pPr>
        <w:ind w:left="260"/>
        <w:spacing w:after="0"/>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pre-clearing all trading in securities of the Company by Restricted Insiders in accordance with the procedures set forth in Part II, Section 3 of this Policy;</w:t>
      </w:r>
    </w:p>
    <w:p>
      <w:pPr>
        <w:spacing w:after="0" w:line="119" w:lineRule="exact"/>
        <w:rPr>
          <w:rFonts w:ascii="Arial" w:cs="Arial" w:eastAsia="Arial" w:hAnsi="Arial"/>
          <w:sz w:val="14"/>
          <w:szCs w:val="14"/>
          <w:b w:val="1"/>
          <w:bCs w:val="1"/>
          <w:color w:val="auto"/>
        </w:rPr>
      </w:pPr>
    </w:p>
    <w:p>
      <w:pPr>
        <w:ind w:left="260"/>
        <w:spacing w:after="0"/>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providing approval of any Rule 10b5-1 plans under Part II, Section 1(c) of this Policy and any prohibited transactions under Part II, Section 4 of this Policy; and</w:t>
      </w:r>
    </w:p>
    <w:p>
      <w:pPr>
        <w:spacing w:after="0" w:line="109" w:lineRule="exact"/>
        <w:rPr>
          <w:rFonts w:ascii="Arial" w:cs="Arial" w:eastAsia="Arial" w:hAnsi="Arial"/>
          <w:sz w:val="14"/>
          <w:szCs w:val="14"/>
          <w:b w:val="1"/>
          <w:bCs w:val="1"/>
          <w:color w:val="auto"/>
        </w:rPr>
      </w:pPr>
    </w:p>
    <w:p>
      <w:pPr>
        <w:ind w:left="260"/>
        <w:spacing w:after="0"/>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providing a reporting system with an effective whistleblower protection mechanism.</w:t>
      </w:r>
    </w:p>
    <w:p>
      <w:pPr>
        <w:spacing w:after="0" w:line="119" w:lineRule="exact"/>
        <w:rPr>
          <w:rFonts w:ascii="Arial" w:cs="Arial" w:eastAsia="Arial" w:hAnsi="Arial"/>
          <w:sz w:val="14"/>
          <w:szCs w:val="14"/>
          <w:b w:val="1"/>
          <w:bCs w:val="1"/>
          <w:color w:val="auto"/>
        </w:rPr>
      </w:pPr>
    </w:p>
    <w:p>
      <w:pPr>
        <w:jc w:val="both"/>
        <w:ind w:left="260" w:hanging="257"/>
        <w:spacing w:after="0" w:line="219" w:lineRule="auto"/>
        <w:tabs>
          <w:tab w:leader="none" w:pos="252" w:val="left"/>
        </w:tabs>
        <w:numPr>
          <w:ilvl w:val="0"/>
          <w:numId w:val="6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Immediate family members</w:t>
      </w:r>
      <w:r>
        <w:rPr>
          <w:rFonts w:ascii="Arial" w:cs="Arial" w:eastAsia="Arial" w:hAnsi="Arial"/>
          <w:sz w:val="14"/>
          <w:szCs w:val="14"/>
          <w:b w:val="1"/>
          <w:bCs w:val="1"/>
          <w:color w:val="auto"/>
        </w:rPr>
        <w:t xml:space="preserve">. </w:t>
      </w:r>
      <w:r>
        <w:rPr>
          <w:rFonts w:ascii="Arial" w:cs="Arial" w:eastAsia="Arial" w:hAnsi="Arial"/>
          <w:sz w:val="14"/>
          <w:szCs w:val="14"/>
          <w:color w:val="auto"/>
        </w:rPr>
        <w:t>This Policy applies to your family members who reside with you (including a spouse, a child, a child away at college, stepchildren, grandchildren,</w:t>
      </w:r>
      <w:r>
        <w:rPr>
          <w:rFonts w:ascii="Arial" w:cs="Arial" w:eastAsia="Arial" w:hAnsi="Arial"/>
          <w:sz w:val="14"/>
          <w:szCs w:val="14"/>
          <w:b w:val="1"/>
          <w:bCs w:val="1"/>
          <w:color w:val="auto"/>
        </w:rPr>
        <w:t xml:space="preserve"> </w:t>
      </w:r>
      <w:r>
        <w:rPr>
          <w:rFonts w:ascii="Arial" w:cs="Arial" w:eastAsia="Arial" w:hAnsi="Arial"/>
          <w:sz w:val="14"/>
          <w:szCs w:val="14"/>
          <w:color w:val="auto"/>
        </w:rPr>
        <w:t>parents, stepparents, grandparents, siblings and in-laws), anyone else who lives in your household, and any family members who do not live in your household but whose transactions in the Company’s securities are directed by you or are subject to your influence or control, such as parents, minor children or children who consult with you before they trade in the Company’s securities (collectively referred to herein as “immediate family members”). You are responsible for the transactions of these other persons and therefore should make them aware of the need to confer with you before they trade in the Company’s securities, and you should treat all such transactions for the purposes of this Policy and applicable securities laws as if the transactions were for your own account.</w:t>
      </w:r>
    </w:p>
    <w:p>
      <w:pPr>
        <w:spacing w:after="0" w:line="87" w:lineRule="exact"/>
        <w:rPr>
          <w:rFonts w:ascii="Arial" w:cs="Arial" w:eastAsia="Arial" w:hAnsi="Arial"/>
          <w:sz w:val="14"/>
          <w:szCs w:val="14"/>
          <w:b w:val="1"/>
          <w:bCs w:val="1"/>
          <w:color w:val="auto"/>
        </w:rPr>
      </w:pPr>
    </w:p>
    <w:p>
      <w:pPr>
        <w:ind w:left="240" w:hanging="237"/>
        <w:spacing w:after="0"/>
        <w:tabs>
          <w:tab w:leader="none" w:pos="240" w:val="left"/>
        </w:tabs>
        <w:numPr>
          <w:ilvl w:val="0"/>
          <w:numId w:val="65"/>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Approved 10b5-1 Plan</w:t>
      </w:r>
      <w:r>
        <w:rPr>
          <w:rFonts w:ascii="Arial" w:cs="Arial" w:eastAsia="Arial" w:hAnsi="Arial"/>
          <w:sz w:val="14"/>
          <w:szCs w:val="14"/>
          <w:color w:val="auto"/>
        </w:rPr>
        <w:t>. A written plan, contract, instruction, or arrangement under Rule 10b5-1 that:</w:t>
      </w:r>
    </w:p>
    <w:p>
      <w:pPr>
        <w:spacing w:after="0" w:line="120" w:lineRule="exact"/>
        <w:rPr>
          <w:rFonts w:ascii="Arial" w:cs="Arial" w:eastAsia="Arial" w:hAnsi="Arial"/>
          <w:sz w:val="14"/>
          <w:szCs w:val="14"/>
          <w:b w:val="1"/>
          <w:bCs w:val="1"/>
          <w:color w:val="auto"/>
        </w:rPr>
      </w:pPr>
    </w:p>
    <w:p>
      <w:pPr>
        <w:ind w:left="260"/>
        <w:spacing w:after="0"/>
        <w:rPr>
          <w:rFonts w:ascii="Arial" w:cs="Arial" w:eastAsia="Arial" w:hAnsi="Arial"/>
          <w:sz w:val="14"/>
          <w:szCs w:val="14"/>
          <w:b w:val="1"/>
          <w:bCs w:val="1"/>
          <w:color w:val="auto"/>
        </w:rPr>
      </w:pPr>
      <w:r>
        <w:rPr>
          <w:rFonts w:ascii="Times New Roman" w:cs="Times New Roman" w:eastAsia="Times New Roman" w:hAnsi="Times New Roman"/>
          <w:sz w:val="14"/>
          <w:szCs w:val="14"/>
          <w:color w:val="auto"/>
        </w:rPr>
        <w:t xml:space="preserve">•   </w:t>
      </w:r>
      <w:r>
        <w:rPr>
          <w:rFonts w:ascii="Arial" w:cs="Arial" w:eastAsia="Arial" w:hAnsi="Arial"/>
          <w:sz w:val="14"/>
          <w:szCs w:val="14"/>
          <w:color w:val="auto"/>
        </w:rPr>
        <w:t>if new, has been submitted to the Compliance Officer for review and approval at least five trading days prior to entry;</w:t>
      </w:r>
    </w:p>
    <w:p>
      <w:pPr>
        <w:sectPr>
          <w:pgSz w:w="11900" w:h="16838" w:orient="portrait"/>
          <w:cols w:equalWidth="0" w:num="1">
            <w:col w:w="11280"/>
          </w:cols>
          <w:pgMar w:left="300" w:top="115" w:right="319" w:bottom="1440" w:gutter="0" w:footer="0" w:header="0"/>
        </w:sectPr>
      </w:pPr>
    </w:p>
    <w:bookmarkStart w:id="109" w:name="page110"/>
    <w:bookmarkEnd w:id="109"/>
    <w:p>
      <w:pPr>
        <w:jc w:val="right"/>
        <w:spacing w:after="0"/>
        <w:rPr>
          <w:sz w:val="20"/>
          <w:szCs w:val="20"/>
          <w:color w:val="auto"/>
        </w:rPr>
      </w:pPr>
      <w:r>
        <w:rPr>
          <w:rFonts w:ascii="Arial" w:cs="Arial" w:eastAsia="Arial" w:hAnsi="Arial"/>
          <w:sz w:val="14"/>
          <w:szCs w:val="14"/>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00" w:hanging="247"/>
        <w:spacing w:after="0"/>
        <w:tabs>
          <w:tab w:leader="none" w:pos="500" w:val="left"/>
        </w:tabs>
        <w:numPr>
          <w:ilvl w:val="1"/>
          <w:numId w:val="66"/>
        </w:numPr>
        <w:rPr>
          <w:rFonts w:ascii="Times New Roman" w:cs="Times New Roman" w:eastAsia="Times New Roman" w:hAnsi="Times New Roman"/>
          <w:sz w:val="14"/>
          <w:szCs w:val="14"/>
          <w:color w:val="auto"/>
        </w:rPr>
      </w:pPr>
      <w:r>
        <w:rPr>
          <w:rFonts w:ascii="Arial" w:cs="Arial" w:eastAsia="Arial" w:hAnsi="Arial"/>
          <w:sz w:val="14"/>
          <w:szCs w:val="14"/>
          <w:color w:val="auto"/>
        </w:rPr>
        <w:t>if revised, amended or terminated, has been submitted to the Compliance Officer for review and approval at least two trading days prior to implementation;</w:t>
      </w:r>
    </w:p>
    <w:p>
      <w:pPr>
        <w:spacing w:after="0" w:line="119"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1"/>
          <w:numId w:val="66"/>
        </w:numPr>
        <w:rPr>
          <w:rFonts w:ascii="Times New Roman" w:cs="Times New Roman" w:eastAsia="Times New Roman" w:hAnsi="Times New Roman"/>
          <w:sz w:val="14"/>
          <w:szCs w:val="14"/>
          <w:color w:val="auto"/>
        </w:rPr>
      </w:pPr>
      <w:r>
        <w:rPr>
          <w:rFonts w:ascii="Arial" w:cs="Arial" w:eastAsia="Arial" w:hAnsi="Arial"/>
          <w:sz w:val="14"/>
          <w:szCs w:val="14"/>
          <w:color w:val="auto"/>
        </w:rPr>
        <w:t>is not duplicative of any other Rule 10b5-1 plan (i.e., you may not enter in to more than one Rule 10b5-1 plan at a time, except in limited circumstances);</w:t>
      </w:r>
    </w:p>
    <w:p>
      <w:pPr>
        <w:spacing w:after="0" w:line="109"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1"/>
          <w:numId w:val="66"/>
        </w:numPr>
        <w:rPr>
          <w:rFonts w:ascii="Times New Roman" w:cs="Times New Roman" w:eastAsia="Times New Roman" w:hAnsi="Times New Roman"/>
          <w:sz w:val="14"/>
          <w:szCs w:val="14"/>
          <w:color w:val="auto"/>
        </w:rPr>
      </w:pPr>
      <w:r>
        <w:rPr>
          <w:rFonts w:ascii="Arial" w:cs="Arial" w:eastAsia="Arial" w:hAnsi="Arial"/>
          <w:sz w:val="14"/>
          <w:szCs w:val="14"/>
          <w:color w:val="auto"/>
        </w:rPr>
        <w:t>limits the use of the Rule 10b5-1 safe harbor to one single-trade plan in any 12-month period;</w:t>
      </w:r>
    </w:p>
    <w:p>
      <w:pPr>
        <w:spacing w:after="0" w:line="119"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1"/>
          <w:numId w:val="66"/>
        </w:numPr>
        <w:rPr>
          <w:rFonts w:ascii="Times New Roman" w:cs="Times New Roman" w:eastAsia="Times New Roman" w:hAnsi="Times New Roman"/>
          <w:sz w:val="14"/>
          <w:szCs w:val="14"/>
          <w:color w:val="auto"/>
        </w:rPr>
      </w:pPr>
      <w:r>
        <w:rPr>
          <w:rFonts w:ascii="Arial" w:cs="Arial" w:eastAsia="Arial" w:hAnsi="Arial"/>
          <w:sz w:val="14"/>
          <w:szCs w:val="14"/>
          <w:color w:val="auto"/>
        </w:rPr>
        <w:t>was entered into in good faith by the Restricted Insider at a time when the Restricted Insider was not in possession of material nonpublic information about the Company;</w:t>
      </w:r>
    </w:p>
    <w:p>
      <w:pPr>
        <w:spacing w:after="0" w:line="119" w:lineRule="exact"/>
        <w:rPr>
          <w:rFonts w:ascii="Times New Roman" w:cs="Times New Roman" w:eastAsia="Times New Roman" w:hAnsi="Times New Roman"/>
          <w:sz w:val="14"/>
          <w:szCs w:val="14"/>
          <w:color w:val="auto"/>
        </w:rPr>
      </w:pPr>
    </w:p>
    <w:p>
      <w:pPr>
        <w:ind w:left="500" w:hanging="247"/>
        <w:spacing w:after="0"/>
        <w:tabs>
          <w:tab w:leader="none" w:pos="500" w:val="left"/>
        </w:tabs>
        <w:numPr>
          <w:ilvl w:val="1"/>
          <w:numId w:val="66"/>
        </w:numPr>
        <w:rPr>
          <w:rFonts w:ascii="Times New Roman" w:cs="Times New Roman" w:eastAsia="Times New Roman" w:hAnsi="Times New Roman"/>
          <w:sz w:val="14"/>
          <w:szCs w:val="14"/>
          <w:color w:val="auto"/>
        </w:rPr>
      </w:pPr>
      <w:r>
        <w:rPr>
          <w:rFonts w:ascii="Arial" w:cs="Arial" w:eastAsia="Arial" w:hAnsi="Arial"/>
          <w:sz w:val="14"/>
          <w:szCs w:val="14"/>
          <w:color w:val="auto"/>
        </w:rPr>
        <w:t>was entered into by the Restricted Insider during a trading window (i.e., not during a blackout period); and</w:t>
      </w:r>
    </w:p>
    <w:p>
      <w:pPr>
        <w:spacing w:after="0" w:line="109" w:lineRule="exact"/>
        <w:rPr>
          <w:rFonts w:ascii="Times New Roman" w:cs="Times New Roman" w:eastAsia="Times New Roman" w:hAnsi="Times New Roman"/>
          <w:sz w:val="14"/>
          <w:szCs w:val="14"/>
          <w:color w:val="auto"/>
        </w:rPr>
      </w:pPr>
    </w:p>
    <w:p>
      <w:pPr>
        <w:jc w:val="both"/>
        <w:ind w:left="500" w:hanging="247"/>
        <w:spacing w:after="0" w:line="230" w:lineRule="auto"/>
        <w:tabs>
          <w:tab w:leader="none" w:pos="496" w:val="left"/>
        </w:tabs>
        <w:numPr>
          <w:ilvl w:val="1"/>
          <w:numId w:val="66"/>
        </w:numPr>
        <w:rPr>
          <w:rFonts w:ascii="Times New Roman" w:cs="Times New Roman" w:eastAsia="Times New Roman" w:hAnsi="Times New Roman"/>
          <w:sz w:val="14"/>
          <w:szCs w:val="14"/>
          <w:color w:val="auto"/>
        </w:rPr>
      </w:pPr>
      <w:r>
        <w:rPr>
          <w:rFonts w:ascii="Arial" w:cs="Arial" w:eastAsia="Arial" w:hAnsi="Arial"/>
          <w:sz w:val="14"/>
          <w:szCs w:val="14"/>
          <w:color w:val="auto"/>
        </w:rPr>
        <w:t>gives a third party the discretionary authority to execute such purchases and sales, outside the control of the Restricted Insider, so long as such third party does not possess any material nonpublic information about the Company; or explicitly specifies the security or securities to be purchased or sold, the number of shares, the prices and/or dates of transactions, or other formula) describing such transactions.</w:t>
      </w:r>
    </w:p>
    <w:p>
      <w:pPr>
        <w:spacing w:after="0" w:line="87" w:lineRule="exact"/>
        <w:rPr>
          <w:rFonts w:ascii="Times New Roman" w:cs="Times New Roman" w:eastAsia="Times New Roman" w:hAnsi="Times New Roman"/>
          <w:sz w:val="14"/>
          <w:szCs w:val="14"/>
          <w:color w:val="auto"/>
        </w:rPr>
      </w:pPr>
    </w:p>
    <w:p>
      <w:pPr>
        <w:ind w:left="240" w:hanging="237"/>
        <w:spacing w:after="0"/>
        <w:tabs>
          <w:tab w:leader="none" w:pos="240" w:val="left"/>
        </w:tabs>
        <w:numPr>
          <w:ilvl w:val="0"/>
          <w:numId w:val="66"/>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Cooling-off period</w:t>
      </w:r>
      <w:r>
        <w:rPr>
          <w:rFonts w:ascii="Arial" w:cs="Arial" w:eastAsia="Arial" w:hAnsi="Arial"/>
          <w:sz w:val="14"/>
          <w:szCs w:val="14"/>
          <w:color w:val="auto"/>
        </w:rPr>
        <w:t>. For Section 16 reporting persons, trading under an Approved 10b5-1 Plan may not begin until after the expiration of a cooling-off period ending on the later of</w:t>
      </w:r>
    </w:p>
    <w:p>
      <w:pPr>
        <w:jc w:val="both"/>
        <w:ind w:left="260"/>
        <w:spacing w:after="0" w:line="215" w:lineRule="auto"/>
        <w:rPr>
          <w:rFonts w:ascii="Arial" w:cs="Arial" w:eastAsia="Arial" w:hAnsi="Arial"/>
          <w:sz w:val="14"/>
          <w:szCs w:val="14"/>
          <w:b w:val="1"/>
          <w:bCs w:val="1"/>
          <w:color w:val="auto"/>
        </w:rPr>
      </w:pPr>
      <w:r>
        <w:rPr>
          <w:rFonts w:ascii="Arial" w:cs="Arial" w:eastAsia="Arial" w:hAnsi="Arial"/>
          <w:sz w:val="14"/>
          <w:szCs w:val="14"/>
          <w:color w:val="auto"/>
        </w:rPr>
        <w:t>(1) 90 days after adoption of such plan or (2) two business days following the disclosure of the Company’s financial results on Form 10-Q or Form 10-K, as applicable, for the fiscal quarter in which the Approved 10b5-1 Plan was adopted, up to a maximum of 120 days. For all other persons subject to the Policy, an Approved 10b5-1 Plan may not begin until after the expiration of a 30-day cooling-off period after adoption of such plan. A cooling-off period is required by SEC rules and designed to minimize any risk that a claim will be made that an individual was aware of material nonpublic information about the Company when he or she entered into the Approved 10b5-1 Plan and/or that the plan was not entered into in good faith.</w:t>
      </w:r>
    </w:p>
    <w:p>
      <w:pPr>
        <w:spacing w:after="0" w:line="98" w:lineRule="exact"/>
        <w:rPr>
          <w:rFonts w:ascii="Arial" w:cs="Arial" w:eastAsia="Arial" w:hAnsi="Arial"/>
          <w:sz w:val="14"/>
          <w:szCs w:val="14"/>
          <w:b w:val="1"/>
          <w:bCs w:val="1"/>
          <w:color w:val="auto"/>
        </w:rPr>
      </w:pPr>
    </w:p>
    <w:p>
      <w:pPr>
        <w:ind w:left="240" w:hanging="237"/>
        <w:spacing w:after="0"/>
        <w:tabs>
          <w:tab w:leader="none" w:pos="240" w:val="left"/>
        </w:tabs>
        <w:numPr>
          <w:ilvl w:val="0"/>
          <w:numId w:val="66"/>
        </w:numPr>
        <w:rPr>
          <w:rFonts w:ascii="Arial" w:cs="Arial" w:eastAsia="Arial" w:hAnsi="Arial"/>
          <w:sz w:val="14"/>
          <w:szCs w:val="14"/>
          <w:b w:val="1"/>
          <w:bCs w:val="1"/>
          <w:color w:val="auto"/>
        </w:rPr>
      </w:pPr>
      <w:r>
        <w:rPr>
          <w:rFonts w:ascii="Arial" w:cs="Arial" w:eastAsia="Arial" w:hAnsi="Arial"/>
          <w:sz w:val="14"/>
          <w:szCs w:val="14"/>
          <w:b w:val="1"/>
          <w:bCs w:val="1"/>
          <w:u w:val="single" w:color="auto"/>
          <w:color w:val="auto"/>
        </w:rPr>
        <w:t>Single-trade plan</w:t>
      </w:r>
      <w:r>
        <w:rPr>
          <w:rFonts w:ascii="Arial" w:cs="Arial" w:eastAsia="Arial" w:hAnsi="Arial"/>
          <w:sz w:val="14"/>
          <w:szCs w:val="14"/>
          <w:color w:val="auto"/>
        </w:rPr>
        <w:t>. A plan designed to effect the open market purchase or sale of the total amount of the securities subject to the plan as a single transaction.</w:t>
      </w:r>
    </w:p>
    <w:p>
      <w:pPr>
        <w:sectPr>
          <w:pgSz w:w="11900" w:h="16838" w:orient="portrait"/>
          <w:cols w:equalWidth="0" w:num="1">
            <w:col w:w="11280"/>
          </w:cols>
          <w:pgMar w:left="300" w:top="115" w:right="319" w:bottom="1440" w:gutter="0" w:footer="0" w:header="0"/>
        </w:sectPr>
      </w:pPr>
    </w:p>
    <w:bookmarkStart w:id="110" w:name="page111"/>
    <w:bookmarkEnd w:id="110"/>
    <w:p>
      <w:pPr>
        <w:jc w:val="right"/>
        <w:spacing w:after="0"/>
        <w:rPr>
          <w:sz w:val="20"/>
          <w:szCs w:val="20"/>
          <w:color w:val="auto"/>
        </w:rPr>
      </w:pPr>
      <w:r>
        <w:rPr>
          <w:rFonts w:ascii="Arial" w:cs="Arial" w:eastAsia="Arial" w:hAnsi="Arial"/>
          <w:sz w:val="14"/>
          <w:szCs w:val="14"/>
          <w:b w:val="1"/>
          <w:bCs w:val="1"/>
          <w:color w:val="auto"/>
        </w:rPr>
        <w:t>Exhibit 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APPENDIX B</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Additional Restricted Insiders</w:t>
      </w:r>
    </w:p>
    <w:p>
      <w:pPr>
        <w:spacing w:after="0" w:line="110" w:lineRule="exact"/>
        <w:rPr>
          <w:sz w:val="20"/>
          <w:szCs w:val="20"/>
          <w:color w:val="auto"/>
        </w:rPr>
      </w:pPr>
    </w:p>
    <w:p>
      <w:pPr>
        <w:ind w:left="240" w:hanging="237"/>
        <w:spacing w:after="0"/>
        <w:tabs>
          <w:tab w:leader="none" w:pos="240" w:val="left"/>
        </w:tabs>
        <w:numPr>
          <w:ilvl w:val="0"/>
          <w:numId w:val="67"/>
        </w:numPr>
        <w:rPr>
          <w:rFonts w:ascii="Times New Roman" w:cs="Times New Roman" w:eastAsia="Times New Roman" w:hAnsi="Times New Roman"/>
          <w:sz w:val="14"/>
          <w:szCs w:val="14"/>
          <w:color w:val="auto"/>
        </w:rPr>
      </w:pPr>
      <w:r>
        <w:rPr>
          <w:rFonts w:ascii="Arial" w:cs="Arial" w:eastAsia="Arial" w:hAnsi="Arial"/>
          <w:sz w:val="14"/>
          <w:szCs w:val="14"/>
          <w:color w:val="auto"/>
        </w:rPr>
        <w:t>Each member of the Senior Leadership Team (SLT).</w:t>
      </w:r>
    </w:p>
    <w:p>
      <w:pPr>
        <w:spacing w:after="0" w:line="119" w:lineRule="exact"/>
        <w:rPr>
          <w:rFonts w:ascii="Times New Roman" w:cs="Times New Roman" w:eastAsia="Times New Roman" w:hAnsi="Times New Roman"/>
          <w:sz w:val="14"/>
          <w:szCs w:val="14"/>
          <w:color w:val="auto"/>
        </w:rPr>
      </w:pPr>
    </w:p>
    <w:p>
      <w:pPr>
        <w:ind w:left="240" w:hanging="237"/>
        <w:spacing w:after="0"/>
        <w:tabs>
          <w:tab w:leader="none" w:pos="240" w:val="left"/>
        </w:tabs>
        <w:numPr>
          <w:ilvl w:val="0"/>
          <w:numId w:val="67"/>
        </w:numPr>
        <w:rPr>
          <w:rFonts w:ascii="Times New Roman" w:cs="Times New Roman" w:eastAsia="Times New Roman" w:hAnsi="Times New Roman"/>
          <w:sz w:val="14"/>
          <w:szCs w:val="14"/>
          <w:color w:val="auto"/>
        </w:rPr>
      </w:pPr>
      <w:r>
        <w:rPr>
          <w:rFonts w:ascii="Arial" w:cs="Arial" w:eastAsia="Arial" w:hAnsi="Arial"/>
          <w:sz w:val="14"/>
          <w:szCs w:val="14"/>
          <w:color w:val="auto"/>
        </w:rPr>
        <w:t>Any direct report of the CFO.</w:t>
      </w:r>
    </w:p>
    <w:p>
      <w:pPr>
        <w:sectPr>
          <w:pgSz w:w="11900" w:h="16838" w:orient="portrait"/>
          <w:cols w:equalWidth="0" w:num="1">
            <w:col w:w="11280"/>
          </w:cols>
          <w:pgMar w:left="300" w:top="115" w:right="319" w:bottom="1440" w:gutter="0" w:footer="0" w:header="0"/>
        </w:sectPr>
      </w:pPr>
    </w:p>
    <w:bookmarkStart w:id="111" w:name="page112"/>
    <w:bookmarkEnd w:id="111"/>
    <w:p>
      <w:pPr>
        <w:ind w:left="10480"/>
        <w:spacing w:after="0"/>
        <w:rPr>
          <w:sz w:val="20"/>
          <w:szCs w:val="20"/>
          <w:color w:val="auto"/>
        </w:rPr>
      </w:pPr>
      <w:r>
        <w:rPr>
          <w:rFonts w:ascii="Arial" w:cs="Arial" w:eastAsia="Arial" w:hAnsi="Arial"/>
          <w:sz w:val="15"/>
          <w:szCs w:val="15"/>
          <w:b w:val="1"/>
          <w:bCs w:val="1"/>
          <w:color w:val="0066CC"/>
        </w:rPr>
        <w:t>EXHIBIT 21</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SUBSIDIARIES OF CONDUENT INCORPORATED</w:t>
      </w:r>
    </w:p>
    <w:p>
      <w:pPr>
        <w:spacing w:after="0" w:line="197" w:lineRule="exact"/>
        <w:rPr>
          <w:sz w:val="20"/>
          <w:szCs w:val="20"/>
          <w:color w:val="auto"/>
        </w:rPr>
      </w:pPr>
    </w:p>
    <w:p>
      <w:pPr>
        <w:jc w:val="both"/>
        <w:ind w:right="500"/>
        <w:spacing w:after="0" w:line="255" w:lineRule="auto"/>
        <w:rPr>
          <w:sz w:val="20"/>
          <w:szCs w:val="20"/>
          <w:color w:val="auto"/>
        </w:rPr>
      </w:pPr>
      <w:r>
        <w:rPr>
          <w:rFonts w:ascii="Arial" w:cs="Arial" w:eastAsia="Arial" w:hAnsi="Arial"/>
          <w:sz w:val="13"/>
          <w:szCs w:val="13"/>
          <w:color w:val="auto"/>
        </w:rPr>
        <w:t>The following companies are subsidiaries of Conduent Incorporated as of December 31, 2023. Unless otherwise noted, a subsidiary is a company in which Conduent Incorporated or a subsidiary of Conduent Incorporated holds 50% or more of the voting stock. The names of other subsidiaries have been omitted as they would not, if considered in the aggregate as a single subsidiary, constitute a significant subsidiary:</w:t>
      </w:r>
    </w:p>
    <w:p>
      <w:pPr>
        <w:spacing w:after="0" w:line="3" w:lineRule="exact"/>
        <w:rPr>
          <w:sz w:val="20"/>
          <w:szCs w:val="20"/>
          <w:color w:val="auto"/>
        </w:rPr>
      </w:pPr>
    </w:p>
    <w:tbl>
      <w:tblPr>
        <w:tblLayout w:type="fixed"/>
        <w:tblInd w:w="200" w:type="dxa"/>
        <w:tblCellMar>
          <w:top w:w="0" w:type="dxa"/>
          <w:left w:w="0" w:type="dxa"/>
          <w:bottom w:w="0" w:type="dxa"/>
          <w:right w:w="0" w:type="dxa"/>
        </w:tblCellMar>
      </w:tblPr>
      <w:tr>
        <w:trPr>
          <w:trHeight w:val="166"/>
        </w:trPr>
        <w:tc>
          <w:tcPr>
            <w:tcW w:w="5540" w:type="dxa"/>
            <w:vAlign w:val="bottom"/>
            <w:gridSpan w:val="2"/>
          </w:tcPr>
          <w:p>
            <w:pPr>
              <w:spacing w:after="0"/>
              <w:rPr>
                <w:sz w:val="20"/>
                <w:szCs w:val="20"/>
                <w:color w:val="auto"/>
              </w:rPr>
            </w:pPr>
            <w:r>
              <w:rPr>
                <w:rFonts w:ascii="Arial" w:cs="Arial" w:eastAsia="Arial" w:hAnsi="Arial"/>
                <w:sz w:val="13"/>
                <w:szCs w:val="13"/>
                <w:color w:val="auto"/>
              </w:rPr>
              <w:t>Name of Subsidiary</w:t>
            </w:r>
          </w:p>
        </w:tc>
        <w:tc>
          <w:tcPr>
            <w:tcW w:w="5620" w:type="dxa"/>
            <w:vAlign w:val="bottom"/>
          </w:tcPr>
          <w:p>
            <w:pPr>
              <w:ind w:left="20"/>
              <w:spacing w:after="0"/>
              <w:rPr>
                <w:sz w:val="20"/>
                <w:szCs w:val="20"/>
                <w:color w:val="auto"/>
              </w:rPr>
            </w:pPr>
            <w:r>
              <w:rPr>
                <w:rFonts w:ascii="Arial" w:cs="Arial" w:eastAsia="Arial" w:hAnsi="Arial"/>
                <w:sz w:val="13"/>
                <w:szCs w:val="13"/>
                <w:color w:val="auto"/>
              </w:rPr>
              <w:t>Jurisdiction of Incorporation or Organization</w:t>
            </w:r>
          </w:p>
        </w:tc>
      </w:tr>
      <w:tr>
        <w:trPr>
          <w:trHeight w:val="168"/>
        </w:trPr>
        <w:tc>
          <w:tcPr>
            <w:tcW w:w="5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color w:val="auto"/>
              </w:rPr>
              <w:t>Conduent Healthy Communities Corporation</w:t>
            </w:r>
          </w:p>
        </w:tc>
        <w:tc>
          <w:tcPr>
            <w:tcW w:w="60" w:type="dxa"/>
            <w:vAlign w:val="bottom"/>
            <w:tcBorders>
              <w:top w:val="single" w:sz="8" w:color="CCEEFF"/>
            </w:tcBorders>
            <w:shd w:val="clear" w:color="auto" w:fill="CCEEFF"/>
          </w:tcPr>
          <w:p>
            <w:pPr>
              <w:spacing w:after="0"/>
              <w:rPr>
                <w:sz w:val="14"/>
                <w:szCs w:val="14"/>
                <w:color w:val="auto"/>
              </w:rPr>
            </w:pPr>
          </w:p>
        </w:tc>
        <w:tc>
          <w:tcPr>
            <w:tcW w:w="5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California</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BPO Services, LLC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Workers Compensation Holdings, Inc.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EDI Solutions, Inc.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Global, Inc.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Health Administration, Inc.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Human Resources Services, LLC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Lending, Inc.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Casualty Claims Solutions, LLC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Middle East, Inc.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TradeOne Marketing, Inc.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Securities, LLC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Care Solutions, LLC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Finance, Inc.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Payment Integrity Solutions, Inc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Public Health Solutions, Inc.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ParkIndy, LLC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Business Services, LLC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Education Services, LLC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Export LLC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Federal Solutions, LLC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Mortgage Services, Inc.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Credit Balance Solutions, LLC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State Healthcare, LLC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Parking, LLC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Public Safety, LLC</w:t>
            </w:r>
          </w:p>
        </w:tc>
        <w:tc>
          <w:tcPr>
            <w:tcW w:w="5620" w:type="dxa"/>
            <w:vAlign w:val="bottom"/>
          </w:tcPr>
          <w:p>
            <w:pPr>
              <w:ind w:left="20"/>
              <w:spacing w:after="0"/>
              <w:rPr>
                <w:sz w:val="20"/>
                <w:szCs w:val="20"/>
                <w:color w:val="auto"/>
              </w:rPr>
            </w:pPr>
            <w:r>
              <w:rPr>
                <w:rFonts w:ascii="Arial" w:cs="Arial" w:eastAsia="Arial" w:hAnsi="Arial"/>
                <w:sz w:val="14"/>
                <w:szCs w:val="14"/>
                <w:color w:val="auto"/>
              </w:rPr>
              <w:t>Delaware</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Healthcare Knowledge Solutions Inc.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Transport Solutions, Inc.</w:t>
            </w:r>
          </w:p>
        </w:tc>
        <w:tc>
          <w:tcPr>
            <w:tcW w:w="5620" w:type="dxa"/>
            <w:vAlign w:val="bottom"/>
          </w:tcPr>
          <w:p>
            <w:pPr>
              <w:ind w:left="20"/>
              <w:spacing w:after="0"/>
              <w:rPr>
                <w:sz w:val="20"/>
                <w:szCs w:val="20"/>
                <w:color w:val="auto"/>
              </w:rPr>
            </w:pPr>
            <w:r>
              <w:rPr>
                <w:rFonts w:ascii="Arial" w:cs="Arial" w:eastAsia="Arial" w:hAnsi="Arial"/>
                <w:sz w:val="14"/>
                <w:szCs w:val="14"/>
                <w:color w:val="auto"/>
              </w:rPr>
              <w:t>Georgia</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Image Solutions, Inc.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Louisiana</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Commercial Solutions, LLC</w:t>
            </w:r>
          </w:p>
        </w:tc>
        <w:tc>
          <w:tcPr>
            <w:tcW w:w="5620" w:type="dxa"/>
            <w:vAlign w:val="bottom"/>
          </w:tcPr>
          <w:p>
            <w:pPr>
              <w:ind w:left="20"/>
              <w:spacing w:after="0"/>
              <w:rPr>
                <w:sz w:val="20"/>
                <w:szCs w:val="20"/>
                <w:color w:val="auto"/>
              </w:rPr>
            </w:pPr>
            <w:r>
              <w:rPr>
                <w:rFonts w:ascii="Arial" w:cs="Arial" w:eastAsia="Arial" w:hAnsi="Arial"/>
                <w:sz w:val="14"/>
                <w:szCs w:val="14"/>
                <w:color w:val="auto"/>
              </w:rPr>
              <w:t>Nevada</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Patient Access Solutions, LLC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New Jersey</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State &amp; Local Solutions, Inc.</w:t>
            </w:r>
          </w:p>
        </w:tc>
        <w:tc>
          <w:tcPr>
            <w:tcW w:w="5620" w:type="dxa"/>
            <w:vAlign w:val="bottom"/>
          </w:tcPr>
          <w:p>
            <w:pPr>
              <w:ind w:left="20"/>
              <w:spacing w:after="0"/>
              <w:rPr>
                <w:sz w:val="20"/>
                <w:szCs w:val="20"/>
                <w:color w:val="auto"/>
              </w:rPr>
            </w:pPr>
            <w:r>
              <w:rPr>
                <w:rFonts w:ascii="Arial" w:cs="Arial" w:eastAsia="Arial" w:hAnsi="Arial"/>
                <w:sz w:val="14"/>
                <w:szCs w:val="14"/>
                <w:color w:val="auto"/>
              </w:rPr>
              <w:t>New York</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HR Services, LLC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Pennsylvania</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Securities Services, Inc.</w:t>
            </w:r>
          </w:p>
        </w:tc>
        <w:tc>
          <w:tcPr>
            <w:tcW w:w="5620" w:type="dxa"/>
            <w:vAlign w:val="bottom"/>
          </w:tcPr>
          <w:p>
            <w:pPr>
              <w:ind w:left="20"/>
              <w:spacing w:after="0"/>
              <w:rPr>
                <w:sz w:val="20"/>
                <w:szCs w:val="20"/>
                <w:color w:val="auto"/>
              </w:rPr>
            </w:pPr>
            <w:r>
              <w:rPr>
                <w:rFonts w:ascii="Arial" w:cs="Arial" w:eastAsia="Arial" w:hAnsi="Arial"/>
                <w:sz w:val="14"/>
                <w:szCs w:val="14"/>
                <w:color w:val="auto"/>
              </w:rPr>
              <w:t>Texas</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Legal &amp; Compliance Solutions, LLC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Texas</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Business Process Optimization Services, Inc.</w:t>
            </w:r>
          </w:p>
        </w:tc>
        <w:tc>
          <w:tcPr>
            <w:tcW w:w="5620" w:type="dxa"/>
            <w:vAlign w:val="bottom"/>
          </w:tcPr>
          <w:p>
            <w:pPr>
              <w:ind w:left="20"/>
              <w:spacing w:after="0"/>
              <w:rPr>
                <w:sz w:val="20"/>
                <w:szCs w:val="20"/>
                <w:color w:val="auto"/>
              </w:rPr>
            </w:pPr>
            <w:r>
              <w:rPr>
                <w:rFonts w:ascii="Arial" w:cs="Arial" w:eastAsia="Arial" w:hAnsi="Arial"/>
                <w:sz w:val="14"/>
                <w:szCs w:val="14"/>
                <w:color w:val="auto"/>
              </w:rPr>
              <w:t>Texas</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Heritage, LLC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Virginia</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Learning Services, Inc.</w:t>
            </w:r>
          </w:p>
        </w:tc>
        <w:tc>
          <w:tcPr>
            <w:tcW w:w="5620" w:type="dxa"/>
            <w:vAlign w:val="bottom"/>
          </w:tcPr>
          <w:p>
            <w:pPr>
              <w:ind w:left="20"/>
              <w:spacing w:after="0"/>
              <w:rPr>
                <w:sz w:val="20"/>
                <w:szCs w:val="20"/>
                <w:color w:val="auto"/>
              </w:rPr>
            </w:pPr>
            <w:r>
              <w:rPr>
                <w:rFonts w:ascii="Arial" w:cs="Arial" w:eastAsia="Arial" w:hAnsi="Arial"/>
                <w:sz w:val="14"/>
                <w:szCs w:val="14"/>
                <w:color w:val="auto"/>
              </w:rPr>
              <w:t>Washington</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Conduent Wireless Data Services North America, Inc.</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Washington</w:t>
            </w:r>
          </w:p>
        </w:tc>
      </w:tr>
      <w:tr>
        <w:trPr>
          <w:trHeight w:val="177"/>
        </w:trPr>
        <w:tc>
          <w:tcPr>
            <w:tcW w:w="5540" w:type="dxa"/>
            <w:vAlign w:val="bottom"/>
            <w:gridSpan w:val="2"/>
          </w:tcPr>
          <w:p>
            <w:pPr>
              <w:spacing w:after="0"/>
              <w:rPr>
                <w:sz w:val="20"/>
                <w:szCs w:val="20"/>
                <w:color w:val="auto"/>
              </w:rPr>
            </w:pPr>
            <w:r>
              <w:rPr>
                <w:rFonts w:ascii="Arial" w:cs="Arial" w:eastAsia="Arial" w:hAnsi="Arial"/>
                <w:sz w:val="14"/>
                <w:szCs w:val="14"/>
                <w:color w:val="auto"/>
              </w:rPr>
              <w:t>Conduent Care and Quality Solutions, Inc.</w:t>
            </w:r>
          </w:p>
        </w:tc>
        <w:tc>
          <w:tcPr>
            <w:tcW w:w="5620" w:type="dxa"/>
            <w:vAlign w:val="bottom"/>
          </w:tcPr>
          <w:p>
            <w:pPr>
              <w:ind w:left="20"/>
              <w:spacing w:after="0"/>
              <w:rPr>
                <w:sz w:val="20"/>
                <w:szCs w:val="20"/>
                <w:color w:val="auto"/>
              </w:rPr>
            </w:pPr>
            <w:r>
              <w:rPr>
                <w:rFonts w:ascii="Arial" w:cs="Arial" w:eastAsia="Arial" w:hAnsi="Arial"/>
                <w:sz w:val="14"/>
                <w:szCs w:val="14"/>
                <w:color w:val="auto"/>
              </w:rPr>
              <w:t>Wisconsin</w:t>
            </w:r>
          </w:p>
        </w:tc>
      </w:tr>
      <w:tr>
        <w:trPr>
          <w:trHeight w:val="177"/>
        </w:trPr>
        <w:tc>
          <w:tcPr>
            <w:tcW w:w="5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Eagle Connect Sh.p.k.</w:t>
            </w:r>
          </w:p>
        </w:tc>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Albania</w:t>
            </w:r>
          </w:p>
        </w:tc>
      </w:tr>
    </w:tbl>
    <w:p>
      <w:pPr>
        <w:sectPr>
          <w:pgSz w:w="11900" w:h="16838" w:orient="portrait"/>
          <w:cols w:equalWidth="0" w:num="1">
            <w:col w:w="11360"/>
          </w:cols>
          <w:pgMar w:left="300" w:top="121"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5"/>
          <w:szCs w:val="15"/>
          <w:b w:val="1"/>
          <w:bCs w:val="1"/>
          <w:color w:val="0066CC"/>
        </w:rPr>
        <w:t>EXHIBIT 21</w:t>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80" w:type="dxa"/>
            <w:vAlign w:val="bottom"/>
          </w:tcPr>
          <w:p>
            <w:pPr>
              <w:ind w:left="20"/>
              <w:spacing w:after="0"/>
              <w:rPr>
                <w:sz w:val="20"/>
                <w:szCs w:val="20"/>
                <w:color w:val="auto"/>
              </w:rPr>
            </w:pPr>
            <w:r>
              <w:rPr>
                <w:rFonts w:ascii="Arial" w:cs="Arial" w:eastAsia="Arial" w:hAnsi="Arial"/>
                <w:sz w:val="14"/>
                <w:szCs w:val="14"/>
                <w:color w:val="auto"/>
              </w:rPr>
              <w:t>Voice Star Sh.p.k.</w:t>
            </w:r>
          </w:p>
        </w:tc>
        <w:tc>
          <w:tcPr>
            <w:tcW w:w="4940" w:type="dxa"/>
            <w:vAlign w:val="bottom"/>
          </w:tcPr>
          <w:p>
            <w:pPr>
              <w:ind w:left="440"/>
              <w:spacing w:after="0"/>
              <w:rPr>
                <w:sz w:val="20"/>
                <w:szCs w:val="20"/>
                <w:color w:val="auto"/>
              </w:rPr>
            </w:pPr>
            <w:r>
              <w:rPr>
                <w:rFonts w:ascii="Arial" w:cs="Arial" w:eastAsia="Arial" w:hAnsi="Arial"/>
                <w:sz w:val="14"/>
                <w:szCs w:val="14"/>
                <w:color w:val="auto"/>
              </w:rPr>
              <w:t>Albania</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Consilience Software Australasia Pty Ltd</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Australia</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Business Services (Australia) PTY. LTD.</w:t>
            </w:r>
          </w:p>
        </w:tc>
        <w:tc>
          <w:tcPr>
            <w:tcW w:w="4940" w:type="dxa"/>
            <w:vAlign w:val="bottom"/>
          </w:tcPr>
          <w:p>
            <w:pPr>
              <w:ind w:left="440"/>
              <w:spacing w:after="0"/>
              <w:rPr>
                <w:sz w:val="20"/>
                <w:szCs w:val="20"/>
                <w:color w:val="auto"/>
              </w:rPr>
            </w:pPr>
            <w:r>
              <w:rPr>
                <w:rFonts w:ascii="Arial" w:cs="Arial" w:eastAsia="Arial" w:hAnsi="Arial"/>
                <w:sz w:val="14"/>
                <w:szCs w:val="14"/>
                <w:color w:val="auto"/>
              </w:rPr>
              <w:t>Australia</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Victoria Ticketing System PTY LTD</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Australia</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Affiliated Computer Services International (Barbados) Limited</w:t>
            </w:r>
          </w:p>
        </w:tc>
        <w:tc>
          <w:tcPr>
            <w:tcW w:w="4940" w:type="dxa"/>
            <w:vAlign w:val="bottom"/>
          </w:tcPr>
          <w:p>
            <w:pPr>
              <w:ind w:left="440"/>
              <w:spacing w:after="0"/>
              <w:rPr>
                <w:sz w:val="20"/>
                <w:szCs w:val="20"/>
                <w:color w:val="auto"/>
              </w:rPr>
            </w:pPr>
            <w:r>
              <w:rPr>
                <w:rFonts w:ascii="Arial" w:cs="Arial" w:eastAsia="Arial" w:hAnsi="Arial"/>
                <w:sz w:val="14"/>
                <w:szCs w:val="14"/>
                <w:color w:val="auto"/>
              </w:rPr>
              <w:t>Barbados</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Servicos de Terceirizacao de</w:t>
            </w:r>
          </w:p>
        </w:tc>
        <w:tc>
          <w:tcPr>
            <w:tcW w:w="4940" w:type="dxa"/>
            <w:vAlign w:val="bottom"/>
            <w:shd w:val="clear" w:color="auto" w:fill="CCEEFF"/>
          </w:tcPr>
          <w:p>
            <w:pPr>
              <w:spacing w:after="0"/>
              <w:rPr>
                <w:sz w:val="15"/>
                <w:szCs w:val="15"/>
                <w:color w:val="auto"/>
              </w:rPr>
            </w:pP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Processos de Negocios Ltda.</w:t>
            </w:r>
          </w:p>
        </w:tc>
        <w:tc>
          <w:tcPr>
            <w:tcW w:w="4940" w:type="dxa"/>
            <w:vAlign w:val="bottom"/>
          </w:tcPr>
          <w:p>
            <w:pPr>
              <w:ind w:left="440"/>
              <w:spacing w:after="0"/>
              <w:rPr>
                <w:sz w:val="20"/>
                <w:szCs w:val="20"/>
                <w:color w:val="auto"/>
              </w:rPr>
            </w:pPr>
            <w:r>
              <w:rPr>
                <w:rFonts w:ascii="Arial" w:cs="Arial" w:eastAsia="Arial" w:hAnsi="Arial"/>
                <w:sz w:val="14"/>
                <w:szCs w:val="14"/>
                <w:color w:val="auto"/>
              </w:rPr>
              <w:t>Brazil</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Consultoria e Servicos de Recursos Humanos Ltda.</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Brazil</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do Brasil Servicos de Call Center Ltda.</w:t>
            </w:r>
          </w:p>
        </w:tc>
        <w:tc>
          <w:tcPr>
            <w:tcW w:w="4940" w:type="dxa"/>
            <w:vAlign w:val="bottom"/>
          </w:tcPr>
          <w:p>
            <w:pPr>
              <w:ind w:left="440"/>
              <w:spacing w:after="0"/>
              <w:rPr>
                <w:sz w:val="20"/>
                <w:szCs w:val="20"/>
                <w:color w:val="auto"/>
              </w:rPr>
            </w:pPr>
            <w:r>
              <w:rPr>
                <w:rFonts w:ascii="Arial" w:cs="Arial" w:eastAsia="Arial" w:hAnsi="Arial"/>
                <w:sz w:val="14"/>
                <w:szCs w:val="14"/>
                <w:color w:val="auto"/>
              </w:rPr>
              <w:t>Brazil</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Business Services Canada, Inc./Services D’affaires Conduent Canada Inc.</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Canada</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Business Solutions (Cyprus) Limited</w:t>
            </w:r>
          </w:p>
        </w:tc>
        <w:tc>
          <w:tcPr>
            <w:tcW w:w="4940" w:type="dxa"/>
            <w:vAlign w:val="bottom"/>
          </w:tcPr>
          <w:p>
            <w:pPr>
              <w:ind w:left="440"/>
              <w:spacing w:after="0"/>
              <w:rPr>
                <w:sz w:val="20"/>
                <w:szCs w:val="20"/>
                <w:color w:val="auto"/>
              </w:rPr>
            </w:pPr>
            <w:r>
              <w:rPr>
                <w:rFonts w:ascii="Arial" w:cs="Arial" w:eastAsia="Arial" w:hAnsi="Arial"/>
                <w:sz w:val="14"/>
                <w:szCs w:val="14"/>
                <w:color w:val="auto"/>
              </w:rPr>
              <w:t>Cyprus</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Colombia S.A.</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Colombia</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Czech Republic s.r.o.</w:t>
            </w:r>
          </w:p>
        </w:tc>
        <w:tc>
          <w:tcPr>
            <w:tcW w:w="4940" w:type="dxa"/>
            <w:vAlign w:val="bottom"/>
          </w:tcPr>
          <w:p>
            <w:pPr>
              <w:ind w:left="440"/>
              <w:spacing w:after="0"/>
              <w:rPr>
                <w:sz w:val="20"/>
                <w:szCs w:val="20"/>
                <w:color w:val="auto"/>
              </w:rPr>
            </w:pPr>
            <w:r>
              <w:rPr>
                <w:rFonts w:ascii="Arial" w:cs="Arial" w:eastAsia="Arial" w:hAnsi="Arial"/>
                <w:sz w:val="14"/>
                <w:szCs w:val="14"/>
                <w:color w:val="auto"/>
              </w:rPr>
              <w:t>Czech Republic</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Business Process Solutions (France) SAS</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France</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Business Solutions (France) SAS</w:t>
            </w:r>
          </w:p>
        </w:tc>
        <w:tc>
          <w:tcPr>
            <w:tcW w:w="4940" w:type="dxa"/>
            <w:vAlign w:val="bottom"/>
          </w:tcPr>
          <w:p>
            <w:pPr>
              <w:ind w:left="440"/>
              <w:spacing w:after="0"/>
              <w:rPr>
                <w:sz w:val="20"/>
                <w:szCs w:val="20"/>
                <w:color w:val="auto"/>
              </w:rPr>
            </w:pPr>
            <w:r>
              <w:rPr>
                <w:rFonts w:ascii="Arial" w:cs="Arial" w:eastAsia="Arial" w:hAnsi="Arial"/>
                <w:sz w:val="14"/>
                <w:szCs w:val="14"/>
                <w:color w:val="auto"/>
              </w:rPr>
              <w:t>France</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ACS Holdings (Germany) GmbH</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Germany</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Germany Holding GmbH</w:t>
            </w:r>
          </w:p>
        </w:tc>
        <w:tc>
          <w:tcPr>
            <w:tcW w:w="4940" w:type="dxa"/>
            <w:vAlign w:val="bottom"/>
          </w:tcPr>
          <w:p>
            <w:pPr>
              <w:ind w:left="440"/>
              <w:spacing w:after="0"/>
              <w:rPr>
                <w:sz w:val="20"/>
                <w:szCs w:val="20"/>
                <w:color w:val="auto"/>
              </w:rPr>
            </w:pPr>
            <w:r>
              <w:rPr>
                <w:rFonts w:ascii="Arial" w:cs="Arial" w:eastAsia="Arial" w:hAnsi="Arial"/>
                <w:sz w:val="14"/>
                <w:szCs w:val="14"/>
                <w:color w:val="auto"/>
              </w:rPr>
              <w:t>Germany</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Communication Center GmbH</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Germany</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Customer Service GmbH</w:t>
            </w:r>
          </w:p>
        </w:tc>
        <w:tc>
          <w:tcPr>
            <w:tcW w:w="4940" w:type="dxa"/>
            <w:vAlign w:val="bottom"/>
          </w:tcPr>
          <w:p>
            <w:pPr>
              <w:ind w:left="440"/>
              <w:spacing w:after="0"/>
              <w:rPr>
                <w:sz w:val="20"/>
                <w:szCs w:val="20"/>
                <w:color w:val="auto"/>
              </w:rPr>
            </w:pPr>
            <w:r>
              <w:rPr>
                <w:rFonts w:ascii="Arial" w:cs="Arial" w:eastAsia="Arial" w:hAnsi="Arial"/>
                <w:sz w:val="14"/>
                <w:szCs w:val="14"/>
                <w:color w:val="auto"/>
              </w:rPr>
              <w:t>Germany</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Multimedia GmbH</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Germany</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Service Center GmbH</w:t>
            </w:r>
          </w:p>
        </w:tc>
        <w:tc>
          <w:tcPr>
            <w:tcW w:w="4940" w:type="dxa"/>
            <w:vAlign w:val="bottom"/>
          </w:tcPr>
          <w:p>
            <w:pPr>
              <w:ind w:left="440"/>
              <w:spacing w:after="0"/>
              <w:rPr>
                <w:sz w:val="20"/>
                <w:szCs w:val="20"/>
                <w:color w:val="auto"/>
              </w:rPr>
            </w:pPr>
            <w:r>
              <w:rPr>
                <w:rFonts w:ascii="Arial" w:cs="Arial" w:eastAsia="Arial" w:hAnsi="Arial"/>
                <w:sz w:val="14"/>
                <w:szCs w:val="14"/>
                <w:color w:val="auto"/>
              </w:rPr>
              <w:t>Germany</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Technical Service GmbH</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Germany</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Greece Single Member Limited Liability Company</w:t>
            </w:r>
          </w:p>
        </w:tc>
        <w:tc>
          <w:tcPr>
            <w:tcW w:w="4940" w:type="dxa"/>
            <w:vAlign w:val="bottom"/>
          </w:tcPr>
          <w:p>
            <w:pPr>
              <w:ind w:left="440"/>
              <w:spacing w:after="0"/>
              <w:rPr>
                <w:sz w:val="20"/>
                <w:szCs w:val="20"/>
                <w:color w:val="auto"/>
              </w:rPr>
            </w:pPr>
            <w:r>
              <w:rPr>
                <w:rFonts w:ascii="Arial" w:cs="Arial" w:eastAsia="Arial" w:hAnsi="Arial"/>
                <w:sz w:val="14"/>
                <w:szCs w:val="14"/>
                <w:color w:val="auto"/>
              </w:rPr>
              <w:t>Greece</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Business Services de Guatemala, Sociedad Anonima</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Guatemala</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ACS China Solutions Hong Kong Limited</w:t>
            </w:r>
          </w:p>
        </w:tc>
        <w:tc>
          <w:tcPr>
            <w:tcW w:w="4940" w:type="dxa"/>
            <w:vAlign w:val="bottom"/>
          </w:tcPr>
          <w:p>
            <w:pPr>
              <w:ind w:left="440"/>
              <w:spacing w:after="0"/>
              <w:rPr>
                <w:sz w:val="20"/>
                <w:szCs w:val="20"/>
                <w:color w:val="auto"/>
              </w:rPr>
            </w:pPr>
            <w:r>
              <w:rPr>
                <w:rFonts w:ascii="Arial" w:cs="Arial" w:eastAsia="Arial" w:hAnsi="Arial"/>
                <w:sz w:val="14"/>
                <w:szCs w:val="14"/>
                <w:color w:val="auto"/>
              </w:rPr>
              <w:t>Hong Kong</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Business Services India LLP</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India</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Business Services Italy S.r.l.</w:t>
            </w:r>
          </w:p>
        </w:tc>
        <w:tc>
          <w:tcPr>
            <w:tcW w:w="4940" w:type="dxa"/>
            <w:vAlign w:val="bottom"/>
          </w:tcPr>
          <w:p>
            <w:pPr>
              <w:ind w:left="440"/>
              <w:spacing w:after="0"/>
              <w:rPr>
                <w:sz w:val="20"/>
                <w:szCs w:val="20"/>
                <w:color w:val="auto"/>
              </w:rPr>
            </w:pPr>
            <w:r>
              <w:rPr>
                <w:rFonts w:ascii="Arial" w:cs="Arial" w:eastAsia="Arial" w:hAnsi="Arial"/>
                <w:sz w:val="14"/>
                <w:szCs w:val="14"/>
                <w:color w:val="auto"/>
              </w:rPr>
              <w:t>Italy</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Business Solutions Italia, S.p.A.</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Italy</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Solutions (Jamaica) Limited</w:t>
            </w:r>
          </w:p>
        </w:tc>
        <w:tc>
          <w:tcPr>
            <w:tcW w:w="4940" w:type="dxa"/>
            <w:vAlign w:val="bottom"/>
          </w:tcPr>
          <w:p>
            <w:pPr>
              <w:ind w:left="440"/>
              <w:spacing w:after="0"/>
              <w:rPr>
                <w:sz w:val="20"/>
                <w:szCs w:val="20"/>
                <w:color w:val="auto"/>
              </w:rPr>
            </w:pPr>
            <w:r>
              <w:rPr>
                <w:rFonts w:ascii="Arial" w:cs="Arial" w:eastAsia="Arial" w:hAnsi="Arial"/>
                <w:sz w:val="14"/>
                <w:szCs w:val="14"/>
                <w:color w:val="auto"/>
              </w:rPr>
              <w:t>Jamaica</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Jamaica Limited</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Jamaica</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Sia Rigas Karte</w:t>
            </w:r>
          </w:p>
        </w:tc>
        <w:tc>
          <w:tcPr>
            <w:tcW w:w="4940" w:type="dxa"/>
            <w:vAlign w:val="bottom"/>
          </w:tcPr>
          <w:p>
            <w:pPr>
              <w:ind w:left="440"/>
              <w:spacing w:after="0"/>
              <w:rPr>
                <w:sz w:val="20"/>
                <w:szCs w:val="20"/>
                <w:color w:val="auto"/>
              </w:rPr>
            </w:pPr>
            <w:r>
              <w:rPr>
                <w:rFonts w:ascii="Arial" w:cs="Arial" w:eastAsia="Arial" w:hAnsi="Arial"/>
                <w:sz w:val="14"/>
                <w:szCs w:val="14"/>
                <w:color w:val="auto"/>
              </w:rPr>
              <w:t>Latvia</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Affiliated Computer Services Holdings (Luxembourg) S.A.R.L.</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Luxembourg</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Business Services Malaysia Sdn. Bhd.</w:t>
            </w:r>
          </w:p>
        </w:tc>
        <w:tc>
          <w:tcPr>
            <w:tcW w:w="4940" w:type="dxa"/>
            <w:vAlign w:val="bottom"/>
          </w:tcPr>
          <w:p>
            <w:pPr>
              <w:ind w:left="440"/>
              <w:spacing w:after="0"/>
              <w:rPr>
                <w:sz w:val="20"/>
                <w:szCs w:val="20"/>
                <w:color w:val="auto"/>
              </w:rPr>
            </w:pPr>
            <w:r>
              <w:rPr>
                <w:rFonts w:ascii="Arial" w:cs="Arial" w:eastAsia="Arial" w:hAnsi="Arial"/>
                <w:sz w:val="14"/>
                <w:szCs w:val="14"/>
                <w:color w:val="auto"/>
              </w:rPr>
              <w:t>Malaysia</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de Mexico, S.A. de C.V.</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Mexico</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Solutions Mexico, S. de R.L. de C.V.</w:t>
            </w:r>
          </w:p>
        </w:tc>
        <w:tc>
          <w:tcPr>
            <w:tcW w:w="4940" w:type="dxa"/>
            <w:vAlign w:val="bottom"/>
          </w:tcPr>
          <w:p>
            <w:pPr>
              <w:ind w:left="440"/>
              <w:spacing w:after="0"/>
              <w:rPr>
                <w:sz w:val="20"/>
                <w:szCs w:val="20"/>
                <w:color w:val="auto"/>
              </w:rPr>
            </w:pPr>
            <w:r>
              <w:rPr>
                <w:rFonts w:ascii="Arial" w:cs="Arial" w:eastAsia="Arial" w:hAnsi="Arial"/>
                <w:sz w:val="14"/>
                <w:szCs w:val="14"/>
                <w:color w:val="auto"/>
              </w:rPr>
              <w:t>Mexico</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Affiliated Computer Services International B.V.</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Netherlands</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Customer Helpline Holdings (Netherlands) B.V.</w:t>
            </w:r>
          </w:p>
        </w:tc>
        <w:tc>
          <w:tcPr>
            <w:tcW w:w="4940" w:type="dxa"/>
            <w:vAlign w:val="bottom"/>
          </w:tcPr>
          <w:p>
            <w:pPr>
              <w:ind w:left="440"/>
              <w:spacing w:after="0"/>
              <w:rPr>
                <w:sz w:val="20"/>
                <w:szCs w:val="20"/>
                <w:color w:val="auto"/>
              </w:rPr>
            </w:pPr>
            <w:r>
              <w:rPr>
                <w:rFonts w:ascii="Arial" w:cs="Arial" w:eastAsia="Arial" w:hAnsi="Arial"/>
                <w:sz w:val="14"/>
                <w:szCs w:val="14"/>
                <w:color w:val="auto"/>
              </w:rPr>
              <w:t>Netherlands</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Netherlands Holding B.V.</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Netherlands</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Netherlands B.V.</w:t>
            </w:r>
          </w:p>
        </w:tc>
        <w:tc>
          <w:tcPr>
            <w:tcW w:w="4940" w:type="dxa"/>
            <w:vAlign w:val="bottom"/>
          </w:tcPr>
          <w:p>
            <w:pPr>
              <w:ind w:left="440"/>
              <w:spacing w:after="0"/>
              <w:rPr>
                <w:sz w:val="20"/>
                <w:szCs w:val="20"/>
                <w:color w:val="auto"/>
              </w:rPr>
            </w:pPr>
            <w:r>
              <w:rPr>
                <w:rFonts w:ascii="Arial" w:cs="Arial" w:eastAsia="Arial" w:hAnsi="Arial"/>
                <w:sz w:val="14"/>
                <w:szCs w:val="14"/>
                <w:color w:val="auto"/>
              </w:rPr>
              <w:t>Netherlands</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ACS Solutions Peru S.A.</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Peru</w:t>
            </w:r>
          </w:p>
        </w:tc>
      </w:tr>
      <w:tr>
        <w:trPr>
          <w:trHeight w:val="177"/>
        </w:trPr>
        <w:tc>
          <w:tcPr>
            <w:tcW w:w="5680" w:type="dxa"/>
            <w:vAlign w:val="bottom"/>
          </w:tcPr>
          <w:p>
            <w:pPr>
              <w:ind w:left="20"/>
              <w:spacing w:after="0"/>
              <w:rPr>
                <w:sz w:val="20"/>
                <w:szCs w:val="20"/>
                <w:color w:val="auto"/>
              </w:rPr>
            </w:pPr>
            <w:r>
              <w:rPr>
                <w:rFonts w:ascii="Arial" w:cs="Arial" w:eastAsia="Arial" w:hAnsi="Arial"/>
                <w:sz w:val="14"/>
                <w:szCs w:val="14"/>
                <w:color w:val="auto"/>
              </w:rPr>
              <w:t>Conduent Business Services Philippines, Inc.</w:t>
            </w:r>
          </w:p>
        </w:tc>
        <w:tc>
          <w:tcPr>
            <w:tcW w:w="4940" w:type="dxa"/>
            <w:vAlign w:val="bottom"/>
          </w:tcPr>
          <w:p>
            <w:pPr>
              <w:ind w:left="440"/>
              <w:spacing w:after="0"/>
              <w:rPr>
                <w:sz w:val="20"/>
                <w:szCs w:val="20"/>
                <w:color w:val="auto"/>
              </w:rPr>
            </w:pPr>
            <w:r>
              <w:rPr>
                <w:rFonts w:ascii="Arial" w:cs="Arial" w:eastAsia="Arial" w:hAnsi="Arial"/>
                <w:sz w:val="14"/>
                <w:szCs w:val="14"/>
                <w:color w:val="auto"/>
              </w:rPr>
              <w:t>Philippines</w:t>
            </w:r>
          </w:p>
        </w:tc>
      </w:tr>
      <w:tr>
        <w:trPr>
          <w:trHeight w:val="177"/>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Solutions Philippines, Inc.</w:t>
            </w:r>
          </w:p>
        </w:tc>
        <w:tc>
          <w:tcPr>
            <w:tcW w:w="49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Philippines</w:t>
            </w:r>
          </w:p>
        </w:tc>
      </w:tr>
      <w:tr>
        <w:trPr>
          <w:trHeight w:val="184"/>
        </w:trPr>
        <w:tc>
          <w:tcPr>
            <w:tcW w:w="5680" w:type="dxa"/>
            <w:vAlign w:val="bottom"/>
          </w:tcPr>
          <w:p>
            <w:pPr>
              <w:ind w:left="20"/>
              <w:spacing w:after="0"/>
              <w:rPr>
                <w:sz w:val="20"/>
                <w:szCs w:val="20"/>
                <w:color w:val="auto"/>
              </w:rPr>
            </w:pPr>
            <w:r>
              <w:rPr>
                <w:rFonts w:ascii="Arial" w:cs="Arial" w:eastAsia="Arial" w:hAnsi="Arial"/>
                <w:sz w:val="14"/>
                <w:szCs w:val="14"/>
                <w:color w:val="auto"/>
              </w:rPr>
              <w:t>Conduent Poland Sp. z.o.o.</w:t>
            </w:r>
          </w:p>
        </w:tc>
        <w:tc>
          <w:tcPr>
            <w:tcW w:w="4940" w:type="dxa"/>
            <w:vAlign w:val="bottom"/>
          </w:tcPr>
          <w:p>
            <w:pPr>
              <w:ind w:left="440"/>
              <w:spacing w:after="0"/>
              <w:rPr>
                <w:sz w:val="20"/>
                <w:szCs w:val="20"/>
                <w:color w:val="auto"/>
              </w:rPr>
            </w:pPr>
            <w:r>
              <w:rPr>
                <w:rFonts w:ascii="Arial" w:cs="Arial" w:eastAsia="Arial" w:hAnsi="Arial"/>
                <w:sz w:val="14"/>
                <w:szCs w:val="14"/>
                <w:color w:val="auto"/>
              </w:rPr>
              <w:t>Poland</w:t>
            </w:r>
          </w:p>
        </w:tc>
      </w:tr>
    </w:tbl>
    <w:p>
      <w:pPr>
        <w:sectPr>
          <w:pgSz w:w="11900" w:h="16838" w:orient="portrait"/>
          <w:cols w:equalWidth="0" w:num="1">
            <w:col w:w="10940"/>
          </w:cols>
          <w:pgMar w:left="640" w:top="121" w:right="319" w:bottom="1440" w:gutter="0" w:footer="0" w:header="0"/>
        </w:sectPr>
      </w:pPr>
    </w:p>
    <w:bookmarkStart w:id="113" w:name="page114"/>
    <w:bookmarkEnd w:id="113"/>
    <w:p>
      <w:pPr>
        <w:jc w:val="right"/>
        <w:spacing w:after="0"/>
        <w:rPr>
          <w:sz w:val="20"/>
          <w:szCs w:val="20"/>
          <w:color w:val="auto"/>
        </w:rPr>
      </w:pPr>
      <w:r>
        <w:rPr>
          <w:rFonts w:ascii="Arial" w:cs="Arial" w:eastAsia="Arial" w:hAnsi="Arial"/>
          <w:sz w:val="15"/>
          <w:szCs w:val="15"/>
          <w:b w:val="1"/>
          <w:bCs w:val="1"/>
          <w:color w:val="0066CC"/>
        </w:rPr>
        <w:t>EXHIBIT 21</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Business Solutions of Puerto Rico, Inc.</w:t>
            </w:r>
          </w:p>
        </w:tc>
        <w:tc>
          <w:tcPr>
            <w:tcW w:w="6000" w:type="dxa"/>
            <w:vAlign w:val="bottom"/>
            <w:shd w:val="clear" w:color="auto" w:fill="CCEEFF"/>
          </w:tcPr>
          <w:p>
            <w:pPr>
              <w:ind w:left="1500"/>
              <w:spacing w:after="0"/>
              <w:rPr>
                <w:sz w:val="20"/>
                <w:szCs w:val="20"/>
                <w:color w:val="auto"/>
              </w:rPr>
            </w:pPr>
            <w:r>
              <w:rPr>
                <w:rFonts w:ascii="Arial" w:cs="Arial" w:eastAsia="Arial" w:hAnsi="Arial"/>
                <w:sz w:val="14"/>
                <w:szCs w:val="14"/>
                <w:color w:val="auto"/>
              </w:rPr>
              <w:t>Puerto Rico</w:t>
            </w:r>
          </w:p>
        </w:tc>
      </w:tr>
      <w:tr>
        <w:trPr>
          <w:trHeight w:val="177"/>
        </w:trPr>
        <w:tc>
          <w:tcPr>
            <w:tcW w:w="4620" w:type="dxa"/>
            <w:vAlign w:val="bottom"/>
          </w:tcPr>
          <w:p>
            <w:pPr>
              <w:ind w:left="20"/>
              <w:spacing w:after="0"/>
              <w:rPr>
                <w:sz w:val="20"/>
                <w:szCs w:val="20"/>
                <w:color w:val="auto"/>
              </w:rPr>
            </w:pPr>
            <w:r>
              <w:rPr>
                <w:rFonts w:ascii="Arial" w:cs="Arial" w:eastAsia="Arial" w:hAnsi="Arial"/>
                <w:sz w:val="14"/>
                <w:szCs w:val="14"/>
                <w:color w:val="auto"/>
              </w:rPr>
              <w:t>Conduent Business Services Romania S.r.l.</w:t>
            </w:r>
          </w:p>
        </w:tc>
        <w:tc>
          <w:tcPr>
            <w:tcW w:w="6000" w:type="dxa"/>
            <w:vAlign w:val="bottom"/>
          </w:tcPr>
          <w:p>
            <w:pPr>
              <w:ind w:left="1500"/>
              <w:spacing w:after="0"/>
              <w:rPr>
                <w:sz w:val="20"/>
                <w:szCs w:val="20"/>
                <w:color w:val="auto"/>
              </w:rPr>
            </w:pPr>
            <w:r>
              <w:rPr>
                <w:rFonts w:ascii="Arial" w:cs="Arial" w:eastAsia="Arial" w:hAnsi="Arial"/>
                <w:sz w:val="14"/>
                <w:szCs w:val="14"/>
                <w:color w:val="auto"/>
              </w:rPr>
              <w:t>Romania</w:t>
            </w:r>
          </w:p>
        </w:tc>
      </w:tr>
      <w:tr>
        <w:trPr>
          <w:trHeight w:val="177"/>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Europe Finance Limited Partnership</w:t>
            </w:r>
          </w:p>
        </w:tc>
        <w:tc>
          <w:tcPr>
            <w:tcW w:w="6000" w:type="dxa"/>
            <w:vAlign w:val="bottom"/>
            <w:shd w:val="clear" w:color="auto" w:fill="CCEEFF"/>
          </w:tcPr>
          <w:p>
            <w:pPr>
              <w:ind w:left="1500"/>
              <w:spacing w:after="0"/>
              <w:rPr>
                <w:sz w:val="20"/>
                <w:szCs w:val="20"/>
                <w:color w:val="auto"/>
              </w:rPr>
            </w:pPr>
            <w:r>
              <w:rPr>
                <w:rFonts w:ascii="Arial" w:cs="Arial" w:eastAsia="Arial" w:hAnsi="Arial"/>
                <w:sz w:val="14"/>
                <w:szCs w:val="14"/>
                <w:color w:val="auto"/>
              </w:rPr>
              <w:t>Scotland</w:t>
            </w:r>
          </w:p>
        </w:tc>
      </w:tr>
      <w:tr>
        <w:trPr>
          <w:trHeight w:val="177"/>
        </w:trPr>
        <w:tc>
          <w:tcPr>
            <w:tcW w:w="4620" w:type="dxa"/>
            <w:vAlign w:val="bottom"/>
          </w:tcPr>
          <w:p>
            <w:pPr>
              <w:ind w:left="20"/>
              <w:spacing w:after="0"/>
              <w:rPr>
                <w:sz w:val="20"/>
                <w:szCs w:val="20"/>
                <w:color w:val="auto"/>
              </w:rPr>
            </w:pPr>
            <w:r>
              <w:rPr>
                <w:rFonts w:ascii="Arial" w:cs="Arial" w:eastAsia="Arial" w:hAnsi="Arial"/>
                <w:sz w:val="14"/>
                <w:szCs w:val="14"/>
                <w:color w:val="auto"/>
              </w:rPr>
              <w:t>Conduent (PTY) LTD</w:t>
            </w:r>
          </w:p>
        </w:tc>
        <w:tc>
          <w:tcPr>
            <w:tcW w:w="6000" w:type="dxa"/>
            <w:vAlign w:val="bottom"/>
          </w:tcPr>
          <w:p>
            <w:pPr>
              <w:ind w:left="1500"/>
              <w:spacing w:after="0"/>
              <w:rPr>
                <w:sz w:val="20"/>
                <w:szCs w:val="20"/>
                <w:color w:val="auto"/>
              </w:rPr>
            </w:pPr>
            <w:r>
              <w:rPr>
                <w:rFonts w:ascii="Arial" w:cs="Arial" w:eastAsia="Arial" w:hAnsi="Arial"/>
                <w:sz w:val="14"/>
                <w:szCs w:val="14"/>
                <w:color w:val="auto"/>
              </w:rPr>
              <w:t>South Africa</w:t>
            </w:r>
          </w:p>
        </w:tc>
      </w:tr>
      <w:tr>
        <w:trPr>
          <w:trHeight w:val="177"/>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Business Services, S.L.</w:t>
            </w:r>
          </w:p>
        </w:tc>
        <w:tc>
          <w:tcPr>
            <w:tcW w:w="6000" w:type="dxa"/>
            <w:vAlign w:val="bottom"/>
            <w:shd w:val="clear" w:color="auto" w:fill="CCEEFF"/>
          </w:tcPr>
          <w:p>
            <w:pPr>
              <w:ind w:left="1500"/>
              <w:spacing w:after="0"/>
              <w:rPr>
                <w:sz w:val="20"/>
                <w:szCs w:val="20"/>
                <w:color w:val="auto"/>
              </w:rPr>
            </w:pPr>
            <w:r>
              <w:rPr>
                <w:rFonts w:ascii="Arial" w:cs="Arial" w:eastAsia="Arial" w:hAnsi="Arial"/>
                <w:sz w:val="14"/>
                <w:szCs w:val="14"/>
                <w:color w:val="auto"/>
              </w:rPr>
              <w:t>Spain</w:t>
            </w:r>
          </w:p>
        </w:tc>
      </w:tr>
      <w:tr>
        <w:trPr>
          <w:trHeight w:val="177"/>
        </w:trPr>
        <w:tc>
          <w:tcPr>
            <w:tcW w:w="4620" w:type="dxa"/>
            <w:vAlign w:val="bottom"/>
          </w:tcPr>
          <w:p>
            <w:pPr>
              <w:ind w:left="20"/>
              <w:spacing w:after="0"/>
              <w:rPr>
                <w:sz w:val="20"/>
                <w:szCs w:val="20"/>
                <w:color w:val="auto"/>
              </w:rPr>
            </w:pPr>
            <w:r>
              <w:rPr>
                <w:rFonts w:ascii="Arial" w:cs="Arial" w:eastAsia="Arial" w:hAnsi="Arial"/>
                <w:sz w:val="14"/>
                <w:szCs w:val="14"/>
                <w:color w:val="auto"/>
              </w:rPr>
              <w:t>Conduent Holdings (St. Lucia) Ltd.</w:t>
            </w:r>
          </w:p>
        </w:tc>
        <w:tc>
          <w:tcPr>
            <w:tcW w:w="6000" w:type="dxa"/>
            <w:vAlign w:val="bottom"/>
          </w:tcPr>
          <w:p>
            <w:pPr>
              <w:ind w:left="1500"/>
              <w:spacing w:after="0"/>
              <w:rPr>
                <w:sz w:val="20"/>
                <w:szCs w:val="20"/>
                <w:color w:val="auto"/>
              </w:rPr>
            </w:pPr>
            <w:r>
              <w:rPr>
                <w:rFonts w:ascii="Arial" w:cs="Arial" w:eastAsia="Arial" w:hAnsi="Arial"/>
                <w:sz w:val="14"/>
                <w:szCs w:val="14"/>
                <w:color w:val="auto"/>
              </w:rPr>
              <w:t>St. Lucia</w:t>
            </w:r>
          </w:p>
        </w:tc>
      </w:tr>
      <w:tr>
        <w:trPr>
          <w:trHeight w:val="177"/>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Business Services Switzerland GmbH</w:t>
            </w:r>
          </w:p>
        </w:tc>
        <w:tc>
          <w:tcPr>
            <w:tcW w:w="6000" w:type="dxa"/>
            <w:vAlign w:val="bottom"/>
            <w:shd w:val="clear" w:color="auto" w:fill="CCEEFF"/>
          </w:tcPr>
          <w:p>
            <w:pPr>
              <w:ind w:left="1500"/>
              <w:spacing w:after="0"/>
              <w:rPr>
                <w:sz w:val="20"/>
                <w:szCs w:val="20"/>
                <w:color w:val="auto"/>
              </w:rPr>
            </w:pPr>
            <w:r>
              <w:rPr>
                <w:rFonts w:ascii="Arial" w:cs="Arial" w:eastAsia="Arial" w:hAnsi="Arial"/>
                <w:sz w:val="14"/>
                <w:szCs w:val="14"/>
                <w:color w:val="auto"/>
              </w:rPr>
              <w:t>Switzerland</w:t>
            </w:r>
          </w:p>
        </w:tc>
      </w:tr>
      <w:tr>
        <w:trPr>
          <w:trHeight w:val="177"/>
        </w:trPr>
        <w:tc>
          <w:tcPr>
            <w:tcW w:w="4620" w:type="dxa"/>
            <w:vAlign w:val="bottom"/>
          </w:tcPr>
          <w:p>
            <w:pPr>
              <w:ind w:left="20"/>
              <w:spacing w:after="0"/>
              <w:rPr>
                <w:sz w:val="20"/>
                <w:szCs w:val="20"/>
                <w:color w:val="auto"/>
              </w:rPr>
            </w:pPr>
            <w:r>
              <w:rPr>
                <w:rFonts w:ascii="Arial" w:cs="Arial" w:eastAsia="Arial" w:hAnsi="Arial"/>
                <w:sz w:val="14"/>
                <w:szCs w:val="14"/>
                <w:color w:val="auto"/>
              </w:rPr>
              <w:t>Conduent Business Solutions AG</w:t>
            </w:r>
          </w:p>
        </w:tc>
        <w:tc>
          <w:tcPr>
            <w:tcW w:w="6000" w:type="dxa"/>
            <w:vAlign w:val="bottom"/>
          </w:tcPr>
          <w:p>
            <w:pPr>
              <w:ind w:left="1500"/>
              <w:spacing w:after="0"/>
              <w:rPr>
                <w:sz w:val="20"/>
                <w:szCs w:val="20"/>
                <w:color w:val="auto"/>
              </w:rPr>
            </w:pPr>
            <w:r>
              <w:rPr>
                <w:rFonts w:ascii="Arial" w:cs="Arial" w:eastAsia="Arial" w:hAnsi="Arial"/>
                <w:sz w:val="14"/>
                <w:szCs w:val="14"/>
                <w:color w:val="auto"/>
              </w:rPr>
              <w:t>Switzerland</w:t>
            </w:r>
          </w:p>
        </w:tc>
      </w:tr>
      <w:tr>
        <w:trPr>
          <w:trHeight w:val="177"/>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Turkey Musteri Hizmetleri Limited Sirketi</w:t>
            </w:r>
          </w:p>
        </w:tc>
        <w:tc>
          <w:tcPr>
            <w:tcW w:w="6000" w:type="dxa"/>
            <w:vAlign w:val="bottom"/>
            <w:shd w:val="clear" w:color="auto" w:fill="CCEEFF"/>
          </w:tcPr>
          <w:p>
            <w:pPr>
              <w:ind w:left="1500"/>
              <w:spacing w:after="0"/>
              <w:rPr>
                <w:sz w:val="20"/>
                <w:szCs w:val="20"/>
                <w:color w:val="auto"/>
              </w:rPr>
            </w:pPr>
            <w:r>
              <w:rPr>
                <w:rFonts w:ascii="Arial" w:cs="Arial" w:eastAsia="Arial" w:hAnsi="Arial"/>
                <w:sz w:val="14"/>
                <w:szCs w:val="14"/>
                <w:color w:val="auto"/>
              </w:rPr>
              <w:t>Turkey</w:t>
            </w:r>
          </w:p>
        </w:tc>
      </w:tr>
      <w:tr>
        <w:trPr>
          <w:trHeight w:val="177"/>
        </w:trPr>
        <w:tc>
          <w:tcPr>
            <w:tcW w:w="4620" w:type="dxa"/>
            <w:vAlign w:val="bottom"/>
          </w:tcPr>
          <w:p>
            <w:pPr>
              <w:ind w:left="20"/>
              <w:spacing w:after="0"/>
              <w:rPr>
                <w:sz w:val="20"/>
                <w:szCs w:val="20"/>
                <w:color w:val="auto"/>
              </w:rPr>
            </w:pPr>
            <w:r>
              <w:rPr>
                <w:rFonts w:ascii="Arial" w:cs="Arial" w:eastAsia="Arial" w:hAnsi="Arial"/>
                <w:sz w:val="14"/>
                <w:szCs w:val="14"/>
                <w:color w:val="auto"/>
              </w:rPr>
              <w:t>Conduent Business Process Solutions Limited</w:t>
            </w:r>
          </w:p>
        </w:tc>
        <w:tc>
          <w:tcPr>
            <w:tcW w:w="6000" w:type="dxa"/>
            <w:vAlign w:val="bottom"/>
          </w:tcPr>
          <w:p>
            <w:pPr>
              <w:ind w:left="1500"/>
              <w:spacing w:after="0"/>
              <w:rPr>
                <w:sz w:val="20"/>
                <w:szCs w:val="20"/>
                <w:color w:val="auto"/>
              </w:rPr>
            </w:pPr>
            <w:r>
              <w:rPr>
                <w:rFonts w:ascii="Arial" w:cs="Arial" w:eastAsia="Arial" w:hAnsi="Arial"/>
                <w:sz w:val="14"/>
                <w:szCs w:val="14"/>
                <w:color w:val="auto"/>
              </w:rPr>
              <w:t>United Kingdom</w:t>
            </w:r>
          </w:p>
        </w:tc>
      </w:tr>
      <w:tr>
        <w:trPr>
          <w:trHeight w:val="177"/>
        </w:trPr>
        <w:tc>
          <w:tcPr>
            <w:tcW w:w="4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Conduent Business Services UK Limited</w:t>
            </w:r>
          </w:p>
        </w:tc>
        <w:tc>
          <w:tcPr>
            <w:tcW w:w="6000" w:type="dxa"/>
            <w:vAlign w:val="bottom"/>
            <w:shd w:val="clear" w:color="auto" w:fill="CCEEFF"/>
          </w:tcPr>
          <w:p>
            <w:pPr>
              <w:ind w:left="1500"/>
              <w:spacing w:after="0"/>
              <w:rPr>
                <w:sz w:val="20"/>
                <w:szCs w:val="20"/>
                <w:color w:val="auto"/>
              </w:rPr>
            </w:pPr>
            <w:r>
              <w:rPr>
                <w:rFonts w:ascii="Arial" w:cs="Arial" w:eastAsia="Arial" w:hAnsi="Arial"/>
                <w:sz w:val="14"/>
                <w:szCs w:val="14"/>
                <w:color w:val="auto"/>
              </w:rPr>
              <w:t>United Kingdom</w:t>
            </w:r>
          </w:p>
        </w:tc>
      </w:tr>
      <w:tr>
        <w:trPr>
          <w:trHeight w:val="184"/>
        </w:trPr>
        <w:tc>
          <w:tcPr>
            <w:tcW w:w="4620" w:type="dxa"/>
            <w:vAlign w:val="bottom"/>
          </w:tcPr>
          <w:p>
            <w:pPr>
              <w:ind w:left="20"/>
              <w:spacing w:after="0"/>
              <w:rPr>
                <w:sz w:val="20"/>
                <w:szCs w:val="20"/>
                <w:color w:val="auto"/>
              </w:rPr>
            </w:pPr>
            <w:r>
              <w:rPr>
                <w:rFonts w:ascii="Arial" w:cs="Arial" w:eastAsia="Arial" w:hAnsi="Arial"/>
                <w:sz w:val="14"/>
                <w:szCs w:val="14"/>
                <w:color w:val="auto"/>
              </w:rPr>
              <w:t>Conduent Public Sector UK Limited</w:t>
            </w:r>
          </w:p>
        </w:tc>
        <w:tc>
          <w:tcPr>
            <w:tcW w:w="6000" w:type="dxa"/>
            <w:vAlign w:val="bottom"/>
          </w:tcPr>
          <w:p>
            <w:pPr>
              <w:ind w:left="1500"/>
              <w:spacing w:after="0"/>
              <w:rPr>
                <w:sz w:val="20"/>
                <w:szCs w:val="20"/>
                <w:color w:val="auto"/>
              </w:rPr>
            </w:pPr>
            <w:r>
              <w:rPr>
                <w:rFonts w:ascii="Arial" w:cs="Arial" w:eastAsia="Arial" w:hAnsi="Arial"/>
                <w:sz w:val="14"/>
                <w:szCs w:val="14"/>
                <w:color w:val="auto"/>
              </w:rPr>
              <w:t>United Kingdom</w:t>
            </w:r>
          </w:p>
        </w:tc>
      </w:tr>
    </w:tbl>
    <w:p>
      <w:pPr>
        <w:sectPr>
          <w:pgSz w:w="11900" w:h="16838" w:orient="portrait"/>
          <w:cols w:equalWidth="0" w:num="1">
            <w:col w:w="10940"/>
          </w:cols>
          <w:pgMar w:left="640" w:top="121" w:right="319" w:bottom="1440" w:gutter="0" w:footer="0" w:header="0"/>
        </w:sectPr>
      </w:pPr>
    </w:p>
    <w:bookmarkStart w:id="114" w:name="page115"/>
    <w:bookmarkEnd w:id="114"/>
    <w:p>
      <w:pPr>
        <w:jc w:val="right"/>
        <w:spacing w:after="0"/>
        <w:rPr>
          <w:sz w:val="20"/>
          <w:szCs w:val="20"/>
          <w:color w:val="auto"/>
        </w:rPr>
      </w:pPr>
      <w:r>
        <w:rPr>
          <w:rFonts w:ascii="Arial" w:cs="Arial" w:eastAsia="Arial" w:hAnsi="Arial"/>
          <w:sz w:val="15"/>
          <w:szCs w:val="15"/>
          <w:b w:val="1"/>
          <w:bCs w:val="1"/>
          <w:color w:val="0066CC"/>
        </w:rPr>
        <w:t>EXHIBIT 23</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CONSENT OF INDEPENDENT REGISTERED PUBLIC ACCOUNTING FIRM</w:t>
      </w:r>
    </w:p>
    <w:p>
      <w:pPr>
        <w:spacing w:after="0" w:line="193" w:lineRule="exact"/>
        <w:rPr>
          <w:sz w:val="20"/>
          <w:szCs w:val="20"/>
          <w:color w:val="auto"/>
        </w:rPr>
      </w:pPr>
    </w:p>
    <w:p>
      <w:pPr>
        <w:ind w:right="120"/>
        <w:spacing w:after="0" w:line="305" w:lineRule="auto"/>
        <w:rPr>
          <w:sz w:val="20"/>
          <w:szCs w:val="20"/>
          <w:color w:val="auto"/>
        </w:rPr>
      </w:pPr>
      <w:r>
        <w:rPr>
          <w:rFonts w:ascii="Arial" w:cs="Arial" w:eastAsia="Arial" w:hAnsi="Arial"/>
          <w:sz w:val="13"/>
          <w:szCs w:val="13"/>
          <w:color w:val="auto"/>
        </w:rPr>
        <w:t>We hereby consent to the incorporation by reference in the Registration Statements on Form S-8 (Nos. 333-215361 and 333-257119) of Conduent Incorporated of our report dated February 21, 2024 relating to the financial statements, financial statement schedule, and the effectiveness of internal control over financial reporting, which appears in this Form 10-K.</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3505835" cy="63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8">
                      <a:extLst>
                        <a:ext uri="{28A0092B-C50C-407E-A947-70E740481C1C}"/>
                      </a:extLst>
                    </a:blip>
                    <a:srcRect/>
                    <a:stretch>
                      <a:fillRect/>
                    </a:stretch>
                  </pic:blipFill>
                  <pic:spPr bwMode="auto">
                    <a:xfrm>
                      <a:off x="0" y="0"/>
                      <a:ext cx="3505835" cy="6350"/>
                    </a:xfrm>
                    <a:prstGeom prst="rect">
                      <a:avLst/>
                    </a:prstGeom>
                    <a:noFill/>
                  </pic:spPr>
                </pic:pic>
              </a:graphicData>
            </a:graphic>
          </wp:anchor>
        </w:drawing>
      </w:r>
    </w:p>
    <w:p>
      <w:pPr>
        <w:spacing w:after="0" w:line="7" w:lineRule="exact"/>
        <w:rPr>
          <w:sz w:val="20"/>
          <w:szCs w:val="20"/>
          <w:color w:val="auto"/>
        </w:rPr>
      </w:pPr>
    </w:p>
    <w:p>
      <w:pPr>
        <w:ind w:left="20"/>
        <w:spacing w:after="0"/>
        <w:rPr>
          <w:sz w:val="20"/>
          <w:szCs w:val="20"/>
          <w:color w:val="auto"/>
        </w:rPr>
      </w:pPr>
      <w:r>
        <w:rPr>
          <w:rFonts w:ascii="Arial" w:cs="Arial" w:eastAsia="Arial" w:hAnsi="Arial"/>
          <w:sz w:val="14"/>
          <w:szCs w:val="14"/>
          <w:color w:val="auto"/>
        </w:rPr>
        <w:t>PricewaterhouseCoopers LLP</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4"/>
          <w:szCs w:val="14"/>
          <w:color w:val="auto"/>
        </w:rPr>
        <w:t>Florham Park, New Jersey</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4"/>
          <w:szCs w:val="14"/>
          <w:color w:val="auto"/>
        </w:rPr>
        <w:t>February 21, 2024</w:t>
      </w:r>
    </w:p>
    <w:p>
      <w:pPr>
        <w:sectPr>
          <w:pgSz w:w="11900" w:h="16838" w:orient="portrait"/>
          <w:cols w:equalWidth="0" w:num="1">
            <w:col w:w="11280"/>
          </w:cols>
          <w:pgMar w:left="300" w:top="121" w:right="319" w:bottom="1440" w:gutter="0" w:footer="0" w:header="0"/>
        </w:sectPr>
      </w:pPr>
    </w:p>
    <w:bookmarkStart w:id="115" w:name="page116"/>
    <w:bookmarkEnd w:id="115"/>
    <w:p>
      <w:pPr>
        <w:jc w:val="right"/>
        <w:spacing w:after="0"/>
        <w:rPr>
          <w:sz w:val="20"/>
          <w:szCs w:val="20"/>
          <w:color w:val="auto"/>
        </w:rPr>
      </w:pPr>
      <w:r>
        <w:rPr>
          <w:rFonts w:ascii="Arial" w:cs="Arial" w:eastAsia="Arial" w:hAnsi="Arial"/>
          <w:sz w:val="15"/>
          <w:szCs w:val="15"/>
          <w:b w:val="1"/>
          <w:bCs w:val="1"/>
          <w:color w:val="0066CC"/>
        </w:rPr>
        <w:t>EXHIBIT 31(a)</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CEO CERTIFICATIONS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I, Clifford Skelton, certify that:</w:t>
      </w:r>
    </w:p>
    <w:p>
      <w:pPr>
        <w:spacing w:after="0" w:line="152" w:lineRule="exact"/>
        <w:rPr>
          <w:sz w:val="20"/>
          <w:szCs w:val="20"/>
          <w:color w:val="auto"/>
        </w:rPr>
      </w:pPr>
    </w:p>
    <w:p>
      <w:pPr>
        <w:ind w:left="500" w:hanging="497"/>
        <w:spacing w:after="0"/>
        <w:tabs>
          <w:tab w:leader="none" w:pos="500" w:val="left"/>
        </w:tabs>
        <w:numPr>
          <w:ilvl w:val="0"/>
          <w:numId w:val="68"/>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Conduent Incorporated;</w:t>
      </w:r>
    </w:p>
    <w:p>
      <w:pPr>
        <w:spacing w:after="0" w:line="193" w:lineRule="exact"/>
        <w:rPr>
          <w:rFonts w:ascii="Arial" w:cs="Arial" w:eastAsia="Arial" w:hAnsi="Arial"/>
          <w:sz w:val="14"/>
          <w:szCs w:val="14"/>
          <w:color w:val="auto"/>
        </w:rPr>
      </w:pPr>
    </w:p>
    <w:p>
      <w:pPr>
        <w:ind w:left="500" w:right="80" w:hanging="497"/>
        <w:spacing w:after="0" w:line="282" w:lineRule="auto"/>
        <w:tabs>
          <w:tab w:leader="none" w:pos="491" w:val="left"/>
        </w:tabs>
        <w:numPr>
          <w:ilvl w:val="0"/>
          <w:numId w:val="6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4"/>
          <w:szCs w:val="14"/>
          <w:color w:val="auto"/>
        </w:rPr>
      </w:pPr>
    </w:p>
    <w:p>
      <w:pPr>
        <w:ind w:left="500" w:right="140" w:hanging="497"/>
        <w:spacing w:after="0" w:line="282" w:lineRule="auto"/>
        <w:tabs>
          <w:tab w:leader="none" w:pos="491" w:val="left"/>
        </w:tabs>
        <w:numPr>
          <w:ilvl w:val="0"/>
          <w:numId w:val="6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4"/>
          <w:szCs w:val="14"/>
          <w:color w:val="auto"/>
        </w:rPr>
      </w:pPr>
    </w:p>
    <w:p>
      <w:pPr>
        <w:ind w:left="500" w:right="140" w:hanging="497"/>
        <w:spacing w:after="0" w:line="282" w:lineRule="auto"/>
        <w:tabs>
          <w:tab w:leader="none" w:pos="491"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2" w:lineRule="exact"/>
        <w:rPr>
          <w:rFonts w:ascii="Arial" w:cs="Arial" w:eastAsia="Arial" w:hAnsi="Arial"/>
          <w:sz w:val="14"/>
          <w:szCs w:val="14"/>
          <w:color w:val="auto"/>
        </w:rPr>
      </w:pPr>
    </w:p>
    <w:p>
      <w:pPr>
        <w:ind w:left="1000" w:right="120" w:hanging="497"/>
        <w:spacing w:after="0" w:line="265" w:lineRule="auto"/>
        <w:tabs>
          <w:tab w:leader="none" w:pos="992" w:val="left"/>
        </w:tabs>
        <w:numPr>
          <w:ilvl w:val="1"/>
          <w:numId w:val="68"/>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4"/>
          <w:szCs w:val="14"/>
          <w:color w:val="auto"/>
        </w:rPr>
      </w:pPr>
    </w:p>
    <w:p>
      <w:pPr>
        <w:ind w:left="1000" w:right="400" w:hanging="497"/>
        <w:spacing w:after="0" w:line="265" w:lineRule="auto"/>
        <w:tabs>
          <w:tab w:leader="none" w:pos="992" w:val="left"/>
        </w:tabs>
        <w:numPr>
          <w:ilvl w:val="1"/>
          <w:numId w:val="68"/>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4"/>
          <w:szCs w:val="14"/>
          <w:color w:val="auto"/>
        </w:rPr>
      </w:pPr>
    </w:p>
    <w:p>
      <w:pPr>
        <w:ind w:left="1000" w:right="40" w:hanging="497"/>
        <w:spacing w:after="0" w:line="282" w:lineRule="auto"/>
        <w:tabs>
          <w:tab w:leader="none" w:pos="995" w:val="left"/>
        </w:tabs>
        <w:numPr>
          <w:ilvl w:val="1"/>
          <w:numId w:val="6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4"/>
          <w:szCs w:val="14"/>
          <w:color w:val="auto"/>
        </w:rPr>
      </w:pPr>
    </w:p>
    <w:p>
      <w:pPr>
        <w:ind w:left="1000" w:right="220" w:hanging="497"/>
        <w:spacing w:after="0" w:line="265" w:lineRule="auto"/>
        <w:tabs>
          <w:tab w:leader="none" w:pos="992" w:val="left"/>
        </w:tabs>
        <w:numPr>
          <w:ilvl w:val="1"/>
          <w:numId w:val="68"/>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4"/>
          <w:szCs w:val="14"/>
          <w:color w:val="auto"/>
        </w:rPr>
      </w:pPr>
    </w:p>
    <w:p>
      <w:pPr>
        <w:ind w:left="500" w:right="120" w:hanging="497"/>
        <w:spacing w:after="0" w:line="282" w:lineRule="auto"/>
        <w:tabs>
          <w:tab w:leader="none" w:pos="491" w:val="left"/>
        </w:tabs>
        <w:numPr>
          <w:ilvl w:val="0"/>
          <w:numId w:val="6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Arial" w:cs="Arial" w:eastAsia="Arial" w:hAnsi="Arial"/>
          <w:sz w:val="14"/>
          <w:szCs w:val="14"/>
          <w:color w:val="auto"/>
        </w:rPr>
      </w:pPr>
    </w:p>
    <w:p>
      <w:pPr>
        <w:ind w:left="1000" w:right="100" w:hanging="497"/>
        <w:spacing w:after="0" w:line="282" w:lineRule="auto"/>
        <w:tabs>
          <w:tab w:leader="none" w:pos="992" w:val="left"/>
        </w:tabs>
        <w:numPr>
          <w:ilvl w:val="1"/>
          <w:numId w:val="6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4"/>
          <w:szCs w:val="14"/>
          <w:color w:val="auto"/>
        </w:rPr>
      </w:pPr>
    </w:p>
    <w:p>
      <w:pPr>
        <w:ind w:right="60" w:firstLine="503"/>
        <w:spacing w:after="0" w:line="527" w:lineRule="auto"/>
        <w:tabs>
          <w:tab w:leader="none" w:pos="992" w:val="left"/>
        </w:tabs>
        <w:numPr>
          <w:ilvl w:val="1"/>
          <w:numId w:val="6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 February 21, 2024</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1"/>
          <w:szCs w:val="11"/>
          <w:color w:val="auto"/>
        </w:rPr>
        <w:t>S</w:t>
      </w:r>
      <w:r>
        <w:rPr>
          <w:rFonts w:ascii="Arial" w:cs="Arial" w:eastAsia="Arial" w:hAnsi="Arial"/>
          <w:sz w:val="14"/>
          <w:szCs w:val="14"/>
          <w:color w:val="auto"/>
        </w:rPr>
        <w:t>/ 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3571875" cy="63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9">
                      <a:extLst>
                        <a:ext uri="{28A0092B-C50C-407E-A947-70E740481C1C}"/>
                      </a:extLst>
                    </a:blip>
                    <a:srcRect/>
                    <a:stretch>
                      <a:fillRect/>
                    </a:stretch>
                  </pic:blipFill>
                  <pic:spPr bwMode="auto">
                    <a:xfrm>
                      <a:off x="0" y="0"/>
                      <a:ext cx="3571875" cy="6350"/>
                    </a:xfrm>
                    <a:prstGeom prst="rect">
                      <a:avLst/>
                    </a:prstGeom>
                    <a:noFill/>
                  </pic:spPr>
                </pic:pic>
              </a:graphicData>
            </a:graphic>
          </wp:anchor>
        </w:drawing>
      </w:r>
    </w:p>
    <w:p>
      <w:pPr>
        <w:spacing w:after="0" w:line="13" w:lineRule="exact"/>
        <w:rPr>
          <w:sz w:val="20"/>
          <w:szCs w:val="20"/>
          <w:color w:val="auto"/>
        </w:rPr>
      </w:pPr>
    </w:p>
    <w:p>
      <w:pPr>
        <w:ind w:left="320"/>
        <w:spacing w:after="0"/>
        <w:rPr>
          <w:sz w:val="20"/>
          <w:szCs w:val="20"/>
          <w:color w:val="auto"/>
        </w:rPr>
      </w:pPr>
      <w:r>
        <w:rPr>
          <w:rFonts w:ascii="Arial" w:cs="Arial" w:eastAsia="Arial" w:hAnsi="Arial"/>
          <w:sz w:val="11"/>
          <w:szCs w:val="11"/>
          <w:b w:val="1"/>
          <w:bCs w:val="1"/>
          <w:color w:val="auto"/>
        </w:rPr>
        <w:t>Clifford Skelton</w:t>
      </w:r>
    </w:p>
    <w:p>
      <w:pPr>
        <w:ind w:left="140"/>
        <w:spacing w:after="0"/>
        <w:rPr>
          <w:sz w:val="20"/>
          <w:szCs w:val="20"/>
          <w:color w:val="auto"/>
        </w:rPr>
      </w:pPr>
      <w:r>
        <w:rPr>
          <w:rFonts w:ascii="Arial" w:cs="Arial" w:eastAsia="Arial" w:hAnsi="Arial"/>
          <w:sz w:val="11"/>
          <w:szCs w:val="11"/>
          <w:b w:val="1"/>
          <w:bCs w:val="1"/>
          <w:color w:val="auto"/>
        </w:rPr>
        <w:t>Principal Executive Officer</w:t>
      </w:r>
    </w:p>
    <w:p>
      <w:pPr>
        <w:sectPr>
          <w:pgSz w:w="11900" w:h="16838" w:orient="portrait"/>
          <w:cols w:equalWidth="0" w:num="1">
            <w:col w:w="11280"/>
          </w:cols>
          <w:pgMar w:left="300" w:top="121" w:right="319" w:bottom="1440" w:gutter="0" w:footer="0" w:header="0"/>
        </w:sectPr>
      </w:pPr>
    </w:p>
    <w:bookmarkStart w:id="116" w:name="page117"/>
    <w:bookmarkEnd w:id="116"/>
    <w:p>
      <w:pPr>
        <w:jc w:val="right"/>
        <w:spacing w:after="0"/>
        <w:rPr>
          <w:sz w:val="20"/>
          <w:szCs w:val="20"/>
          <w:color w:val="auto"/>
        </w:rPr>
      </w:pPr>
      <w:r>
        <w:rPr>
          <w:rFonts w:ascii="Arial" w:cs="Arial" w:eastAsia="Arial" w:hAnsi="Arial"/>
          <w:sz w:val="15"/>
          <w:szCs w:val="15"/>
          <w:b w:val="1"/>
          <w:bCs w:val="1"/>
          <w:color w:val="0066CC"/>
        </w:rPr>
        <w:t>EXHIBIT 31(b)</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CFO CERTIFICATIONS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I, Stephen Wood, certify that:</w:t>
      </w:r>
    </w:p>
    <w:p>
      <w:pPr>
        <w:spacing w:after="0" w:line="152" w:lineRule="exact"/>
        <w:rPr>
          <w:sz w:val="20"/>
          <w:szCs w:val="20"/>
          <w:color w:val="auto"/>
        </w:rPr>
      </w:pPr>
    </w:p>
    <w:p>
      <w:pPr>
        <w:ind w:left="500" w:hanging="497"/>
        <w:spacing w:after="0"/>
        <w:tabs>
          <w:tab w:leader="none" w:pos="500" w:val="left"/>
        </w:tabs>
        <w:numPr>
          <w:ilvl w:val="0"/>
          <w:numId w:val="69"/>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Conduent Incorporated;</w:t>
      </w:r>
    </w:p>
    <w:p>
      <w:pPr>
        <w:spacing w:after="0" w:line="193" w:lineRule="exact"/>
        <w:rPr>
          <w:rFonts w:ascii="Arial" w:cs="Arial" w:eastAsia="Arial" w:hAnsi="Arial"/>
          <w:sz w:val="14"/>
          <w:szCs w:val="14"/>
          <w:color w:val="auto"/>
        </w:rPr>
      </w:pPr>
    </w:p>
    <w:p>
      <w:pPr>
        <w:ind w:left="500" w:right="80" w:hanging="497"/>
        <w:spacing w:after="0" w:line="282" w:lineRule="auto"/>
        <w:tabs>
          <w:tab w:leader="none" w:pos="491" w:val="left"/>
        </w:tabs>
        <w:numPr>
          <w:ilvl w:val="0"/>
          <w:numId w:val="6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2" w:lineRule="exact"/>
        <w:rPr>
          <w:rFonts w:ascii="Arial" w:cs="Arial" w:eastAsia="Arial" w:hAnsi="Arial"/>
          <w:sz w:val="14"/>
          <w:szCs w:val="14"/>
          <w:color w:val="auto"/>
        </w:rPr>
      </w:pPr>
    </w:p>
    <w:p>
      <w:pPr>
        <w:ind w:left="500" w:right="140" w:hanging="497"/>
        <w:spacing w:after="0" w:line="282" w:lineRule="auto"/>
        <w:tabs>
          <w:tab w:leader="none" w:pos="491" w:val="left"/>
        </w:tabs>
        <w:numPr>
          <w:ilvl w:val="0"/>
          <w:numId w:val="6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2" w:lineRule="exact"/>
        <w:rPr>
          <w:rFonts w:ascii="Arial" w:cs="Arial" w:eastAsia="Arial" w:hAnsi="Arial"/>
          <w:sz w:val="14"/>
          <w:szCs w:val="14"/>
          <w:color w:val="auto"/>
        </w:rPr>
      </w:pPr>
    </w:p>
    <w:p>
      <w:pPr>
        <w:ind w:left="500" w:right="140" w:hanging="497"/>
        <w:spacing w:after="0" w:line="282" w:lineRule="auto"/>
        <w:tabs>
          <w:tab w:leader="none" w:pos="491"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2" w:lineRule="exact"/>
        <w:rPr>
          <w:rFonts w:ascii="Arial" w:cs="Arial" w:eastAsia="Arial" w:hAnsi="Arial"/>
          <w:sz w:val="14"/>
          <w:szCs w:val="14"/>
          <w:color w:val="auto"/>
        </w:rPr>
      </w:pPr>
    </w:p>
    <w:p>
      <w:pPr>
        <w:ind w:left="1000" w:right="120" w:hanging="497"/>
        <w:spacing w:after="0" w:line="265" w:lineRule="auto"/>
        <w:tabs>
          <w:tab w:leader="none" w:pos="992" w:val="left"/>
        </w:tabs>
        <w:numPr>
          <w:ilvl w:val="1"/>
          <w:numId w:val="69"/>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4"/>
          <w:szCs w:val="14"/>
          <w:color w:val="auto"/>
        </w:rPr>
      </w:pPr>
    </w:p>
    <w:p>
      <w:pPr>
        <w:ind w:left="1000" w:right="400" w:hanging="497"/>
        <w:spacing w:after="0" w:line="265" w:lineRule="auto"/>
        <w:tabs>
          <w:tab w:leader="none" w:pos="992" w:val="left"/>
        </w:tabs>
        <w:numPr>
          <w:ilvl w:val="1"/>
          <w:numId w:val="69"/>
        </w:numPr>
        <w:rPr>
          <w:rFonts w:ascii="Arial" w:cs="Arial" w:eastAsia="Arial" w:hAnsi="Arial"/>
          <w:sz w:val="14"/>
          <w:szCs w:val="14"/>
          <w:color w:val="auto"/>
        </w:rPr>
      </w:pPr>
      <w:r>
        <w:rPr>
          <w:rFonts w:ascii="Arial" w:cs="Arial" w:eastAsia="Arial" w:hAnsi="Arial"/>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4"/>
          <w:szCs w:val="14"/>
          <w:color w:val="auto"/>
        </w:rPr>
      </w:pPr>
    </w:p>
    <w:p>
      <w:pPr>
        <w:ind w:left="1000" w:right="40" w:hanging="497"/>
        <w:spacing w:after="0" w:line="282" w:lineRule="auto"/>
        <w:tabs>
          <w:tab w:leader="none" w:pos="995" w:val="left"/>
        </w:tabs>
        <w:numPr>
          <w:ilvl w:val="1"/>
          <w:numId w:val="6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2" w:lineRule="exact"/>
        <w:rPr>
          <w:rFonts w:ascii="Arial" w:cs="Arial" w:eastAsia="Arial" w:hAnsi="Arial"/>
          <w:sz w:val="14"/>
          <w:szCs w:val="14"/>
          <w:color w:val="auto"/>
        </w:rPr>
      </w:pPr>
    </w:p>
    <w:p>
      <w:pPr>
        <w:ind w:left="1000" w:right="220" w:hanging="497"/>
        <w:spacing w:after="0" w:line="265" w:lineRule="auto"/>
        <w:tabs>
          <w:tab w:leader="none" w:pos="992" w:val="left"/>
        </w:tabs>
        <w:numPr>
          <w:ilvl w:val="1"/>
          <w:numId w:val="69"/>
        </w:numPr>
        <w:rPr>
          <w:rFonts w:ascii="Arial" w:cs="Arial" w:eastAsia="Arial" w:hAnsi="Arial"/>
          <w:sz w:val="14"/>
          <w:szCs w:val="14"/>
          <w:color w:val="auto"/>
        </w:rPr>
      </w:pPr>
      <w:r>
        <w:rPr>
          <w:rFonts w:ascii="Arial" w:cs="Arial" w:eastAsia="Arial" w:hAnsi="Arial"/>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4"/>
          <w:szCs w:val="14"/>
          <w:color w:val="auto"/>
        </w:rPr>
      </w:pPr>
    </w:p>
    <w:p>
      <w:pPr>
        <w:ind w:left="500" w:right="120" w:hanging="497"/>
        <w:spacing w:after="0" w:line="282" w:lineRule="auto"/>
        <w:tabs>
          <w:tab w:leader="none" w:pos="491"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2" w:lineRule="exact"/>
        <w:rPr>
          <w:rFonts w:ascii="Arial" w:cs="Arial" w:eastAsia="Arial" w:hAnsi="Arial"/>
          <w:sz w:val="14"/>
          <w:szCs w:val="14"/>
          <w:color w:val="auto"/>
        </w:rPr>
      </w:pPr>
    </w:p>
    <w:p>
      <w:pPr>
        <w:ind w:left="1000" w:right="100" w:hanging="497"/>
        <w:spacing w:after="0" w:line="282" w:lineRule="auto"/>
        <w:tabs>
          <w:tab w:leader="none" w:pos="992" w:val="left"/>
        </w:tabs>
        <w:numPr>
          <w:ilvl w:val="1"/>
          <w:numId w:val="6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2" w:lineRule="exact"/>
        <w:rPr>
          <w:rFonts w:ascii="Arial" w:cs="Arial" w:eastAsia="Arial" w:hAnsi="Arial"/>
          <w:sz w:val="14"/>
          <w:szCs w:val="14"/>
          <w:color w:val="auto"/>
        </w:rPr>
      </w:pPr>
    </w:p>
    <w:p>
      <w:pPr>
        <w:ind w:right="60" w:firstLine="503"/>
        <w:spacing w:after="0" w:line="527" w:lineRule="auto"/>
        <w:tabs>
          <w:tab w:leader="none" w:pos="992" w:val="left"/>
        </w:tabs>
        <w:numPr>
          <w:ilvl w:val="1"/>
          <w:numId w:val="6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 February 21, 2024</w:t>
      </w:r>
    </w:p>
    <w:p>
      <w:pPr>
        <w:spacing w:after="0" w:line="1" w:lineRule="exact"/>
        <w:rPr>
          <w:sz w:val="20"/>
          <w:szCs w:val="20"/>
          <w:color w:val="auto"/>
        </w:rPr>
      </w:pPr>
    </w:p>
    <w:p>
      <w:pPr>
        <w:jc w:val="center"/>
        <w:ind w:right="9880"/>
        <w:spacing w:after="0"/>
        <w:rPr>
          <w:sz w:val="20"/>
          <w:szCs w:val="20"/>
          <w:color w:val="auto"/>
        </w:rPr>
      </w:pPr>
      <w:r>
        <w:rPr>
          <w:rFonts w:ascii="Arial" w:cs="Arial" w:eastAsia="Arial" w:hAnsi="Arial"/>
          <w:sz w:val="14"/>
          <w:szCs w:val="14"/>
          <w:color w:val="auto"/>
        </w:rPr>
        <w:t>/</w:t>
      </w:r>
      <w:r>
        <w:rPr>
          <w:rFonts w:ascii="Arial" w:cs="Arial" w:eastAsia="Arial" w:hAnsi="Arial"/>
          <w:sz w:val="11"/>
          <w:szCs w:val="11"/>
          <w:color w:val="auto"/>
        </w:rPr>
        <w:t>S</w:t>
      </w:r>
      <w:r>
        <w:rPr>
          <w:rFonts w:ascii="Arial" w:cs="Arial" w:eastAsia="Arial" w:hAnsi="Arial"/>
          <w:sz w:val="14"/>
          <w:szCs w:val="14"/>
          <w:color w:val="auto"/>
        </w:rPr>
        <w:t>/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3571875" cy="6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0">
                      <a:extLst>
                        <a:ext uri="{28A0092B-C50C-407E-A947-70E740481C1C}"/>
                      </a:extLst>
                    </a:blip>
                    <a:srcRect/>
                    <a:stretch>
                      <a:fillRect/>
                    </a:stretch>
                  </pic:blipFill>
                  <pic:spPr bwMode="auto">
                    <a:xfrm>
                      <a:off x="0" y="0"/>
                      <a:ext cx="3571875" cy="6350"/>
                    </a:xfrm>
                    <a:prstGeom prst="rect">
                      <a:avLst/>
                    </a:prstGeom>
                    <a:noFill/>
                  </pic:spPr>
                </pic:pic>
              </a:graphicData>
            </a:graphic>
          </wp:anchor>
        </w:drawing>
      </w:r>
    </w:p>
    <w:p>
      <w:pPr>
        <w:spacing w:after="0" w:line="13" w:lineRule="exact"/>
        <w:rPr>
          <w:sz w:val="20"/>
          <w:szCs w:val="20"/>
          <w:color w:val="auto"/>
        </w:rPr>
      </w:pPr>
    </w:p>
    <w:p>
      <w:pPr>
        <w:ind w:left="320"/>
        <w:spacing w:after="0"/>
        <w:rPr>
          <w:sz w:val="20"/>
          <w:szCs w:val="20"/>
          <w:color w:val="auto"/>
        </w:rPr>
      </w:pPr>
      <w:r>
        <w:rPr>
          <w:rFonts w:ascii="Arial" w:cs="Arial" w:eastAsia="Arial" w:hAnsi="Arial"/>
          <w:sz w:val="11"/>
          <w:szCs w:val="11"/>
          <w:b w:val="1"/>
          <w:bCs w:val="1"/>
          <w:color w:val="auto"/>
        </w:rPr>
        <w:t>Stephen Wood</w:t>
      </w:r>
    </w:p>
    <w:p>
      <w:pPr>
        <w:ind w:left="140"/>
        <w:spacing w:after="0"/>
        <w:rPr>
          <w:sz w:val="20"/>
          <w:szCs w:val="20"/>
          <w:color w:val="auto"/>
        </w:rPr>
      </w:pPr>
      <w:r>
        <w:rPr>
          <w:rFonts w:ascii="Arial" w:cs="Arial" w:eastAsia="Arial" w:hAnsi="Arial"/>
          <w:sz w:val="11"/>
          <w:szCs w:val="11"/>
          <w:b w:val="1"/>
          <w:bCs w:val="1"/>
          <w:color w:val="auto"/>
        </w:rPr>
        <w:t>Principal Financial Officer</w:t>
      </w:r>
    </w:p>
    <w:p>
      <w:pPr>
        <w:sectPr>
          <w:pgSz w:w="11900" w:h="16838" w:orient="portrait"/>
          <w:cols w:equalWidth="0" w:num="1">
            <w:col w:w="11280"/>
          </w:cols>
          <w:pgMar w:left="300" w:top="121" w:right="319" w:bottom="1440" w:gutter="0" w:footer="0" w:header="0"/>
        </w:sectPr>
      </w:pPr>
    </w:p>
    <w:bookmarkStart w:id="117" w:name="page118"/>
    <w:bookmarkEnd w:id="117"/>
    <w:p>
      <w:pPr>
        <w:jc w:val="right"/>
        <w:spacing w:after="0"/>
        <w:rPr>
          <w:sz w:val="20"/>
          <w:szCs w:val="20"/>
          <w:color w:val="auto"/>
        </w:rPr>
      </w:pPr>
      <w:r>
        <w:rPr>
          <w:rFonts w:ascii="Arial" w:cs="Arial" w:eastAsia="Arial" w:hAnsi="Arial"/>
          <w:sz w:val="15"/>
          <w:szCs w:val="15"/>
          <w:b w:val="1"/>
          <w:bCs w:val="1"/>
          <w:color w:val="0066CC"/>
        </w:rPr>
        <w:t>EXHIBIT 32</w:t>
      </w: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CERTIFICATION OF CEO AND CFO PURSUANT TO 18 U.S.C. § 1350,</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b w:val="1"/>
          <w:bCs w:val="1"/>
          <w:color w:val="0066CC"/>
        </w:rPr>
        <w:t>AS ADOPTED PURSUANT TO § 906 OF THE SARBANES-OXLEY ACT OF 2002</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connection with the Form 10-K of Conduent Incorporated, a New York corporation (the “Company”), for the year ended December 31, 2023, as filed with the Securities and Exchange Commission on the date hereof (the “Report”), Clifford Skelton, Chief Executive Officer of the Company, and Stephen Wood, Chief Financial Officer of the Company, each hereby certifies, pursuant to 18 U.S.C. § 1350, as adopted pursuant to § 906 of the Sarbanes-Oxley Act of 2002, to the best of his/her knowledge, that:</w:t>
      </w:r>
    </w:p>
    <w:p>
      <w:pPr>
        <w:spacing w:after="0" w:line="113" w:lineRule="exact"/>
        <w:rPr>
          <w:sz w:val="20"/>
          <w:szCs w:val="20"/>
          <w:color w:val="auto"/>
        </w:rPr>
      </w:pPr>
    </w:p>
    <w:p>
      <w:pPr>
        <w:ind w:left="240" w:hanging="237"/>
        <w:spacing w:after="0"/>
        <w:tabs>
          <w:tab w:leader="none" w:pos="2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19" w:lineRule="exact"/>
        <w:rPr>
          <w:rFonts w:ascii="Arial" w:cs="Arial" w:eastAsia="Arial" w:hAnsi="Arial"/>
          <w:sz w:val="14"/>
          <w:szCs w:val="14"/>
          <w:color w:val="auto"/>
        </w:rPr>
      </w:pPr>
    </w:p>
    <w:p>
      <w:pPr>
        <w:ind w:left="240" w:hanging="237"/>
        <w:spacing w:after="0"/>
        <w:tabs>
          <w:tab w:leader="none" w:pos="2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Company.</w:t>
      </w:r>
    </w:p>
    <w:p>
      <w:pPr>
        <w:spacing w:after="0" w:line="398"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1"/>
          <w:szCs w:val="11"/>
          <w:color w:val="auto"/>
        </w:rPr>
        <w:t>S</w:t>
      </w:r>
      <w:r>
        <w:rPr>
          <w:rFonts w:ascii="Arial" w:cs="Arial" w:eastAsia="Arial" w:hAnsi="Arial"/>
          <w:sz w:val="14"/>
          <w:szCs w:val="14"/>
          <w:color w:val="auto"/>
        </w:rPr>
        <w:t>/ 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3492500" cy="63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1">
                      <a:extLst>
                        <a:ext uri="{28A0092B-C50C-407E-A947-70E740481C1C}"/>
                      </a:extLst>
                    </a:blip>
                    <a:srcRect/>
                    <a:stretch>
                      <a:fillRect/>
                    </a:stretch>
                  </pic:blipFill>
                  <pic:spPr bwMode="auto">
                    <a:xfrm>
                      <a:off x="0" y="0"/>
                      <a:ext cx="3492500" cy="6350"/>
                    </a:xfrm>
                    <a:prstGeom prst="rect">
                      <a:avLst/>
                    </a:prstGeom>
                    <a:noFill/>
                  </pic:spPr>
                </pic:pic>
              </a:graphicData>
            </a:graphic>
          </wp:anchor>
        </w:drawing>
      </w:r>
    </w:p>
    <w:p>
      <w:pPr>
        <w:spacing w:after="0" w:line="13" w:lineRule="exact"/>
        <w:rPr>
          <w:sz w:val="20"/>
          <w:szCs w:val="20"/>
          <w:color w:val="auto"/>
        </w:rPr>
      </w:pPr>
    </w:p>
    <w:p>
      <w:pPr>
        <w:jc w:val="center"/>
        <w:ind w:right="9800"/>
        <w:spacing w:after="0"/>
        <w:rPr>
          <w:sz w:val="20"/>
          <w:szCs w:val="20"/>
          <w:color w:val="auto"/>
        </w:rPr>
      </w:pPr>
      <w:r>
        <w:rPr>
          <w:rFonts w:ascii="Arial" w:cs="Arial" w:eastAsia="Arial" w:hAnsi="Arial"/>
          <w:sz w:val="11"/>
          <w:szCs w:val="11"/>
          <w:b w:val="1"/>
          <w:bCs w:val="1"/>
          <w:color w:val="auto"/>
        </w:rPr>
        <w:t>Clifford Skelton</w:t>
      </w:r>
    </w:p>
    <w:p>
      <w:pPr>
        <w:jc w:val="center"/>
        <w:ind w:right="9780"/>
        <w:spacing w:after="0"/>
        <w:rPr>
          <w:sz w:val="20"/>
          <w:szCs w:val="20"/>
          <w:color w:val="auto"/>
        </w:rPr>
      </w:pPr>
      <w:r>
        <w:rPr>
          <w:rFonts w:ascii="Arial" w:cs="Arial" w:eastAsia="Arial" w:hAnsi="Arial"/>
          <w:sz w:val="11"/>
          <w:szCs w:val="11"/>
          <w:b w:val="1"/>
          <w:bCs w:val="1"/>
          <w:color w:val="auto"/>
        </w:rPr>
        <w:t>Chief Executive Officer</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1"/>
          <w:szCs w:val="11"/>
          <w:b w:val="1"/>
          <w:bCs w:val="1"/>
          <w:color w:val="auto"/>
        </w:rPr>
        <w:t>February 21, 2024</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w:t>
      </w:r>
      <w:r>
        <w:rPr>
          <w:rFonts w:ascii="Arial" w:cs="Arial" w:eastAsia="Arial" w:hAnsi="Arial"/>
          <w:sz w:val="11"/>
          <w:szCs w:val="11"/>
          <w:color w:val="auto"/>
        </w:rPr>
        <w:t>S</w:t>
      </w:r>
      <w:r>
        <w:rPr>
          <w:rFonts w:ascii="Arial" w:cs="Arial" w:eastAsia="Arial" w:hAnsi="Arial"/>
          <w:sz w:val="14"/>
          <w:szCs w:val="14"/>
          <w:color w:val="auto"/>
        </w:rPr>
        <w:t>/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3492500" cy="63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2">
                      <a:extLst>
                        <a:ext uri="{28A0092B-C50C-407E-A947-70E740481C1C}"/>
                      </a:extLst>
                    </a:blip>
                    <a:srcRect/>
                    <a:stretch>
                      <a:fillRect/>
                    </a:stretch>
                  </pic:blipFill>
                  <pic:spPr bwMode="auto">
                    <a:xfrm>
                      <a:off x="0" y="0"/>
                      <a:ext cx="3492500" cy="6350"/>
                    </a:xfrm>
                    <a:prstGeom prst="rect">
                      <a:avLst/>
                    </a:prstGeom>
                    <a:noFill/>
                  </pic:spPr>
                </pic:pic>
              </a:graphicData>
            </a:graphic>
          </wp:anchor>
        </w:drawing>
      </w:r>
    </w:p>
    <w:p>
      <w:pPr>
        <w:spacing w:after="0" w:line="13" w:lineRule="exact"/>
        <w:rPr>
          <w:sz w:val="20"/>
          <w:szCs w:val="20"/>
          <w:color w:val="auto"/>
        </w:rPr>
      </w:pPr>
    </w:p>
    <w:p>
      <w:pPr>
        <w:ind w:left="300"/>
        <w:spacing w:after="0"/>
        <w:rPr>
          <w:sz w:val="20"/>
          <w:szCs w:val="20"/>
          <w:color w:val="auto"/>
        </w:rPr>
      </w:pPr>
      <w:r>
        <w:rPr>
          <w:rFonts w:ascii="Arial" w:cs="Arial" w:eastAsia="Arial" w:hAnsi="Arial"/>
          <w:sz w:val="11"/>
          <w:szCs w:val="11"/>
          <w:b w:val="1"/>
          <w:bCs w:val="1"/>
          <w:color w:val="auto"/>
        </w:rPr>
        <w:t>Stephen Wood</w:t>
      </w:r>
    </w:p>
    <w:p>
      <w:pPr>
        <w:ind w:left="140"/>
        <w:spacing w:after="0"/>
        <w:rPr>
          <w:sz w:val="20"/>
          <w:szCs w:val="20"/>
          <w:color w:val="auto"/>
        </w:rPr>
      </w:pPr>
      <w:r>
        <w:rPr>
          <w:rFonts w:ascii="Arial" w:cs="Arial" w:eastAsia="Arial" w:hAnsi="Arial"/>
          <w:sz w:val="11"/>
          <w:szCs w:val="11"/>
          <w:b w:val="1"/>
          <w:bCs w:val="1"/>
          <w:color w:val="auto"/>
        </w:rPr>
        <w:t>Chief Financial Officer</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1"/>
          <w:szCs w:val="11"/>
          <w:b w:val="1"/>
          <w:bCs w:val="1"/>
          <w:color w:val="auto"/>
        </w:rPr>
        <w:t>February 21, 2024</w:t>
      </w:r>
    </w:p>
    <w:p>
      <w:pPr>
        <w:spacing w:after="0" w:line="267"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This certification accompanies this Report pursuant to § 906 of the Sarbanes-Oxley Act of 2002 and shall not, except to the extent required by the Sarbanes-Oxley Act of 2002, be deemed filed by the Company for purposes of § 18 of the Securities Exchange Act of 1934, as amended.</w:t>
      </w:r>
    </w:p>
    <w:p>
      <w:pPr>
        <w:spacing w:after="0" w:line="80"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A signed original of this written statement required by § 906 has been provided to Conduent Incorporated and will be retained by Conduent Incorporated and furnished to the Securities and Exchange Commission or its staff upon request.</w:t>
      </w:r>
    </w:p>
    <w:p>
      <w:pPr>
        <w:sectPr>
          <w:pgSz w:w="11900" w:h="16838" w:orient="portrait"/>
          <w:cols w:equalWidth="0" w:num="1">
            <w:col w:w="11280"/>
          </w:cols>
          <w:pgMar w:left="300" w:top="121" w:right="31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17"/>
          <w:szCs w:val="17"/>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CONDUENT INCORPORATED</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COMPENSATION RECOUPMENT POLICY</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(Effective as of October 31, 2023)</w:t>
      </w:r>
    </w:p>
    <w:p>
      <w:pPr>
        <w:spacing w:after="0" w:line="19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This document sets forth the terms and conditions of the Compensation Recoupment Policy (the “</w:t>
      </w:r>
      <w:r>
        <w:rPr>
          <w:rFonts w:ascii="Times New Roman" w:cs="Times New Roman" w:eastAsia="Times New Roman" w:hAnsi="Times New Roman"/>
          <w:sz w:val="17"/>
          <w:szCs w:val="17"/>
          <w:u w:val="single" w:color="auto"/>
          <w:color w:val="auto"/>
        </w:rPr>
        <w:t>Policy</w:t>
      </w:r>
      <w:r>
        <w:rPr>
          <w:rFonts w:ascii="Times New Roman" w:cs="Times New Roman" w:eastAsia="Times New Roman" w:hAnsi="Times New Roman"/>
          <w:sz w:val="17"/>
          <w:szCs w:val="17"/>
          <w:color w:val="auto"/>
        </w:rPr>
        <w:t>”) of Conduent Incorporated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The Board of Directors of the Company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reserves the right to amend, suspend or terminate this Policy at any time, without the consent of any Covered Employee (defined below) or advance notice. Capitalized terms used herein and not defined have the meanings specified in Section 5.</w:t>
      </w:r>
    </w:p>
    <w:p>
      <w:pPr>
        <w:spacing w:after="0" w:line="132" w:lineRule="exact"/>
        <w:rPr>
          <w:sz w:val="20"/>
          <w:szCs w:val="20"/>
          <w:color w:val="auto"/>
        </w:rPr>
      </w:pPr>
    </w:p>
    <w:p>
      <w:pPr>
        <w:ind w:left="260" w:hanging="257"/>
        <w:spacing w:after="0"/>
        <w:tabs>
          <w:tab w:leader="none" w:pos="260"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Financial Restatements</w:t>
      </w:r>
    </w:p>
    <w:p>
      <w:pPr>
        <w:spacing w:after="0" w:line="193" w:lineRule="exact"/>
        <w:rPr>
          <w:rFonts w:ascii="Times New Roman" w:cs="Times New Roman" w:eastAsia="Times New Roman" w:hAnsi="Times New Roman"/>
          <w:sz w:val="17"/>
          <w:szCs w:val="17"/>
          <w:b w:val="1"/>
          <w:bCs w:val="1"/>
          <w:color w:val="auto"/>
        </w:rPr>
      </w:pPr>
    </w:p>
    <w:p>
      <w:pPr>
        <w:jc w:val="both"/>
        <w:ind w:left="500" w:hanging="247"/>
        <w:spacing w:after="0" w:line="294" w:lineRule="auto"/>
        <w:tabs>
          <w:tab w:leader="none" w:pos="49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Application</w:t>
      </w:r>
      <w:r>
        <w:rPr>
          <w:rFonts w:ascii="Times New Roman" w:cs="Times New Roman" w:eastAsia="Times New Roman" w:hAnsi="Times New Roman"/>
          <w:sz w:val="17"/>
          <w:szCs w:val="17"/>
          <w:color w:val="auto"/>
        </w:rPr>
        <w:t>. This Section 1 applies to each (i) current and former Section 16 Officer of the Company, as designated by the Board of Directors from time to time for purposes of Section 16 of the Securities Exchange Act of 1934, as amended, and (ii) each other current or former member of the Conduent Leadership Team (CXL) (each, a “</w:t>
      </w:r>
      <w:r>
        <w:rPr>
          <w:rFonts w:ascii="Times New Roman" w:cs="Times New Roman" w:eastAsia="Times New Roman" w:hAnsi="Times New Roman"/>
          <w:sz w:val="17"/>
          <w:szCs w:val="17"/>
          <w:u w:val="single" w:color="auto"/>
          <w:color w:val="auto"/>
        </w:rPr>
        <w:t>Designated Executive</w:t>
      </w:r>
      <w:r>
        <w:rPr>
          <w:rFonts w:ascii="Times New Roman" w:cs="Times New Roman" w:eastAsia="Times New Roman" w:hAnsi="Times New Roman"/>
          <w:sz w:val="17"/>
          <w:szCs w:val="17"/>
          <w:color w:val="auto"/>
        </w:rPr>
        <w:t>”).</w:t>
      </w:r>
    </w:p>
    <w:p>
      <w:pPr>
        <w:spacing w:after="0" w:line="135" w:lineRule="exact"/>
        <w:rPr>
          <w:rFonts w:ascii="Times New Roman" w:cs="Times New Roman" w:eastAsia="Times New Roman" w:hAnsi="Times New Roman"/>
          <w:sz w:val="17"/>
          <w:szCs w:val="17"/>
          <w:color w:val="auto"/>
        </w:rPr>
      </w:pPr>
    </w:p>
    <w:p>
      <w:pPr>
        <w:ind w:left="500" w:hanging="247"/>
        <w:spacing w:after="0"/>
        <w:tabs>
          <w:tab w:leader="none" w:pos="50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Triggering Event</w:t>
      </w:r>
      <w:r>
        <w:rPr>
          <w:rFonts w:ascii="Times New Roman" w:cs="Times New Roman" w:eastAsia="Times New Roman" w:hAnsi="Times New Roman"/>
          <w:sz w:val="17"/>
          <w:szCs w:val="17"/>
          <w:color w:val="auto"/>
        </w:rPr>
        <w:t>. This Section 1 shall apply if:</w:t>
      </w:r>
    </w:p>
    <w:p>
      <w:pPr>
        <w:spacing w:after="0" w:line="189" w:lineRule="exact"/>
        <w:rPr>
          <w:rFonts w:ascii="Times New Roman" w:cs="Times New Roman" w:eastAsia="Times New Roman" w:hAnsi="Times New Roman"/>
          <w:sz w:val="17"/>
          <w:szCs w:val="17"/>
          <w:color w:val="auto"/>
        </w:rPr>
      </w:pPr>
    </w:p>
    <w:p>
      <w:pPr>
        <w:ind w:left="740" w:hanging="237"/>
        <w:spacing w:after="0"/>
        <w:tabs>
          <w:tab w:leader="none" w:pos="740" w:val="left"/>
        </w:tabs>
        <w:numPr>
          <w:ilvl w:val="2"/>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a Financial Restatement; and</w:t>
      </w:r>
    </w:p>
    <w:p>
      <w:pPr>
        <w:spacing w:after="0" w:line="200" w:lineRule="exact"/>
        <w:rPr>
          <w:rFonts w:ascii="Times New Roman" w:cs="Times New Roman" w:eastAsia="Times New Roman" w:hAnsi="Times New Roman"/>
          <w:sz w:val="17"/>
          <w:szCs w:val="17"/>
          <w:color w:val="auto"/>
        </w:rPr>
      </w:pPr>
    </w:p>
    <w:p>
      <w:pPr>
        <w:jc w:val="both"/>
        <w:ind w:left="760" w:hanging="257"/>
        <w:spacing w:after="0" w:line="294" w:lineRule="auto"/>
        <w:tabs>
          <w:tab w:leader="none" w:pos="759" w:val="left"/>
        </w:tabs>
        <w:numPr>
          <w:ilvl w:val="2"/>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Incentive Compensation received during the Look-Back Period by an individual who was a Designated Executive at any time during the performance period relating to such Incentive Compensation exceeds the amount that should have been received had the Incentive Compensation been determined based on the Financial Restatement (the excess being the “</w:t>
      </w:r>
      <w:r>
        <w:rPr>
          <w:rFonts w:ascii="Times New Roman" w:cs="Times New Roman" w:eastAsia="Times New Roman" w:hAnsi="Times New Roman"/>
          <w:sz w:val="17"/>
          <w:szCs w:val="17"/>
          <w:u w:val="single" w:color="auto"/>
          <w:color w:val="auto"/>
        </w:rPr>
        <w:t>Recoverable Amount</w:t>
      </w:r>
      <w:r>
        <w:rPr>
          <w:rFonts w:ascii="Times New Roman" w:cs="Times New Roman" w:eastAsia="Times New Roman" w:hAnsi="Times New Roman"/>
          <w:sz w:val="17"/>
          <w:szCs w:val="17"/>
          <w:color w:val="auto"/>
        </w:rPr>
        <w:t>”).</w:t>
      </w:r>
    </w:p>
    <w:p>
      <w:pPr>
        <w:spacing w:after="0" w:line="125" w:lineRule="exact"/>
        <w:rPr>
          <w:rFonts w:ascii="Times New Roman" w:cs="Times New Roman" w:eastAsia="Times New Roman" w:hAnsi="Times New Roman"/>
          <w:sz w:val="17"/>
          <w:szCs w:val="17"/>
          <w:color w:val="auto"/>
        </w:rPr>
      </w:pPr>
    </w:p>
    <w:p>
      <w:pPr>
        <w:jc w:val="both"/>
        <w:ind w:left="500" w:hanging="247"/>
        <w:spacing w:after="0" w:line="289" w:lineRule="auto"/>
        <w:tabs>
          <w:tab w:leader="none" w:pos="49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Incentive Compensation Subject to Recoupment</w:t>
      </w:r>
      <w:r>
        <w:rPr>
          <w:rFonts w:ascii="Times New Roman" w:cs="Times New Roman" w:eastAsia="Times New Roman" w:hAnsi="Times New Roman"/>
          <w:sz w:val="17"/>
          <w:szCs w:val="17"/>
          <w:color w:val="auto"/>
        </w:rPr>
        <w:t>. Incentive Compensation is deemed “received” in the fiscal period during which the Financial Reporting Measure specified in the Incentive Award is attained, even if the grant or payment of the Incentive Compensation occurs after the end of that period. In the event the Incentive Compensation is based on a measurement that is not subject to mathematical recalculation, the Recoverable Amount shall be based on a reasonable estimate of the effect of the Financial Restatement, as determined by the Board in good faith, which shall be set forth in writing.</w:t>
      </w:r>
    </w:p>
    <w:p>
      <w:pPr>
        <w:spacing w:after="0" w:line="131" w:lineRule="exact"/>
        <w:rPr>
          <w:rFonts w:ascii="Times New Roman" w:cs="Times New Roman" w:eastAsia="Times New Roman" w:hAnsi="Times New Roman"/>
          <w:sz w:val="17"/>
          <w:szCs w:val="17"/>
          <w:color w:val="auto"/>
        </w:rPr>
      </w:pPr>
    </w:p>
    <w:p>
      <w:pPr>
        <w:ind w:left="500" w:hanging="247"/>
        <w:spacing w:after="0" w:line="307" w:lineRule="auto"/>
        <w:tabs>
          <w:tab w:leader="none" w:pos="50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Consequences</w:t>
      </w:r>
      <w:r>
        <w:rPr>
          <w:rFonts w:ascii="Times New Roman" w:cs="Times New Roman" w:eastAsia="Times New Roman" w:hAnsi="Times New Roman"/>
          <w:sz w:val="17"/>
          <w:szCs w:val="17"/>
          <w:color w:val="auto"/>
        </w:rPr>
        <w:t>. If this Section 1 applies, then, without regard to whether any misconduct occurred or a Designated Officer’s responsibility for the erroneous financial statements, each Designated Executive shall repay or forfeit (without regard to taxes paid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1</w:t>
      </w:r>
    </w:p>
    <w:p>
      <w:pPr>
        <w:sectPr>
          <w:pgSz w:w="11900" w:h="16838" w:orient="portrait"/>
          <w:cols w:equalWidth="0" w:num="1">
            <w:col w:w="11280"/>
          </w:cols>
          <w:pgMar w:left="300" w:top="136" w:right="31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17"/>
          <w:szCs w:val="17"/>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withheld) the Recoverable Amount with respect to any Incentive Compensation received during the Look-Back Period.</w:t>
      </w:r>
    </w:p>
    <w:p>
      <w:pPr>
        <w:spacing w:after="0" w:line="200" w:lineRule="exact"/>
        <w:rPr>
          <w:sz w:val="20"/>
          <w:szCs w:val="20"/>
          <w:color w:val="auto"/>
        </w:rPr>
      </w:pPr>
    </w:p>
    <w:p>
      <w:pPr>
        <w:jc w:val="both"/>
        <w:ind w:left="1080" w:hanging="507"/>
        <w:spacing w:after="0" w:line="277" w:lineRule="auto"/>
        <w:tabs>
          <w:tab w:leader="none" w:pos="1074" w:val="left"/>
        </w:tabs>
        <w:numPr>
          <w:ilvl w:val="3"/>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after the Company has made a reasonable attempt to recover the Recoverable Amount and provided documentation of such efforts to Nasdaq, a majority of the Board makes a determination that recovery would be impracticable, and one of the following apply, then the Board may cease pursuit of the Recoverable Amount: (A) the direct expense paid to a third party to assist in enforcing recovery would exceed the Recoverable Amount;</w:t>
      </w:r>
    </w:p>
    <w:p>
      <w:pPr>
        <w:jc w:val="both"/>
        <w:ind w:left="1080" w:hanging="7"/>
        <w:spacing w:after="0" w:line="294" w:lineRule="auto"/>
        <w:tabs>
          <w:tab w:leader="none" w:pos="1362" w:val="left"/>
        </w:tabs>
        <w:numPr>
          <w:ilvl w:val="4"/>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recovery of the Recoverable Amount would violate home country law (provided such law was adopted prior to November 28, 2022 and that an opinion of counsel in such country is obtained stating that recoupment would result in such violation); or (C) recovery would likely cause an otherwise tax-qualified retirement plan to fail to meet the qualification requirements of the Internal Revenue Code.</w:t>
      </w:r>
    </w:p>
    <w:p>
      <w:pPr>
        <w:spacing w:after="0" w:line="125" w:lineRule="exact"/>
        <w:rPr>
          <w:rFonts w:ascii="Times New Roman" w:cs="Times New Roman" w:eastAsia="Times New Roman" w:hAnsi="Times New Roman"/>
          <w:sz w:val="17"/>
          <w:szCs w:val="17"/>
          <w:color w:val="auto"/>
        </w:rPr>
      </w:pPr>
    </w:p>
    <w:p>
      <w:pPr>
        <w:jc w:val="both"/>
        <w:ind w:left="1080" w:hanging="507"/>
        <w:spacing w:after="0" w:line="289" w:lineRule="auto"/>
        <w:tabs>
          <w:tab w:leader="none" w:pos="1079" w:val="left"/>
        </w:tabs>
        <w:numPr>
          <w:ilvl w:val="3"/>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however, (i) the Designated Executive is a Section 16 Officer, or (ii) the Designated Executive is not a Section 16 Officer, but the Board determines in its sole discretion, that the Designated Executive’s acts or omissions (A) resulted in or contributed to the material noncompliance with any financial reporting requirement under federal securities laws, or (B) otherwise constituted Detrimental Activity (as defined below), then the Board shall have sole discretion to apply this Section 1 to any Incentive Compensation received at any time, even if prior to the Look-Back Period.</w:t>
      </w:r>
    </w:p>
    <w:p>
      <w:pPr>
        <w:spacing w:after="0" w:line="127" w:lineRule="exact"/>
        <w:rPr>
          <w:rFonts w:ascii="Times New Roman" w:cs="Times New Roman" w:eastAsia="Times New Roman" w:hAnsi="Times New Roman"/>
          <w:sz w:val="17"/>
          <w:szCs w:val="17"/>
          <w:color w:val="auto"/>
        </w:rPr>
      </w:pPr>
    </w:p>
    <w:p>
      <w:pPr>
        <w:ind w:left="260" w:hanging="257"/>
        <w:spacing w:after="0"/>
        <w:tabs>
          <w:tab w:leader="none" w:pos="260" w:val="left"/>
        </w:tabs>
        <w:numPr>
          <w:ilvl w:val="0"/>
          <w:numId w:val="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Detrimental Activity</w:t>
      </w:r>
    </w:p>
    <w:p>
      <w:pPr>
        <w:spacing w:after="0" w:line="204" w:lineRule="exact"/>
        <w:rPr>
          <w:rFonts w:ascii="Times New Roman" w:cs="Times New Roman" w:eastAsia="Times New Roman" w:hAnsi="Times New Roman"/>
          <w:sz w:val="17"/>
          <w:szCs w:val="17"/>
          <w:b w:val="1"/>
          <w:bCs w:val="1"/>
          <w:color w:val="auto"/>
        </w:rPr>
      </w:pPr>
    </w:p>
    <w:p>
      <w:pPr>
        <w:ind w:left="500" w:hanging="247"/>
        <w:spacing w:after="0" w:line="307" w:lineRule="auto"/>
        <w:tabs>
          <w:tab w:leader="none" w:pos="49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Application</w:t>
      </w:r>
      <w:r>
        <w:rPr>
          <w:rFonts w:ascii="Times New Roman" w:cs="Times New Roman" w:eastAsia="Times New Roman" w:hAnsi="Times New Roman"/>
          <w:sz w:val="17"/>
          <w:szCs w:val="17"/>
          <w:color w:val="auto"/>
        </w:rPr>
        <w:t>. This Section 2 applies to all employees or former employees of the Company and its subsidiaries who receive or have received Incentive Awards (the “</w:t>
      </w:r>
      <w:r>
        <w:rPr>
          <w:rFonts w:ascii="Times New Roman" w:cs="Times New Roman" w:eastAsia="Times New Roman" w:hAnsi="Times New Roman"/>
          <w:sz w:val="17"/>
          <w:szCs w:val="17"/>
          <w:u w:val="single" w:color="auto"/>
          <w:color w:val="auto"/>
        </w:rPr>
        <w:t>Key Employees</w:t>
      </w:r>
      <w:r>
        <w:rPr>
          <w:rFonts w:ascii="Times New Roman" w:cs="Times New Roman" w:eastAsia="Times New Roman" w:hAnsi="Times New Roman"/>
          <w:sz w:val="17"/>
          <w:szCs w:val="17"/>
          <w:color w:val="auto"/>
        </w:rPr>
        <w:t>”).</w:t>
      </w:r>
    </w:p>
    <w:p>
      <w:pPr>
        <w:spacing w:after="0" w:line="124" w:lineRule="exact"/>
        <w:rPr>
          <w:rFonts w:ascii="Times New Roman" w:cs="Times New Roman" w:eastAsia="Times New Roman" w:hAnsi="Times New Roman"/>
          <w:sz w:val="17"/>
          <w:szCs w:val="17"/>
          <w:color w:val="auto"/>
        </w:rPr>
      </w:pPr>
    </w:p>
    <w:p>
      <w:pPr>
        <w:ind w:left="500" w:hanging="247"/>
        <w:spacing w:after="0"/>
        <w:tabs>
          <w:tab w:leader="none" w:pos="500" w:val="left"/>
        </w:tabs>
        <w:numPr>
          <w:ilvl w:val="1"/>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Triggering Event</w:t>
      </w:r>
      <w:r>
        <w:rPr>
          <w:rFonts w:ascii="Times New Roman" w:cs="Times New Roman" w:eastAsia="Times New Roman" w:hAnsi="Times New Roman"/>
          <w:sz w:val="17"/>
          <w:szCs w:val="17"/>
          <w:color w:val="auto"/>
        </w:rPr>
        <w:t>. This Section 2 shall apply if:</w:t>
      </w:r>
    </w:p>
    <w:p>
      <w:pPr>
        <w:spacing w:after="0" w:line="189" w:lineRule="exact"/>
        <w:rPr>
          <w:rFonts w:ascii="Times New Roman" w:cs="Times New Roman" w:eastAsia="Times New Roman" w:hAnsi="Times New Roman"/>
          <w:sz w:val="17"/>
          <w:szCs w:val="17"/>
          <w:color w:val="auto"/>
        </w:rPr>
      </w:pPr>
    </w:p>
    <w:p>
      <w:pPr>
        <w:jc w:val="both"/>
        <w:ind w:left="760" w:hanging="257"/>
        <w:spacing w:after="0" w:line="294" w:lineRule="auto"/>
        <w:tabs>
          <w:tab w:leader="none" w:pos="754" w:val="left"/>
        </w:tabs>
        <w:numPr>
          <w:ilvl w:val="2"/>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Key Employee engages in Detrimental Activity during his or her employment with the Company and its subsidiaries, and the Company becomes aware of the Detrimental activity either during (A) the Key Employee’s employment with the Company or any subsidiary, or (B) the two-year period following the termination of the Key Employee’s employment with the Company and its subsidiaries for any reason or no reason,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2</w:t>
      </w:r>
    </w:p>
    <w:p>
      <w:pPr>
        <w:sectPr>
          <w:pgSz w:w="11900" w:h="16838" w:orient="portrait"/>
          <w:cols w:equalWidth="0" w:num="1">
            <w:col w:w="11280"/>
          </w:cols>
          <w:pgMar w:left="300" w:top="136" w:right="31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7"/>
          <w:szCs w:val="17"/>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760" w:hanging="257"/>
        <w:spacing w:after="0" w:line="307" w:lineRule="auto"/>
        <w:tabs>
          <w:tab w:leader="none" w:pos="759"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Key Employee engages in Detrimental Activity subsequent to his or her termination of employment with the Company and its subsidiaries for any reason or no reason.</w:t>
      </w:r>
    </w:p>
    <w:p>
      <w:pPr>
        <w:spacing w:after="0" w:line="124" w:lineRule="exact"/>
        <w:rPr>
          <w:rFonts w:ascii="Times New Roman" w:cs="Times New Roman" w:eastAsia="Times New Roman" w:hAnsi="Times New Roman"/>
          <w:sz w:val="17"/>
          <w:szCs w:val="17"/>
          <w:color w:val="auto"/>
        </w:rPr>
      </w:pPr>
    </w:p>
    <w:p>
      <w:pPr>
        <w:ind w:left="500" w:hanging="247"/>
        <w:spacing w:after="0" w:line="294" w:lineRule="auto"/>
        <w:tabs>
          <w:tab w:leader="none" w:pos="49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Consequences</w:t>
      </w:r>
      <w:r>
        <w:rPr>
          <w:rFonts w:ascii="Times New Roman" w:cs="Times New Roman" w:eastAsia="Times New Roman" w:hAnsi="Times New Roman"/>
          <w:sz w:val="17"/>
          <w:szCs w:val="17"/>
          <w:color w:val="auto"/>
        </w:rPr>
        <w:t>. If this Section 2 applies, then to the fullest extent permitted by applicable law, if and to the extent directed by the Board in its sole discretion, the Key Employee shall:</w:t>
      </w:r>
    </w:p>
    <w:p>
      <w:pPr>
        <w:spacing w:after="0" w:line="135" w:lineRule="exact"/>
        <w:rPr>
          <w:rFonts w:ascii="Times New Roman" w:cs="Times New Roman" w:eastAsia="Times New Roman" w:hAnsi="Times New Roman"/>
          <w:sz w:val="17"/>
          <w:szCs w:val="17"/>
          <w:color w:val="auto"/>
        </w:rPr>
      </w:pPr>
    </w:p>
    <w:p>
      <w:pPr>
        <w:ind w:left="740" w:hanging="237"/>
        <w:spacing w:after="0"/>
        <w:tabs>
          <w:tab w:leader="none" w:pos="740" w:val="left"/>
        </w:tabs>
        <w:numPr>
          <w:ilvl w:val="1"/>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forfeit all outstanding Incentive Awards then held by the Key Employee that have not yet been paid or exercised,</w:t>
      </w:r>
    </w:p>
    <w:p>
      <w:pPr>
        <w:spacing w:after="0" w:line="200" w:lineRule="exact"/>
        <w:rPr>
          <w:sz w:val="20"/>
          <w:szCs w:val="20"/>
          <w:color w:val="auto"/>
        </w:rPr>
      </w:pPr>
    </w:p>
    <w:p>
      <w:pPr>
        <w:ind w:left="760" w:hanging="257"/>
        <w:spacing w:after="0" w:line="307" w:lineRule="auto"/>
        <w:tabs>
          <w:tab w:leader="none" w:pos="759" w:val="left"/>
        </w:tabs>
        <w:numPr>
          <w:ilvl w:val="2"/>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upon written demand repay to the Company any amounts paid to the Key Employee under an Incentive Award within the five-year period ending on the date that the Key Employee received the written demand,</w:t>
      </w:r>
    </w:p>
    <w:p>
      <w:pPr>
        <w:spacing w:after="0" w:line="114" w:lineRule="exact"/>
        <w:rPr>
          <w:rFonts w:ascii="Times New Roman" w:cs="Times New Roman" w:eastAsia="Times New Roman" w:hAnsi="Times New Roman"/>
          <w:sz w:val="17"/>
          <w:szCs w:val="17"/>
          <w:color w:val="auto"/>
        </w:rPr>
      </w:pPr>
    </w:p>
    <w:p>
      <w:pPr>
        <w:ind w:left="760" w:hanging="257"/>
        <w:spacing w:after="0" w:line="307" w:lineRule="auto"/>
        <w:tabs>
          <w:tab w:leader="none" w:pos="753" w:val="left"/>
        </w:tabs>
        <w:numPr>
          <w:ilvl w:val="2"/>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forfeit the remaining payments and benefits, if any, due to him or her under the Conduent Executive Severance Policy (or any successors plan or policy) or an individually negotiated separation agreement with the Company or a subsidiary (collectively, the “</w:t>
      </w:r>
      <w:r>
        <w:rPr>
          <w:rFonts w:ascii="Times New Roman" w:cs="Times New Roman" w:eastAsia="Times New Roman" w:hAnsi="Times New Roman"/>
          <w:sz w:val="17"/>
          <w:szCs w:val="17"/>
          <w:u w:val="single" w:color="auto"/>
          <w:color w:val="auto"/>
        </w:rPr>
        <w:t>Severance Program</w:t>
      </w:r>
      <w:r>
        <w:rPr>
          <w:rFonts w:ascii="Times New Roman" w:cs="Times New Roman" w:eastAsia="Times New Roman" w:hAnsi="Times New Roman"/>
          <w:sz w:val="17"/>
          <w:szCs w:val="17"/>
          <w:color w:val="auto"/>
        </w:rPr>
        <w:t>”), and</w:t>
      </w:r>
    </w:p>
    <w:p>
      <w:pPr>
        <w:spacing w:after="0" w:line="124" w:lineRule="exact"/>
        <w:rPr>
          <w:rFonts w:ascii="Times New Roman" w:cs="Times New Roman" w:eastAsia="Times New Roman" w:hAnsi="Times New Roman"/>
          <w:sz w:val="17"/>
          <w:szCs w:val="17"/>
          <w:color w:val="auto"/>
        </w:rPr>
      </w:pPr>
    </w:p>
    <w:p>
      <w:pPr>
        <w:ind w:left="760" w:hanging="257"/>
        <w:spacing w:after="0" w:line="307" w:lineRule="auto"/>
        <w:tabs>
          <w:tab w:leader="none" w:pos="743" w:val="left"/>
        </w:tabs>
        <w:numPr>
          <w:ilvl w:val="2"/>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upon written demand repay to the Company the severance amounts, if any, paid to the Key Employee under the Severance Program prior to the date that the Key Employee receives the written demand.</w:t>
      </w:r>
    </w:p>
    <w:p>
      <w:pPr>
        <w:spacing w:after="0" w:line="110" w:lineRule="exact"/>
        <w:rPr>
          <w:rFonts w:ascii="Times New Roman" w:cs="Times New Roman" w:eastAsia="Times New Roman" w:hAnsi="Times New Roman"/>
          <w:sz w:val="17"/>
          <w:szCs w:val="17"/>
          <w:color w:val="auto"/>
        </w:rPr>
      </w:pPr>
    </w:p>
    <w:p>
      <w:pPr>
        <w:ind w:left="260" w:hanging="257"/>
        <w:spacing w:after="0"/>
        <w:tabs>
          <w:tab w:leader="none" w:pos="260"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Termination for Cause</w:t>
      </w:r>
    </w:p>
    <w:p>
      <w:pPr>
        <w:spacing w:after="0" w:line="204" w:lineRule="exact"/>
        <w:rPr>
          <w:rFonts w:ascii="Times New Roman" w:cs="Times New Roman" w:eastAsia="Times New Roman" w:hAnsi="Times New Roman"/>
          <w:sz w:val="17"/>
          <w:szCs w:val="17"/>
          <w:b w:val="1"/>
          <w:bCs w:val="1"/>
          <w:color w:val="auto"/>
        </w:rPr>
      </w:pPr>
    </w:p>
    <w:p>
      <w:pPr>
        <w:ind w:left="500" w:hanging="247"/>
        <w:spacing w:after="0"/>
        <w:tabs>
          <w:tab w:leader="none" w:pos="50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Application</w:t>
      </w:r>
      <w:r>
        <w:rPr>
          <w:rFonts w:ascii="Times New Roman" w:cs="Times New Roman" w:eastAsia="Times New Roman" w:hAnsi="Times New Roman"/>
          <w:sz w:val="17"/>
          <w:szCs w:val="17"/>
          <w:color w:val="auto"/>
        </w:rPr>
        <w:t>. This Section 3 applies to all Key Employees.</w:t>
      </w:r>
    </w:p>
    <w:p>
      <w:pPr>
        <w:spacing w:after="0" w:line="200" w:lineRule="exact"/>
        <w:rPr>
          <w:rFonts w:ascii="Times New Roman" w:cs="Times New Roman" w:eastAsia="Times New Roman" w:hAnsi="Times New Roman"/>
          <w:sz w:val="17"/>
          <w:szCs w:val="17"/>
          <w:color w:val="auto"/>
        </w:rPr>
      </w:pPr>
    </w:p>
    <w:p>
      <w:pPr>
        <w:ind w:left="500" w:hanging="247"/>
        <w:spacing w:after="0"/>
        <w:tabs>
          <w:tab w:leader="none" w:pos="50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Triggering Event</w:t>
      </w:r>
      <w:r>
        <w:rPr>
          <w:rFonts w:ascii="Times New Roman" w:cs="Times New Roman" w:eastAsia="Times New Roman" w:hAnsi="Times New Roman"/>
          <w:sz w:val="17"/>
          <w:szCs w:val="17"/>
          <w:color w:val="auto"/>
        </w:rPr>
        <w:t>. This Section 3 shall apply if:</w:t>
      </w:r>
    </w:p>
    <w:p>
      <w:pPr>
        <w:spacing w:after="0" w:line="200" w:lineRule="exact"/>
        <w:rPr>
          <w:rFonts w:ascii="Times New Roman" w:cs="Times New Roman" w:eastAsia="Times New Roman" w:hAnsi="Times New Roman"/>
          <w:sz w:val="17"/>
          <w:szCs w:val="17"/>
          <w:color w:val="auto"/>
        </w:rPr>
      </w:pPr>
    </w:p>
    <w:p>
      <w:pPr>
        <w:ind w:left="740" w:hanging="237"/>
        <w:spacing w:after="0"/>
        <w:tabs>
          <w:tab w:leader="none" w:pos="740" w:val="left"/>
        </w:tabs>
        <w:numPr>
          <w:ilvl w:val="2"/>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terminates a Key Employee’s employment for Cause, or</w:t>
      </w:r>
    </w:p>
    <w:p>
      <w:pPr>
        <w:spacing w:after="0" w:line="189" w:lineRule="exact"/>
        <w:rPr>
          <w:rFonts w:ascii="Times New Roman" w:cs="Times New Roman" w:eastAsia="Times New Roman" w:hAnsi="Times New Roman"/>
          <w:sz w:val="17"/>
          <w:szCs w:val="17"/>
          <w:color w:val="auto"/>
        </w:rPr>
      </w:pPr>
    </w:p>
    <w:p>
      <w:pPr>
        <w:jc w:val="both"/>
        <w:ind w:left="760" w:hanging="257"/>
        <w:spacing w:after="0" w:line="294" w:lineRule="auto"/>
        <w:tabs>
          <w:tab w:leader="none" w:pos="759" w:val="left"/>
        </w:tabs>
        <w:numPr>
          <w:ilvl w:val="2"/>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Key Employee committed any act or omission during his or her employment with the Company and its subsidiaries that would have constituted Cause while he or she was employed by the Company or any subsidiary, and the Company becomes aware of such act or omission during the two-year period following the termination of the Key Employee’s employment with the Company and its subsidiaries for any reason or no reason.</w:t>
      </w:r>
    </w:p>
    <w:p>
      <w:pPr>
        <w:spacing w:after="0" w:line="135" w:lineRule="exact"/>
        <w:rPr>
          <w:rFonts w:ascii="Times New Roman" w:cs="Times New Roman" w:eastAsia="Times New Roman" w:hAnsi="Times New Roman"/>
          <w:sz w:val="17"/>
          <w:szCs w:val="17"/>
          <w:color w:val="auto"/>
        </w:rPr>
      </w:pPr>
    </w:p>
    <w:p>
      <w:pPr>
        <w:ind w:left="500" w:hanging="247"/>
        <w:spacing w:after="0" w:line="294" w:lineRule="auto"/>
        <w:tabs>
          <w:tab w:leader="none" w:pos="490" w:val="left"/>
        </w:tabs>
        <w:numPr>
          <w:ilvl w:val="1"/>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Consequences</w:t>
      </w:r>
      <w:r>
        <w:rPr>
          <w:rFonts w:ascii="Times New Roman" w:cs="Times New Roman" w:eastAsia="Times New Roman" w:hAnsi="Times New Roman"/>
          <w:sz w:val="17"/>
          <w:szCs w:val="17"/>
          <w:color w:val="auto"/>
        </w:rPr>
        <w:t>. If this Section 3 applies, then to the fullest extent permitted by applicable law, if and to the extent directed by the Board in its sole discretion, the Key Employee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3</w:t>
      </w:r>
    </w:p>
    <w:p>
      <w:pPr>
        <w:sectPr>
          <w:pgSz w:w="11900" w:h="16838" w:orient="portrait"/>
          <w:cols w:equalWidth="0" w:num="1">
            <w:col w:w="11280"/>
          </w:cols>
          <w:pgMar w:left="300" w:top="136" w:right="31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7"/>
          <w:szCs w:val="17"/>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740" w:hanging="237"/>
        <w:spacing w:after="0"/>
        <w:tabs>
          <w:tab w:leader="none" w:pos="740" w:val="left"/>
        </w:tabs>
        <w:numPr>
          <w:ilvl w:val="2"/>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forfeit all outstanding Incentive Awards then held by the Key Employee that have not yet been paid or exercised,</w:t>
      </w:r>
    </w:p>
    <w:p>
      <w:pPr>
        <w:spacing w:after="0" w:line="200" w:lineRule="exact"/>
        <w:rPr>
          <w:rFonts w:ascii="Times New Roman" w:cs="Times New Roman" w:eastAsia="Times New Roman" w:hAnsi="Times New Roman"/>
          <w:sz w:val="17"/>
          <w:szCs w:val="17"/>
          <w:color w:val="auto"/>
        </w:rPr>
      </w:pPr>
    </w:p>
    <w:p>
      <w:pPr>
        <w:ind w:left="760" w:hanging="257"/>
        <w:spacing w:after="0"/>
        <w:tabs>
          <w:tab w:leader="none" w:pos="760" w:val="left"/>
        </w:tabs>
        <w:numPr>
          <w:ilvl w:val="2"/>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forfeit the remaining payments and benefits, if any, due to him or her under the Severance Program, and</w:t>
      </w:r>
    </w:p>
    <w:p>
      <w:pPr>
        <w:spacing w:after="0" w:line="200" w:lineRule="exact"/>
        <w:rPr>
          <w:rFonts w:ascii="Times New Roman" w:cs="Times New Roman" w:eastAsia="Times New Roman" w:hAnsi="Times New Roman"/>
          <w:sz w:val="17"/>
          <w:szCs w:val="17"/>
          <w:color w:val="auto"/>
        </w:rPr>
      </w:pPr>
    </w:p>
    <w:p>
      <w:pPr>
        <w:ind w:left="760" w:hanging="257"/>
        <w:spacing w:after="0" w:line="294" w:lineRule="auto"/>
        <w:tabs>
          <w:tab w:leader="none" w:pos="753" w:val="left"/>
        </w:tabs>
        <w:numPr>
          <w:ilvl w:val="2"/>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upon written demand repay to the Company the severance amounts, if any, paid to the Key Employee under the Severance Program prior to the date that the Key Employee receives the written demand.</w:t>
      </w:r>
    </w:p>
    <w:p>
      <w:pPr>
        <w:spacing w:after="0" w:line="131" w:lineRule="exact"/>
        <w:rPr>
          <w:rFonts w:ascii="Times New Roman" w:cs="Times New Roman" w:eastAsia="Times New Roman" w:hAnsi="Times New Roman"/>
          <w:sz w:val="17"/>
          <w:szCs w:val="17"/>
          <w:color w:val="auto"/>
        </w:rPr>
      </w:pPr>
    </w:p>
    <w:p>
      <w:pPr>
        <w:ind w:left="260" w:hanging="257"/>
        <w:spacing w:after="0"/>
        <w:tabs>
          <w:tab w:leader="none" w:pos="260"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Administration and Enforcement</w:t>
      </w:r>
    </w:p>
    <w:p>
      <w:pPr>
        <w:spacing w:after="0" w:line="204" w:lineRule="exact"/>
        <w:rPr>
          <w:rFonts w:ascii="Times New Roman" w:cs="Times New Roman" w:eastAsia="Times New Roman" w:hAnsi="Times New Roman"/>
          <w:sz w:val="17"/>
          <w:szCs w:val="17"/>
          <w:b w:val="1"/>
          <w:bCs w:val="1"/>
          <w:color w:val="auto"/>
        </w:rPr>
      </w:pPr>
    </w:p>
    <w:p>
      <w:pPr>
        <w:jc w:val="both"/>
        <w:ind w:left="500" w:hanging="247"/>
        <w:spacing w:after="0" w:line="304" w:lineRule="auto"/>
        <w:tabs>
          <w:tab w:leader="none" w:pos="490" w:val="left"/>
        </w:tabs>
        <w:numPr>
          <w:ilvl w:val="1"/>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Administration</w:t>
      </w:r>
      <w:r>
        <w:rPr>
          <w:rFonts w:ascii="Times New Roman" w:cs="Times New Roman" w:eastAsia="Times New Roman" w:hAnsi="Times New Roman"/>
          <w:sz w:val="16"/>
          <w:szCs w:val="16"/>
          <w:color w:val="auto"/>
        </w:rPr>
        <w:t>. Subject to the provisions of Section 1(c), the Board (or a committee thereof) shall have full and final authority to make all determinations under this Policy. Without limiting the preceding sentence, the Board shall have sole and absolute authority to determine whether the Policy applies (and which provision or provisions of the Policy apply, if a Covered Employee’s acts or omissions are covered by more than one provision of this Policy), whether to take action or not take action under the Policy, the amount, if any, of compensation to be repaid or forfeited (which may be less than the full amount provided under this Policy), and the method of enforcement. Subject to Section 1(c), the Board shall have no obligation to treat any Designated Executive or Key Employee (collectively, the “</w:t>
      </w:r>
      <w:r>
        <w:rPr>
          <w:rFonts w:ascii="Times New Roman" w:cs="Times New Roman" w:eastAsia="Times New Roman" w:hAnsi="Times New Roman"/>
          <w:sz w:val="16"/>
          <w:szCs w:val="16"/>
          <w:u w:val="single" w:color="auto"/>
          <w:color w:val="auto"/>
        </w:rPr>
        <w:t>Covered Employees</w:t>
      </w:r>
      <w:r>
        <w:rPr>
          <w:rFonts w:ascii="Times New Roman" w:cs="Times New Roman" w:eastAsia="Times New Roman" w:hAnsi="Times New Roman"/>
          <w:sz w:val="16"/>
          <w:szCs w:val="16"/>
          <w:color w:val="auto"/>
        </w:rPr>
        <w:t>”) uniformly and the Board may make determinations selectively among Covered Employees in its business judgment.</w:t>
      </w:r>
    </w:p>
    <w:p>
      <w:pPr>
        <w:spacing w:after="0" w:line="12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b.</w:t>
      </w:r>
    </w:p>
    <w:p>
      <w:pPr>
        <w:spacing w:after="0" w:line="200" w:lineRule="exact"/>
        <w:rPr>
          <w:sz w:val="20"/>
          <w:szCs w:val="20"/>
          <w:color w:val="auto"/>
        </w:rPr>
      </w:pPr>
    </w:p>
    <w:p>
      <w:pPr>
        <w:jc w:val="both"/>
        <w:ind w:left="1080" w:hanging="507"/>
        <w:spacing w:after="0" w:line="285" w:lineRule="auto"/>
        <w:tabs>
          <w:tab w:leader="none" w:pos="1074"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shall determine, at its sole discretion, the method for recouping amounts under this Policy, which may include (A) requiring reimbursement of amounts previously paid; (B) seeking recovery of any gain realized on the vesting, exercise, settlement, sale, transfer, or other disposition of any equity-based awards; (C) deducting the amount to be recouped from any compensation otherwise owed by the Company to the Designated Executive; and/or (D) taking any other remedial and recovery action permitted by law, as determined by the Board.</w:t>
      </w:r>
    </w:p>
    <w:p>
      <w:pPr>
        <w:spacing w:after="0" w:line="144" w:lineRule="exact"/>
        <w:rPr>
          <w:rFonts w:ascii="Times New Roman" w:cs="Times New Roman" w:eastAsia="Times New Roman" w:hAnsi="Times New Roman"/>
          <w:sz w:val="17"/>
          <w:szCs w:val="17"/>
          <w:color w:val="auto"/>
        </w:rPr>
      </w:pPr>
    </w:p>
    <w:p>
      <w:pPr>
        <w:ind w:left="1080" w:hanging="507"/>
        <w:spacing w:after="0"/>
        <w:tabs>
          <w:tab w:leader="none" w:pos="108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1 of this Policy is intended to comply with and be interpreted in accordance with the requirements of Nasdaq Listing Rule 5608.</w:t>
      </w:r>
    </w:p>
    <w:p>
      <w:pPr>
        <w:spacing w:after="0" w:line="200" w:lineRule="exact"/>
        <w:rPr>
          <w:rFonts w:ascii="Times New Roman" w:cs="Times New Roman" w:eastAsia="Times New Roman" w:hAnsi="Times New Roman"/>
          <w:sz w:val="17"/>
          <w:szCs w:val="17"/>
          <w:color w:val="auto"/>
        </w:rPr>
      </w:pPr>
    </w:p>
    <w:p>
      <w:pPr>
        <w:jc w:val="both"/>
        <w:ind w:left="1080" w:hanging="507"/>
        <w:spacing w:after="0" w:line="287" w:lineRule="auto"/>
        <w:tabs>
          <w:tab w:leader="none" w:pos="1073"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determinations and decisions made by the Board pursuant to the provisions of this Policy shall be final, conclusive and binding on all persons, including the Company, its subsidiaries, its stockholders and its employees. Notwithstanding any other provision of the Policy to the contrary, following a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4</w:t>
      </w:r>
    </w:p>
    <w:p>
      <w:pPr>
        <w:sectPr>
          <w:pgSz w:w="11900" w:h="16838" w:orient="portrait"/>
          <w:cols w:equalWidth="0" w:num="1">
            <w:col w:w="11280"/>
          </w:cols>
          <w:pgMar w:left="300" w:top="136" w:right="319" w:bottom="1440" w:gutter="0" w:footer="0" w:header="0"/>
        </w:sectPr>
      </w:pPr>
    </w:p>
    <w:bookmarkStart w:id="122" w:name="page123"/>
    <w:bookmarkEnd w:id="122"/>
    <w:p>
      <w:pPr>
        <w:ind w:left="10287"/>
        <w:spacing w:after="0"/>
        <w:rPr>
          <w:sz w:val="20"/>
          <w:szCs w:val="20"/>
          <w:color w:val="auto"/>
        </w:rPr>
      </w:pPr>
      <w:r>
        <w:rPr>
          <w:rFonts w:ascii="Times New Roman" w:cs="Times New Roman" w:eastAsia="Times New Roman" w:hAnsi="Times New Roman"/>
          <w:sz w:val="16"/>
          <w:szCs w:val="16"/>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827"/>
        <w:spacing w:after="0" w:line="283" w:lineRule="auto"/>
        <w:rPr>
          <w:sz w:val="20"/>
          <w:szCs w:val="20"/>
          <w:color w:val="auto"/>
        </w:rPr>
      </w:pPr>
      <w:r>
        <w:rPr>
          <w:rFonts w:ascii="Times New Roman" w:cs="Times New Roman" w:eastAsia="Times New Roman" w:hAnsi="Times New Roman"/>
          <w:sz w:val="17"/>
          <w:szCs w:val="17"/>
          <w:color w:val="auto"/>
        </w:rPr>
        <w:t xml:space="preserve">any determination by the Board as to whether “Detrimental Activity” exists shall be subject to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review. The Board may delegate to the Chief Executive Officer or other senior officers or senior managers of the Company, subject to such terms as the Board shall determine, authority to administer all or any portion of the Policy, or the authority to perform certain functions, including administrative functions. In the event of such delegation, all references to the Board in this Policy shall be deemed references to such senior officers or senior managers as it relates to those aspects of the Policy that have been delegated. In this regard, the Board specifically authorizes the Chief Executive Officer of the Company to make all determinations under the Policy with respect to Covered Employees who are not Designated Executives. Notwithstanding the foregoing, the Board shall retain exclusive authority to administer the Policy (other than administrative functions) with respect to Designated Executives.</w:t>
      </w:r>
    </w:p>
    <w:p>
      <w:pPr>
        <w:spacing w:after="0" w:line="138" w:lineRule="exact"/>
        <w:rPr>
          <w:sz w:val="20"/>
          <w:szCs w:val="20"/>
          <w:color w:val="auto"/>
        </w:rPr>
      </w:pPr>
    </w:p>
    <w:p>
      <w:pPr>
        <w:jc w:val="both"/>
        <w:ind w:left="247" w:hanging="247"/>
        <w:spacing w:after="0" w:line="313" w:lineRule="auto"/>
        <w:tabs>
          <w:tab w:leader="none" w:pos="237"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Incorporation into Covered Agreements</w:t>
      </w:r>
      <w:r>
        <w:rPr>
          <w:rFonts w:ascii="Times New Roman" w:cs="Times New Roman" w:eastAsia="Times New Roman" w:hAnsi="Times New Roman"/>
          <w:sz w:val="16"/>
          <w:szCs w:val="16"/>
          <w:color w:val="auto"/>
        </w:rPr>
        <w:t>. Effective on and after March 15, 2021, each award agreement or other document setting forth the terms and conditions of Incentive Award or a Severance Program (collectively, a “</w:t>
      </w:r>
      <w:r>
        <w:rPr>
          <w:rFonts w:ascii="Times New Roman" w:cs="Times New Roman" w:eastAsia="Times New Roman" w:hAnsi="Times New Roman"/>
          <w:sz w:val="16"/>
          <w:szCs w:val="16"/>
          <w:u w:val="single" w:color="auto"/>
          <w:color w:val="auto"/>
        </w:rPr>
        <w:t>Covered Agreement</w:t>
      </w:r>
      <w:r>
        <w:rPr>
          <w:rFonts w:ascii="Times New Roman" w:cs="Times New Roman" w:eastAsia="Times New Roman" w:hAnsi="Times New Roman"/>
          <w:sz w:val="16"/>
          <w:szCs w:val="16"/>
          <w:color w:val="auto"/>
        </w:rPr>
        <w:t>”) shall include a provision incorporating the terms and conditions of the Policy; provided that the Company’s failure to incorporate the Policy into any Covered Agreement shall not waive the Company’s right to enforce the Policy. In the event of any inconsistency between the provisions of the Policy and the applicable Covered Agreement, the terms of the Policy shall govern.</w:t>
      </w:r>
    </w:p>
    <w:p>
      <w:pPr>
        <w:spacing w:after="0" w:line="113" w:lineRule="exact"/>
        <w:rPr>
          <w:rFonts w:ascii="Times New Roman" w:cs="Times New Roman" w:eastAsia="Times New Roman" w:hAnsi="Times New Roman"/>
          <w:sz w:val="16"/>
          <w:szCs w:val="16"/>
          <w:color w:val="auto"/>
        </w:rPr>
      </w:pPr>
    </w:p>
    <w:p>
      <w:pPr>
        <w:jc w:val="both"/>
        <w:ind w:left="247" w:hanging="247"/>
        <w:spacing w:after="0" w:line="284" w:lineRule="auto"/>
        <w:tabs>
          <w:tab w:leader="none" w:pos="247"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Delay in Payment or Vesting Pending Investigation</w:t>
      </w:r>
      <w:r>
        <w:rPr>
          <w:rFonts w:ascii="Times New Roman" w:cs="Times New Roman" w:eastAsia="Times New Roman" w:hAnsi="Times New Roman"/>
          <w:sz w:val="17"/>
          <w:szCs w:val="17"/>
          <w:color w:val="auto"/>
        </w:rPr>
        <w:t>. To the fullest extent permitted by applicable law (including, without limitation, Section 409A of the Internal Revenue Code of 1986, as amended), the Board may, in its sole discretion, delay the vesting or payment of compensation under a Covered Agreement (“</w:t>
      </w:r>
      <w:r>
        <w:rPr>
          <w:rFonts w:ascii="Times New Roman" w:cs="Times New Roman" w:eastAsia="Times New Roman" w:hAnsi="Times New Roman"/>
          <w:sz w:val="17"/>
          <w:szCs w:val="17"/>
          <w:u w:val="single" w:color="auto"/>
          <w:color w:val="auto"/>
        </w:rPr>
        <w:t>Covered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Compensation</w:t>
      </w:r>
      <w:r>
        <w:rPr>
          <w:rFonts w:ascii="Times New Roman" w:cs="Times New Roman" w:eastAsia="Times New Roman" w:hAnsi="Times New Roman"/>
          <w:sz w:val="17"/>
          <w:szCs w:val="17"/>
          <w:color w:val="auto"/>
        </w:rPr>
        <w:t>”) to provide reasonable time to conduct or complete an investigation into whether this Policy is applicable, and if so, how it should be enforced, under the circumstances. For the avoidance of doubt, the Company’s rights under this Policy apply to all Covered Employees, without regard to whether any such Covered Employee is currently providing, or previously provided, services to the Company or a subsidiary.</w:t>
      </w:r>
    </w:p>
    <w:p>
      <w:pPr>
        <w:spacing w:after="0" w:line="145" w:lineRule="exact"/>
        <w:rPr>
          <w:rFonts w:ascii="Times New Roman" w:cs="Times New Roman" w:eastAsia="Times New Roman" w:hAnsi="Times New Roman"/>
          <w:sz w:val="17"/>
          <w:szCs w:val="17"/>
          <w:color w:val="auto"/>
        </w:rPr>
      </w:pPr>
    </w:p>
    <w:p>
      <w:pPr>
        <w:jc w:val="both"/>
        <w:ind w:left="247" w:hanging="247"/>
        <w:spacing w:after="0" w:line="285" w:lineRule="auto"/>
        <w:tabs>
          <w:tab w:leader="none" w:pos="237"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Reservation of Rights</w:t>
      </w:r>
      <w:r>
        <w:rPr>
          <w:rFonts w:ascii="Times New Roman" w:cs="Times New Roman" w:eastAsia="Times New Roman" w:hAnsi="Times New Roman"/>
          <w:sz w:val="17"/>
          <w:szCs w:val="17"/>
          <w:color w:val="auto"/>
        </w:rPr>
        <w:t>. The remedies specified in this Policy shall not be exclusive and shall be in addition to every other right or remedy at law or in equity that may be available to the Company. The repayment or forfeiture of Covered Compensation pursuant to the Policy shall not in any way limit or affect the Company’s right to pursue disciplinary action or dismissal, take legal action or pursue any other remedies available to the Company. Notwithstanding the foregoing, to the extent required by applicable law, any amount recoverable from a Covered Employee under Section 304 of the Sarbanes-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0587"/>
        <w:spacing w:after="0"/>
        <w:rPr>
          <w:sz w:val="20"/>
          <w:szCs w:val="20"/>
          <w:color w:val="auto"/>
        </w:rPr>
      </w:pPr>
      <w:r>
        <w:rPr>
          <w:rFonts w:ascii="Times New Roman" w:cs="Times New Roman" w:eastAsia="Times New Roman" w:hAnsi="Times New Roman"/>
          <w:sz w:val="16"/>
          <w:szCs w:val="16"/>
          <w:color w:val="auto"/>
        </w:rPr>
        <w:t xml:space="preserve">Page </w:t>
      </w:r>
      <w:r>
        <w:rPr>
          <w:rFonts w:ascii="Times New Roman" w:cs="Times New Roman" w:eastAsia="Times New Roman" w:hAnsi="Times New Roman"/>
          <w:sz w:val="16"/>
          <w:szCs w:val="16"/>
          <w:b w:val="1"/>
          <w:bCs w:val="1"/>
          <w:color w:val="auto"/>
        </w:rPr>
        <w:t>5</w:t>
      </w:r>
    </w:p>
    <w:p>
      <w:pPr>
        <w:sectPr>
          <w:pgSz w:w="11900" w:h="16838" w:orient="portrait"/>
          <w:cols w:equalWidth="0" w:num="1">
            <w:col w:w="11027"/>
          </w:cols>
          <w:pgMar w:left="553" w:top="136" w:right="31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7"/>
          <w:szCs w:val="17"/>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247"/>
        <w:spacing w:after="0"/>
        <w:rPr>
          <w:sz w:val="20"/>
          <w:szCs w:val="20"/>
          <w:color w:val="auto"/>
        </w:rPr>
      </w:pPr>
      <w:r>
        <w:rPr>
          <w:rFonts w:ascii="Times New Roman" w:cs="Times New Roman" w:eastAsia="Times New Roman" w:hAnsi="Times New Roman"/>
          <w:sz w:val="17"/>
          <w:szCs w:val="17"/>
          <w:color w:val="auto"/>
        </w:rPr>
        <w:t>Oxley Act of 2002 shall be credited against any amount recoverable from that employee under the Policy.</w:t>
      </w:r>
    </w:p>
    <w:p>
      <w:pPr>
        <w:spacing w:after="0" w:line="200" w:lineRule="exact"/>
        <w:rPr>
          <w:sz w:val="20"/>
          <w:szCs w:val="20"/>
          <w:color w:val="auto"/>
        </w:rPr>
      </w:pPr>
    </w:p>
    <w:p>
      <w:pPr>
        <w:jc w:val="both"/>
        <w:ind w:left="247" w:hanging="247"/>
        <w:spacing w:after="0" w:line="285" w:lineRule="auto"/>
        <w:tabs>
          <w:tab w:leader="none" w:pos="24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Set-Off</w:t>
      </w:r>
      <w:r>
        <w:rPr>
          <w:rFonts w:ascii="Times New Roman" w:cs="Times New Roman" w:eastAsia="Times New Roman" w:hAnsi="Times New Roman"/>
          <w:sz w:val="17"/>
          <w:szCs w:val="17"/>
          <w:color w:val="auto"/>
        </w:rPr>
        <w:t>. To the extent not prohibited under applicable law, the Company, in its sole and absolute discretion, will have the right to set off (or cause to be set off) any amounts otherwise due to a Covered Employee from the Company or any subsidiary in satisfaction of any repayment obligation of such Covered Employee hereunder, provided that any such amounts are exempt from, or set off in a manner intended to comply with the requirements of Section 409A of the Internal Revenue Code of 1986, as amended.</w:t>
      </w:r>
    </w:p>
    <w:p>
      <w:pPr>
        <w:spacing w:after="0" w:line="144" w:lineRule="exact"/>
        <w:rPr>
          <w:rFonts w:ascii="Times New Roman" w:cs="Times New Roman" w:eastAsia="Times New Roman" w:hAnsi="Times New Roman"/>
          <w:sz w:val="17"/>
          <w:szCs w:val="17"/>
          <w:color w:val="auto"/>
        </w:rPr>
      </w:pPr>
    </w:p>
    <w:p>
      <w:pPr>
        <w:jc w:val="both"/>
        <w:ind w:left="247" w:hanging="247"/>
        <w:spacing w:after="0" w:line="281" w:lineRule="auto"/>
        <w:tabs>
          <w:tab w:leader="none" w:pos="247"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Governing Law; Exclusive Forum</w:t>
      </w:r>
      <w:r>
        <w:rPr>
          <w:rFonts w:ascii="Times New Roman" w:cs="Times New Roman" w:eastAsia="Times New Roman" w:hAnsi="Times New Roman"/>
          <w:sz w:val="17"/>
          <w:szCs w:val="17"/>
          <w:color w:val="auto"/>
        </w:rPr>
        <w:t>. This Policy shall be binding and enforceable against all Covered Employees, and their heirs, executors, administrators or other legal representatives. This Policy shall be governed, construed, interpreted and enforced in accordance with the substantive laws of the State of Delaware, without regard to conflicts of law principles. Notwithstanding any dispute resolution policy maintained by the Company or any subsidiary to the contrary, the Company and each Covered Employee agrees that it must bring any action between the parties hereto arising out of or related to this Policy in the Court of Chancery of the State of Delaware (the “</w:t>
      </w:r>
      <w:r>
        <w:rPr>
          <w:rFonts w:ascii="Times New Roman" w:cs="Times New Roman" w:eastAsia="Times New Roman" w:hAnsi="Times New Roman"/>
          <w:sz w:val="17"/>
          <w:szCs w:val="17"/>
          <w:u w:val="single" w:color="auto"/>
          <w:color w:val="auto"/>
        </w:rPr>
        <w:t>Court of Chancery</w:t>
      </w:r>
      <w:r>
        <w:rPr>
          <w:rFonts w:ascii="Times New Roman" w:cs="Times New Roman" w:eastAsia="Times New Roman" w:hAnsi="Times New Roman"/>
          <w:sz w:val="17"/>
          <w:szCs w:val="17"/>
          <w:color w:val="auto"/>
        </w:rPr>
        <w:t>”) or, to the extent the Court of Chancery does not have subject matter jurisdiction, the United States District Court for the District of Delaware and the appellate courts having jurisdiction of appeals in such courts (the “</w:t>
      </w:r>
      <w:r>
        <w:rPr>
          <w:rFonts w:ascii="Times New Roman" w:cs="Times New Roman" w:eastAsia="Times New Roman" w:hAnsi="Times New Roman"/>
          <w:sz w:val="17"/>
          <w:szCs w:val="17"/>
          <w:u w:val="single" w:color="auto"/>
          <w:color w:val="auto"/>
        </w:rPr>
        <w:t>Delaware Federal Court</w:t>
      </w:r>
      <w:r>
        <w:rPr>
          <w:rFonts w:ascii="Times New Roman" w:cs="Times New Roman" w:eastAsia="Times New Roman" w:hAnsi="Times New Roman"/>
          <w:sz w:val="17"/>
          <w:szCs w:val="17"/>
          <w:color w:val="auto"/>
        </w:rPr>
        <w:t>”) or, to the extent neither the Court of Chancery nor the Delaware Federal Court has subject matter jurisdiction, the Superior Court of the State of Delaware (the “</w:t>
      </w:r>
      <w:r>
        <w:rPr>
          <w:rFonts w:ascii="Times New Roman" w:cs="Times New Roman" w:eastAsia="Times New Roman" w:hAnsi="Times New Roman"/>
          <w:sz w:val="17"/>
          <w:szCs w:val="17"/>
          <w:u w:val="single" w:color="auto"/>
          <w:color w:val="auto"/>
        </w:rPr>
        <w:t>Chosen Courts</w:t>
      </w:r>
      <w:r>
        <w:rPr>
          <w:rFonts w:ascii="Times New Roman" w:cs="Times New Roman" w:eastAsia="Times New Roman" w:hAnsi="Times New Roman"/>
          <w:sz w:val="17"/>
          <w:szCs w:val="17"/>
          <w:color w:val="auto"/>
        </w:rPr>
        <w:t>”), and, solely with respect to any such action (i) irrevocably submits to the exclusive jurisdiction of the Chosen Courts, (ii) waives any objection to laying venue in any such action in the Chosen Courts, (iii) waives any objection that the Chosen Courts are an inconvenient forum or do not have jurisdiction over any party hereto.</w:t>
      </w:r>
    </w:p>
    <w:p>
      <w:pPr>
        <w:spacing w:after="0" w:line="138" w:lineRule="exact"/>
        <w:rPr>
          <w:rFonts w:ascii="Times New Roman" w:cs="Times New Roman" w:eastAsia="Times New Roman" w:hAnsi="Times New Roman"/>
          <w:sz w:val="17"/>
          <w:szCs w:val="17"/>
          <w:color w:val="auto"/>
        </w:rPr>
      </w:pPr>
    </w:p>
    <w:p>
      <w:pPr>
        <w:jc w:val="both"/>
        <w:ind w:left="247" w:hanging="247"/>
        <w:spacing w:after="0" w:line="294" w:lineRule="auto"/>
        <w:tabs>
          <w:tab w:leader="none" w:pos="247"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provision of this Policy is determined to be unenforceable or invalid under any applicable law, such provision will be applied to the maximum extent permitted by applicable law, and shall automatically be deemed amended in a manner consistent with its objectives to the extent necessary to conform to any limitations required under applicable law.</w:t>
      </w:r>
    </w:p>
    <w:p>
      <w:pPr>
        <w:spacing w:after="0" w:line="135" w:lineRule="exact"/>
        <w:rPr>
          <w:rFonts w:ascii="Times New Roman" w:cs="Times New Roman" w:eastAsia="Times New Roman" w:hAnsi="Times New Roman"/>
          <w:sz w:val="17"/>
          <w:szCs w:val="17"/>
          <w:color w:val="auto"/>
        </w:rPr>
      </w:pPr>
    </w:p>
    <w:p>
      <w:pPr>
        <w:ind w:left="247" w:hanging="247"/>
        <w:spacing w:after="0" w:line="294" w:lineRule="auto"/>
        <w:tabs>
          <w:tab w:leader="none" w:pos="241"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w:t>
      </w:r>
      <w:r>
        <w:rPr>
          <w:rFonts w:ascii="Times New Roman" w:cs="Times New Roman" w:eastAsia="Times New Roman" w:hAnsi="Times New Roman"/>
          <w:sz w:val="17"/>
          <w:szCs w:val="17"/>
          <w:color w:val="auto"/>
        </w:rPr>
        <w:t>. The waiver by the Company or the Board with respect to compliance of any provision of this Policy by a Covered Employee shall not operate or be construed as a waiver of any other provision of this Policy, or of any subsequent acts or omissions by a Covered Employee under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6</w:t>
      </w:r>
    </w:p>
    <w:p>
      <w:pPr>
        <w:sectPr>
          <w:pgSz w:w="11900" w:h="16838" w:orient="portrait"/>
          <w:cols w:equalWidth="0" w:num="1">
            <w:col w:w="11027"/>
          </w:cols>
          <w:pgMar w:left="553" w:top="136" w:right="31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7"/>
          <w:szCs w:val="17"/>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hanging="247"/>
        <w:spacing w:after="0" w:line="307" w:lineRule="auto"/>
        <w:tabs>
          <w:tab w:leader="none" w:pos="494"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Indemnification</w:t>
      </w:r>
      <w:r>
        <w:rPr>
          <w:rFonts w:ascii="Times New Roman" w:cs="Times New Roman" w:eastAsia="Times New Roman" w:hAnsi="Times New Roman"/>
          <w:sz w:val="17"/>
          <w:szCs w:val="17"/>
          <w:color w:val="auto"/>
        </w:rPr>
        <w:t>. The Company shall not indemnify any Designated Executive or other individual against the loss of any incorrectly awarded or otherwise recouped Incentive Compensation.</w:t>
      </w:r>
    </w:p>
    <w:p>
      <w:pPr>
        <w:spacing w:after="0" w:line="124" w:lineRule="exact"/>
        <w:rPr>
          <w:rFonts w:ascii="Times New Roman" w:cs="Times New Roman" w:eastAsia="Times New Roman" w:hAnsi="Times New Roman"/>
          <w:sz w:val="17"/>
          <w:szCs w:val="17"/>
          <w:color w:val="auto"/>
        </w:rPr>
      </w:pPr>
    </w:p>
    <w:p>
      <w:pPr>
        <w:ind w:left="500" w:hanging="247"/>
        <w:spacing w:after="0" w:line="294" w:lineRule="auto"/>
        <w:tabs>
          <w:tab w:leader="none" w:pos="500" w:val="left"/>
        </w:tabs>
        <w:numPr>
          <w:ilvl w:val="1"/>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Acknowledgement</w:t>
      </w:r>
      <w:r>
        <w:rPr>
          <w:rFonts w:ascii="Times New Roman" w:cs="Times New Roman" w:eastAsia="Times New Roman" w:hAnsi="Times New Roman"/>
          <w:sz w:val="17"/>
          <w:szCs w:val="17"/>
          <w:color w:val="auto"/>
        </w:rPr>
        <w:t>. To the extent directed by the Board or the Company, each Covered Employee will be required to sign a compensation recoupment acknowledgement agreement on a form provided by the Company.</w:t>
      </w:r>
    </w:p>
    <w:p>
      <w:pPr>
        <w:spacing w:after="0" w:line="131" w:lineRule="exact"/>
        <w:rPr>
          <w:rFonts w:ascii="Times New Roman" w:cs="Times New Roman" w:eastAsia="Times New Roman" w:hAnsi="Times New Roman"/>
          <w:sz w:val="17"/>
          <w:szCs w:val="17"/>
          <w:color w:val="auto"/>
        </w:rPr>
      </w:pPr>
    </w:p>
    <w:p>
      <w:pPr>
        <w:ind w:left="260" w:hanging="257"/>
        <w:spacing w:after="0"/>
        <w:tabs>
          <w:tab w:leader="none" w:pos="260" w:val="left"/>
        </w:tabs>
        <w:numPr>
          <w:ilvl w:val="0"/>
          <w:numId w:val="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Definitions. </w:t>
      </w:r>
      <w:r>
        <w:rPr>
          <w:rFonts w:ascii="Times New Roman" w:cs="Times New Roman" w:eastAsia="Times New Roman" w:hAnsi="Times New Roman"/>
          <w:sz w:val="17"/>
          <w:szCs w:val="17"/>
          <w:color w:val="auto"/>
        </w:rPr>
        <w:t>Whenever the following terms are used in this Policy, they shall have the meaning specified below.</w:t>
      </w:r>
    </w:p>
    <w:p>
      <w:pPr>
        <w:spacing w:after="0" w:line="204" w:lineRule="exact"/>
        <w:rPr>
          <w:rFonts w:ascii="Times New Roman" w:cs="Times New Roman" w:eastAsia="Times New Roman" w:hAnsi="Times New Roman"/>
          <w:sz w:val="17"/>
          <w:szCs w:val="17"/>
          <w:b w:val="1"/>
          <w:bCs w:val="1"/>
          <w:color w:val="auto"/>
        </w:rPr>
      </w:pPr>
    </w:p>
    <w:p>
      <w:pPr>
        <w:jc w:val="both"/>
        <w:ind w:left="500" w:hanging="247"/>
        <w:spacing w:after="0" w:line="285" w:lineRule="auto"/>
        <w:tabs>
          <w:tab w:leader="none" w:pos="490" w:val="left"/>
        </w:tabs>
        <w:numPr>
          <w:ilvl w:val="1"/>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means (x) if a Key Employee is a party to an employment or a severance agreement with the Company or one of its subsidiaries in which “cause” is defined, the occurrence of any circumstances defined as “cause” in such employment or severance agreement, or (y) if a Key Employee is not a party to an employment or severance agreement with the Company or one of its subsidiaries in which “cause” is defined, Cause means that the Key Employee has, during his or her employment with the Company and its subsidiaries:</w:t>
      </w:r>
    </w:p>
    <w:p>
      <w:pPr>
        <w:spacing w:after="0" w:line="144" w:lineRule="exact"/>
        <w:rPr>
          <w:rFonts w:ascii="Times New Roman" w:cs="Times New Roman" w:eastAsia="Times New Roman" w:hAnsi="Times New Roman"/>
          <w:sz w:val="17"/>
          <w:szCs w:val="17"/>
          <w:color w:val="auto"/>
        </w:rPr>
      </w:pPr>
    </w:p>
    <w:p>
      <w:pPr>
        <w:jc w:val="both"/>
        <w:ind w:left="760" w:hanging="257"/>
        <w:spacing w:after="0" w:line="287" w:lineRule="auto"/>
        <w:tabs>
          <w:tab w:leader="none" w:pos="754" w:val="left"/>
        </w:tabs>
        <w:numPr>
          <w:ilvl w:val="2"/>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engaged in misconduct or a gross dereliction of duty resulting in either a violation of law or Company policy or procedures, that, in either case, causes significant financial or reputational harm to the Company (or any of its subsidiaries), or a subordinate of the Key Employee has engaged in misconduct or a gross dereliction of duty described above and the Key Employee failed in his or her responsibility to manage or monitor the applicable conduct or risk;</w:t>
      </w:r>
    </w:p>
    <w:p>
      <w:pPr>
        <w:spacing w:after="0" w:line="142" w:lineRule="exact"/>
        <w:rPr>
          <w:rFonts w:ascii="Times New Roman" w:cs="Times New Roman" w:eastAsia="Times New Roman" w:hAnsi="Times New Roman"/>
          <w:sz w:val="17"/>
          <w:szCs w:val="17"/>
          <w:color w:val="auto"/>
        </w:rPr>
      </w:pPr>
    </w:p>
    <w:p>
      <w:pPr>
        <w:ind w:left="760" w:hanging="257"/>
        <w:spacing w:after="0"/>
        <w:tabs>
          <w:tab w:leader="none" w:pos="760" w:val="left"/>
        </w:tabs>
        <w:numPr>
          <w:ilvl w:val="2"/>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engaged in conduct that involves an immoral act which is reasonably likely to impair the reputation of the Company (or any of its subsidiaries);</w:t>
      </w:r>
    </w:p>
    <w:p>
      <w:pPr>
        <w:spacing w:after="0" w:line="200" w:lineRule="exact"/>
        <w:rPr>
          <w:rFonts w:ascii="Times New Roman" w:cs="Times New Roman" w:eastAsia="Times New Roman" w:hAnsi="Times New Roman"/>
          <w:sz w:val="17"/>
          <w:szCs w:val="17"/>
          <w:color w:val="auto"/>
        </w:rPr>
      </w:pPr>
    </w:p>
    <w:p>
      <w:pPr>
        <w:ind w:left="760" w:hanging="257"/>
        <w:spacing w:after="0" w:line="307" w:lineRule="auto"/>
        <w:tabs>
          <w:tab w:leader="none" w:pos="753" w:val="left"/>
        </w:tabs>
        <w:numPr>
          <w:ilvl w:val="2"/>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committed, or was indicted for (A) a felony or any crime involving fraud, embezzlement or dishonesty, or (B) was convicted of, or entered a plea of nolo contendere to a misdemeanor (other than a traffic violation) punishable by imprisonment under federal, state or local law;</w:t>
      </w:r>
    </w:p>
    <w:p>
      <w:pPr>
        <w:spacing w:after="0" w:line="114" w:lineRule="exact"/>
        <w:rPr>
          <w:rFonts w:ascii="Times New Roman" w:cs="Times New Roman" w:eastAsia="Times New Roman" w:hAnsi="Times New Roman"/>
          <w:sz w:val="17"/>
          <w:szCs w:val="17"/>
          <w:color w:val="auto"/>
        </w:rPr>
      </w:pPr>
    </w:p>
    <w:p>
      <w:pPr>
        <w:ind w:left="760" w:hanging="257"/>
        <w:spacing w:after="0" w:line="307" w:lineRule="auto"/>
        <w:tabs>
          <w:tab w:leader="none" w:pos="743" w:val="left"/>
        </w:tabs>
        <w:numPr>
          <w:ilvl w:val="2"/>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violated any securities or employment laws or regulations that in either case resulted in financial or reputational harm to the Company or any of its subsidiaries;</w:t>
      </w:r>
    </w:p>
    <w:p>
      <w:pPr>
        <w:spacing w:after="0" w:line="124" w:lineRule="exact"/>
        <w:rPr>
          <w:rFonts w:ascii="Times New Roman" w:cs="Times New Roman" w:eastAsia="Times New Roman" w:hAnsi="Times New Roman"/>
          <w:sz w:val="17"/>
          <w:szCs w:val="17"/>
          <w:color w:val="auto"/>
        </w:rPr>
      </w:pPr>
    </w:p>
    <w:p>
      <w:pPr>
        <w:jc w:val="both"/>
        <w:ind w:left="760" w:hanging="257"/>
        <w:spacing w:after="0" w:line="287" w:lineRule="auto"/>
        <w:tabs>
          <w:tab w:leader="none" w:pos="749" w:val="left"/>
        </w:tabs>
        <w:numPr>
          <w:ilvl w:val="2"/>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materially breached the Company’s employment or ethics policies applicable to the Key Employee or any agreement between the Key Employee and the Company or any of its subsidiaries (including, without limitation, non-competition, non-solicitation, confidentiality, ownership of works, cooperation, or similar agreements); embezzled or misappropriated any property of the Company (or any of its subsidiaries)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7</w:t>
      </w:r>
    </w:p>
    <w:p>
      <w:pPr>
        <w:sectPr>
          <w:pgSz w:w="11900" w:h="16838" w:orient="portrait"/>
          <w:cols w:equalWidth="0" w:num="1">
            <w:col w:w="11280"/>
          </w:cols>
          <w:pgMar w:left="300" w:top="136" w:right="31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7"/>
          <w:szCs w:val="17"/>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7"/>
        <w:spacing w:after="0"/>
        <w:rPr>
          <w:sz w:val="20"/>
          <w:szCs w:val="20"/>
          <w:color w:val="auto"/>
        </w:rPr>
      </w:pPr>
      <w:r>
        <w:rPr>
          <w:rFonts w:ascii="Times New Roman" w:cs="Times New Roman" w:eastAsia="Times New Roman" w:hAnsi="Times New Roman"/>
          <w:sz w:val="17"/>
          <w:szCs w:val="17"/>
          <w:color w:val="auto"/>
        </w:rPr>
        <w:t>committed any act involving fraud or willful dishonesty in the performance of the Key Employee’s duties;</w:t>
      </w:r>
    </w:p>
    <w:p>
      <w:pPr>
        <w:spacing w:after="0" w:line="200" w:lineRule="exact"/>
        <w:rPr>
          <w:sz w:val="20"/>
          <w:szCs w:val="20"/>
          <w:color w:val="auto"/>
        </w:rPr>
      </w:pPr>
    </w:p>
    <w:p>
      <w:pPr>
        <w:ind w:left="507" w:hanging="257"/>
        <w:spacing w:after="0" w:line="307" w:lineRule="auto"/>
        <w:tabs>
          <w:tab w:leader="none" w:pos="501"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refused or failed to obey or comply with the lawful directions of the Board or the Key Employee’s immediate superiors, in each case acting within the scope of their authority; or</w:t>
      </w:r>
    </w:p>
    <w:p>
      <w:pPr>
        <w:spacing w:after="0" w:line="114" w:lineRule="exact"/>
        <w:rPr>
          <w:rFonts w:ascii="Times New Roman" w:cs="Times New Roman" w:eastAsia="Times New Roman" w:hAnsi="Times New Roman"/>
          <w:sz w:val="17"/>
          <w:szCs w:val="17"/>
          <w:color w:val="auto"/>
        </w:rPr>
      </w:pPr>
    </w:p>
    <w:p>
      <w:pPr>
        <w:ind w:left="507" w:hanging="257"/>
        <w:spacing w:after="0" w:line="307" w:lineRule="auto"/>
        <w:tabs>
          <w:tab w:leader="none" w:pos="505"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used any controlled substance without a prescription, or alcohol, in a manner which either adversely affects the Key Employee’s job performance or otherwise impairs the reputation of the Company (or any of its subsidiaries).</w:t>
      </w:r>
    </w:p>
    <w:p>
      <w:pPr>
        <w:spacing w:after="0" w:line="124" w:lineRule="exact"/>
        <w:rPr>
          <w:rFonts w:ascii="Times New Roman" w:cs="Times New Roman" w:eastAsia="Times New Roman" w:hAnsi="Times New Roman"/>
          <w:sz w:val="17"/>
          <w:szCs w:val="17"/>
          <w:color w:val="auto"/>
        </w:rPr>
      </w:pPr>
    </w:p>
    <w:p>
      <w:pPr>
        <w:jc w:val="both"/>
        <w:ind w:left="247" w:hanging="247"/>
        <w:spacing w:after="0" w:line="287" w:lineRule="auto"/>
        <w:tabs>
          <w:tab w:leader="none" w:pos="247"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in Control</w:t>
      </w:r>
      <w:r>
        <w:rPr>
          <w:rFonts w:ascii="Times New Roman" w:cs="Times New Roman" w:eastAsia="Times New Roman" w:hAnsi="Times New Roman"/>
          <w:sz w:val="17"/>
          <w:szCs w:val="17"/>
          <w:color w:val="auto"/>
        </w:rPr>
        <w:t>” means a Change in Control (as defined in the Company’s Performance Incentive Plan, as amended from time to time, or its successor), except that an increase in ownership by Permitted Holders shall not be deemed a Change in Control for purposes of determining the review standard as set forth in Section 4(a) of this Policy.</w:t>
      </w:r>
    </w:p>
    <w:p>
      <w:pPr>
        <w:spacing w:after="0" w:line="142" w:lineRule="exact"/>
        <w:rPr>
          <w:rFonts w:ascii="Times New Roman" w:cs="Times New Roman" w:eastAsia="Times New Roman" w:hAnsi="Times New Roman"/>
          <w:sz w:val="17"/>
          <w:szCs w:val="17"/>
          <w:color w:val="auto"/>
        </w:rPr>
      </w:pPr>
    </w:p>
    <w:p>
      <w:pPr>
        <w:ind w:left="247" w:hanging="247"/>
        <w:spacing w:after="0"/>
        <w:tabs>
          <w:tab w:leader="none" w:pos="247"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Detrimental Activity</w:t>
      </w:r>
      <w:r>
        <w:rPr>
          <w:rFonts w:ascii="Times New Roman" w:cs="Times New Roman" w:eastAsia="Times New Roman" w:hAnsi="Times New Roman"/>
          <w:sz w:val="17"/>
          <w:szCs w:val="17"/>
          <w:color w:val="auto"/>
        </w:rPr>
        <w:t>” means that the Board has determined that the Key Employee has:</w:t>
      </w:r>
    </w:p>
    <w:p>
      <w:pPr>
        <w:spacing w:after="0" w:line="200" w:lineRule="exact"/>
        <w:rPr>
          <w:rFonts w:ascii="Times New Roman" w:cs="Times New Roman" w:eastAsia="Times New Roman" w:hAnsi="Times New Roman"/>
          <w:sz w:val="17"/>
          <w:szCs w:val="17"/>
          <w:color w:val="auto"/>
        </w:rPr>
      </w:pPr>
    </w:p>
    <w:p>
      <w:pPr>
        <w:jc w:val="both"/>
        <w:ind w:left="507" w:hanging="257"/>
        <w:spacing w:after="0" w:line="285" w:lineRule="auto"/>
        <w:tabs>
          <w:tab w:leader="none" w:pos="501"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his or her employment with the Company and its subsidiaries, engaged in misconduct, including a material violation of the written policies of the Company or otherwise, or engaged in criminal, dishonest, fraudulent or unlawful activity, in any event that caused (or would be likely to cause) material financial or reputational harm to the Company, a subsidiary or a business segment, including where the Key Employee failed to supervise other employees under his or her direct control who engaged in such behavior;</w:t>
      </w:r>
    </w:p>
    <w:p>
      <w:pPr>
        <w:spacing w:after="0" w:line="144" w:lineRule="exact"/>
        <w:rPr>
          <w:rFonts w:ascii="Times New Roman" w:cs="Times New Roman" w:eastAsia="Times New Roman" w:hAnsi="Times New Roman"/>
          <w:sz w:val="17"/>
          <w:szCs w:val="17"/>
          <w:color w:val="auto"/>
        </w:rPr>
      </w:pPr>
    </w:p>
    <w:p>
      <w:pPr>
        <w:jc w:val="both"/>
        <w:ind w:left="507" w:hanging="257"/>
        <w:spacing w:after="0" w:line="287" w:lineRule="auto"/>
        <w:tabs>
          <w:tab w:leader="none" w:pos="505"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materially breached any agreement between the Key Employee and the Company or any of its subsidiaries, including, without limitation, non-competition, non- solicitation, confidentiality, ownership of works, cooperation, or similar agreements, while employed by the Company or a subsidiary or after termination of employment; or</w:t>
      </w:r>
    </w:p>
    <w:p>
      <w:pPr>
        <w:spacing w:after="0" w:line="142" w:lineRule="exact"/>
        <w:rPr>
          <w:rFonts w:ascii="Times New Roman" w:cs="Times New Roman" w:eastAsia="Times New Roman" w:hAnsi="Times New Roman"/>
          <w:sz w:val="17"/>
          <w:szCs w:val="17"/>
          <w:color w:val="auto"/>
        </w:rPr>
      </w:pPr>
    </w:p>
    <w:p>
      <w:pPr>
        <w:ind w:left="487" w:hanging="237"/>
        <w:spacing w:after="0"/>
        <w:tabs>
          <w:tab w:leader="none" w:pos="487"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materially breached his or her fiduciary duties of loyalty or care to the Company or its subsidiaries.</w:t>
      </w:r>
    </w:p>
    <w:p>
      <w:pPr>
        <w:spacing w:after="0" w:line="200" w:lineRule="exact"/>
        <w:rPr>
          <w:rFonts w:ascii="Times New Roman" w:cs="Times New Roman" w:eastAsia="Times New Roman" w:hAnsi="Times New Roman"/>
          <w:sz w:val="17"/>
          <w:szCs w:val="17"/>
          <w:color w:val="auto"/>
        </w:rPr>
      </w:pPr>
    </w:p>
    <w:p>
      <w:pPr>
        <w:jc w:val="both"/>
        <w:ind w:left="247" w:hanging="247"/>
        <w:spacing w:after="0" w:line="287" w:lineRule="auto"/>
        <w:tabs>
          <w:tab w:leader="none" w:pos="247"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Financial Reporting Measure</w:t>
      </w:r>
      <w:r>
        <w:rPr>
          <w:rFonts w:ascii="Times New Roman" w:cs="Times New Roman" w:eastAsia="Times New Roman" w:hAnsi="Times New Roman"/>
          <w:sz w:val="17"/>
          <w:szCs w:val="17"/>
          <w:color w:val="auto"/>
        </w:rPr>
        <w:t>” means any reporting measure that is determined and presented in accordance with the accounting principles used in preparing the Company’s financial statements, and any measures that are derived wholly or in part from such measures. Stock price and total shareholder return are considered to be Financial Reporting Measures for purposes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8</w:t>
      </w:r>
    </w:p>
    <w:p>
      <w:pPr>
        <w:sectPr>
          <w:pgSz w:w="11900" w:h="16838" w:orient="portrait"/>
          <w:cols w:equalWidth="0" w:num="1">
            <w:col w:w="11027"/>
          </w:cols>
          <w:pgMar w:left="553" w:top="136" w:right="31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7"/>
          <w:szCs w:val="17"/>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247" w:hanging="247"/>
        <w:spacing w:after="0" w:line="281" w:lineRule="auto"/>
        <w:tabs>
          <w:tab w:leader="none" w:pos="237"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Financial Restatement</w:t>
      </w:r>
      <w:r>
        <w:rPr>
          <w:rFonts w:ascii="Times New Roman" w:cs="Times New Roman" w:eastAsia="Times New Roman" w:hAnsi="Times New Roman"/>
          <w:sz w:val="17"/>
          <w:szCs w:val="17"/>
          <w:color w:val="auto"/>
        </w:rPr>
        <w:t>” means any accounting restatement due to the material noncompliance of the Company with any financial reporting requirement under applicable securities laws, including any required accounting restatement to correct an error in previously issued financial statements that (i) is material to the previously issued financial statements (commonly referred to as a “Big R” restatement), or (ii) is not material to previously issued financial statements, but would result in a material misstatement if the error was left uncorrected in the current period or the error correction was recognized in the current period (commonly referred to as a “little r” restatement). For purposes of this Policy, the date of a Financial Restatement will be deemed to be the earlier of (i) the date the Board, a committee of the Board, or officers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spacing w:after="0" w:line="148" w:lineRule="exact"/>
        <w:rPr>
          <w:rFonts w:ascii="Times New Roman" w:cs="Times New Roman" w:eastAsia="Times New Roman" w:hAnsi="Times New Roman"/>
          <w:sz w:val="17"/>
          <w:szCs w:val="17"/>
          <w:color w:val="auto"/>
        </w:rPr>
      </w:pPr>
    </w:p>
    <w:p>
      <w:pPr>
        <w:ind w:left="247" w:hanging="247"/>
        <w:spacing w:after="0" w:line="307" w:lineRule="auto"/>
        <w:tabs>
          <w:tab w:leader="none" w:pos="24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Incentive Award</w:t>
      </w:r>
      <w:r>
        <w:rPr>
          <w:rFonts w:ascii="Times New Roman" w:cs="Times New Roman" w:eastAsia="Times New Roman" w:hAnsi="Times New Roman"/>
          <w:sz w:val="17"/>
          <w:szCs w:val="17"/>
          <w:color w:val="auto"/>
        </w:rPr>
        <w:t>” means any annual incentives, commissions, equity-based awards, stock options or other performance-based compensation under the Annual Performance Incentive Plan, Account Incentive Plan, Long-Term Incentive Program or Performance Incentive Plan (or any successor plans).</w:t>
      </w:r>
    </w:p>
    <w:p>
      <w:pPr>
        <w:spacing w:after="0" w:line="124" w:lineRule="exact"/>
        <w:rPr>
          <w:rFonts w:ascii="Times New Roman" w:cs="Times New Roman" w:eastAsia="Times New Roman" w:hAnsi="Times New Roman"/>
          <w:sz w:val="17"/>
          <w:szCs w:val="17"/>
          <w:color w:val="auto"/>
        </w:rPr>
      </w:pPr>
    </w:p>
    <w:p>
      <w:pPr>
        <w:ind w:left="247" w:hanging="247"/>
        <w:spacing w:after="0" w:line="294" w:lineRule="auto"/>
        <w:tabs>
          <w:tab w:leader="none" w:pos="247"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Incentive Compensation</w:t>
      </w:r>
      <w:r>
        <w:rPr>
          <w:rFonts w:ascii="Times New Roman" w:cs="Times New Roman" w:eastAsia="Times New Roman" w:hAnsi="Times New Roman"/>
          <w:sz w:val="17"/>
          <w:szCs w:val="17"/>
          <w:color w:val="auto"/>
        </w:rPr>
        <w:t>” means an Incentive Award which is granted, earned, or vests based wholly or in part upon the attainment of a Financial Reporting Measure, but does not include awards that are earned or vest based solely on the continued provision of services for a period of time.</w:t>
      </w:r>
    </w:p>
    <w:p>
      <w:pPr>
        <w:spacing w:after="0" w:line="135" w:lineRule="exact"/>
        <w:rPr>
          <w:rFonts w:ascii="Times New Roman" w:cs="Times New Roman" w:eastAsia="Times New Roman" w:hAnsi="Times New Roman"/>
          <w:sz w:val="17"/>
          <w:szCs w:val="17"/>
          <w:color w:val="auto"/>
        </w:rPr>
      </w:pPr>
    </w:p>
    <w:p>
      <w:pPr>
        <w:ind w:left="247" w:hanging="247"/>
        <w:spacing w:after="0"/>
        <w:tabs>
          <w:tab w:leader="none" w:pos="247"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Look-Back Period</w:t>
      </w:r>
      <w:r>
        <w:rPr>
          <w:rFonts w:ascii="Times New Roman" w:cs="Times New Roman" w:eastAsia="Times New Roman" w:hAnsi="Times New Roman"/>
          <w:sz w:val="17"/>
          <w:szCs w:val="17"/>
          <w:color w:val="auto"/>
        </w:rPr>
        <w:t>” means the three completed fiscal years immediately preceding the date of a Financial Restatement.</w:t>
      </w:r>
    </w:p>
    <w:p>
      <w:pPr>
        <w:spacing w:after="0" w:line="200" w:lineRule="exact"/>
        <w:rPr>
          <w:rFonts w:ascii="Times New Roman" w:cs="Times New Roman" w:eastAsia="Times New Roman" w:hAnsi="Times New Roman"/>
          <w:sz w:val="17"/>
          <w:szCs w:val="17"/>
          <w:color w:val="auto"/>
        </w:rPr>
      </w:pPr>
    </w:p>
    <w:p>
      <w:pPr>
        <w:ind w:left="247" w:hanging="247"/>
        <w:spacing w:after="0"/>
        <w:tabs>
          <w:tab w:leader="none" w:pos="247"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Nasdaq</w:t>
      </w:r>
      <w:r>
        <w:rPr>
          <w:rFonts w:ascii="Times New Roman" w:cs="Times New Roman" w:eastAsia="Times New Roman" w:hAnsi="Times New Roman"/>
          <w:sz w:val="17"/>
          <w:szCs w:val="17"/>
          <w:color w:val="auto"/>
        </w:rPr>
        <w:t>” means The Nasdaq Stock Market LLC.</w:t>
      </w:r>
    </w:p>
    <w:p>
      <w:pPr>
        <w:spacing w:after="0" w:line="200" w:lineRule="exact"/>
        <w:rPr>
          <w:rFonts w:ascii="Times New Roman" w:cs="Times New Roman" w:eastAsia="Times New Roman" w:hAnsi="Times New Roman"/>
          <w:sz w:val="17"/>
          <w:szCs w:val="17"/>
          <w:color w:val="auto"/>
        </w:rPr>
      </w:pPr>
    </w:p>
    <w:p>
      <w:pPr>
        <w:jc w:val="both"/>
        <w:ind w:left="247" w:hanging="247"/>
        <w:spacing w:after="0" w:line="301" w:lineRule="auto"/>
        <w:tabs>
          <w:tab w:leader="none" w:pos="241"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Permitted Holder</w:t>
      </w:r>
      <w:r>
        <w:rPr>
          <w:rFonts w:ascii="Times New Roman" w:cs="Times New Roman" w:eastAsia="Times New Roman" w:hAnsi="Times New Roman"/>
          <w:sz w:val="16"/>
          <w:szCs w:val="16"/>
          <w:color w:val="auto"/>
        </w:rPr>
        <w:t>” means (i) Carl C. Icahn and his siblings, his and their respective spouses and descendants (including stepchildren and adopted children) and the spouses of such descendants (including stepchildren and adopted children) (collectively, the “</w:t>
      </w:r>
      <w:r>
        <w:rPr>
          <w:rFonts w:ascii="Times New Roman" w:cs="Times New Roman" w:eastAsia="Times New Roman" w:hAnsi="Times New Roman"/>
          <w:sz w:val="16"/>
          <w:szCs w:val="16"/>
          <w:u w:val="single" w:color="auto"/>
          <w:color w:val="auto"/>
        </w:rPr>
        <w:t>Family Group</w:t>
      </w:r>
      <w:r>
        <w:rPr>
          <w:rFonts w:ascii="Times New Roman" w:cs="Times New Roman" w:eastAsia="Times New Roman" w:hAnsi="Times New Roman"/>
          <w:sz w:val="16"/>
          <w:szCs w:val="16"/>
          <w:color w:val="auto"/>
        </w:rPr>
        <w:t>”); (ii) any trust, estate, partnership, corporation, company, limited liability company or unincorporated association or organization (each an “</w:t>
      </w:r>
      <w:r>
        <w:rPr>
          <w:rFonts w:ascii="Times New Roman" w:cs="Times New Roman" w:eastAsia="Times New Roman" w:hAnsi="Times New Roman"/>
          <w:sz w:val="16"/>
          <w:szCs w:val="16"/>
          <w:u w:val="single" w:color="auto"/>
          <w:color w:val="auto"/>
        </w:rPr>
        <w:t>Entity</w:t>
      </w:r>
      <w:r>
        <w:rPr>
          <w:rFonts w:ascii="Times New Roman" w:cs="Times New Roman" w:eastAsia="Times New Roman" w:hAnsi="Times New Roman"/>
          <w:sz w:val="16"/>
          <w:szCs w:val="16"/>
          <w:color w:val="auto"/>
        </w:rPr>
        <w:t>” and collectively “</w:t>
      </w:r>
      <w:r>
        <w:rPr>
          <w:rFonts w:ascii="Times New Roman" w:cs="Times New Roman" w:eastAsia="Times New Roman" w:hAnsi="Times New Roman"/>
          <w:sz w:val="16"/>
          <w:szCs w:val="16"/>
          <w:u w:val="single" w:color="auto"/>
          <w:color w:val="auto"/>
        </w:rPr>
        <w:t>Entities</w:t>
      </w:r>
      <w:r>
        <w:rPr>
          <w:rFonts w:ascii="Times New Roman" w:cs="Times New Roman" w:eastAsia="Times New Roman" w:hAnsi="Times New Roman"/>
          <w:sz w:val="16"/>
          <w:szCs w:val="16"/>
          <w:color w:val="auto"/>
        </w:rPr>
        <w:t>”) Controlled by one or more members of the Family Group, including without limitation any funds managed by any member of the Family Group that are acting in concert with the Family Group; (iii) any Entity over which one or more members of the Family Group, directly or indirectly, have rights that, either legally or in practical effect, enable them to make or veto significant management decisions with respect to such Entity, whether pursuant to the constituent documents of such Entity, by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9</w:t>
      </w:r>
    </w:p>
    <w:p>
      <w:pPr>
        <w:sectPr>
          <w:pgSz w:w="11900" w:h="16838" w:orient="portrait"/>
          <w:cols w:equalWidth="0" w:num="1">
            <w:col w:w="11027"/>
          </w:cols>
          <w:pgMar w:left="553" w:top="136" w:right="31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7"/>
          <w:szCs w:val="17"/>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both"/>
        <w:ind w:left="247"/>
        <w:spacing w:after="0" w:line="296" w:lineRule="auto"/>
        <w:rPr>
          <w:sz w:val="20"/>
          <w:szCs w:val="20"/>
          <w:color w:val="auto"/>
        </w:rPr>
      </w:pPr>
      <w:r>
        <w:rPr>
          <w:rFonts w:ascii="Times New Roman" w:cs="Times New Roman" w:eastAsia="Times New Roman" w:hAnsi="Times New Roman"/>
          <w:sz w:val="16"/>
          <w:szCs w:val="16"/>
          <w:color w:val="auto"/>
        </w:rPr>
        <w:t>through representation on a board of directors or other governing body of such Entity, through a management position with such Entity or in any other manner (such rights hereinafter referred to as “</w:t>
      </w:r>
      <w:r>
        <w:rPr>
          <w:rFonts w:ascii="Times New Roman" w:cs="Times New Roman" w:eastAsia="Times New Roman" w:hAnsi="Times New Roman"/>
          <w:sz w:val="16"/>
          <w:szCs w:val="16"/>
          <w:u w:val="single" w:color="auto"/>
          <w:color w:val="auto"/>
        </w:rPr>
        <w:t>Veto Power</w:t>
      </w:r>
      <w:r>
        <w:rPr>
          <w:rFonts w:ascii="Times New Roman" w:cs="Times New Roman" w:eastAsia="Times New Roman" w:hAnsi="Times New Roman"/>
          <w:sz w:val="16"/>
          <w:szCs w:val="16"/>
          <w:color w:val="auto"/>
        </w:rPr>
        <w:t>”); (iv) the estate of any member of the Family Group; (v) any trust created (in whole or in part) by any one or more members of the Family Group; (vi) any individual or Entity who receives an interest in any estate or trust listed in clauses (iv) or (v), to the extent of such interest; (vii) any trust or estate, substantially all the beneficiaries of which (other than charitable organizations or foundations) consist of one or more members of the Family Group; (viii) any organization described in Section 501(c) of the Internal Revenue Code, over which any one or more members of the Family Group and the trusts and estates listed in clauses (iv), (v) and (vii) have direct or indirect Veto Power, or to which they are substantial contributors (as such term is defined in Section 507 of the Internal Revenue Code); (ix) any organization described in Section 501(c) of the Internal Revenue Code of which a member of the Family Group is an officer, director or trustee; or (x) any Entity, directly or indirectly (y) owned or Controlled by or (z) a majority of the economic interests in which are owned by, or are for or accrue to the benefit of, in either case, any Person or Persons (as the term “person” is used for purposes of Section 13(d) or 14(d) of the Securities Exchange Act of 1934, as amended) identified in clauses (i) through (ix) above. For purposes of this definition of Change in Control, “Control” means the possession, directly or indirectly, of the power to direct or cause the direction of management and policies of a Person, whether through the ownership of stock, by agreement or otherwise and “Controlled” has a corresponding meaning. For the purposes of this definition, and for the avoidance of doubt, in addition to any Person or Persons that may be considered to possess Control, (A) a partnership shall be considered Controlled by a general partner or managing general partner thereof, (B) a limited liability company shall be considered Controlled by a managing member of such limited liability company and</w:t>
      </w:r>
    </w:p>
    <w:p>
      <w:pPr>
        <w:jc w:val="both"/>
        <w:ind w:left="247" w:firstLine="3"/>
        <w:spacing w:after="0" w:line="285" w:lineRule="auto"/>
        <w:tabs>
          <w:tab w:leader="none" w:pos="539"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or estate shall be considered Controlled by any trustee, executor, personal representative, administrator or any other Person or Persons having authority over the control, management or disposition of the income and assets therefrom. “</w:t>
      </w:r>
      <w:r>
        <w:rPr>
          <w:rFonts w:ascii="Times New Roman" w:cs="Times New Roman" w:eastAsia="Times New Roman" w:hAnsi="Times New Roman"/>
          <w:sz w:val="17"/>
          <w:szCs w:val="17"/>
          <w:u w:val="single" w:color="auto"/>
          <w:color w:val="auto"/>
        </w:rPr>
        <w:t>Permitted Holder</w:t>
      </w:r>
      <w:r>
        <w:rPr>
          <w:rFonts w:ascii="Times New Roman" w:cs="Times New Roman" w:eastAsia="Times New Roman" w:hAnsi="Times New Roman"/>
          <w:sz w:val="17"/>
          <w:szCs w:val="17"/>
          <w:color w:val="auto"/>
        </w:rPr>
        <w:t>” also means Darwin A. Deason and his siblings, his and their respective spouses and descendants (including stepchildren and adopted children) and the spouses of such descendants (including stepchildren and adopted children) and any of their respective affiliates.</w:t>
      </w:r>
    </w:p>
    <w:p>
      <w:pPr>
        <w:spacing w:after="0" w:line="144" w:lineRule="exact"/>
        <w:rPr>
          <w:rFonts w:ascii="Times New Roman" w:cs="Times New Roman" w:eastAsia="Times New Roman" w:hAnsi="Times New Roman"/>
          <w:sz w:val="17"/>
          <w:szCs w:val="17"/>
          <w:color w:val="auto"/>
        </w:rPr>
      </w:pPr>
    </w:p>
    <w:p>
      <w:pPr>
        <w:jc w:val="both"/>
        <w:ind w:left="247" w:hanging="247"/>
        <w:spacing w:after="0" w:line="287" w:lineRule="auto"/>
        <w:tabs>
          <w:tab w:leader="none" w:pos="247"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Section 16 Officer</w:t>
      </w:r>
      <w:r>
        <w:rPr>
          <w:rFonts w:ascii="Times New Roman" w:cs="Times New Roman" w:eastAsia="Times New Roman" w:hAnsi="Times New Roman"/>
          <w:sz w:val="17"/>
          <w:szCs w:val="17"/>
          <w:color w:val="auto"/>
        </w:rPr>
        <w:t>” means the Company’s president, principal financial officer, principal accounting officer (or, if there is no such accounting officer, the controller), any vice-president of the issuer in charge of a principal business unit, division or function (such as sales, administration or finance), any other officer who performs a significant policy-making function, or any other person who performs similar policy-making functions for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10</w:t>
      </w:r>
    </w:p>
    <w:p>
      <w:pPr>
        <w:sectPr>
          <w:pgSz w:w="11900" w:h="16838" w:orient="portrait"/>
          <w:cols w:equalWidth="0" w:num="1">
            <w:col w:w="11027"/>
          </w:cols>
          <w:pgMar w:left="553" w:top="136" w:right="319" w:bottom="1440" w:gutter="0" w:footer="0" w:header="0"/>
        </w:sectPr>
      </w:pPr>
    </w:p>
    <w:bookmarkStart w:id="128" w:name="page129"/>
    <w:bookmarkEnd w:id="128"/>
    <w:p>
      <w:pPr>
        <w:ind w:left="9400"/>
        <w:spacing w:after="0"/>
        <w:rPr>
          <w:sz w:val="20"/>
          <w:szCs w:val="20"/>
          <w:color w:val="auto"/>
        </w:rPr>
      </w:pPr>
      <w:r>
        <w:rPr>
          <w:rFonts w:ascii="Times New Roman" w:cs="Times New Roman" w:eastAsia="Times New Roman" w:hAnsi="Times New Roman"/>
          <w:sz w:val="16"/>
          <w:szCs w:val="16"/>
          <w:b w:val="1"/>
          <w:bCs w:val="1"/>
          <w:color w:val="auto"/>
        </w:rPr>
        <w:t>Exhibit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7"/>
          <w:szCs w:val="17"/>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 xml:space="preserve">Page </w:t>
      </w:r>
      <w:r>
        <w:rPr>
          <w:rFonts w:ascii="Times New Roman" w:cs="Times New Roman" w:eastAsia="Times New Roman" w:hAnsi="Times New Roman"/>
          <w:sz w:val="17"/>
          <w:szCs w:val="17"/>
          <w:b w:val="1"/>
          <w:bCs w:val="1"/>
          <w:color w:val="auto"/>
        </w:rPr>
        <w:t>11</w:t>
      </w:r>
    </w:p>
    <w:sectPr>
      <w:pgSz w:w="11900" w:h="16838" w:orient="portrait"/>
      <w:cols w:equalWidth="0" w:num="1">
        <w:col w:w="10140"/>
      </w:cols>
      <w:pgMar w:left="1440" w:top="13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lvl w:ilvl="1">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
      <w:numFmt w:val="bullet"/>
      <w:start w:val="1"/>
    </w:lvl>
  </w:abstractNum>
  <w:abstractNum w:abstractNumId="5">
    <w:nsid w:val="38437FDB"/>
    <w:multiLevelType w:val="hybridMultilevel"/>
    <w:lvl w:ilvl="0">
      <w:lvlJc w:val="left"/>
      <w:lvlText w:val="•"/>
      <w:numFmt w:val="bullet"/>
      <w:start w:val="1"/>
    </w:lvl>
  </w:abstractNum>
  <w:abstractNum w:abstractNumId="6">
    <w:nsid w:val="7644A45C"/>
    <w:multiLevelType w:val="hybridMultilevel"/>
    <w:lvl w:ilvl="0">
      <w:lvlJc w:val="left"/>
      <w:lvlText w:val="•"/>
      <w:numFmt w:val="bullet"/>
      <w:start w:val="1"/>
    </w:lvl>
  </w:abstractNum>
  <w:abstractNum w:abstractNumId="7">
    <w:nsid w:val="32FFF902"/>
    <w:multiLevelType w:val="hybridMultilevel"/>
    <w:lvl w:ilvl="0">
      <w:lvlJc w:val="left"/>
      <w:lvlText w:val="•"/>
      <w:numFmt w:val="bullet"/>
      <w:start w:val="1"/>
    </w:lvl>
    <w:lvl w:ilvl="1">
      <w:lvlJc w:val="left"/>
      <w:lvlText w:val="•"/>
      <w:numFmt w:val="bullet"/>
      <w:start w:val="1"/>
    </w:lvl>
  </w:abstractNum>
  <w:abstractNum w:abstractNumId="8">
    <w:nsid w:val="684A481A"/>
    <w:multiLevelType w:val="hybridMultilevel"/>
    <w:lvl w:ilvl="0">
      <w:lvlJc w:val="left"/>
      <w:lvlText w:val="•"/>
      <w:numFmt w:val="bullet"/>
      <w:start w:val="1"/>
    </w:lvl>
    <w:lvl w:ilvl="1">
      <w:lvlJc w:val="left"/>
      <w:lvlText w:val="•"/>
      <w:numFmt w:val="bullet"/>
      <w:start w:val="1"/>
    </w:lvl>
  </w:abstractNum>
  <w:abstractNum w:abstractNumId="9">
    <w:nsid w:val="579478FE"/>
    <w:multiLevelType w:val="hybridMultilevel"/>
    <w:lvl w:ilvl="0">
      <w:lvlJc w:val="left"/>
      <w:lvlText w:val="•"/>
      <w:numFmt w:val="bullet"/>
      <w:start w:val="1"/>
    </w:lvl>
    <w:lvl w:ilvl="1">
      <w:lvlJc w:val="left"/>
      <w:lvlText w:val="•"/>
      <w:numFmt w:val="bullet"/>
      <w:start w:val="1"/>
    </w:lvl>
  </w:abstractNum>
  <w:abstractNum w:abstractNumId="10">
    <w:nsid w:val="749ABB43"/>
    <w:multiLevelType w:val="hybridMultilevel"/>
    <w:lvl w:ilvl="0">
      <w:lvlJc w:val="left"/>
      <w:lvlText w:val="•"/>
      <w:numFmt w:val="bullet"/>
      <w:start w:val="1"/>
    </w:lvl>
    <w:lvl w:ilvl="1">
      <w:lvlJc w:val="left"/>
      <w:lvlText w:val="•"/>
      <w:numFmt w:val="bullet"/>
      <w:start w:val="1"/>
    </w:lvl>
  </w:abstractNum>
  <w:abstractNum w:abstractNumId="11">
    <w:nsid w:val="3DC240FB"/>
    <w:multiLevelType w:val="hybridMultilevel"/>
    <w:lvl w:ilvl="0">
      <w:lvlJc w:val="left"/>
      <w:lvlText w:val="•"/>
      <w:numFmt w:val="bullet"/>
      <w:start w:val="1"/>
    </w:lvl>
    <w:lvl w:ilvl="1">
      <w:lvlJc w:val="left"/>
      <w:lvlText w:val="•"/>
      <w:numFmt w:val="bullet"/>
      <w:start w:val="1"/>
    </w:lvl>
  </w:abstractNum>
  <w:abstractNum w:abstractNumId="12">
    <w:nsid w:val="1BA026FA"/>
    <w:multiLevelType w:val="hybridMultilevel"/>
    <w:lvl w:ilvl="0">
      <w:lvlJc w:val="left"/>
      <w:lvlText w:val="•"/>
      <w:numFmt w:val="bullet"/>
      <w:start w:val="1"/>
    </w:lvl>
    <w:lvl w:ilvl="1">
      <w:lvlJc w:val="left"/>
      <w:lvlText w:val="•"/>
      <w:numFmt w:val="bullet"/>
      <w:start w:val="1"/>
    </w:lvl>
  </w:abstractNum>
  <w:abstractNum w:abstractNumId="13">
    <w:nsid w:val="79A1DEAA"/>
    <w:multiLevelType w:val="hybridMultilevel"/>
    <w:lvl w:ilvl="0">
      <w:lvlJc w:val="left"/>
      <w:lvlText w:val="•"/>
      <w:numFmt w:val="bullet"/>
      <w:start w:val="1"/>
    </w:lvl>
    <w:lvl w:ilvl="1">
      <w:lvlJc w:val="left"/>
      <w:lvlText w:val="•"/>
      <w:numFmt w:val="bullet"/>
      <w:start w:val="1"/>
    </w:lvl>
  </w:abstractNum>
  <w:abstractNum w:abstractNumId="14">
    <w:nsid w:val="75C6C33A"/>
    <w:multiLevelType w:val="hybridMultilevel"/>
    <w:lvl w:ilvl="0">
      <w:lvlJc w:val="left"/>
      <w:lvlText w:val="•"/>
      <w:numFmt w:val="bullet"/>
      <w:start w:val="1"/>
    </w:lvl>
    <w:lvl w:ilvl="1">
      <w:lvlJc w:val="left"/>
      <w:lvlText w:val="•"/>
      <w:numFmt w:val="bullet"/>
      <w:start w:val="1"/>
    </w:lvl>
  </w:abstractNum>
  <w:abstractNum w:abstractNumId="15">
    <w:nsid w:val="12E685FB"/>
    <w:multiLevelType w:val="hybridMultilevel"/>
    <w:lvl w:ilvl="0">
      <w:lvlJc w:val="left"/>
      <w:lvlText w:val="•"/>
      <w:numFmt w:val="bullet"/>
      <w:start w:val="1"/>
    </w:lvl>
  </w:abstractNum>
  <w:abstractNum w:abstractNumId="16">
    <w:nsid w:val="70C6A529"/>
    <w:multiLevelType w:val="hybridMultilevel"/>
    <w:lvl w:ilvl="0">
      <w:lvlJc w:val="left"/>
      <w:lvlText w:val="•"/>
      <w:numFmt w:val="bullet"/>
      <w:start w:val="1"/>
    </w:lvl>
  </w:abstractNum>
  <w:abstractNum w:abstractNumId="17">
    <w:nsid w:val="520EEDD1"/>
    <w:multiLevelType w:val="hybridMultilevel"/>
    <w:lvl w:ilvl="0">
      <w:lvlJc w:val="left"/>
      <w:lvlText w:val="•"/>
      <w:numFmt w:val="bullet"/>
      <w:start w:val="1"/>
    </w:lvl>
  </w:abstractNum>
  <w:abstractNum w:abstractNumId="18">
    <w:nsid w:val="374A3FE6"/>
    <w:multiLevelType w:val="hybridMultilevel"/>
    <w:lvl w:ilvl="0">
      <w:lvlJc w:val="left"/>
      <w:lvlText w:val="*"/>
      <w:numFmt w:val="bullet"/>
      <w:start w:val="1"/>
    </w:lvl>
  </w:abstractNum>
  <w:abstractNum w:abstractNumId="19">
    <w:nsid w:val="4F4EF005"/>
    <w:multiLevelType w:val="hybridMultilevel"/>
    <w:lvl w:ilvl="0">
      <w:lvlJc w:val="left"/>
      <w:lvlText w:val="(%1)"/>
      <w:numFmt w:val="lowerRoman"/>
      <w:start w:val="3"/>
    </w:lvl>
  </w:abstractNum>
  <w:abstractNum w:abstractNumId="20">
    <w:nsid w:val="23F9C13C"/>
    <w:multiLevelType w:val="hybridMultilevel"/>
    <w:lvl w:ilvl="0">
      <w:lvlJc w:val="left"/>
      <w:lvlText w:val="•"/>
      <w:numFmt w:val="bullet"/>
      <w:start w:val="1"/>
    </w:lvl>
  </w:abstractNum>
  <w:abstractNum w:abstractNumId="21">
    <w:nsid w:val="649BB77C"/>
    <w:multiLevelType w:val="hybridMultilevel"/>
    <w:lvl w:ilvl="0">
      <w:lvlJc w:val="left"/>
      <w:lvlText w:val="•"/>
      <w:numFmt w:val="bullet"/>
      <w:start w:val="1"/>
    </w:lvl>
  </w:abstractNum>
  <w:abstractNum w:abstractNumId="22">
    <w:nsid w:val="275AC794"/>
    <w:multiLevelType w:val="hybridMultilevel"/>
    <w:lvl w:ilvl="0">
      <w:lvlJc w:val="left"/>
      <w:lvlText w:val="•"/>
      <w:numFmt w:val="bullet"/>
      <w:start w:val="1"/>
    </w:lvl>
  </w:abstractNum>
  <w:abstractNum w:abstractNumId="23">
    <w:nsid w:val="39386575"/>
    <w:multiLevelType w:val="hybridMultilevel"/>
    <w:lvl w:ilvl="0">
      <w:lvlJc w:val="left"/>
      <w:lvlText w:val="•"/>
      <w:numFmt w:val="bullet"/>
      <w:start w:val="1"/>
    </w:lvl>
  </w:abstractNum>
  <w:abstractNum w:abstractNumId="24">
    <w:nsid w:val="1CF10FD8"/>
    <w:multiLevelType w:val="hybridMultilevel"/>
    <w:lvl w:ilvl="0">
      <w:lvlJc w:val="left"/>
      <w:lvlText w:val="(%1)"/>
      <w:numFmt w:val="decimal"/>
      <w:start w:val="1"/>
    </w:lvl>
  </w:abstractNum>
  <w:abstractNum w:abstractNumId="25">
    <w:nsid w:val="180115BE"/>
    <w:multiLevelType w:val="hybridMultilevel"/>
    <w:lvl w:ilvl="0">
      <w:lvlJc w:val="left"/>
      <w:lvlText w:val="•"/>
      <w:numFmt w:val="bullet"/>
      <w:start w:val="1"/>
    </w:lvl>
  </w:abstractNum>
  <w:abstractNum w:abstractNumId="26">
    <w:nsid w:val="235BA861"/>
    <w:multiLevelType w:val="hybridMultilevel"/>
    <w:lvl w:ilvl="0">
      <w:lvlJc w:val="left"/>
      <w:lvlText w:val="•"/>
      <w:numFmt w:val="bullet"/>
      <w:start w:val="1"/>
    </w:lvl>
  </w:abstractNum>
  <w:abstractNum w:abstractNumId="27">
    <w:nsid w:val="47398C89"/>
    <w:multiLevelType w:val="hybridMultilevel"/>
    <w:lvl w:ilvl="0">
      <w:lvlJc w:val="left"/>
      <w:lvlText w:val="•"/>
      <w:numFmt w:val="bullet"/>
      <w:start w:val="1"/>
    </w:lvl>
  </w:abstractNum>
  <w:abstractNum w:abstractNumId="28">
    <w:nsid w:val="354FE9F9"/>
    <w:multiLevelType w:val="hybridMultilevel"/>
    <w:lvl w:ilvl="0">
      <w:lvlJc w:val="left"/>
      <w:lvlText w:val="•"/>
      <w:numFmt w:val="bullet"/>
      <w:start w:val="1"/>
    </w:lvl>
  </w:abstractNum>
  <w:abstractNum w:abstractNumId="29">
    <w:nsid w:val="15B5AF5C"/>
    <w:multiLevelType w:val="hybridMultilevel"/>
    <w:lvl w:ilvl="0">
      <w:lvlJc w:val="left"/>
      <w:lvlText w:val="•"/>
      <w:numFmt w:val="bullet"/>
      <w:start w:val="1"/>
    </w:lvl>
  </w:abstractNum>
  <w:abstractNum w:abstractNumId="30">
    <w:nsid w:val="741226BB"/>
    <w:multiLevelType w:val="hybridMultilevel"/>
    <w:lvl w:ilvl="0">
      <w:lvlJc w:val="left"/>
      <w:lvlText w:val="(%1)"/>
      <w:numFmt w:val="decimal"/>
      <w:start w:val="1"/>
    </w:lvl>
  </w:abstractNum>
  <w:abstractNum w:abstractNumId="31">
    <w:nsid w:val="D34B6A8"/>
    <w:multiLevelType w:val="hybridMultilevel"/>
    <w:lvl w:ilvl="0">
      <w:lvlJc w:val="left"/>
      <w:lvlText w:val="•"/>
      <w:numFmt w:val="bullet"/>
      <w:start w:val="1"/>
    </w:lvl>
  </w:abstractNum>
  <w:abstractNum w:abstractNumId="32">
    <w:nsid w:val="10233C99"/>
    <w:multiLevelType w:val="hybridMultilevel"/>
    <w:lvl w:ilvl="0">
      <w:lvlJc w:val="left"/>
      <w:lvlText w:val="(%1)"/>
      <w:numFmt w:val="decimal"/>
      <w:start w:val="1"/>
    </w:lvl>
  </w:abstractNum>
  <w:abstractNum w:abstractNumId="33">
    <w:nsid w:val="3F6AB60F"/>
    <w:multiLevelType w:val="hybridMultilevel"/>
    <w:lvl w:ilvl="0">
      <w:lvlJc w:val="left"/>
      <w:lvlText w:val="(%1)"/>
      <w:numFmt w:val="decimal"/>
      <w:start w:val="1"/>
    </w:lvl>
  </w:abstractNum>
  <w:abstractNum w:abstractNumId="34">
    <w:nsid w:val="61574095"/>
    <w:multiLevelType w:val="hybridMultilevel"/>
    <w:lvl w:ilvl="0">
      <w:lvlJc w:val="left"/>
      <w:lvlText w:val="(%1)"/>
      <w:numFmt w:val="decimal"/>
      <w:start w:val="1"/>
    </w:lvl>
  </w:abstractNum>
  <w:abstractNum w:abstractNumId="35">
    <w:nsid w:val="7E0C57B1"/>
    <w:multiLevelType w:val="hybridMultilevel"/>
    <w:lvl w:ilvl="0">
      <w:lvlJc w:val="left"/>
      <w:lvlText w:val="•"/>
      <w:numFmt w:val="bullet"/>
      <w:start w:val="1"/>
    </w:lvl>
  </w:abstractNum>
  <w:abstractNum w:abstractNumId="36">
    <w:nsid w:val="77AE35EB"/>
    <w:multiLevelType w:val="hybridMultilevel"/>
    <w:lvl w:ilvl="0">
      <w:lvlJc w:val="left"/>
      <w:lvlText w:val="(%1)"/>
      <w:numFmt w:val="decimal"/>
      <w:start w:val="1"/>
    </w:lvl>
  </w:abstractNum>
  <w:abstractNum w:abstractNumId="37">
    <w:nsid w:val="579BE4F1"/>
    <w:multiLevelType w:val="hybridMultilevel"/>
    <w:lvl w:ilvl="0">
      <w:lvlJc w:val="left"/>
      <w:lvlText w:val="(%1)"/>
      <w:numFmt w:val="decimal"/>
      <w:start w:val="1"/>
    </w:lvl>
  </w:abstractNum>
  <w:abstractNum w:abstractNumId="38">
    <w:nsid w:val="310C50B3"/>
    <w:multiLevelType w:val="hybridMultilevel"/>
    <w:lvl w:ilvl="0">
      <w:lvlJc w:val="left"/>
      <w:lvlText w:val="(%1)"/>
      <w:numFmt w:val="decimal"/>
      <w:start w:val="1"/>
    </w:lvl>
  </w:abstractNum>
  <w:abstractNum w:abstractNumId="39">
    <w:nsid w:val="5FF87E05"/>
    <w:multiLevelType w:val="hybridMultilevel"/>
    <w:lvl w:ilvl="0">
      <w:lvlJc w:val="left"/>
      <w:lvlText w:val="•"/>
      <w:numFmt w:val="bullet"/>
      <w:start w:val="1"/>
    </w:lvl>
  </w:abstractNum>
  <w:abstractNum w:abstractNumId="40">
    <w:nsid w:val="2F305DEF"/>
    <w:multiLevelType w:val="hybridMultilevel"/>
    <w:lvl w:ilvl="0">
      <w:lvlJc w:val="left"/>
      <w:lvlText w:val="(%1)"/>
      <w:numFmt w:val="decimal"/>
      <w:start w:val="1"/>
    </w:lvl>
  </w:abstractNum>
  <w:abstractNum w:abstractNumId="41">
    <w:nsid w:val="25A70BF7"/>
    <w:multiLevelType w:val="hybridMultilevel"/>
    <w:lvl w:ilvl="0">
      <w:lvlJc w:val="left"/>
      <w:lvlText w:val="(%1)"/>
      <w:numFmt w:val="lowerRoman"/>
      <w:start w:val="1"/>
    </w:lvl>
  </w:abstractNum>
  <w:abstractNum w:abstractNumId="42">
    <w:nsid w:val="1DBABF00"/>
    <w:multiLevelType w:val="hybridMultilevel"/>
    <w:lvl w:ilvl="0">
      <w:lvlJc w:val="left"/>
      <w:lvlText w:val="(%1)"/>
      <w:numFmt w:val="decimal"/>
      <w:start w:val="1"/>
    </w:lvl>
  </w:abstractNum>
  <w:abstractNum w:abstractNumId="43">
    <w:nsid w:val="4AD084E9"/>
    <w:multiLevelType w:val="hybridMultilevel"/>
    <w:lvl w:ilvl="0">
      <w:lvlJc w:val="left"/>
      <w:lvlText w:val="(%1)"/>
      <w:numFmt w:val="decimal"/>
      <w:start w:val="1"/>
    </w:lvl>
  </w:abstractNum>
  <w:abstractNum w:abstractNumId="44">
    <w:nsid w:val="1F48EAA1"/>
    <w:multiLevelType w:val="hybridMultilevel"/>
    <w:lvl w:ilvl="0">
      <w:lvlJc w:val="left"/>
      <w:lvlText w:val="•"/>
      <w:numFmt w:val="bullet"/>
      <w:start w:val="1"/>
    </w:lvl>
    <w:lvl w:ilvl="1">
      <w:lvlJc w:val="left"/>
      <w:lvlText w:val="•"/>
      <w:numFmt w:val="bullet"/>
      <w:start w:val="1"/>
    </w:lvl>
  </w:abstractNum>
  <w:abstractNum w:abstractNumId="45">
    <w:nsid w:val="1381823A"/>
    <w:multiLevelType w:val="hybridMultilevel"/>
    <w:lvl w:ilvl="0">
      <w:lvlJc w:val="left"/>
      <w:lvlText w:val="•"/>
      <w:numFmt w:val="bullet"/>
      <w:start w:val="1"/>
    </w:lvl>
  </w:abstractNum>
  <w:abstractNum w:abstractNumId="46">
    <w:nsid w:val="5DB70AE5"/>
    <w:multiLevelType w:val="hybridMultilevel"/>
    <w:lvl w:ilvl="0">
      <w:lvlJc w:val="left"/>
      <w:lvlText w:val="%1."/>
      <w:numFmt w:val="decimal"/>
      <w:start w:val="1"/>
    </w:lvl>
  </w:abstractNum>
  <w:abstractNum w:abstractNumId="47">
    <w:nsid w:val="100F8FCA"/>
    <w:multiLevelType w:val="hybridMultilevel"/>
    <w:lvl w:ilvl="0">
      <w:lvlJc w:val="left"/>
      <w:lvlText w:val="•"/>
      <w:numFmt w:val="bullet"/>
      <w:start w:val="1"/>
    </w:lvl>
  </w:abstractNum>
  <w:abstractNum w:abstractNumId="48">
    <w:nsid w:val="6590700B"/>
    <w:multiLevelType w:val="hybridMultilevel"/>
    <w:lvl w:ilvl="0">
      <w:lvlJc w:val="left"/>
      <w:lvlText w:val="%1"/>
      <w:numFmt w:val="lowerLetter"/>
      <w:start w:val="1"/>
    </w:lvl>
    <w:lvl w:ilvl="1">
      <w:lvlJc w:val="left"/>
      <w:lvlText w:val="%2."/>
      <w:numFmt w:val="decimal"/>
      <w:start w:val="1"/>
    </w:lvl>
    <w:lvl w:ilvl="2">
      <w:lvlJc w:val="left"/>
      <w:lvlText w:val="▪"/>
      <w:numFmt w:val="bullet"/>
      <w:start w:val="1"/>
    </w:lvl>
  </w:abstractNum>
  <w:abstractNum w:abstractNumId="49">
    <w:nsid w:val="15014ACB"/>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50">
    <w:nsid w:val="5F5E7FD0"/>
    <w:multiLevelType w:val="hybridMultilevel"/>
    <w:lvl w:ilvl="0">
      <w:lvlJc w:val="left"/>
      <w:lvlText w:val="(%1)"/>
      <w:numFmt w:val="decimal"/>
      <w:start w:val="1"/>
    </w:lvl>
  </w:abstractNum>
  <w:abstractNum w:abstractNumId="51">
    <w:nsid w:val="98A3148"/>
    <w:multiLevelType w:val="hybridMultilevel"/>
    <w:lvl w:ilvl="0">
      <w:lvlJc w:val="left"/>
      <w:lvlText w:val="%1"/>
      <w:numFmt w:val="decimal"/>
      <w:start w:val="101"/>
    </w:lvl>
  </w:abstractNum>
  <w:abstractNum w:abstractNumId="52">
    <w:nsid w:val="799D0247"/>
    <w:multiLevelType w:val="hybridMultilevel"/>
    <w:lvl w:ilvl="0">
      <w:lvlJc w:val="left"/>
      <w:lvlText w:val="**"/>
      <w:numFmt w:val="bullet"/>
      <w:start w:val="1"/>
    </w:lvl>
  </w:abstractNum>
  <w:abstractNum w:abstractNumId="53">
    <w:nsid w:val="6B94764"/>
    <w:multiLevelType w:val="hybridMultilevel"/>
    <w:lvl w:ilvl="0">
      <w:lvlJc w:val="left"/>
      <w:lvlText w:val="%1."/>
      <w:numFmt w:val="decimal"/>
      <w:start w:val="1"/>
    </w:lvl>
    <w:lvl w:ilvl="1">
      <w:lvlJc w:val="left"/>
      <w:lvlText w:val="(%2)"/>
      <w:numFmt w:val="lowerLetter"/>
      <w:start w:val="1"/>
    </w:lvl>
  </w:abstractNum>
  <w:abstractNum w:abstractNumId="54">
    <w:nsid w:val="42C296BD"/>
    <w:multiLevelType w:val="hybridMultilevel"/>
    <w:lvl w:ilvl="0">
      <w:lvlJc w:val="left"/>
      <w:lvlText w:val="%1"/>
      <w:numFmt w:val="decimal"/>
      <w:start w:val="1"/>
    </w:lvl>
    <w:lvl w:ilvl="1">
      <w:lvlJc w:val="left"/>
      <w:lvlText w:val="(%2)"/>
      <w:numFmt w:val="lowerLetter"/>
      <w:start w:val="3"/>
    </w:lvl>
  </w:abstractNum>
  <w:abstractNum w:abstractNumId="55">
    <w:nsid w:val="168E121F"/>
    <w:multiLevelType w:val="hybridMultilevel"/>
    <w:lvl w:ilvl="0">
      <w:lvlJc w:val="left"/>
      <w:lvlText w:val="%1."/>
      <w:numFmt w:val="decimal"/>
      <w:start w:val="4"/>
    </w:lvl>
    <w:lvl w:ilvl="1">
      <w:lvlJc w:val="left"/>
      <w:lvlText w:val="(%2)"/>
      <w:numFmt w:val="lowerLetter"/>
      <w:start w:val="1"/>
    </w:lvl>
  </w:abstractNum>
  <w:abstractNum w:abstractNumId="56">
    <w:nsid w:val="1EBA5D23"/>
    <w:multiLevelType w:val="hybridMultilevel"/>
    <w:lvl w:ilvl="0">
      <w:lvlJc w:val="left"/>
      <w:lvlText w:val="%1."/>
      <w:numFmt w:val="decimal"/>
      <w:start w:val="1"/>
    </w:lvl>
  </w:abstractNum>
  <w:abstractNum w:abstractNumId="57">
    <w:nsid w:val="661E3F1E"/>
    <w:multiLevelType w:val="hybridMultilevel"/>
    <w:lvl w:ilvl="0">
      <w:lvlJc w:val="left"/>
      <w:lvlText w:val="•"/>
      <w:numFmt w:val="bullet"/>
      <w:start w:val="1"/>
    </w:lvl>
  </w:abstractNum>
  <w:abstractNum w:abstractNumId="58">
    <w:nsid w:val="5DC79EA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9">
    <w:nsid w:val="540A471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0">
    <w:nsid w:val="7BD3EE7B"/>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61">
    <w:nsid w:val="51D9C564"/>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62">
    <w:nsid w:val="613EFDC5"/>
    <w:multiLevelType w:val="hybridMultilevel"/>
    <w:lvl w:ilvl="0">
      <w:lvlJc w:val="left"/>
      <w:lvlText w:val="(%1)"/>
      <w:numFmt w:val="lowerLetter"/>
      <w:start w:val="1"/>
    </w:lvl>
    <w:lvl w:ilvl="1">
      <w:lvlJc w:val="left"/>
      <w:lvlText w:val="•"/>
      <w:numFmt w:val="bullet"/>
      <w:start w:val="1"/>
    </w:lvl>
  </w:abstractNum>
  <w:abstractNum w:abstractNumId="63">
    <w:nsid w:val="BF72B14"/>
    <w:multiLevelType w:val="hybridMultilevel"/>
    <w:lvl w:ilvl="0">
      <w:lvlJc w:val="left"/>
      <w:lvlText w:val="%1"/>
      <w:numFmt w:val="lowerLetter"/>
      <w:start w:val="1"/>
    </w:lvl>
    <w:lvl w:ilvl="1">
      <w:lvlJc w:val="left"/>
      <w:lvlText w:val="(%2)"/>
      <w:numFmt w:val="decimal"/>
      <w:start w:val="1"/>
    </w:lvl>
  </w:abstractNum>
  <w:abstractNum w:abstractNumId="64">
    <w:nsid w:val="11447B73"/>
    <w:multiLevelType w:val="hybridMultilevel"/>
    <w:lvl w:ilvl="0">
      <w:lvlJc w:val="left"/>
      <w:lvlText w:val="(%1)"/>
      <w:numFmt w:val="lowerLetter"/>
      <w:start w:val="3"/>
    </w:lvl>
    <w:lvl w:ilvl="1">
      <w:lvlJc w:val="left"/>
      <w:lvlText w:val="%2"/>
      <w:numFmt w:val="decimal"/>
      <w:start w:val="1"/>
    </w:lvl>
  </w:abstractNum>
  <w:abstractNum w:abstractNumId="65">
    <w:nsid w:val="42963E5A"/>
    <w:multiLevelType w:val="hybridMultilevel"/>
    <w:lvl w:ilvl="0">
      <w:lvlJc w:val="left"/>
      <w:lvlText w:val="(%1)"/>
      <w:numFmt w:val="lowerLetter"/>
      <w:start w:val="6"/>
    </w:lvl>
    <w:lvl w:ilvl="1">
      <w:lvlJc w:val="left"/>
      <w:lvlText w:val="•"/>
      <w:numFmt w:val="bullet"/>
      <w:start w:val="1"/>
    </w:lvl>
  </w:abstractNum>
  <w:abstractNum w:abstractNumId="66">
    <w:nsid w:val="A0382C5"/>
    <w:multiLevelType w:val="hybridMultilevel"/>
    <w:lvl w:ilvl="0">
      <w:lvlJc w:val="left"/>
      <w:lvlText w:val="•"/>
      <w:numFmt w:val="bullet"/>
      <w:start w:val="1"/>
    </w:lvl>
  </w:abstractNum>
  <w:abstractNum w:abstractNumId="67">
    <w:nsid w:val="8F2B15E"/>
    <w:multiLevelType w:val="hybridMultilevel"/>
    <w:lvl w:ilvl="0">
      <w:lvlJc w:val="left"/>
      <w:lvlText w:val="%1."/>
      <w:numFmt w:val="decimal"/>
      <w:start w:val="1"/>
    </w:lvl>
    <w:lvl w:ilvl="1">
      <w:lvlJc w:val="left"/>
      <w:lvlText w:val="(%2)"/>
      <w:numFmt w:val="lowerLetter"/>
      <w:start w:val="1"/>
    </w:lvl>
  </w:abstractNum>
  <w:abstractNum w:abstractNumId="68">
    <w:nsid w:val="1A32234B"/>
    <w:multiLevelType w:val="hybridMultilevel"/>
    <w:lvl w:ilvl="0">
      <w:lvlJc w:val="left"/>
      <w:lvlText w:val="%1."/>
      <w:numFmt w:val="decimal"/>
      <w:start w:val="1"/>
    </w:lvl>
    <w:lvl w:ilvl="1">
      <w:lvlJc w:val="left"/>
      <w:lvlText w:val="(%2)"/>
      <w:numFmt w:val="lowerLetter"/>
      <w:start w:val="1"/>
    </w:lvl>
  </w:abstractNum>
  <w:abstractNum w:abstractNumId="69">
    <w:nsid w:val="3B0FD379"/>
    <w:multiLevelType w:val="hybridMultilevel"/>
    <w:lvl w:ilvl="0">
      <w:lvlJc w:val="left"/>
      <w:lvlText w:val="(%1)"/>
      <w:numFmt w:val="decimal"/>
      <w:start w:val="1"/>
    </w:lvl>
  </w:abstractNum>
  <w:abstractNum w:abstractNumId="70">
    <w:nsid w:val="68EB2F6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1">
    <w:nsid w:val="4962813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upperLetter"/>
      <w:start w:val="2"/>
    </w:lvl>
  </w:abstractNum>
  <w:abstractNum w:abstractNumId="72">
    <w:nsid w:val="60B6DF7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lowerRoman"/>
      <w:start w:val="1"/>
    </w:lvl>
    <w:lvl w:ilvl="4">
      <w:lvlJc w:val="left"/>
      <w:lvlText w:val="%5"/>
      <w:numFmt w:val="upperLetter"/>
      <w:start w:val="1"/>
    </w:lvl>
  </w:abstractNum>
  <w:abstractNum w:abstractNumId="73">
    <w:nsid w:val="6A5EE64"/>
    <w:multiLevelType w:val="hybridMultilevel"/>
    <w:lvl w:ilvl="0">
      <w:lvlJc w:val="left"/>
      <w:lvlText w:val="%1"/>
      <w:numFmt w:val="lowerLetter"/>
      <w:start w:val="1"/>
    </w:lvl>
    <w:lvl w:ilvl="1">
      <w:lvlJc w:val="left"/>
      <w:lvlText w:val="%2."/>
      <w:numFmt w:val="lowerLetter"/>
      <w:start w:val="35"/>
    </w:lvl>
  </w:abstractNum>
  <w:abstractNum w:abstractNumId="74">
    <w:nsid w:val="14330624"/>
    <w:multiLevelType w:val="hybridMultilevel"/>
    <w:lvl w:ilvl="0">
      <w:lvlJc w:val="left"/>
      <w:lvlText w:val="%1."/>
      <w:numFmt w:val="lowerLetter"/>
      <w:start w:val="3"/>
    </w:lvl>
    <w:lvl w:ilvl="1">
      <w:lvlJc w:val="left"/>
      <w:lvlText w:val="%2."/>
      <w:numFmt w:val="lowerLetter"/>
      <w:start w:val="9"/>
    </w:lvl>
  </w:abstractNum>
  <w:abstractNum w:abstractNumId="75">
    <w:nsid w:val="7FFFCA1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76">
    <w:nsid w:val="1A27709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77">
    <w:nsid w:val="71EA110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8">
    <w:nsid w:val="100F59D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79">
    <w:nsid w:val="7FB7E0AA"/>
    <w:multiLevelType w:val="hybridMultilevel"/>
    <w:lvl w:ilvl="0">
      <w:lvlJc w:val="left"/>
      <w:lvlText w:val="%1."/>
      <w:numFmt w:val="lowerRoman"/>
      <w:start w:val="1"/>
    </w:lvl>
  </w:abstractNum>
  <w:abstractNum w:abstractNumId="80">
    <w:nsid w:val="6EB5BD4"/>
    <w:multiLevelType w:val="hybridMultilevel"/>
    <w:lvl w:ilvl="0">
      <w:lvlJc w:val="left"/>
      <w:lvlText w:val="%1."/>
      <w:numFmt w:val="lowerLetter"/>
      <w:start w:val="3"/>
    </w:lvl>
  </w:abstractNum>
  <w:abstractNum w:abstractNumId="81">
    <w:nsid w:val="6F6DD9AC"/>
    <w:multiLevelType w:val="hybridMultilevel"/>
    <w:lvl w:ilvl="0">
      <w:lvlJc w:val="left"/>
      <w:lvlText w:val="%1."/>
      <w:numFmt w:val="lowerLetter"/>
      <w:start w:val="6"/>
    </w:lvl>
  </w:abstractNum>
  <w:abstractNum w:abstractNumId="82">
    <w:nsid w:val="94211F2"/>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83">
    <w:nsid w:val="885E1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4">
    <w:nsid w:val="76272110"/>
    <w:multiLevelType w:val="hybridMultilevel"/>
    <w:lvl w:ilvl="0">
      <w:lvlJc w:val="left"/>
      <w:lvlText w:val="%1"/>
      <w:numFmt w:val="lowerLetter"/>
      <w:start w:val="1"/>
    </w:lvl>
    <w:lvl w:ilvl="1">
      <w:lvlJc w:val="left"/>
      <w:lvlText w:val="%2."/>
      <w:numFmt w:val="lowerRoman"/>
      <w:start w:val="6"/>
    </w:lvl>
  </w:abstractNum>
  <w:abstractNum w:abstractNumId="85">
    <w:nsid w:val="4C04A8AF"/>
    <w:multiLevelType w:val="hybridMultilevel"/>
    <w:lvl w:ilvl="0">
      <w:lvlJc w:val="left"/>
      <w:lvlText w:val="%1."/>
      <w:numFmt w:val="lowerLetter"/>
      <w:start w:val="2"/>
    </w:lvl>
    <w:lvl w:ilvl="1">
      <w:lvlJc w:val="left"/>
      <w:lvlText w:val="%2."/>
      <w:numFmt w:val="lowerRoman"/>
      <w:start w:val="1"/>
    </w:lvl>
  </w:abstractNum>
  <w:abstractNum w:abstractNumId="86">
    <w:nsid w:val="1716703B"/>
    <w:multiLevelType w:val="hybridMultilevel"/>
    <w:lvl w:ilvl="0">
      <w:lvlJc w:val="left"/>
      <w:lvlText w:val="%1."/>
      <w:numFmt w:val="lowerLetter"/>
      <w:start w:val="5"/>
    </w:lvl>
  </w:abstractNum>
  <w:abstractNum w:abstractNumId="87">
    <w:nsid w:val="14E17E33"/>
    <w:multiLevelType w:val="hybridMultilevel"/>
    <w:lvl w:ilvl="0">
      <w:lvlJc w:val="left"/>
      <w:lvlText w:val="%1"/>
      <w:numFmt w:val="lowerLetter"/>
      <w:start w:val="1"/>
    </w:lvl>
    <w:lvl w:ilvl="1">
      <w:lvlJc w:val="left"/>
      <w:lvlText w:val="(%2)"/>
      <w:numFmt w:val="upperLetter"/>
      <w:start w:val="3"/>
    </w:lvl>
  </w:abstractNum>
  <w:abstractNum w:abstractNumId="88">
    <w:nsid w:val="3222E7CD"/>
    <w:multiLevelType w:val="hybridMultilevel"/>
    <w:lvl w:ilvl="0">
      <w:lvlJc w:val="left"/>
      <w:lvlText w:val="%1."/>
      <w:numFmt w:val="lowerLetter"/>
      <w:start w:val="11"/>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35" Type="http://schemas.openxmlformats.org/officeDocument/2006/relationships/image" Target="media/image110.png"/><Relationship Id="rId150" Type="http://schemas.openxmlformats.org/officeDocument/2006/relationships/image" Target="media/image111.png"/><Relationship Id="rId151" Type="http://schemas.openxmlformats.org/officeDocument/2006/relationships/image" Target="media/image112.png"/><Relationship Id="rId152" Type="http://schemas.openxmlformats.org/officeDocument/2006/relationships/image" Target="media/image113.png"/><Relationship Id="rId153" Type="http://schemas.openxmlformats.org/officeDocument/2006/relationships/image" Target="media/image114.png"/><Relationship Id="rId154" Type="http://schemas.openxmlformats.org/officeDocument/2006/relationships/image" Target="media/image115.png"/><Relationship Id="rId155" Type="http://schemas.openxmlformats.org/officeDocument/2006/relationships/image" Target="media/image116.png"/><Relationship Id="rId156" Type="http://schemas.openxmlformats.org/officeDocument/2006/relationships/image" Target="media/image117.png"/><Relationship Id="rId157" Type="http://schemas.openxmlformats.org/officeDocument/2006/relationships/image" Target="media/image118.png"/><Relationship Id="rId158" Type="http://schemas.openxmlformats.org/officeDocument/2006/relationships/image" Target="media/image119.png"/><Relationship Id="rId159" Type="http://schemas.openxmlformats.org/officeDocument/2006/relationships/image" Target="media/image120.png"/><Relationship Id="rId160" Type="http://schemas.openxmlformats.org/officeDocument/2006/relationships/image" Target="media/image121.png"/><Relationship Id="rId161" Type="http://schemas.openxmlformats.org/officeDocument/2006/relationships/image" Target="media/image122.png"/><Relationship Id="rId162" Type="http://schemas.openxmlformats.org/officeDocument/2006/relationships/image" Target="media/image123.png"/><Relationship Id="rId117" Type="http://schemas.openxmlformats.org/officeDocument/2006/relationships/hyperlink" Target="https://www.sec.gov/Archives/edgar/data/1677703/000167770323000054/ex21-assetpurchaseagreement.htm" TargetMode="External"/><Relationship Id="rId118" Type="http://schemas.openxmlformats.org/officeDocument/2006/relationships/hyperlink" Target="http://www.sec.gov/Archives/edgar/data/1677703/000119312516803247/d275811dex31.htm" TargetMode="External"/><Relationship Id="rId119" Type="http://schemas.openxmlformats.org/officeDocument/2006/relationships/hyperlink" Target="https://www.sec.gov/Archives/edgar/data/1677703/000167770323000065/cndt-ex32amendedbyxlaws.htm" TargetMode="External"/><Relationship Id="rId120" Type="http://schemas.openxmlformats.org/officeDocument/2006/relationships/hyperlink" Target="https://www.sec.gov/Archives/edgar/data/1677703/000167770321000046/exhibit44g-securedindenture.htm" TargetMode="External"/><Relationship Id="rId121" Type="http://schemas.openxmlformats.org/officeDocument/2006/relationships/hyperlink" Target="https://www.sec.gov/Archives/edgar/data/1677703/000167770320000010/exhibit42.htm" TargetMode="External"/><Relationship Id="rId122" Type="http://schemas.openxmlformats.org/officeDocument/2006/relationships/hyperlink" Target="https://www.sec.gov/Archives/edgar/data/1677703/000167770321000046/cndt-093031ex106fxcreditag.htm" TargetMode="External"/><Relationship Id="rId123" Type="http://schemas.openxmlformats.org/officeDocument/2006/relationships/hyperlink" Target="http://www.sec.gov/Archives/edgar/data/1677703/000119312517000332/d260662dex106.htm" TargetMode="External"/><Relationship Id="rId124" Type="http://schemas.openxmlformats.org/officeDocument/2006/relationships/hyperlink" Target="http://www.sec.gov/Archives/edgar/data/1677703/000119312516682067/d208500dex106.htm" TargetMode="External"/><Relationship Id="rId125" Type="http://schemas.openxmlformats.org/officeDocument/2006/relationships/hyperlink" Target="http://www.sec.gov/Archives/edgar/data/1677703/000119312516751179/d208500dex1014.htm" TargetMode="External"/><Relationship Id="rId126" Type="http://schemas.openxmlformats.org/officeDocument/2006/relationships/hyperlink" Target="http://www.sec.gov/Archives/edgar/data/1677703/000095015718001231/ex10-1.htm" TargetMode="External"/><Relationship Id="rId127" Type="http://schemas.openxmlformats.org/officeDocument/2006/relationships/hyperlink" Target="https://www.sec.gov/Archives/edgar/data/1677703/000167770320000018/ex-106avi.htm" TargetMode="External"/><Relationship Id="rId128" Type="http://schemas.openxmlformats.org/officeDocument/2006/relationships/hyperlink" Target="https://www.sec.gov/Archives/edgar/data/1677703/000167770320000018/ex-106avii.htm" TargetMode="External"/><Relationship Id="rId129" Type="http://schemas.openxmlformats.org/officeDocument/2006/relationships/hyperlink" Target="http://www.sec.gov/Archives/edgar/data/1677703/000119312516807430/d314499dex43.htm" TargetMode="External"/><Relationship Id="rId130" Type="http://schemas.openxmlformats.org/officeDocument/2006/relationships/hyperlink" Target="https://www.sec.gov/Archives/edgar/data/1677703/000167770321000036/ex106axconduent-rsuawardag.htm" TargetMode="External"/><Relationship Id="rId131" Type="http://schemas.openxmlformats.org/officeDocument/2006/relationships/hyperlink" Target="https://www.sec.gov/Archives/edgar/data/1677703/000167770321000036/ex106axiconduent-prsuaward.htm" TargetMode="External"/><Relationship Id="rId132" Type="http://schemas.openxmlformats.org/officeDocument/2006/relationships/hyperlink" Target="https://www.sec.gov/Archives/edgar/data/1677703/000167770321000036/ex106axiiconduent-prsuawar.htm" TargetMode="External"/><Relationship Id="rId133" Type="http://schemas.openxmlformats.org/officeDocument/2006/relationships/hyperlink" Target="https://www.sec.gov/Archives/edgar/data/1677703/000167770322000023/ex106aixrsu.htm" TargetMode="External"/><Relationship Id="rId134" Type="http://schemas.openxmlformats.org/officeDocument/2006/relationships/hyperlink" Target="https://www.sec.gov/Archives/edgar/data/1677703/000167770322000023/ex106axprsu.htm" TargetMode="External"/><Relationship Id="rId136" Type="http://schemas.openxmlformats.org/officeDocument/2006/relationships/hyperlink" Target="https://www.sec.gov/Archives/edgar/data/1677703/000167770321000036/ex106axiiideferredstockuni.htm" TargetMode="External"/><Relationship Id="rId137" Type="http://schemas.openxmlformats.org/officeDocument/2006/relationships/hyperlink" Target="http://www.sec.gov/Archives/edgar/data/1677703/000119312516807430/d314499dex44.htm" TargetMode="External"/><Relationship Id="rId138" Type="http://schemas.openxmlformats.org/officeDocument/2006/relationships/hyperlink" Target="https://www.sec.gov/Archives/edgar/data/1677703/000167770323000033/ex106ai.htm" TargetMode="External"/><Relationship Id="rId139" Type="http://schemas.openxmlformats.org/officeDocument/2006/relationships/hyperlink" Target="https://www.sec.gov/Archives/edgar/data/1677703/000167770323000033/ex106aii.htm" TargetMode="External"/><Relationship Id="rId140" Type="http://schemas.openxmlformats.org/officeDocument/2006/relationships/hyperlink" Target="https://www.sec.gov/Archives/edgar/data/1677703/000167770323000033/ex106aiii.htm" TargetMode="External"/><Relationship Id="rId141" Type="http://schemas.openxmlformats.org/officeDocument/2006/relationships/hyperlink" Target="http://www.sec.gov/Archives/edgar/data/1677703/000119312517270610/d447586dex101.htm" TargetMode="External"/><Relationship Id="rId142" Type="http://schemas.openxmlformats.org/officeDocument/2006/relationships/hyperlink" Target="https://www.sec.gov/Archives/edgar/data/1677703/000119312519158341/d731398dex106h.htm" TargetMode="External"/><Relationship Id="rId143" Type="http://schemas.openxmlformats.org/officeDocument/2006/relationships/hyperlink" Target="https://www.sec.gov/Archives/edgar/data/1677703/000119312519215375/d787721dex99106j.htm" TargetMode="External"/><Relationship Id="rId144" Type="http://schemas.openxmlformats.org/officeDocument/2006/relationships/hyperlink" Target="https://www.sec.gov/Archives/edgar/data/1677703/000167770320000010/exhibit106eii.htm" TargetMode="External"/><Relationship Id="rId145" Type="http://schemas.openxmlformats.org/officeDocument/2006/relationships/hyperlink" Target="https://www.sec.gov/Archives/edgar/data/1677703/000167770321000016/exhibit106diii.htm" TargetMode="External"/><Relationship Id="rId146" Type="http://schemas.openxmlformats.org/officeDocument/2006/relationships/hyperlink" Target="https://www.sec.gov/Archives/edgar/data/0001677703/000167770321000026/ex101letteragreementdatedm.htm" TargetMode="External"/><Relationship Id="rId147" Type="http://schemas.openxmlformats.org/officeDocument/2006/relationships/hyperlink" Target="https://www.sec.gov/Archives/edgar/data/1677703/000167770320000010/exhibit106i.htm" TargetMode="External"/><Relationship Id="rId148" Type="http://schemas.openxmlformats.org/officeDocument/2006/relationships/hyperlink" Target="https://www.sec.gov/Archives/edgar/data/1677703/000167770322000033/ex101usexecseverance.htm" TargetMode="External"/><Relationship Id="rId149" Type="http://schemas.openxmlformats.org/officeDocument/2006/relationships/hyperlink" Target="https://www.sec.gov/Archives/edgar/data/1677703/000167770323000065/cndt-ex101formofindemnifi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2024-02-21T13:01:22Z</dcterms:created>
  <dcterms:modified xsi:type="dcterms:W3CDTF">2024-02-21T13:01:22Z</dcterms:modified>
</cp:coreProperties>
</file>